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8EAAC">
      <w:pPr>
        <w:tabs>
          <w:tab w:val="left" w:pos="3150"/>
        </w:tabs>
        <w:spacing w:line="600" w:lineRule="exact"/>
        <w:jc w:val="center"/>
        <w:rPr>
          <w:rFonts w:hint="eastAsia" w:ascii="仿宋_GB2312" w:eastAsia="仿宋_GB2312"/>
          <w:b/>
          <w:color w:val="auto"/>
          <w:sz w:val="32"/>
          <w:szCs w:val="32"/>
          <w:lang w:eastAsia="zh-CN"/>
        </w:rPr>
      </w:pPr>
      <w:bookmarkStart w:id="0" w:name="_Toc287607727"/>
      <w:bookmarkStart w:id="1" w:name="_Toc5017"/>
      <w:bookmarkStart w:id="2" w:name="_Toc277082535"/>
      <w:bookmarkStart w:id="3" w:name="_Toc22260"/>
      <w:bookmarkStart w:id="4" w:name="_Toc224103298"/>
      <w:bookmarkStart w:id="5" w:name="_Toc22183"/>
      <w:bookmarkStart w:id="991" w:name="_GoBack"/>
      <w:bookmarkEnd w:id="991"/>
      <w:r>
        <w:rPr>
          <w:rFonts w:hint="eastAsia" w:ascii="仿宋_GB2312" w:eastAsia="仿宋_GB2312"/>
          <w:b/>
          <w:color w:val="auto"/>
          <w:sz w:val="32"/>
          <w:szCs w:val="32"/>
        </w:rPr>
        <w:t>工程名称：</w:t>
      </w:r>
      <w:r>
        <w:rPr>
          <w:rFonts w:hint="eastAsia" w:ascii="仿宋_GB2312" w:eastAsia="仿宋_GB2312"/>
          <w:b/>
          <w:color w:val="auto"/>
          <w:sz w:val="32"/>
          <w:szCs w:val="32"/>
          <w:lang w:eastAsia="zh-CN"/>
        </w:rPr>
        <w:t>2025年度福果镇农村公路护栏建设项目（第二次）</w:t>
      </w:r>
    </w:p>
    <w:p w14:paraId="4A403DF3">
      <w:pPr>
        <w:spacing w:line="600" w:lineRule="exact"/>
        <w:rPr>
          <w:rFonts w:hint="default" w:ascii="宋体" w:hAnsi="宋体" w:eastAsia="仿宋_GB2312"/>
          <w:b/>
          <w:color w:val="auto"/>
          <w:spacing w:val="20"/>
          <w:kern w:val="0"/>
          <w:sz w:val="32"/>
          <w:highlight w:val="yellow"/>
          <w:lang w:val="en-US" w:eastAsia="zh-CN"/>
        </w:rPr>
      </w:pPr>
    </w:p>
    <w:p w14:paraId="4B8C1928">
      <w:pPr>
        <w:autoSpaceDE w:val="0"/>
        <w:autoSpaceDN w:val="0"/>
        <w:adjustRightInd w:val="0"/>
        <w:snapToGrid w:val="0"/>
        <w:spacing w:line="500" w:lineRule="exact"/>
        <w:rPr>
          <w:rFonts w:ascii="宋体" w:hAnsi="宋体"/>
          <w:color w:val="auto"/>
          <w:spacing w:val="9"/>
          <w:kern w:val="0"/>
        </w:rPr>
      </w:pPr>
    </w:p>
    <w:p w14:paraId="6FB9CA0E">
      <w:pPr>
        <w:autoSpaceDE w:val="0"/>
        <w:autoSpaceDN w:val="0"/>
        <w:adjustRightInd w:val="0"/>
        <w:snapToGrid w:val="0"/>
        <w:spacing w:line="500" w:lineRule="exact"/>
        <w:rPr>
          <w:rFonts w:ascii="宋体" w:hAnsi="宋体"/>
          <w:color w:val="auto"/>
          <w:spacing w:val="9"/>
          <w:kern w:val="0"/>
        </w:rPr>
      </w:pPr>
    </w:p>
    <w:p w14:paraId="609D223E">
      <w:pPr>
        <w:autoSpaceDE w:val="0"/>
        <w:autoSpaceDN w:val="0"/>
        <w:adjustRightInd w:val="0"/>
        <w:snapToGrid w:val="0"/>
        <w:spacing w:line="240" w:lineRule="atLeast"/>
        <w:jc w:val="center"/>
        <w:rPr>
          <w:rFonts w:ascii="宋体" w:hAnsi="宋体"/>
          <w:b/>
          <w:color w:val="auto"/>
          <w:spacing w:val="34"/>
          <w:kern w:val="0"/>
          <w:sz w:val="96"/>
        </w:rPr>
      </w:pPr>
    </w:p>
    <w:p w14:paraId="45531002">
      <w:pPr>
        <w:autoSpaceDE w:val="0"/>
        <w:autoSpaceDN w:val="0"/>
        <w:adjustRightInd w:val="0"/>
        <w:snapToGrid w:val="0"/>
        <w:spacing w:line="240" w:lineRule="atLeast"/>
        <w:rPr>
          <w:rFonts w:ascii="宋体" w:hAnsi="宋体"/>
          <w:b/>
          <w:color w:val="auto"/>
          <w:spacing w:val="34"/>
          <w:kern w:val="0"/>
          <w:sz w:val="96"/>
        </w:rPr>
      </w:pPr>
    </w:p>
    <w:p w14:paraId="0A5BEB83">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14:paraId="6B63E154">
      <w:pPr>
        <w:autoSpaceDE w:val="0"/>
        <w:autoSpaceDN w:val="0"/>
        <w:adjustRightInd w:val="0"/>
        <w:snapToGrid w:val="0"/>
        <w:spacing w:line="500" w:lineRule="exact"/>
        <w:rPr>
          <w:rFonts w:ascii="宋体" w:hAnsi="宋体"/>
          <w:b/>
          <w:color w:val="auto"/>
          <w:spacing w:val="4"/>
          <w:kern w:val="0"/>
          <w:sz w:val="84"/>
          <w:szCs w:val="84"/>
        </w:rPr>
      </w:pPr>
    </w:p>
    <w:p w14:paraId="2BCA15ED">
      <w:pPr>
        <w:tabs>
          <w:tab w:val="left" w:pos="3676"/>
        </w:tabs>
        <w:autoSpaceDE w:val="0"/>
        <w:autoSpaceDN w:val="0"/>
        <w:adjustRightInd w:val="0"/>
        <w:snapToGrid w:val="0"/>
        <w:spacing w:line="500" w:lineRule="exact"/>
        <w:rPr>
          <w:rFonts w:ascii="宋体" w:hAnsi="宋体"/>
          <w:color w:val="auto"/>
          <w:spacing w:val="4"/>
          <w:kern w:val="0"/>
          <w:sz w:val="32"/>
        </w:rPr>
      </w:pPr>
    </w:p>
    <w:p w14:paraId="2C321CAE">
      <w:pPr>
        <w:autoSpaceDE w:val="0"/>
        <w:autoSpaceDN w:val="0"/>
        <w:adjustRightInd w:val="0"/>
        <w:snapToGrid w:val="0"/>
        <w:spacing w:line="500" w:lineRule="exact"/>
        <w:rPr>
          <w:rFonts w:ascii="宋体" w:hAnsi="宋体"/>
          <w:b/>
          <w:color w:val="auto"/>
          <w:spacing w:val="4"/>
          <w:kern w:val="0"/>
          <w:sz w:val="32"/>
        </w:rPr>
      </w:pPr>
    </w:p>
    <w:p w14:paraId="30D27536">
      <w:pPr>
        <w:autoSpaceDE w:val="0"/>
        <w:autoSpaceDN w:val="0"/>
        <w:adjustRightInd w:val="0"/>
        <w:snapToGrid w:val="0"/>
        <w:spacing w:line="500" w:lineRule="exact"/>
        <w:rPr>
          <w:rFonts w:ascii="宋体" w:hAnsi="宋体"/>
          <w:b/>
          <w:color w:val="auto"/>
          <w:spacing w:val="4"/>
          <w:kern w:val="0"/>
          <w:sz w:val="32"/>
        </w:rPr>
      </w:pPr>
    </w:p>
    <w:p w14:paraId="73DC337A">
      <w:pPr>
        <w:autoSpaceDE w:val="0"/>
        <w:autoSpaceDN w:val="0"/>
        <w:adjustRightInd w:val="0"/>
        <w:snapToGrid w:val="0"/>
        <w:spacing w:line="500" w:lineRule="exact"/>
        <w:rPr>
          <w:rFonts w:ascii="宋体" w:hAnsi="宋体"/>
          <w:b/>
          <w:color w:val="auto"/>
          <w:spacing w:val="4"/>
          <w:kern w:val="0"/>
          <w:sz w:val="32"/>
        </w:rPr>
      </w:pPr>
    </w:p>
    <w:p w14:paraId="1A14F70E">
      <w:pPr>
        <w:autoSpaceDE w:val="0"/>
        <w:autoSpaceDN w:val="0"/>
        <w:adjustRightInd w:val="0"/>
        <w:snapToGrid w:val="0"/>
        <w:spacing w:line="500" w:lineRule="exact"/>
        <w:rPr>
          <w:rFonts w:ascii="宋体" w:hAnsi="宋体"/>
          <w:b/>
          <w:color w:val="auto"/>
          <w:spacing w:val="4"/>
          <w:kern w:val="0"/>
          <w:sz w:val="32"/>
        </w:rPr>
      </w:pPr>
    </w:p>
    <w:p w14:paraId="38F3E238">
      <w:pPr>
        <w:autoSpaceDE w:val="0"/>
        <w:autoSpaceDN w:val="0"/>
        <w:adjustRightInd w:val="0"/>
        <w:snapToGrid w:val="0"/>
        <w:spacing w:line="500" w:lineRule="exact"/>
        <w:rPr>
          <w:rFonts w:ascii="宋体" w:hAnsi="宋体"/>
          <w:b/>
          <w:color w:val="auto"/>
          <w:spacing w:val="4"/>
          <w:kern w:val="0"/>
          <w:sz w:val="32"/>
        </w:rPr>
      </w:pPr>
    </w:p>
    <w:p w14:paraId="6D2E7679">
      <w:pPr>
        <w:pStyle w:val="2"/>
        <w:rPr>
          <w:color w:val="auto"/>
        </w:rPr>
      </w:pPr>
    </w:p>
    <w:p w14:paraId="599624D6">
      <w:pPr>
        <w:autoSpaceDE w:val="0"/>
        <w:autoSpaceDN w:val="0"/>
        <w:adjustRightInd w:val="0"/>
        <w:snapToGrid w:val="0"/>
        <w:spacing w:line="500" w:lineRule="exact"/>
        <w:rPr>
          <w:rFonts w:ascii="宋体" w:hAnsi="宋体"/>
          <w:b/>
          <w:color w:val="auto"/>
          <w:spacing w:val="4"/>
          <w:kern w:val="0"/>
          <w:sz w:val="32"/>
        </w:rPr>
      </w:pPr>
    </w:p>
    <w:p w14:paraId="04D969B3">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w:t>
      </w:r>
      <w:r>
        <w:rPr>
          <w:rFonts w:hint="eastAsia" w:ascii="宋体" w:hAnsi="宋体"/>
          <w:b/>
          <w:color w:val="auto"/>
          <w:spacing w:val="-8"/>
          <w:kern w:val="0"/>
          <w:sz w:val="32"/>
        </w:rPr>
        <w:t xml:space="preserve">   </w:t>
      </w:r>
      <w:r>
        <w:rPr>
          <w:rFonts w:hint="eastAsia" w:ascii="宋体" w:hAnsi="宋体"/>
          <w:b/>
          <w:color w:val="auto"/>
          <w:spacing w:val="-8"/>
          <w:kern w:val="0"/>
          <w:sz w:val="32"/>
          <w:lang w:val="en-US" w:eastAsia="zh-CN"/>
        </w:rPr>
        <w:t>标</w:t>
      </w:r>
      <w:r>
        <w:rPr>
          <w:rFonts w:hint="eastAsia" w:ascii="宋体" w:hAnsi="宋体"/>
          <w:b/>
          <w:color w:val="auto"/>
          <w:spacing w:val="-8"/>
          <w:kern w:val="0"/>
          <w:sz w:val="32"/>
        </w:rPr>
        <w:t xml:space="preserve">   人：</w:t>
      </w:r>
      <w:r>
        <w:rPr>
          <w:rFonts w:hint="eastAsia" w:ascii="宋体" w:hAnsi="宋体"/>
          <w:b/>
          <w:color w:val="auto"/>
          <w:spacing w:val="-8"/>
          <w:kern w:val="0"/>
          <w:sz w:val="32"/>
          <w:lang w:eastAsia="zh-CN"/>
        </w:rPr>
        <w:t>重庆市铜梁区福果镇人民政府</w:t>
      </w:r>
    </w:p>
    <w:p w14:paraId="7C1EA6F8">
      <w:pPr>
        <w:spacing w:line="480" w:lineRule="exact"/>
        <w:ind w:firstLine="916" w:firstLineChars="300"/>
        <w:rPr>
          <w:rFonts w:ascii="宋体" w:hAnsi="宋体"/>
          <w:b/>
          <w:color w:val="auto"/>
          <w:spacing w:val="-8"/>
          <w:kern w:val="0"/>
          <w:sz w:val="32"/>
        </w:rPr>
      </w:pPr>
    </w:p>
    <w:p w14:paraId="34485E85">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招标</w:t>
      </w:r>
      <w:r>
        <w:rPr>
          <w:rFonts w:hint="eastAsia" w:ascii="宋体" w:hAnsi="宋体"/>
          <w:b/>
          <w:color w:val="auto"/>
          <w:spacing w:val="-8"/>
          <w:kern w:val="0"/>
          <w:sz w:val="32"/>
        </w:rPr>
        <w:t>代理机构：</w:t>
      </w:r>
      <w:r>
        <w:rPr>
          <w:rFonts w:hint="eastAsia" w:ascii="宋体" w:hAnsi="宋体"/>
          <w:b/>
          <w:color w:val="auto"/>
          <w:spacing w:val="-8"/>
          <w:kern w:val="0"/>
          <w:sz w:val="32"/>
          <w:lang w:eastAsia="zh-CN"/>
        </w:rPr>
        <w:t xml:space="preserve">重庆尚宇工程项目管理有限公司 </w:t>
      </w:r>
    </w:p>
    <w:p w14:paraId="412B39E3">
      <w:pPr>
        <w:spacing w:line="480" w:lineRule="exact"/>
        <w:ind w:firstLine="916" w:firstLineChars="300"/>
        <w:rPr>
          <w:rFonts w:ascii="宋体" w:hAnsi="宋体"/>
          <w:b/>
          <w:color w:val="auto"/>
          <w:spacing w:val="-8"/>
          <w:kern w:val="0"/>
          <w:sz w:val="32"/>
        </w:rPr>
      </w:pPr>
    </w:p>
    <w:p w14:paraId="1CEF0049">
      <w:pPr>
        <w:autoSpaceDE w:val="0"/>
        <w:autoSpaceDN w:val="0"/>
        <w:adjustRightInd w:val="0"/>
        <w:snapToGrid w:val="0"/>
        <w:spacing w:line="500" w:lineRule="exact"/>
        <w:ind w:firstLine="788" w:firstLineChars="258"/>
        <w:rPr>
          <w:rFonts w:ascii="宋体" w:hAnsi="宋体"/>
          <w:b/>
          <w:color w:val="auto"/>
          <w:spacing w:val="-8"/>
          <w:kern w:val="0"/>
          <w:sz w:val="32"/>
        </w:rPr>
      </w:pPr>
    </w:p>
    <w:p w14:paraId="15A01B43">
      <w:pPr>
        <w:tabs>
          <w:tab w:val="left" w:pos="3200"/>
          <w:tab w:val="left" w:pos="4320"/>
          <w:tab w:val="left" w:pos="5420"/>
        </w:tabs>
        <w:autoSpaceDE w:val="0"/>
        <w:autoSpaceDN w:val="0"/>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二〇二</w:t>
      </w:r>
      <w:r>
        <w:rPr>
          <w:rFonts w:hint="eastAsia" w:ascii="宋体" w:hAnsi="宋体"/>
          <w:b/>
          <w:color w:val="auto"/>
          <w:sz w:val="30"/>
          <w:szCs w:val="30"/>
          <w:lang w:val="en-US" w:eastAsia="zh-CN"/>
        </w:rPr>
        <w:t>五</w:t>
      </w:r>
      <w:r>
        <w:rPr>
          <w:rFonts w:hint="eastAsia" w:ascii="宋体" w:hAnsi="宋体"/>
          <w:b/>
          <w:color w:val="auto"/>
          <w:sz w:val="30"/>
          <w:szCs w:val="30"/>
        </w:rPr>
        <w:t>年</w:t>
      </w:r>
      <w:r>
        <w:rPr>
          <w:rFonts w:hint="eastAsia" w:ascii="宋体" w:hAnsi="宋体"/>
          <w:b/>
          <w:color w:val="auto"/>
          <w:sz w:val="30"/>
          <w:szCs w:val="30"/>
          <w:lang w:val="en-US" w:eastAsia="zh-CN"/>
        </w:rPr>
        <w:t>九</w:t>
      </w:r>
      <w:r>
        <w:rPr>
          <w:rFonts w:hint="eastAsia" w:ascii="宋体" w:hAnsi="宋体"/>
          <w:b/>
          <w:color w:val="auto"/>
          <w:sz w:val="30"/>
          <w:szCs w:val="30"/>
        </w:rPr>
        <w:t>月</w:t>
      </w:r>
    </w:p>
    <w:p w14:paraId="4C0E3B7F">
      <w:pPr>
        <w:tabs>
          <w:tab w:val="left" w:pos="673"/>
        </w:tabs>
        <w:jc w:val="left"/>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14:paraId="44F65D22">
      <w:pPr>
        <w:autoSpaceDE w:val="0"/>
        <w:autoSpaceDN w:val="0"/>
        <w:adjustRightInd w:val="0"/>
        <w:snapToGrid w:val="0"/>
        <w:spacing w:line="360" w:lineRule="auto"/>
        <w:jc w:val="center"/>
        <w:rPr>
          <w:rFonts w:ascii="宋体" w:hAnsi="宋体" w:cs="MingLiU"/>
          <w:b/>
          <w:color w:val="auto"/>
          <w:kern w:val="0"/>
          <w:sz w:val="44"/>
          <w:szCs w:val="44"/>
        </w:rPr>
      </w:pPr>
      <w:r>
        <w:rPr>
          <w:rFonts w:hint="eastAsia" w:ascii="宋体" w:hAnsi="宋体" w:cs="MingLiU"/>
          <w:b/>
          <w:color w:val="auto"/>
          <w:kern w:val="0"/>
          <w:sz w:val="44"/>
          <w:szCs w:val="44"/>
        </w:rPr>
        <w:t>目   录</w:t>
      </w:r>
    </w:p>
    <w:p w14:paraId="5D6AD68C">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TOC \o "1-1" \h \z \u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"_Toc513492487"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第一章  竞争性比选公告</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_Toc513492487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1A42250C">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"_Toc513492488"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第二章  投标人须知</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_Toc513492488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2AB15884">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"_Toc513492489"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第三章  评标办法（经评审的最低投标价法）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_Toc513492489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742AB6CD">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"_Toc513492490"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第四章  合同条款及</w:t>
      </w:r>
      <w:bookmarkStart w:id="6" w:name="_Hlt514795948"/>
      <w:r>
        <w:rPr>
          <w:rFonts w:hint="eastAsia" w:ascii="宋体" w:hAnsi="宋体" w:eastAsia="宋体" w:cs="宋体"/>
          <w:b w:val="0"/>
          <w:bCs w:val="0"/>
          <w:caps w:val="0"/>
          <w:color w:val="auto"/>
          <w:kern w:val="0"/>
          <w:sz w:val="21"/>
          <w:szCs w:val="21"/>
          <w:lang w:val="en-US" w:eastAsia="zh-CN" w:bidi="ar-SA"/>
        </w:rPr>
        <w:t>格</w:t>
      </w:r>
      <w:bookmarkEnd w:id="6"/>
      <w:r>
        <w:rPr>
          <w:rFonts w:hint="eastAsia" w:ascii="宋体" w:hAnsi="宋体" w:eastAsia="宋体" w:cs="宋体"/>
          <w:b w:val="0"/>
          <w:bCs w:val="0"/>
          <w:caps w:val="0"/>
          <w:color w:val="auto"/>
          <w:kern w:val="0"/>
          <w:sz w:val="21"/>
          <w:szCs w:val="21"/>
          <w:lang w:val="en-US" w:eastAsia="zh-CN" w:bidi="ar-SA"/>
        </w:rPr>
        <w:t>式</w:t>
      </w:r>
      <w:r>
        <w:rPr>
          <w:rFonts w:hint="eastAsia" w:ascii="宋体" w:hAnsi="宋体" w:eastAsia="宋体" w:cs="宋体"/>
          <w:b w:val="0"/>
          <w:bCs w:val="0"/>
          <w:caps w:val="0"/>
          <w:color w:val="auto"/>
          <w:kern w:val="0"/>
          <w:sz w:val="21"/>
          <w:szCs w:val="21"/>
          <w:lang w:val="en-US" w:eastAsia="zh-CN" w:bidi="ar-SA"/>
        </w:rPr>
        <w:tab/>
      </w:r>
      <w:bookmarkStart w:id="7" w:name="_Hlt514795804"/>
      <w:bookmarkStart w:id="8" w:name="_Hlt514795805"/>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_Toc513492490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25</w:t>
      </w:r>
      <w:r>
        <w:rPr>
          <w:rFonts w:hint="eastAsia" w:ascii="宋体" w:hAnsi="宋体" w:eastAsia="宋体" w:cs="宋体"/>
          <w:b w:val="0"/>
          <w:bCs w:val="0"/>
          <w:caps w:val="0"/>
          <w:color w:val="auto"/>
          <w:kern w:val="0"/>
          <w:sz w:val="21"/>
          <w:szCs w:val="21"/>
          <w:lang w:val="en-US" w:eastAsia="zh-CN" w:bidi="ar-SA"/>
        </w:rPr>
        <w:fldChar w:fldCharType="end"/>
      </w:r>
      <w:bookmarkEnd w:id="7"/>
      <w:bookmarkEnd w:id="8"/>
      <w:r>
        <w:rPr>
          <w:rFonts w:hint="eastAsia" w:ascii="宋体" w:hAnsi="宋体" w:eastAsia="宋体" w:cs="宋体"/>
          <w:b w:val="0"/>
          <w:bCs w:val="0"/>
          <w:caps w:val="0"/>
          <w:color w:val="auto"/>
          <w:kern w:val="0"/>
          <w:sz w:val="21"/>
          <w:szCs w:val="21"/>
          <w:lang w:val="en-US" w:eastAsia="zh-CN" w:bidi="ar-SA"/>
        </w:rPr>
        <w:fldChar w:fldCharType="end"/>
      </w:r>
    </w:p>
    <w:p w14:paraId="3D72FF3A">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"_Toc513492491"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第五章  工程量清单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_Toc513492491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5E502CC3">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"_Toc513492492"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第六章  图纸</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_Toc513492492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2DC6C62B">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"_Toc513492493"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第七章  技术标准和要求</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52F2F553">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"_Toc513492494"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第八章  投标文件格式</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56</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14:paraId="63EC2B45">
      <w:pPr>
        <w:pStyle w:val="3"/>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end"/>
      </w:r>
    </w:p>
    <w:p w14:paraId="41003B51">
      <w:pPr>
        <w:rPr>
          <w:color w:val="auto"/>
        </w:rPr>
      </w:pPr>
    </w:p>
    <w:p w14:paraId="278BA867">
      <w:pPr>
        <w:rPr>
          <w:color w:val="auto"/>
        </w:rPr>
      </w:pPr>
    </w:p>
    <w:p w14:paraId="0D9C2F5E">
      <w:pPr>
        <w:rPr>
          <w:color w:val="auto"/>
        </w:rPr>
      </w:pPr>
    </w:p>
    <w:p w14:paraId="11B741E7">
      <w:pPr>
        <w:rPr>
          <w:color w:val="auto"/>
        </w:rPr>
      </w:pPr>
    </w:p>
    <w:p w14:paraId="26028B5B">
      <w:pPr>
        <w:rPr>
          <w:color w:val="auto"/>
        </w:rPr>
      </w:pPr>
    </w:p>
    <w:p w14:paraId="3ABC2B9D">
      <w:pPr>
        <w:rPr>
          <w:color w:val="auto"/>
        </w:rPr>
      </w:pPr>
    </w:p>
    <w:p w14:paraId="247BDF32">
      <w:pPr>
        <w:rPr>
          <w:color w:val="auto"/>
        </w:rPr>
      </w:pPr>
    </w:p>
    <w:p w14:paraId="340453BB">
      <w:pPr>
        <w:rPr>
          <w:color w:val="auto"/>
        </w:rPr>
      </w:pPr>
    </w:p>
    <w:p w14:paraId="2A726627">
      <w:pPr>
        <w:rPr>
          <w:color w:val="auto"/>
        </w:rPr>
      </w:pPr>
    </w:p>
    <w:p w14:paraId="11859CFD">
      <w:pPr>
        <w:rPr>
          <w:color w:val="auto"/>
        </w:rPr>
      </w:pPr>
    </w:p>
    <w:p w14:paraId="64EB07D2">
      <w:pPr>
        <w:rPr>
          <w:color w:val="auto"/>
        </w:rPr>
      </w:pPr>
    </w:p>
    <w:p w14:paraId="6B247FE7">
      <w:pPr>
        <w:rPr>
          <w:color w:val="auto"/>
        </w:rPr>
      </w:pPr>
    </w:p>
    <w:p w14:paraId="5FCE8B79">
      <w:pPr>
        <w:rPr>
          <w:color w:val="auto"/>
        </w:rPr>
      </w:pPr>
    </w:p>
    <w:p w14:paraId="488787EE">
      <w:pPr>
        <w:rPr>
          <w:color w:val="auto"/>
        </w:rPr>
      </w:pPr>
    </w:p>
    <w:p w14:paraId="56796A35">
      <w:pPr>
        <w:rPr>
          <w:color w:val="auto"/>
        </w:rPr>
      </w:pPr>
    </w:p>
    <w:p w14:paraId="6E6813DA">
      <w:pPr>
        <w:rPr>
          <w:color w:val="auto"/>
        </w:rPr>
      </w:pPr>
    </w:p>
    <w:p w14:paraId="48CA3D6F">
      <w:pPr>
        <w:rPr>
          <w:color w:val="auto"/>
        </w:rPr>
      </w:pPr>
    </w:p>
    <w:p w14:paraId="6B8ECEB4">
      <w:pPr>
        <w:rPr>
          <w:color w:val="auto"/>
        </w:rPr>
      </w:pPr>
    </w:p>
    <w:p w14:paraId="51A38C2C">
      <w:pPr>
        <w:rPr>
          <w:color w:val="auto"/>
        </w:rPr>
      </w:pPr>
    </w:p>
    <w:p w14:paraId="027FA330">
      <w:pPr>
        <w:pStyle w:val="2"/>
        <w:rPr>
          <w:color w:val="auto"/>
        </w:rPr>
      </w:pPr>
    </w:p>
    <w:p w14:paraId="632F2D46">
      <w:pPr>
        <w:pStyle w:val="64"/>
        <w:rPr>
          <w:color w:val="auto"/>
        </w:rPr>
      </w:pPr>
    </w:p>
    <w:p w14:paraId="51CF68E2">
      <w:pPr>
        <w:pStyle w:val="65"/>
        <w:rPr>
          <w:color w:val="auto"/>
        </w:rPr>
      </w:pPr>
    </w:p>
    <w:p w14:paraId="63A0790D">
      <w:pPr>
        <w:pStyle w:val="66"/>
        <w:rPr>
          <w:color w:val="auto"/>
        </w:rPr>
      </w:pPr>
    </w:p>
    <w:p w14:paraId="77B449CF">
      <w:pPr>
        <w:pStyle w:val="64"/>
        <w:rPr>
          <w:color w:val="auto"/>
        </w:rPr>
      </w:pPr>
    </w:p>
    <w:p w14:paraId="3C636804">
      <w:pPr>
        <w:pStyle w:val="65"/>
        <w:rPr>
          <w:color w:val="auto"/>
        </w:rPr>
      </w:pPr>
    </w:p>
    <w:p w14:paraId="6ECAD5E3">
      <w:pPr>
        <w:pStyle w:val="66"/>
        <w:rPr>
          <w:color w:val="auto"/>
        </w:rPr>
      </w:pPr>
    </w:p>
    <w:p w14:paraId="3FF484D2">
      <w:pPr>
        <w:pStyle w:val="64"/>
        <w:rPr>
          <w:color w:val="auto"/>
        </w:rPr>
      </w:pPr>
    </w:p>
    <w:p w14:paraId="1FAD735D">
      <w:pPr>
        <w:rPr>
          <w:color w:val="auto"/>
        </w:rPr>
      </w:pPr>
    </w:p>
    <w:p w14:paraId="4B103BAF">
      <w:pPr>
        <w:rPr>
          <w:color w:val="auto"/>
        </w:rPr>
      </w:pPr>
    </w:p>
    <w:p w14:paraId="03FD3762">
      <w:pPr>
        <w:rPr>
          <w:color w:val="auto"/>
        </w:rPr>
      </w:pPr>
    </w:p>
    <w:p w14:paraId="24F89405">
      <w:pPr>
        <w:rPr>
          <w:color w:val="auto"/>
        </w:rPr>
      </w:pPr>
    </w:p>
    <w:p w14:paraId="01FA571B">
      <w:pPr>
        <w:rPr>
          <w:color w:val="auto"/>
        </w:rPr>
      </w:pPr>
    </w:p>
    <w:p w14:paraId="02C1F739">
      <w:pPr>
        <w:pStyle w:val="3"/>
        <w:spacing w:before="0" w:after="0" w:line="460" w:lineRule="exact"/>
        <w:jc w:val="center"/>
        <w:rPr>
          <w:rFonts w:ascii="宋体" w:hAnsi="宋体" w:cs="宋体"/>
          <w:color w:val="auto"/>
          <w:kern w:val="0"/>
          <w:sz w:val="36"/>
          <w:szCs w:val="36"/>
        </w:rPr>
      </w:pPr>
      <w:bookmarkStart w:id="9" w:name="_Toc513492487"/>
      <w:bookmarkStart w:id="10" w:name="_Toc452058672"/>
      <w:r>
        <w:rPr>
          <w:rFonts w:hint="eastAsia" w:ascii="宋体" w:hAnsi="宋体" w:cs="宋体"/>
          <w:color w:val="auto"/>
          <w:kern w:val="0"/>
          <w:sz w:val="36"/>
          <w:szCs w:val="36"/>
        </w:rPr>
        <w:t>第一章  竞争性比选公告</w:t>
      </w:r>
      <w:bookmarkEnd w:id="0"/>
      <w:bookmarkEnd w:id="1"/>
      <w:bookmarkEnd w:id="2"/>
      <w:bookmarkEnd w:id="3"/>
      <w:bookmarkEnd w:id="4"/>
      <w:bookmarkEnd w:id="5"/>
      <w:bookmarkEnd w:id="9"/>
      <w:bookmarkEnd w:id="10"/>
    </w:p>
    <w:p w14:paraId="053BAFE6">
      <w:pPr>
        <w:autoSpaceDE w:val="0"/>
        <w:autoSpaceDN w:val="0"/>
        <w:adjustRightInd w:val="0"/>
        <w:snapToGrid w:val="0"/>
        <w:spacing w:line="460" w:lineRule="exact"/>
        <w:jc w:val="center"/>
        <w:rPr>
          <w:rFonts w:ascii="宋体" w:hAnsi="宋体" w:cs="宋体"/>
          <w:b/>
          <w:snapToGrid w:val="0"/>
          <w:color w:val="auto"/>
          <w:w w:val="99"/>
          <w:kern w:val="0"/>
          <w:sz w:val="32"/>
          <w:szCs w:val="32"/>
        </w:rPr>
      </w:pPr>
      <w:r>
        <w:rPr>
          <w:rFonts w:hint="eastAsia" w:ascii="宋体" w:hAnsi="宋体" w:cs="宋体"/>
          <w:b/>
          <w:bCs/>
          <w:color w:val="auto"/>
          <w:kern w:val="0"/>
          <w:sz w:val="36"/>
          <w:szCs w:val="36"/>
          <w:lang w:eastAsia="zh-CN"/>
        </w:rPr>
        <w:t>2025年度福果镇农村公路护栏建设项目（第二次）</w:t>
      </w:r>
      <w:r>
        <w:rPr>
          <w:rFonts w:hint="eastAsia" w:ascii="宋体" w:hAnsi="宋体" w:cs="宋体"/>
          <w:b/>
          <w:snapToGrid w:val="0"/>
          <w:color w:val="auto"/>
          <w:w w:val="99"/>
          <w:kern w:val="0"/>
          <w:sz w:val="32"/>
          <w:szCs w:val="32"/>
        </w:rPr>
        <w:t xml:space="preserve"> </w:t>
      </w:r>
    </w:p>
    <w:p w14:paraId="108D926E">
      <w:pPr>
        <w:pStyle w:val="4"/>
        <w:pageBreakBefore w:val="0"/>
        <w:kinsoku/>
        <w:wordWrap/>
        <w:overflowPunct/>
        <w:topLinePunct w:val="0"/>
        <w:bidi w:val="0"/>
        <w:spacing w:before="0" w:after="0" w:line="440" w:lineRule="exact"/>
        <w:textAlignment w:val="auto"/>
        <w:rPr>
          <w:rFonts w:hint="eastAsia" w:ascii="宋体" w:hAnsi="宋体" w:eastAsia="宋体" w:cs="宋体"/>
          <w:bCs w:val="0"/>
          <w:snapToGrid w:val="0"/>
          <w:color w:val="auto"/>
          <w:sz w:val="21"/>
          <w:szCs w:val="21"/>
        </w:rPr>
      </w:pPr>
      <w:bookmarkStart w:id="11" w:name="_Toc452058673"/>
      <w:bookmarkStart w:id="12" w:name="_Toc428455483"/>
      <w:r>
        <w:rPr>
          <w:rFonts w:hint="eastAsia" w:ascii="宋体" w:hAnsi="宋体" w:eastAsia="宋体" w:cs="宋体"/>
          <w:snapToGrid w:val="0"/>
          <w:color w:val="auto"/>
          <w:sz w:val="21"/>
          <w:szCs w:val="21"/>
        </w:rPr>
        <w:t>1. 竞争性比选条件</w:t>
      </w:r>
      <w:bookmarkEnd w:id="11"/>
      <w:bookmarkEnd w:id="12"/>
    </w:p>
    <w:p w14:paraId="6E65C5FF">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本招标项目</w:t>
      </w:r>
      <w:r>
        <w:rPr>
          <w:rFonts w:hint="eastAsia" w:ascii="宋体" w:hAnsi="宋体" w:cs="宋体"/>
          <w:snapToGrid w:val="0"/>
          <w:color w:val="auto"/>
          <w:kern w:val="0"/>
          <w:szCs w:val="21"/>
          <w:u w:val="single"/>
          <w:lang w:eastAsia="zh-CN"/>
        </w:rPr>
        <w:t>2025年度福果镇农村公路护栏建设项目（第二次）</w:t>
      </w:r>
      <w:r>
        <w:rPr>
          <w:rFonts w:hint="eastAsia" w:ascii="宋体" w:hAnsi="宋体" w:eastAsia="宋体" w:cs="宋体"/>
          <w:snapToGrid w:val="0"/>
          <w:color w:val="auto"/>
          <w:kern w:val="0"/>
          <w:szCs w:val="21"/>
        </w:rPr>
        <w:t>业主为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，资金来源为</w:t>
      </w:r>
      <w:r>
        <w:rPr>
          <w:rFonts w:hint="eastAsia" w:ascii="宋体" w:hAnsi="宋体" w:cs="宋体"/>
          <w:snapToGrid w:val="0"/>
          <w:color w:val="auto"/>
          <w:kern w:val="0"/>
          <w:szCs w:val="21"/>
          <w:highlight w:val="none"/>
          <w:u w:val="single"/>
          <w:lang w:eastAsia="zh-CN"/>
        </w:rPr>
        <w:t>财政资金</w:t>
      </w:r>
      <w:r>
        <w:rPr>
          <w:rFonts w:hint="eastAsia" w:ascii="宋体" w:hAnsi="宋体" w:eastAsia="宋体" w:cs="宋体"/>
          <w:snapToGrid w:val="0"/>
          <w:color w:val="auto"/>
          <w:kern w:val="0"/>
          <w:szCs w:val="21"/>
        </w:rPr>
        <w:t>，</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。项目已具备招标条件，现对该项目施工进行竞争性比选。</w:t>
      </w:r>
    </w:p>
    <w:p w14:paraId="38D94904">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3" w:name="_Toc452058674"/>
      <w:r>
        <w:rPr>
          <w:rFonts w:hint="eastAsia" w:ascii="宋体" w:hAnsi="宋体" w:cs="宋体"/>
          <w:snapToGrid w:val="0"/>
          <w:color w:val="auto"/>
          <w:sz w:val="21"/>
          <w:szCs w:val="21"/>
          <w:lang w:eastAsia="zh-CN"/>
        </w:rPr>
        <w:t>2.</w:t>
      </w:r>
      <w:r>
        <w:rPr>
          <w:rFonts w:hint="eastAsia" w:ascii="宋体" w:hAnsi="宋体" w:eastAsia="宋体" w:cs="宋体"/>
          <w:snapToGrid w:val="0"/>
          <w:color w:val="auto"/>
          <w:sz w:val="21"/>
          <w:szCs w:val="21"/>
        </w:rPr>
        <w:t>项目概况与比选范围</w:t>
      </w:r>
      <w:bookmarkEnd w:id="13"/>
    </w:p>
    <w:p w14:paraId="136276C4">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4" w:name="_Toc452058675"/>
      <w:r>
        <w:rPr>
          <w:rFonts w:hint="eastAsia" w:ascii="宋体" w:hAnsi="宋体" w:eastAsia="宋体" w:cs="宋体"/>
          <w:color w:val="auto"/>
          <w:kern w:val="0"/>
          <w:szCs w:val="21"/>
        </w:rPr>
        <w:t>2.1 项目概况：建设的主要内容包括新建公路护栏工程等内容</w:t>
      </w:r>
      <w:r>
        <w:rPr>
          <w:rFonts w:hint="eastAsia" w:ascii="宋体" w:hAnsi="宋体" w:cs="宋体"/>
          <w:color w:val="auto"/>
          <w:lang w:eastAsia="zh-CN"/>
        </w:rPr>
        <w:t>。</w:t>
      </w:r>
    </w:p>
    <w:p w14:paraId="360954EE">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 建设地址：</w:t>
      </w:r>
      <w:r>
        <w:rPr>
          <w:rFonts w:hint="eastAsia" w:ascii="宋体" w:hAnsi="宋体" w:cs="宋体"/>
          <w:color w:val="auto"/>
          <w:kern w:val="0"/>
          <w:szCs w:val="21"/>
          <w:lang w:eastAsia="zh-CN"/>
        </w:rPr>
        <w:t>铜梁区福果镇</w:t>
      </w:r>
      <w:r>
        <w:rPr>
          <w:rFonts w:hint="eastAsia" w:ascii="宋体" w:hAnsi="宋体" w:eastAsia="宋体" w:cs="宋体"/>
          <w:color w:val="auto"/>
          <w:kern w:val="0"/>
          <w:szCs w:val="21"/>
        </w:rPr>
        <w:t>。</w:t>
      </w:r>
    </w:p>
    <w:p w14:paraId="0E6D6EF4">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2.3 比选范围：</w:t>
      </w: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p w14:paraId="2204BAA2">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2.4 本次招标项目工程总投资额：481225</w:t>
      </w:r>
      <w:r>
        <w:rPr>
          <w:rFonts w:hint="eastAsia" w:ascii="宋体" w:hAnsi="宋体" w:cs="宋体"/>
          <w:color w:val="auto"/>
          <w:kern w:val="0"/>
          <w:szCs w:val="21"/>
          <w:lang w:eastAsia="zh-CN"/>
        </w:rPr>
        <w:t>元</w:t>
      </w:r>
    </w:p>
    <w:p w14:paraId="30BB9B18">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本次比选项目合同估算金额：481225</w:t>
      </w:r>
      <w:r>
        <w:rPr>
          <w:rFonts w:hint="eastAsia" w:ascii="宋体" w:hAnsi="宋体" w:cs="宋体"/>
          <w:color w:val="auto"/>
          <w:kern w:val="0"/>
          <w:szCs w:val="21"/>
          <w:lang w:eastAsia="zh-CN"/>
        </w:rPr>
        <w:t>元</w:t>
      </w:r>
      <w:r>
        <w:rPr>
          <w:rFonts w:hint="eastAsia" w:ascii="宋体" w:hAnsi="宋体" w:eastAsia="宋体" w:cs="宋体"/>
          <w:color w:val="auto"/>
          <w:kern w:val="0"/>
          <w:szCs w:val="21"/>
        </w:rPr>
        <w:t>。</w:t>
      </w:r>
    </w:p>
    <w:p w14:paraId="6679CAF4">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 xml:space="preserve"> 工期：</w:t>
      </w:r>
      <w:r>
        <w:rPr>
          <w:rFonts w:hint="eastAsia" w:ascii="宋体" w:hAnsi="宋体" w:cs="宋体"/>
          <w:color w:val="auto"/>
          <w:kern w:val="0"/>
          <w:szCs w:val="21"/>
          <w:lang w:val="en-US" w:eastAsia="zh-CN"/>
        </w:rPr>
        <w:t>30日历天</w:t>
      </w:r>
      <w:r>
        <w:rPr>
          <w:rFonts w:hint="eastAsia" w:ascii="宋体" w:hAnsi="宋体" w:eastAsia="宋体" w:cs="宋体"/>
          <w:color w:val="auto"/>
          <w:kern w:val="0"/>
          <w:szCs w:val="21"/>
        </w:rPr>
        <w:t>。</w:t>
      </w:r>
    </w:p>
    <w:p w14:paraId="11C4FB98">
      <w:pPr>
        <w:pageBreakBefore w:val="0"/>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 xml:space="preserve"> 标段划分：本次招标设1个标段。</w:t>
      </w:r>
    </w:p>
    <w:p w14:paraId="33A1DDDA">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3.</w:t>
      </w:r>
      <w:r>
        <w:rPr>
          <w:rFonts w:hint="eastAsia" w:ascii="宋体" w:hAnsi="宋体" w:eastAsia="宋体" w:cs="宋体"/>
          <w:snapToGrid w:val="0"/>
          <w:color w:val="auto"/>
          <w:sz w:val="21"/>
          <w:szCs w:val="21"/>
        </w:rPr>
        <w:t>投标人资格要求</w:t>
      </w:r>
      <w:bookmarkEnd w:id="14"/>
    </w:p>
    <w:p w14:paraId="3609532A">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3.1 本次招标要求投标人</w:t>
      </w:r>
      <w:r>
        <w:rPr>
          <w:rFonts w:hint="eastAsia" w:ascii="宋体" w:hAnsi="宋体" w:cs="宋体"/>
          <w:snapToGrid w:val="0"/>
          <w:color w:val="auto"/>
          <w:kern w:val="0"/>
          <w:szCs w:val="21"/>
          <w:lang w:eastAsia="zh-CN"/>
        </w:rPr>
        <w:t>须具备</w:t>
      </w:r>
      <w:r>
        <w:rPr>
          <w:rFonts w:hint="eastAsia" w:ascii="宋体" w:hAnsi="宋体" w:eastAsia="宋体" w:cs="宋体"/>
          <w:snapToGrid w:val="0"/>
          <w:color w:val="auto"/>
          <w:kern w:val="0"/>
          <w:szCs w:val="21"/>
        </w:rPr>
        <w:t>建设行政主管部门颁发的有效的</w:t>
      </w:r>
      <w:r>
        <w:rPr>
          <w:rFonts w:hint="eastAsia" w:ascii="宋体" w:hAnsi="宋体" w:cs="宋体"/>
          <w:b/>
          <w:bCs/>
          <w:snapToGrid w:val="0"/>
          <w:color w:val="auto"/>
          <w:kern w:val="0"/>
          <w:szCs w:val="21"/>
          <w:u w:val="single"/>
          <w:lang w:val="en-US" w:eastAsia="zh-CN"/>
        </w:rPr>
        <w:t>公路工程施工总承包叁级及以上资质</w:t>
      </w:r>
      <w:r>
        <w:rPr>
          <w:rFonts w:hint="eastAsia" w:ascii="宋体" w:hAnsi="宋体" w:eastAsia="宋体" w:cs="宋体"/>
          <w:snapToGrid w:val="0"/>
          <w:color w:val="auto"/>
          <w:kern w:val="0"/>
          <w:szCs w:val="21"/>
        </w:rPr>
        <w:t>。</w:t>
      </w:r>
    </w:p>
    <w:p w14:paraId="75DF130A">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3.2 资格审查方式：资格后审。</w:t>
      </w:r>
    </w:p>
    <w:p w14:paraId="614AE5A6">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color w:val="auto"/>
          <w:kern w:val="0"/>
          <w:szCs w:val="21"/>
        </w:rPr>
      </w:pPr>
      <w:bookmarkStart w:id="15" w:name="_Toc452058676"/>
      <w:r>
        <w:rPr>
          <w:rFonts w:hint="eastAsia" w:ascii="宋体" w:hAnsi="宋体" w:eastAsia="宋体" w:cs="宋体"/>
          <w:color w:val="auto"/>
          <w:kern w:val="0"/>
          <w:szCs w:val="21"/>
        </w:rPr>
        <w:t>3.3 本次比选不接受联合体投标。</w:t>
      </w:r>
    </w:p>
    <w:p w14:paraId="17DE211A">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4.</w:t>
      </w:r>
      <w:r>
        <w:rPr>
          <w:rFonts w:hint="eastAsia" w:ascii="宋体" w:hAnsi="宋体" w:eastAsia="宋体" w:cs="宋体"/>
          <w:snapToGrid w:val="0"/>
          <w:color w:val="auto"/>
          <w:sz w:val="21"/>
          <w:szCs w:val="21"/>
        </w:rPr>
        <w:t>比选文件的获取</w:t>
      </w:r>
      <w:bookmarkEnd w:id="15"/>
    </w:p>
    <w:p w14:paraId="35DBC0D9">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6" w:name="_Toc452058677"/>
      <w:r>
        <w:rPr>
          <w:rFonts w:hint="eastAsia" w:ascii="宋体" w:hAnsi="宋体" w:eastAsia="宋体" w:cs="宋体"/>
          <w:color w:val="auto"/>
          <w:kern w:val="0"/>
          <w:szCs w:val="21"/>
        </w:rPr>
        <w:t>4.1凡有意参加投标的</w:t>
      </w:r>
      <w:r>
        <w:rPr>
          <w:rFonts w:hint="eastAsia" w:ascii="宋体" w:hAnsi="宋体" w:cs="宋体"/>
          <w:color w:val="auto"/>
          <w:kern w:val="0"/>
          <w:szCs w:val="21"/>
          <w:lang w:val="en-US" w:eastAsia="zh-CN"/>
        </w:rPr>
        <w:t>投标人</w:t>
      </w:r>
      <w:r>
        <w:rPr>
          <w:rFonts w:hint="eastAsia" w:ascii="宋体" w:hAnsi="宋体" w:eastAsia="宋体" w:cs="宋体"/>
          <w:color w:val="auto"/>
          <w:kern w:val="0"/>
          <w:szCs w:val="21"/>
        </w:rPr>
        <w:t>，请于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29日</w:t>
      </w:r>
      <w:r>
        <w:rPr>
          <w:rFonts w:hint="eastAsia" w:ascii="宋体" w:hAnsi="宋体" w:eastAsia="宋体" w:cs="宋体"/>
          <w:color w:val="auto"/>
          <w:kern w:val="0"/>
          <w:szCs w:val="21"/>
        </w:rPr>
        <w:t>起至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10</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日17时00分止在重庆市铜梁区人民政府网（www.cqstl.gov.cn）</w:t>
      </w:r>
      <w:r>
        <w:rPr>
          <w:rFonts w:hint="eastAsia" w:ascii="宋体" w:hAnsi="宋体" w:cs="宋体"/>
          <w:color w:val="auto"/>
          <w:kern w:val="0"/>
          <w:szCs w:val="21"/>
          <w:lang w:val="en-US" w:eastAsia="zh-CN"/>
        </w:rPr>
        <w:t>上下载</w:t>
      </w:r>
      <w:r>
        <w:rPr>
          <w:rFonts w:hint="eastAsia" w:ascii="宋体" w:hAnsi="宋体" w:eastAsia="宋体" w:cs="宋体"/>
          <w:color w:val="auto"/>
          <w:kern w:val="0"/>
          <w:szCs w:val="21"/>
        </w:rPr>
        <w:t>本项目比选文件、工程量清单、图纸、澄清、修改、补充通知等全部内容。</w:t>
      </w:r>
    </w:p>
    <w:p w14:paraId="41EA1FA8">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4.2投标人可以以匿名传真的形式提出疑问，将问题传真至比选代理机构。提问时间从本公告发布至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30</w:t>
      </w:r>
      <w:r>
        <w:rPr>
          <w:rFonts w:hint="eastAsia" w:ascii="宋体" w:hAnsi="宋体" w:eastAsia="宋体" w:cs="宋体"/>
          <w:color w:val="auto"/>
          <w:kern w:val="0"/>
          <w:szCs w:val="21"/>
        </w:rPr>
        <w:t>日1</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时00分（北京时间）前。</w:t>
      </w:r>
    </w:p>
    <w:p w14:paraId="18F8D53A">
      <w:pPr>
        <w:pageBreakBefore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yellow"/>
          <w:lang w:val="en-US" w:eastAsia="zh-CN"/>
        </w:rPr>
      </w:pPr>
      <w:r>
        <w:rPr>
          <w:rFonts w:hint="eastAsia" w:ascii="宋体" w:hAnsi="宋体" w:eastAsia="宋体" w:cs="宋体"/>
          <w:color w:val="auto"/>
          <w:kern w:val="0"/>
          <w:szCs w:val="21"/>
        </w:rPr>
        <w:t>4.</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应于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30</w:t>
      </w:r>
      <w:r>
        <w:rPr>
          <w:rFonts w:hint="eastAsia" w:ascii="宋体" w:hAnsi="宋体" w:eastAsia="宋体" w:cs="宋体"/>
          <w:color w:val="auto"/>
          <w:kern w:val="0"/>
          <w:szCs w:val="21"/>
        </w:rPr>
        <w:t>日17时00分（北京时间）前在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发布澄清。</w:t>
      </w:r>
    </w:p>
    <w:p w14:paraId="7E7B6354">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5.</w:t>
      </w:r>
      <w:r>
        <w:rPr>
          <w:rFonts w:hint="eastAsia" w:ascii="宋体" w:hAnsi="宋体" w:eastAsia="宋体" w:cs="宋体"/>
          <w:snapToGrid w:val="0"/>
          <w:color w:val="auto"/>
          <w:sz w:val="21"/>
          <w:szCs w:val="21"/>
        </w:rPr>
        <w:t>投标文件的递交</w:t>
      </w:r>
      <w:bookmarkEnd w:id="16"/>
    </w:p>
    <w:p w14:paraId="0F7D8914">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bookmarkStart w:id="17" w:name="_Toc452058678"/>
      <w:r>
        <w:rPr>
          <w:rFonts w:hint="eastAsia" w:ascii="宋体" w:hAnsi="宋体" w:eastAsia="宋体" w:cs="宋体"/>
          <w:snapToGrid w:val="0"/>
          <w:color w:val="auto"/>
          <w:kern w:val="0"/>
          <w:szCs w:val="21"/>
        </w:rPr>
        <w:t>5.1 投标文件递交时间为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11日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00分至</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11日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30分，投标文件递交的截止时间（投标截止时间，下同）为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11日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30分，地点：</w:t>
      </w:r>
      <w:r>
        <w:rPr>
          <w:rFonts w:hint="eastAsia" w:ascii="宋体" w:hAnsi="宋体" w:cs="宋体"/>
          <w:bCs/>
          <w:snapToGrid w:val="0"/>
          <w:color w:val="auto"/>
          <w:kern w:val="0"/>
          <w:szCs w:val="21"/>
          <w:lang w:eastAsia="zh-CN"/>
        </w:rPr>
        <w:t>重庆市铜梁区福果镇人民政府</w:t>
      </w:r>
      <w:r>
        <w:rPr>
          <w:rFonts w:hint="eastAsia" w:ascii="宋体" w:hAnsi="宋体" w:eastAsia="宋体" w:cs="宋体"/>
          <w:bCs/>
          <w:snapToGrid w:val="0"/>
          <w:color w:val="auto"/>
          <w:kern w:val="0"/>
          <w:szCs w:val="21"/>
          <w:lang w:eastAsia="zh-CN"/>
        </w:rPr>
        <w:t>会议室</w:t>
      </w:r>
      <w:r>
        <w:rPr>
          <w:rFonts w:hint="eastAsia" w:ascii="宋体" w:hAnsi="宋体" w:eastAsia="宋体" w:cs="宋体"/>
          <w:snapToGrid w:val="0"/>
          <w:color w:val="auto"/>
          <w:kern w:val="0"/>
          <w:szCs w:val="21"/>
        </w:rPr>
        <w:t>。</w:t>
      </w:r>
    </w:p>
    <w:p w14:paraId="0D25B8F2">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5.2 逾期送达的或者未送达指定地点的投标文件，</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不予受理。</w:t>
      </w:r>
    </w:p>
    <w:p w14:paraId="3A332C86">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6.</w:t>
      </w:r>
      <w:r>
        <w:rPr>
          <w:rFonts w:hint="eastAsia" w:ascii="宋体" w:hAnsi="宋体" w:eastAsia="宋体" w:cs="宋体"/>
          <w:snapToGrid w:val="0"/>
          <w:color w:val="auto"/>
          <w:sz w:val="21"/>
          <w:szCs w:val="21"/>
        </w:rPr>
        <w:t>发布公告的媒介</w:t>
      </w:r>
      <w:bookmarkEnd w:id="17"/>
    </w:p>
    <w:p w14:paraId="274048EF">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本次比选公告在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上发布。</w:t>
      </w:r>
    </w:p>
    <w:p w14:paraId="305665B7">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8" w:name="_Toc452058679"/>
      <w:r>
        <w:rPr>
          <w:rFonts w:hint="eastAsia" w:ascii="宋体" w:hAnsi="宋体" w:cs="宋体"/>
          <w:snapToGrid w:val="0"/>
          <w:color w:val="auto"/>
          <w:sz w:val="21"/>
          <w:szCs w:val="21"/>
          <w:lang w:eastAsia="zh-CN"/>
        </w:rPr>
        <w:t>7.</w:t>
      </w:r>
      <w:r>
        <w:rPr>
          <w:rFonts w:hint="eastAsia" w:ascii="宋体" w:hAnsi="宋体" w:eastAsia="宋体" w:cs="宋体"/>
          <w:snapToGrid w:val="0"/>
          <w:color w:val="auto"/>
          <w:sz w:val="21"/>
          <w:szCs w:val="21"/>
        </w:rPr>
        <w:t>联系方式</w:t>
      </w:r>
      <w:bookmarkEnd w:id="18"/>
    </w:p>
    <w:p w14:paraId="5FE909C9">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color w:val="auto"/>
          <w:kern w:val="0"/>
          <w:szCs w:val="21"/>
          <w:lang w:eastAsia="zh-CN"/>
        </w:rPr>
      </w:pPr>
      <w:bookmarkStart w:id="19" w:name="_Toc24949"/>
      <w:bookmarkStart w:id="20" w:name="_Toc287607744"/>
      <w:bookmarkStart w:id="21" w:name="_Toc15706"/>
      <w:bookmarkStart w:id="22" w:name="_Toc13425"/>
      <w:bookmarkStart w:id="23" w:name="_Toc224103315"/>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w:t>
      </w:r>
      <w:r>
        <w:rPr>
          <w:rFonts w:hint="eastAsia" w:ascii="宋体" w:hAnsi="宋体" w:cs="宋体"/>
          <w:snapToGrid w:val="0"/>
          <w:color w:val="auto"/>
          <w:kern w:val="0"/>
          <w:szCs w:val="21"/>
          <w:lang w:eastAsia="zh-CN"/>
        </w:rPr>
        <w:t>重庆市铜梁区福果镇人民政府</w:t>
      </w:r>
    </w:p>
    <w:p w14:paraId="6E2D554B">
      <w:pPr>
        <w:pageBreakBefore w:val="0"/>
        <w:kinsoku/>
        <w:wordWrap/>
        <w:overflowPunct/>
        <w:topLinePunct w:val="0"/>
        <w:bidi w:val="0"/>
        <w:spacing w:line="440" w:lineRule="exact"/>
        <w:ind w:right="67" w:rightChars="32"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snapToGrid w:val="0"/>
          <w:color w:val="auto"/>
          <w:kern w:val="0"/>
          <w:szCs w:val="21"/>
          <w:highlight w:val="none"/>
          <w:lang w:eastAsia="zh-CN"/>
        </w:rPr>
        <w:t>重庆市铜梁区福果镇福兴路64号</w:t>
      </w:r>
    </w:p>
    <w:p w14:paraId="6B2DECA0">
      <w:pPr>
        <w:pageBreakBefore w:val="0"/>
        <w:kinsoku/>
        <w:wordWrap/>
        <w:overflowPunct/>
        <w:topLinePunct w:val="0"/>
        <w:bidi w:val="0"/>
        <w:spacing w:line="440" w:lineRule="exact"/>
        <w:ind w:firstLine="420" w:firstLineChars="200"/>
        <w:textAlignment w:val="auto"/>
        <w:rPr>
          <w:rFonts w:hint="eastAsia" w:ascii="宋体" w:hAnsi="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联系人：</w:t>
      </w:r>
      <w:r>
        <w:rPr>
          <w:rFonts w:hint="eastAsia" w:ascii="宋体" w:hAnsi="宋体" w:cs="宋体"/>
          <w:snapToGrid w:val="0"/>
          <w:color w:val="auto"/>
          <w:kern w:val="0"/>
          <w:szCs w:val="21"/>
          <w:highlight w:val="none"/>
          <w:lang w:val="en-US" w:eastAsia="zh-CN"/>
        </w:rPr>
        <w:t>张老师</w:t>
      </w:r>
    </w:p>
    <w:p w14:paraId="14519A6E">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17783828191</w:t>
      </w:r>
    </w:p>
    <w:p w14:paraId="120B2C7C">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                     </w:t>
      </w:r>
    </w:p>
    <w:p w14:paraId="1E34D34C">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 xml:space="preserve">比选代理机构： </w:t>
      </w:r>
      <w:r>
        <w:rPr>
          <w:rFonts w:hint="eastAsia" w:cs="宋体"/>
          <w:snapToGrid w:val="0"/>
          <w:color w:val="auto"/>
          <w:sz w:val="21"/>
          <w:szCs w:val="21"/>
          <w:highlight w:val="none"/>
          <w:lang w:eastAsia="zh-CN"/>
        </w:rPr>
        <w:t xml:space="preserve">重庆尚宇工程项目管理有限公司 </w:t>
      </w:r>
    </w:p>
    <w:p w14:paraId="23EBBE67">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地</w:t>
      </w:r>
      <w:r>
        <w:rPr>
          <w:rFonts w:hint="eastAsia"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址：</w:t>
      </w:r>
      <w:r>
        <w:rPr>
          <w:rFonts w:hint="eastAsia" w:cs="宋体"/>
          <w:snapToGrid w:val="0"/>
          <w:color w:val="auto"/>
          <w:sz w:val="21"/>
          <w:szCs w:val="21"/>
          <w:highlight w:val="none"/>
          <w:lang w:eastAsia="zh-CN"/>
        </w:rPr>
        <w:t>重庆市铜梁区宝莲国际1栋13-4</w:t>
      </w:r>
    </w:p>
    <w:p w14:paraId="6C4196AC">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联系人：</w:t>
      </w:r>
      <w:r>
        <w:rPr>
          <w:rFonts w:hint="eastAsia" w:cs="宋体"/>
          <w:snapToGrid w:val="0"/>
          <w:color w:val="auto"/>
          <w:sz w:val="21"/>
          <w:szCs w:val="21"/>
          <w:highlight w:val="none"/>
          <w:lang w:val="en-US" w:eastAsia="zh-CN"/>
        </w:rPr>
        <w:t>陈老师</w:t>
      </w:r>
    </w:p>
    <w:p w14:paraId="3B10DF6B">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18580491646</w:t>
      </w:r>
    </w:p>
    <w:p w14:paraId="5626E269">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color w:val="auto"/>
          <w:kern w:val="0"/>
          <w:szCs w:val="21"/>
        </w:rPr>
        <w:t xml:space="preserve">                         </w:t>
      </w:r>
    </w:p>
    <w:p w14:paraId="4B78B35E">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color w:val="auto"/>
          <w:kern w:val="0"/>
          <w:szCs w:val="21"/>
        </w:rPr>
      </w:pPr>
      <w:r>
        <w:rPr>
          <w:rFonts w:hint="eastAsia" w:ascii="宋体" w:hAnsi="宋体" w:eastAsia="宋体" w:cs="宋体"/>
          <w:snapToGrid w:val="0"/>
          <w:color w:val="auto"/>
          <w:kern w:val="0"/>
          <w:szCs w:val="21"/>
        </w:rPr>
        <w:t xml:space="preserve"> </w:t>
      </w:r>
      <w:r>
        <w:rPr>
          <w:rFonts w:hint="eastAsia" w:ascii="宋体" w:hAnsi="宋体" w:eastAsia="宋体" w:cs="宋体"/>
          <w:bCs/>
          <w:color w:val="auto"/>
          <w:kern w:val="0"/>
          <w:szCs w:val="21"/>
        </w:rPr>
        <w:t xml:space="preserve"> </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29日</w:t>
      </w:r>
    </w:p>
    <w:p w14:paraId="3DF22769">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61D65F21">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0ABCECE2">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4B22364F">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3DC0F454">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18978781">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6BEA2535">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67F1B841">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1055E2DD">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7AE850D4">
      <w:pPr>
        <w:pStyle w:val="2"/>
        <w:rPr>
          <w:rFonts w:ascii="宋体" w:hAnsi="宋体" w:cs="宋体"/>
          <w:bCs/>
          <w:color w:val="auto"/>
          <w:kern w:val="0"/>
          <w:szCs w:val="21"/>
        </w:rPr>
      </w:pPr>
    </w:p>
    <w:p w14:paraId="3709E978">
      <w:pPr>
        <w:rPr>
          <w:color w:val="auto"/>
        </w:rPr>
      </w:pPr>
    </w:p>
    <w:p w14:paraId="52C8B10B">
      <w:pPr>
        <w:pStyle w:val="2"/>
        <w:rPr>
          <w:rFonts w:ascii="宋体" w:hAnsi="宋体" w:cs="宋体"/>
          <w:bCs/>
          <w:color w:val="auto"/>
          <w:kern w:val="0"/>
          <w:szCs w:val="21"/>
        </w:rPr>
      </w:pPr>
    </w:p>
    <w:p w14:paraId="3D3291ED">
      <w:pPr>
        <w:pStyle w:val="64"/>
        <w:rPr>
          <w:rFonts w:ascii="宋体" w:hAnsi="宋体" w:cs="宋体"/>
          <w:bCs/>
          <w:color w:val="auto"/>
          <w:szCs w:val="21"/>
        </w:rPr>
      </w:pPr>
    </w:p>
    <w:p w14:paraId="6FD1D0C8">
      <w:pPr>
        <w:rPr>
          <w:rFonts w:ascii="宋体" w:hAnsi="宋体" w:cs="宋体"/>
          <w:bCs/>
          <w:color w:val="auto"/>
          <w:kern w:val="0"/>
          <w:szCs w:val="21"/>
        </w:rPr>
      </w:pPr>
    </w:p>
    <w:p w14:paraId="0935533F">
      <w:pPr>
        <w:pStyle w:val="2"/>
        <w:rPr>
          <w:color w:val="auto"/>
        </w:rPr>
      </w:pPr>
    </w:p>
    <w:p w14:paraId="764509B1">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3B1A9132">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14:paraId="62DC4CFF">
      <w:pPr>
        <w:pStyle w:val="2"/>
        <w:rPr>
          <w:rFonts w:ascii="宋体" w:hAnsi="宋体" w:cs="宋体"/>
          <w:bCs/>
          <w:color w:val="auto"/>
          <w:kern w:val="0"/>
          <w:szCs w:val="21"/>
        </w:rPr>
      </w:pPr>
    </w:p>
    <w:p w14:paraId="7FF37219">
      <w:pPr>
        <w:pStyle w:val="3"/>
        <w:spacing w:before="0" w:after="0" w:line="400" w:lineRule="exact"/>
        <w:jc w:val="center"/>
        <w:rPr>
          <w:rFonts w:ascii="宋体" w:hAnsi="宋体" w:cs="宋体"/>
          <w:color w:val="auto"/>
          <w:kern w:val="0"/>
          <w:sz w:val="36"/>
          <w:szCs w:val="36"/>
        </w:rPr>
      </w:pPr>
      <w:bookmarkStart w:id="24" w:name="_Toc452058680"/>
      <w:bookmarkStart w:id="25" w:name="_Toc513492488"/>
      <w:r>
        <w:rPr>
          <w:rFonts w:hint="eastAsia" w:ascii="宋体" w:hAnsi="宋体" w:cs="宋体"/>
          <w:color w:val="auto"/>
          <w:kern w:val="0"/>
          <w:sz w:val="36"/>
          <w:szCs w:val="36"/>
        </w:rPr>
        <w:t>第二章  投标人须知</w:t>
      </w:r>
      <w:bookmarkEnd w:id="24"/>
      <w:bookmarkEnd w:id="25"/>
    </w:p>
    <w:p w14:paraId="33A6A1B6">
      <w:pPr>
        <w:pStyle w:val="4"/>
        <w:spacing w:before="0" w:after="0" w:line="400" w:lineRule="exact"/>
        <w:rPr>
          <w:rFonts w:ascii="宋体" w:hAnsi="宋体" w:cs="宋体"/>
          <w:color w:val="auto"/>
          <w:sz w:val="28"/>
          <w:szCs w:val="28"/>
        </w:rPr>
      </w:pPr>
      <w:bookmarkStart w:id="26" w:name="_Toc386029645"/>
      <w:bookmarkStart w:id="27" w:name="_Toc5936"/>
      <w:bookmarkStart w:id="28" w:name="_Toc658"/>
      <w:bookmarkStart w:id="29" w:name="_Toc277082551"/>
      <w:bookmarkStart w:id="30" w:name="_Toc18480"/>
      <w:bookmarkStart w:id="31" w:name="_Toc452058681"/>
      <w:bookmarkStart w:id="32" w:name="_Toc224103316"/>
      <w:bookmarkStart w:id="33" w:name="_Toc287607745"/>
      <w:r>
        <w:rPr>
          <w:rFonts w:hint="eastAsia" w:ascii="宋体" w:hAnsi="宋体" w:cs="宋体"/>
          <w:color w:val="auto"/>
          <w:sz w:val="28"/>
          <w:szCs w:val="28"/>
        </w:rPr>
        <w:t>投标人须知前附表</w:t>
      </w:r>
      <w:bookmarkEnd w:id="26"/>
      <w:bookmarkEnd w:id="27"/>
      <w:bookmarkEnd w:id="28"/>
      <w:bookmarkEnd w:id="29"/>
      <w:bookmarkEnd w:id="30"/>
      <w:bookmarkEnd w:id="31"/>
      <w:bookmarkEnd w:id="32"/>
      <w:bookmarkEnd w:id="33"/>
    </w:p>
    <w:tbl>
      <w:tblPr>
        <w:tblStyle w:val="5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14:paraId="3AA1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14:paraId="6254FE6E">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 款 号</w:t>
            </w:r>
          </w:p>
        </w:tc>
        <w:tc>
          <w:tcPr>
            <w:tcW w:w="1500" w:type="dxa"/>
            <w:vAlign w:val="center"/>
          </w:tcPr>
          <w:p w14:paraId="7898C642">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7189" w:type="dxa"/>
            <w:vAlign w:val="center"/>
          </w:tcPr>
          <w:p w14:paraId="511A33C5">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编  列  内  容</w:t>
            </w:r>
          </w:p>
        </w:tc>
      </w:tr>
      <w:tr w14:paraId="23BF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14:paraId="1ED3356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1500" w:type="dxa"/>
            <w:vAlign w:val="center"/>
          </w:tcPr>
          <w:p w14:paraId="3936478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招标人</w:t>
            </w:r>
          </w:p>
        </w:tc>
        <w:tc>
          <w:tcPr>
            <w:tcW w:w="7189" w:type="dxa"/>
            <w:vAlign w:val="center"/>
          </w:tcPr>
          <w:p w14:paraId="2F5C0D2A">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cs="宋体"/>
                <w:snapToGrid w:val="0"/>
                <w:color w:val="auto"/>
                <w:sz w:val="21"/>
                <w:szCs w:val="21"/>
                <w:lang w:eastAsia="zh-CN"/>
              </w:rPr>
              <w:t>招标人</w:t>
            </w:r>
            <w:r>
              <w:rPr>
                <w:rFonts w:hint="eastAsia" w:ascii="宋体" w:hAnsi="宋体" w:eastAsia="宋体" w:cs="宋体"/>
                <w:snapToGrid w:val="0"/>
                <w:color w:val="auto"/>
                <w:sz w:val="21"/>
                <w:szCs w:val="21"/>
              </w:rPr>
              <w:t>：</w:t>
            </w:r>
            <w:r>
              <w:rPr>
                <w:rFonts w:hint="eastAsia" w:cs="宋体"/>
                <w:snapToGrid w:val="0"/>
                <w:color w:val="auto"/>
                <w:sz w:val="21"/>
                <w:szCs w:val="21"/>
                <w:lang w:eastAsia="zh-CN"/>
              </w:rPr>
              <w:t>重庆市铜梁区福果镇人民政府</w:t>
            </w:r>
          </w:p>
          <w:p w14:paraId="6EBB6CFC">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地址：</w:t>
            </w:r>
            <w:r>
              <w:rPr>
                <w:rFonts w:hint="eastAsia" w:cs="宋体"/>
                <w:snapToGrid w:val="0"/>
                <w:color w:val="auto"/>
                <w:sz w:val="21"/>
                <w:szCs w:val="21"/>
                <w:lang w:eastAsia="zh-CN"/>
              </w:rPr>
              <w:t>重庆市铜梁区福果镇福兴路64号</w:t>
            </w:r>
          </w:p>
          <w:p w14:paraId="32A3A6FE">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联系人：</w:t>
            </w:r>
            <w:r>
              <w:rPr>
                <w:rFonts w:hint="eastAsia" w:cs="宋体"/>
                <w:snapToGrid w:val="0"/>
                <w:color w:val="auto"/>
                <w:sz w:val="21"/>
                <w:szCs w:val="21"/>
                <w:lang w:val="en-US" w:eastAsia="zh-CN"/>
              </w:rPr>
              <w:t>张</w:t>
            </w:r>
            <w:r>
              <w:rPr>
                <w:rFonts w:hint="eastAsia" w:ascii="宋体" w:hAnsi="宋体" w:eastAsia="宋体" w:cs="宋体"/>
                <w:snapToGrid w:val="0"/>
                <w:color w:val="auto"/>
                <w:sz w:val="21"/>
                <w:szCs w:val="21"/>
              </w:rPr>
              <w:t>老师</w:t>
            </w:r>
          </w:p>
          <w:p w14:paraId="6CB8D2BF">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联系电话：</w:t>
            </w:r>
            <w:r>
              <w:rPr>
                <w:rFonts w:hint="eastAsia" w:cs="宋体"/>
                <w:snapToGrid w:val="0"/>
                <w:color w:val="auto"/>
                <w:sz w:val="21"/>
                <w:szCs w:val="21"/>
                <w:lang w:eastAsia="zh-CN"/>
              </w:rPr>
              <w:t>17783828191</w:t>
            </w:r>
          </w:p>
        </w:tc>
      </w:tr>
      <w:tr w14:paraId="7A09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14:paraId="0EDEAFB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1500" w:type="dxa"/>
            <w:vAlign w:val="center"/>
          </w:tcPr>
          <w:p w14:paraId="0D06436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比选代理机构</w:t>
            </w:r>
          </w:p>
        </w:tc>
        <w:tc>
          <w:tcPr>
            <w:tcW w:w="7189" w:type="dxa"/>
            <w:vAlign w:val="center"/>
          </w:tcPr>
          <w:p w14:paraId="56E4D419">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比选代理机构：</w:t>
            </w:r>
            <w:r>
              <w:rPr>
                <w:rFonts w:hint="eastAsia" w:cs="宋体"/>
                <w:snapToGrid w:val="0"/>
                <w:color w:val="auto"/>
                <w:sz w:val="21"/>
                <w:szCs w:val="21"/>
                <w:lang w:eastAsia="zh-CN"/>
              </w:rPr>
              <w:t xml:space="preserve">重庆尚宇工程项目管理有限公司 </w:t>
            </w:r>
          </w:p>
          <w:p w14:paraId="209A763A">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  址：</w:t>
            </w:r>
            <w:r>
              <w:rPr>
                <w:rFonts w:hint="eastAsia" w:cs="宋体"/>
                <w:snapToGrid w:val="0"/>
                <w:color w:val="auto"/>
                <w:sz w:val="21"/>
                <w:szCs w:val="21"/>
                <w:lang w:eastAsia="zh-CN"/>
              </w:rPr>
              <w:t>重庆市铜梁区宝莲国际1栋13-4</w:t>
            </w:r>
          </w:p>
          <w:p w14:paraId="288520F8">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cs="宋体"/>
                <w:color w:val="auto"/>
                <w:sz w:val="21"/>
                <w:szCs w:val="21"/>
                <w:lang w:eastAsia="zh-CN"/>
              </w:rPr>
              <w:t>陈老师</w:t>
            </w:r>
          </w:p>
          <w:p w14:paraId="14DA9FD1">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联系电话：</w:t>
            </w:r>
            <w:r>
              <w:rPr>
                <w:rFonts w:hint="eastAsia" w:cs="宋体"/>
                <w:color w:val="auto"/>
                <w:sz w:val="21"/>
                <w:szCs w:val="21"/>
                <w:lang w:eastAsia="zh-CN"/>
              </w:rPr>
              <w:t>18002315159</w:t>
            </w:r>
          </w:p>
        </w:tc>
      </w:tr>
      <w:tr w14:paraId="63E1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14:paraId="553E281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1500" w:type="dxa"/>
            <w:vAlign w:val="center"/>
          </w:tcPr>
          <w:p w14:paraId="541412F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7189" w:type="dxa"/>
            <w:vAlign w:val="center"/>
          </w:tcPr>
          <w:p w14:paraId="162B6D4D">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lang w:eastAsia="zh-CN"/>
              </w:rPr>
            </w:pPr>
            <w:r>
              <w:rPr>
                <w:rFonts w:hint="eastAsia" w:ascii="宋体" w:hAnsi="宋体" w:cs="宋体"/>
                <w:snapToGrid w:val="0"/>
                <w:color w:val="auto"/>
                <w:kern w:val="0"/>
                <w:szCs w:val="21"/>
                <w:lang w:eastAsia="zh-CN"/>
              </w:rPr>
              <w:t>2025年度福果镇农村公路护栏建设项目（第二次）</w:t>
            </w:r>
          </w:p>
        </w:tc>
      </w:tr>
      <w:tr w14:paraId="008E3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14:paraId="45E6301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1500" w:type="dxa"/>
            <w:vAlign w:val="center"/>
          </w:tcPr>
          <w:p w14:paraId="5B85FEE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建设地点</w:t>
            </w:r>
          </w:p>
        </w:tc>
        <w:tc>
          <w:tcPr>
            <w:tcW w:w="7189" w:type="dxa"/>
            <w:vAlign w:val="center"/>
          </w:tcPr>
          <w:p w14:paraId="306EAF1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铜梁区</w:t>
            </w:r>
            <w:r>
              <w:rPr>
                <w:rFonts w:hint="eastAsia" w:ascii="宋体" w:hAnsi="宋体" w:cs="宋体"/>
                <w:color w:val="auto"/>
                <w:kern w:val="0"/>
                <w:szCs w:val="21"/>
                <w:lang w:eastAsia="zh-CN"/>
              </w:rPr>
              <w:t>福果镇</w:t>
            </w:r>
          </w:p>
        </w:tc>
      </w:tr>
      <w:tr w14:paraId="39C2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14:paraId="62A0B0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1500" w:type="dxa"/>
            <w:vAlign w:val="center"/>
          </w:tcPr>
          <w:p w14:paraId="1103F13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资金来源</w:t>
            </w:r>
          </w:p>
        </w:tc>
        <w:tc>
          <w:tcPr>
            <w:tcW w:w="7189" w:type="dxa"/>
            <w:vAlign w:val="center"/>
          </w:tcPr>
          <w:p w14:paraId="6478F2EB">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财政资金</w:t>
            </w:r>
          </w:p>
        </w:tc>
      </w:tr>
      <w:tr w14:paraId="6723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14:paraId="3CBA70B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1500" w:type="dxa"/>
            <w:vAlign w:val="center"/>
          </w:tcPr>
          <w:p w14:paraId="5386A27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出资比例</w:t>
            </w:r>
          </w:p>
        </w:tc>
        <w:tc>
          <w:tcPr>
            <w:tcW w:w="7189" w:type="dxa"/>
            <w:vAlign w:val="center"/>
          </w:tcPr>
          <w:p w14:paraId="7D51B297">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100%</w:t>
            </w:r>
          </w:p>
        </w:tc>
      </w:tr>
      <w:tr w14:paraId="5413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14:paraId="14963E2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1500" w:type="dxa"/>
            <w:vAlign w:val="center"/>
          </w:tcPr>
          <w:p w14:paraId="5E5AB5B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资金落</w:t>
            </w:r>
          </w:p>
          <w:p w14:paraId="724DAA2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实情况</w:t>
            </w:r>
          </w:p>
        </w:tc>
        <w:tc>
          <w:tcPr>
            <w:tcW w:w="7189" w:type="dxa"/>
            <w:vAlign w:val="center"/>
          </w:tcPr>
          <w:p w14:paraId="0A4B903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已落实。</w:t>
            </w:r>
          </w:p>
        </w:tc>
      </w:tr>
      <w:tr w14:paraId="3EBB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14:paraId="0E0C534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1500" w:type="dxa"/>
            <w:vAlign w:val="center"/>
          </w:tcPr>
          <w:p w14:paraId="1FADC27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比选范围</w:t>
            </w:r>
          </w:p>
        </w:tc>
        <w:tc>
          <w:tcPr>
            <w:tcW w:w="7189" w:type="dxa"/>
            <w:vAlign w:val="center"/>
          </w:tcPr>
          <w:p w14:paraId="0D9EC816">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tc>
      </w:tr>
      <w:tr w14:paraId="5754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14:paraId="45E9F45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500" w:type="dxa"/>
            <w:vAlign w:val="center"/>
          </w:tcPr>
          <w:p w14:paraId="3B21AA2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p w14:paraId="566448D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7189" w:type="dxa"/>
            <w:vAlign w:val="center"/>
          </w:tcPr>
          <w:p w14:paraId="1F7B8B72">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kern w:val="0"/>
                <w:szCs w:val="21"/>
              </w:rPr>
              <w:t>工期：</w:t>
            </w:r>
            <w:r>
              <w:rPr>
                <w:rFonts w:hint="eastAsia" w:ascii="宋体" w:hAnsi="宋体" w:cs="宋体"/>
                <w:snapToGrid w:val="0"/>
                <w:color w:val="auto"/>
                <w:kern w:val="0"/>
                <w:szCs w:val="21"/>
                <w:u w:val="single"/>
                <w:lang w:val="en-US" w:eastAsia="zh-CN"/>
              </w:rPr>
              <w:t>30日历天</w:t>
            </w:r>
          </w:p>
          <w:p w14:paraId="5B881ED4">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r>
              <w:rPr>
                <w:rFonts w:hint="eastAsia" w:ascii="宋体" w:hAnsi="宋体" w:cs="宋体"/>
                <w:snapToGrid w:val="0"/>
                <w:color w:val="auto"/>
                <w:kern w:val="0"/>
                <w:szCs w:val="21"/>
                <w:u w:val="single"/>
                <w:lang w:val="en-US" w:eastAsia="zh-CN"/>
              </w:rPr>
              <w:t>12</w:t>
            </w:r>
            <w:r>
              <w:rPr>
                <w:rFonts w:hint="eastAsia" w:ascii="宋体" w:hAnsi="宋体" w:eastAsia="宋体" w:cs="宋体"/>
                <w:snapToGrid w:val="0"/>
                <w:color w:val="auto"/>
                <w:kern w:val="0"/>
                <w:szCs w:val="21"/>
              </w:rPr>
              <w:t>个月</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自工程竣工验收合格之日起计算</w:t>
            </w:r>
          </w:p>
        </w:tc>
      </w:tr>
      <w:tr w14:paraId="2473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14:paraId="730B4A6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1.3.3</w:t>
            </w:r>
          </w:p>
        </w:tc>
        <w:tc>
          <w:tcPr>
            <w:tcW w:w="1500" w:type="dxa"/>
            <w:vAlign w:val="center"/>
          </w:tcPr>
          <w:p w14:paraId="364E300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7189" w:type="dxa"/>
            <w:vAlign w:val="center"/>
          </w:tcPr>
          <w:p w14:paraId="64E35791">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达到国家现行有关施工质量验收规范要求，并达到合格标准。</w:t>
            </w:r>
          </w:p>
        </w:tc>
      </w:tr>
      <w:tr w14:paraId="0411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3413BC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A724BE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2B2AD0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704E0E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FA1586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1.4.1</w:t>
            </w:r>
          </w:p>
          <w:p w14:paraId="1B251D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BFE912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2D1F1A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6F59302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02E7D2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4082F94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1381E7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241526E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CCF5A3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10DCB2E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7B7020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6E1814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14:paraId="3CD6D69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28F5C6CE">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p>
          <w:p w14:paraId="5F62879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2E438CF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投标人资质条件、能力和信誉</w:t>
            </w:r>
          </w:p>
          <w:p w14:paraId="5FBE363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C838B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541BD8B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4A4CBCB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4AB8E39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997347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6A4B667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4120C3E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23AB4E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0D278A9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38E5DED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14:paraId="78F9F9A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7189" w:type="dxa"/>
            <w:vAlign w:val="center"/>
          </w:tcPr>
          <w:p w14:paraId="0D0A8E63">
            <w:pPr>
              <w:autoSpaceDE w:val="0"/>
              <w:autoSpaceDN w:val="0"/>
              <w:adjustRightInd w:val="0"/>
              <w:snapToGrid w:val="0"/>
              <w:spacing w:line="400" w:lineRule="exact"/>
              <w:ind w:firstLine="422" w:firstLineChars="200"/>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eastAsia="zh-CN" w:bidi="ar"/>
              </w:rPr>
              <w:t>1.</w:t>
            </w:r>
            <w:r>
              <w:rPr>
                <w:rFonts w:hint="eastAsia" w:ascii="宋体" w:hAnsi="宋体" w:cs="宋体"/>
                <w:b/>
                <w:color w:val="auto"/>
                <w:kern w:val="0"/>
                <w:szCs w:val="21"/>
                <w:highlight w:val="none"/>
                <w:lang w:bidi="ar"/>
              </w:rPr>
              <w:t>资质条件、营业执照及安全生产条件</w:t>
            </w:r>
          </w:p>
          <w:p w14:paraId="548C1666">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（1）具备建设行政主管部门颁发的有效的</w:t>
            </w:r>
            <w:r>
              <w:rPr>
                <w:rFonts w:hint="eastAsia" w:ascii="宋体" w:hAnsi="宋体"/>
                <w:color w:val="auto"/>
                <w:highlight w:val="none"/>
                <w:u w:val="single"/>
                <w:lang w:val="en-US" w:eastAsia="zh-CN"/>
              </w:rPr>
              <w:t>公路工程施工总承包叁级</w:t>
            </w:r>
            <w:r>
              <w:rPr>
                <w:rFonts w:ascii="宋体" w:hAnsi="宋体"/>
                <w:color w:val="auto"/>
                <w:highlight w:val="none"/>
                <w:u w:val="single"/>
              </w:rPr>
              <w:t>及以上</w:t>
            </w:r>
            <w:r>
              <w:rPr>
                <w:rFonts w:hint="eastAsia" w:ascii="宋体" w:hAnsi="宋体"/>
                <w:color w:val="auto"/>
                <w:highlight w:val="none"/>
              </w:rPr>
              <w:t>资质</w:t>
            </w:r>
            <w:r>
              <w:rPr>
                <w:rFonts w:ascii="宋体" w:hAnsi="宋体"/>
                <w:color w:val="auto"/>
                <w:highlight w:val="none"/>
              </w:rPr>
              <w:t>。</w:t>
            </w:r>
          </w:p>
          <w:p w14:paraId="025D9F6C">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投标人须在投标文件资格审查部分提供有效的资质证书。</w:t>
            </w:r>
          </w:p>
          <w:p w14:paraId="4EC3FEA1">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（2）具备有效的营业执照。</w:t>
            </w:r>
          </w:p>
          <w:p w14:paraId="79452A3A">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投标人须在投标文件资格审查部分提供有效的营业执照。</w:t>
            </w:r>
            <w:r>
              <w:rPr>
                <w:rFonts w:hint="eastAsia" w:ascii="宋体" w:hAnsi="宋体"/>
                <w:color w:val="auto"/>
                <w:szCs w:val="21"/>
                <w:highlight w:val="none"/>
              </w:rPr>
              <w:t>注：不得将投标人营业执照记载的经营范围作为评审因素</w:t>
            </w:r>
            <w:r>
              <w:rPr>
                <w:rFonts w:hint="eastAsia" w:ascii="宋体" w:hAnsi="宋体"/>
                <w:color w:val="auto"/>
                <w:highlight w:val="none"/>
              </w:rPr>
              <w:t>。</w:t>
            </w:r>
          </w:p>
          <w:p w14:paraId="2082306D">
            <w:pPr>
              <w:autoSpaceDE w:val="0"/>
              <w:autoSpaceDN w:val="0"/>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（3）具备建设行政主管部门颁发的安全生产许可证</w:t>
            </w:r>
            <w:r>
              <w:rPr>
                <w:rFonts w:hint="eastAsia" w:ascii="宋体" w:hAnsi="宋体"/>
                <w:color w:val="auto"/>
                <w:highlight w:val="none"/>
                <w:lang w:eastAsia="zh-CN"/>
              </w:rPr>
              <w:t>，</w:t>
            </w:r>
            <w:r>
              <w:rPr>
                <w:rFonts w:hint="eastAsia"/>
                <w:color w:val="auto"/>
                <w:highlight w:val="none"/>
              </w:rPr>
              <w:t xml:space="preserve"> </w:t>
            </w:r>
            <w:r>
              <w:rPr>
                <w:rFonts w:hint="eastAsia" w:ascii="宋体" w:hAnsi="宋体" w:cs="ATKPMP+ºÚÌå"/>
                <w:color w:val="auto"/>
                <w:spacing w:val="2"/>
                <w:szCs w:val="21"/>
                <w:highlight w:val="none"/>
              </w:rPr>
              <w:t>企业主要负责人具备相应的由交通行政主管部门颁发的有效的安全生产考核合格证书</w:t>
            </w:r>
            <w:r>
              <w:rPr>
                <w:rFonts w:hint="eastAsia" w:ascii="宋体" w:hAnsi="宋体"/>
                <w:color w:val="auto"/>
                <w:highlight w:val="none"/>
              </w:rPr>
              <w:t>。</w:t>
            </w:r>
          </w:p>
          <w:p w14:paraId="44B46E3F">
            <w:pPr>
              <w:autoSpaceDE w:val="0"/>
              <w:autoSpaceDN w:val="0"/>
              <w:adjustRightInd w:val="0"/>
              <w:snapToGrid w:val="0"/>
              <w:spacing w:line="400" w:lineRule="exact"/>
              <w:ind w:firstLine="428" w:firstLineChars="200"/>
              <w:rPr>
                <w:rFonts w:hint="eastAsia" w:ascii="宋体" w:hAnsi="宋体" w:cs="ATKPMP+ºÚÌå"/>
                <w:color w:val="auto"/>
                <w:spacing w:val="2"/>
                <w:szCs w:val="21"/>
                <w:highlight w:val="none"/>
              </w:rPr>
            </w:pPr>
            <w:r>
              <w:rPr>
                <w:rFonts w:hint="eastAsia" w:ascii="宋体" w:hAnsi="宋体" w:cs="ATKPMP+ºÚÌå"/>
                <w:color w:val="auto"/>
                <w:spacing w:val="2"/>
                <w:szCs w:val="21"/>
                <w:highlight w:val="none"/>
              </w:rPr>
              <w:t>投标人须在投标文件资格审查部分提供有效的安全生产许可证</w:t>
            </w:r>
            <w:r>
              <w:rPr>
                <w:rFonts w:ascii="宋体" w:hAnsi="宋体"/>
                <w:color w:val="auto"/>
                <w:szCs w:val="21"/>
                <w:highlight w:val="none"/>
              </w:rPr>
              <w:t>及安全生产考核合格证书</w:t>
            </w:r>
            <w:r>
              <w:rPr>
                <w:rFonts w:hint="eastAsia" w:ascii="宋体" w:hAnsi="宋体" w:cs="ATKPMP+ºÚÌå"/>
                <w:color w:val="auto"/>
                <w:spacing w:val="2"/>
                <w:szCs w:val="21"/>
                <w:highlight w:val="none"/>
              </w:rPr>
              <w:t>。</w:t>
            </w:r>
          </w:p>
          <w:p w14:paraId="7449EA08">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2.</w:t>
            </w:r>
            <w:r>
              <w:rPr>
                <w:rFonts w:hint="eastAsia" w:ascii="宋体" w:hAnsi="宋体" w:cs="宋体"/>
                <w:b/>
                <w:color w:val="auto"/>
                <w:kern w:val="0"/>
                <w:szCs w:val="21"/>
                <w:highlight w:val="none"/>
                <w:lang w:bidi="ar"/>
              </w:rPr>
              <w:t>投标截止日投标资格情</w:t>
            </w:r>
            <w:r>
              <w:rPr>
                <w:rFonts w:hint="eastAsia" w:ascii="宋体" w:hAnsi="宋体" w:cs="宋体"/>
                <w:b/>
                <w:color w:val="auto"/>
                <w:kern w:val="0"/>
                <w:szCs w:val="21"/>
                <w:highlight w:val="none"/>
                <w:lang w:eastAsia="zh-CN" w:bidi="ar"/>
              </w:rPr>
              <w:t>况和</w:t>
            </w:r>
            <w:r>
              <w:rPr>
                <w:rFonts w:hint="eastAsia" w:ascii="宋体" w:hAnsi="宋体" w:cs="宋体"/>
                <w:b/>
                <w:color w:val="auto"/>
                <w:kern w:val="0"/>
                <w:szCs w:val="21"/>
                <w:highlight w:val="none"/>
                <w:lang w:bidi="ar"/>
              </w:rPr>
              <w:t>要求</w:t>
            </w:r>
          </w:p>
          <w:p w14:paraId="63D2FED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投标人自行承诺（格式见第九章投标文件格式）不得存在下列情形之一：</w:t>
            </w:r>
          </w:p>
          <w:p w14:paraId="48EA89B9">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4585D42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14CE00F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6158EDE7">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1D5E08E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14:paraId="6A77343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14:paraId="600837E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14:paraId="2053454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14:paraId="2EE5A94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（9）投标人或其法定代表人、拟</w:t>
            </w:r>
            <w:r>
              <w:rPr>
                <w:rFonts w:hint="eastAsia" w:ascii="宋体" w:hAnsi="宋体"/>
                <w:color w:val="auto"/>
                <w:szCs w:val="21"/>
                <w:highlight w:val="none"/>
                <w:lang w:eastAsia="zh-CN"/>
              </w:rPr>
              <w:t>委派</w:t>
            </w:r>
            <w:r>
              <w:rPr>
                <w:rFonts w:hint="eastAsia" w:ascii="宋体" w:hAnsi="宋体"/>
                <w:color w:val="auto"/>
                <w:szCs w:val="21"/>
                <w:highlight w:val="none"/>
              </w:rPr>
              <w:t>的项目经理在近两年内有行贿犯罪行为的。</w:t>
            </w:r>
          </w:p>
          <w:p w14:paraId="6D728F1C">
            <w:pPr>
              <w:spacing w:line="400" w:lineRule="exact"/>
              <w:ind w:firstLine="420" w:firstLineChars="200"/>
              <w:rPr>
                <w:rFonts w:hint="eastAsia"/>
                <w:color w:val="auto"/>
                <w:highlight w:val="none"/>
              </w:rPr>
            </w:pPr>
            <w:r>
              <w:rPr>
                <w:rFonts w:hint="eastAsia"/>
                <w:color w:val="auto"/>
                <w:highlight w:val="none"/>
              </w:rPr>
              <w:t>投标人须在投标文件资格审查部分提供承诺。</w:t>
            </w:r>
          </w:p>
          <w:p w14:paraId="4FE99FD7">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3.</w:t>
            </w:r>
            <w:r>
              <w:rPr>
                <w:rFonts w:hint="eastAsia" w:ascii="宋体" w:hAnsi="宋体" w:cs="宋体"/>
                <w:b/>
                <w:color w:val="auto"/>
                <w:kern w:val="0"/>
                <w:szCs w:val="21"/>
                <w:highlight w:val="none"/>
                <w:lang w:bidi="ar"/>
              </w:rPr>
              <w:t>项目经理和项目总工资格</w:t>
            </w:r>
          </w:p>
          <w:p w14:paraId="70C6529E">
            <w:pPr>
              <w:spacing w:line="400" w:lineRule="exact"/>
              <w:ind w:firstLine="420" w:firstLineChars="200"/>
              <w:rPr>
                <w:rFonts w:ascii="宋体" w:hAnsi="宋体"/>
                <w:bCs/>
                <w:snapToGrid w:val="0"/>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bCs/>
                <w:snapToGrid w:val="0"/>
                <w:color w:val="auto"/>
                <w:highlight w:val="none"/>
              </w:rPr>
              <w:t>项目经理：1 人。</w:t>
            </w:r>
          </w:p>
          <w:p w14:paraId="3E9CD143">
            <w:pPr>
              <w:snapToGrid w:val="0"/>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.1.1</w:t>
            </w:r>
            <w:r>
              <w:rPr>
                <w:rFonts w:hint="eastAsia" w:ascii="宋体" w:hAnsi="宋体"/>
                <w:color w:val="auto"/>
                <w:szCs w:val="21"/>
                <w:highlight w:val="none"/>
              </w:rPr>
              <w:t>投标人拟派的</w:t>
            </w:r>
            <w:r>
              <w:rPr>
                <w:rFonts w:ascii="宋体" w:hAnsi="宋体"/>
                <w:color w:val="auto"/>
                <w:szCs w:val="21"/>
                <w:highlight w:val="none"/>
              </w:rPr>
              <w:t>项目经理必须已在</w:t>
            </w:r>
            <w:r>
              <w:rPr>
                <w:rFonts w:hint="eastAsia" w:ascii="宋体" w:hAnsi="宋体"/>
                <w:color w:val="auto"/>
                <w:szCs w:val="21"/>
                <w:highlight w:val="none"/>
              </w:rPr>
              <w:t>投标人本</w:t>
            </w:r>
            <w:r>
              <w:rPr>
                <w:rFonts w:ascii="宋体" w:hAnsi="宋体"/>
                <w:color w:val="auto"/>
                <w:szCs w:val="21"/>
                <w:highlight w:val="none"/>
              </w:rPr>
              <w:t>单位注册并应具有</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    </w:t>
            </w:r>
            <w:r>
              <w:rPr>
                <w:rFonts w:hint="eastAsia" w:ascii="宋体" w:hAnsi="宋体"/>
                <w:i w:val="0"/>
                <w:iCs/>
                <w:color w:val="auto"/>
                <w:szCs w:val="21"/>
                <w:highlight w:val="none"/>
                <w:u w:val="single"/>
                <w:lang w:val="en-US" w:eastAsia="zh-CN"/>
              </w:rPr>
              <w:t>公路工程</w:t>
            </w:r>
            <w:r>
              <w:rPr>
                <w:rFonts w:hint="eastAsia" w:ascii="宋体" w:hAnsi="宋体"/>
                <w:color w:val="auto"/>
                <w:szCs w:val="21"/>
                <w:highlight w:val="none"/>
              </w:rPr>
              <w:t>专业</w:t>
            </w:r>
            <w:r>
              <w:rPr>
                <w:rFonts w:hint="eastAsia" w:ascii="宋体" w:hAnsi="宋体"/>
                <w:color w:val="auto"/>
                <w:szCs w:val="21"/>
                <w:highlight w:val="none"/>
                <w:u w:val="single"/>
                <w:lang w:val="en-US" w:eastAsia="zh-CN"/>
              </w:rPr>
              <w:t>二</w:t>
            </w:r>
            <w:r>
              <w:rPr>
                <w:rFonts w:ascii="宋体" w:hAnsi="宋体"/>
                <w:color w:val="auto"/>
                <w:szCs w:val="21"/>
                <w:highlight w:val="none"/>
                <w:u w:val="single"/>
              </w:rPr>
              <w:t>级及以上</w:t>
            </w:r>
            <w:r>
              <w:rPr>
                <w:rFonts w:ascii="宋体" w:hAnsi="宋体"/>
                <w:color w:val="auto"/>
                <w:szCs w:val="21"/>
                <w:highlight w:val="none"/>
              </w:rPr>
              <w:t>注册建造师执业资格</w:t>
            </w:r>
            <w:r>
              <w:rPr>
                <w:rFonts w:hint="eastAsia" w:ascii="宋体" w:hAnsi="宋体"/>
                <w:color w:val="auto"/>
                <w:szCs w:val="21"/>
                <w:highlight w:val="none"/>
              </w:rPr>
              <w:t>，并</w:t>
            </w:r>
            <w:r>
              <w:rPr>
                <w:rFonts w:hint="eastAsia" w:ascii="宋体" w:hAnsi="宋体" w:cs="宋体"/>
                <w:color w:val="auto"/>
                <w:szCs w:val="21"/>
                <w:highlight w:val="none"/>
              </w:rPr>
              <w:t>具有省级及以上交通行政主管部门颁发的安全生产考核合格证书（B类）。</w:t>
            </w:r>
          </w:p>
          <w:p w14:paraId="66FBDA27">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.1.2项目经理承诺要求：投标人须承诺拟派项目经理按注册建造师的相关规定到岗履职和未被禁止参与投标。</w:t>
            </w:r>
          </w:p>
          <w:p w14:paraId="30402E53">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25DEFD70">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.1.2.2未被禁止参与投标承诺要求：承诺拟派项目经理未被重庆市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3DA1CBE5">
            <w:pPr>
              <w:snapToGrid w:val="0"/>
              <w:spacing w:line="400" w:lineRule="exact"/>
              <w:ind w:firstLine="420" w:firstLineChars="200"/>
              <w:rPr>
                <w:rFonts w:ascii="宋体" w:hAnsi="宋体"/>
                <w:color w:val="auto"/>
              </w:rPr>
            </w:pPr>
            <w:r>
              <w:rPr>
                <w:rFonts w:hint="eastAsia" w:ascii="宋体" w:hAnsi="宋体"/>
                <w:color w:val="auto"/>
                <w:szCs w:val="21"/>
                <w:highlight w:val="none"/>
                <w:lang w:val="en-US" w:eastAsia="zh-CN"/>
              </w:rPr>
              <w:t>3</w:t>
            </w:r>
            <w:r>
              <w:rPr>
                <w:rFonts w:hint="eastAsia" w:ascii="宋体" w:hAnsi="宋体"/>
                <w:color w:val="auto"/>
                <w:szCs w:val="21"/>
                <w:highlight w:val="none"/>
              </w:rPr>
              <w:t>.1.2.3</w:t>
            </w:r>
            <w:r>
              <w:rPr>
                <w:rFonts w:ascii="宋体" w:hAnsi="宋体"/>
                <w:color w:val="auto"/>
              </w:rPr>
              <w:t>项目经理的其它承诺要求：为保证</w:t>
            </w:r>
            <w:r>
              <w:rPr>
                <w:rFonts w:hint="eastAsia" w:ascii="宋体" w:hAnsi="宋体"/>
                <w:color w:val="auto"/>
                <w:lang w:val="en-US" w:eastAsia="zh-CN"/>
              </w:rPr>
              <w:t>投标人</w:t>
            </w:r>
            <w:r>
              <w:rPr>
                <w:rFonts w:ascii="宋体" w:hAnsi="宋体"/>
                <w:color w:val="auto"/>
              </w:rPr>
              <w:t>拟派的项目经理到本项目到岗履职，</w:t>
            </w:r>
            <w:r>
              <w:rPr>
                <w:rFonts w:hint="eastAsia" w:ascii="宋体" w:hAnsi="宋体"/>
                <w:color w:val="auto"/>
                <w:lang w:val="en-US" w:eastAsia="zh-CN"/>
              </w:rPr>
              <w:t>投标人</w:t>
            </w:r>
            <w:r>
              <w:rPr>
                <w:rFonts w:ascii="宋体" w:hAnsi="宋体"/>
                <w:color w:val="auto"/>
              </w:rPr>
              <w:t>还需承诺：</w:t>
            </w:r>
          </w:p>
          <w:p w14:paraId="6183449E">
            <w:pPr>
              <w:snapToGrid w:val="0"/>
              <w:spacing w:line="400" w:lineRule="exact"/>
              <w:ind w:firstLine="420" w:firstLineChars="200"/>
              <w:rPr>
                <w:rFonts w:hint="default" w:ascii="宋体" w:hAnsi="宋体"/>
                <w:color w:val="auto"/>
              </w:rPr>
            </w:pPr>
            <w:r>
              <w:rPr>
                <w:rFonts w:ascii="宋体" w:hAnsi="宋体"/>
                <w:color w:val="auto"/>
              </w:rPr>
              <w:t>若</w:t>
            </w:r>
            <w:r>
              <w:rPr>
                <w:rFonts w:hint="eastAsia" w:ascii="宋体" w:hAnsi="宋体"/>
                <w:color w:val="auto"/>
                <w:lang w:val="en-US" w:eastAsia="zh-CN"/>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w:t>
            </w:r>
            <w:r>
              <w:rPr>
                <w:rFonts w:hint="eastAsia" w:ascii="宋体" w:hAnsi="宋体"/>
                <w:color w:val="auto"/>
              </w:rPr>
              <w:t>或拟中标</w:t>
            </w:r>
            <w:r>
              <w:rPr>
                <w:rFonts w:ascii="宋体" w:hAnsi="宋体"/>
                <w:color w:val="auto"/>
              </w:rPr>
              <w:t>的手续），招标人在合同签订前有权对</w:t>
            </w:r>
            <w:r>
              <w:rPr>
                <w:rFonts w:hint="eastAsia" w:ascii="宋体" w:hAnsi="宋体"/>
                <w:color w:val="auto"/>
                <w:lang w:val="en-US" w:eastAsia="zh-CN"/>
              </w:rPr>
              <w:t>投标人</w:t>
            </w:r>
            <w:r>
              <w:rPr>
                <w:rFonts w:ascii="宋体" w:hAnsi="宋体"/>
                <w:color w:val="auto"/>
              </w:rPr>
              <w:t>拟派项目经理在其他项目的任职情形（或在其他项目的中标或拟中标情形）进行核查，若与</w:t>
            </w:r>
            <w:r>
              <w:rPr>
                <w:rFonts w:hint="eastAsia" w:ascii="宋体" w:hAnsi="宋体"/>
                <w:color w:val="auto"/>
                <w:lang w:val="en-US" w:eastAsia="zh-CN"/>
              </w:rPr>
              <w:t>投标人</w:t>
            </w:r>
            <w:r>
              <w:rPr>
                <w:rFonts w:ascii="宋体" w:hAnsi="宋体"/>
                <w:color w:val="auto"/>
              </w:rPr>
              <w:t>承诺内容不符或</w:t>
            </w:r>
            <w:r>
              <w:rPr>
                <w:rFonts w:hint="eastAsia" w:ascii="宋体" w:hAnsi="宋体"/>
                <w:color w:val="auto"/>
                <w:lang w:val="en-US" w:eastAsia="zh-CN"/>
              </w:rPr>
              <w:t>投标人</w:t>
            </w:r>
            <w:r>
              <w:rPr>
                <w:rFonts w:ascii="宋体" w:hAnsi="宋体"/>
                <w:color w:val="auto"/>
              </w:rPr>
              <w:t>未在上述时间内按照招标文件规定递交放弃在其他项目任职、中标或拟中标的相关资料，视为</w:t>
            </w:r>
            <w:r>
              <w:rPr>
                <w:rFonts w:hint="eastAsia" w:ascii="宋体" w:hAnsi="宋体"/>
                <w:color w:val="auto"/>
                <w:lang w:val="en-US" w:eastAsia="zh-CN"/>
              </w:rPr>
              <w:t>投标人</w:t>
            </w:r>
            <w:r>
              <w:rPr>
                <w:rFonts w:ascii="宋体" w:hAnsi="宋体"/>
                <w:color w:val="auto"/>
              </w:rPr>
              <w:t>放弃中标资格，招标人不退还其投标保证金。在合同签订时，</w:t>
            </w:r>
            <w:r>
              <w:rPr>
                <w:rFonts w:hint="eastAsia" w:ascii="宋体" w:hAnsi="宋体"/>
                <w:color w:val="auto"/>
                <w:lang w:val="en-US" w:eastAsia="zh-CN"/>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lang w:val="en-US" w:eastAsia="zh-CN"/>
              </w:rPr>
              <w:t>投标人</w:t>
            </w:r>
            <w:r>
              <w:rPr>
                <w:rFonts w:ascii="宋体" w:hAnsi="宋体"/>
                <w:color w:val="auto"/>
              </w:rPr>
              <w:t>放弃中标资格，招标人不退还其投标保证金</w:t>
            </w:r>
            <w:r>
              <w:rPr>
                <w:rFonts w:hint="default" w:ascii="宋体" w:hAnsi="宋体"/>
                <w:color w:val="auto"/>
              </w:rPr>
              <w:t>。</w:t>
            </w:r>
          </w:p>
          <w:p w14:paraId="2B92F68A">
            <w:pPr>
              <w:snapToGrid w:val="0"/>
              <w:spacing w:line="400" w:lineRule="exact"/>
              <w:ind w:firstLine="420" w:firstLineChars="200"/>
              <w:rPr>
                <w:rFonts w:hint="default" w:ascii="宋体" w:hAnsi="宋体"/>
                <w:color w:val="auto"/>
              </w:rPr>
            </w:pPr>
            <w:r>
              <w:rPr>
                <w:rFonts w:hint="default" w:ascii="宋体" w:hAnsi="宋体"/>
                <w:color w:val="auto"/>
              </w:rPr>
              <w:t>放弃在其他项目任职的需提供</w:t>
            </w:r>
            <w:r>
              <w:rPr>
                <w:rFonts w:hint="eastAsia" w:ascii="宋体" w:hAnsi="宋体"/>
                <w:color w:val="auto"/>
                <w:lang w:eastAsia="zh-CN"/>
              </w:rPr>
              <w:t>：</w:t>
            </w:r>
            <w:r>
              <w:rPr>
                <w:rFonts w:hint="default" w:ascii="宋体" w:hAnsi="宋体"/>
                <w:color w:val="auto"/>
              </w:rPr>
              <w:t>①</w:t>
            </w:r>
            <w:r>
              <w:rPr>
                <w:rFonts w:hint="eastAsia" w:ascii="宋体" w:hAnsi="宋体"/>
                <w:color w:val="auto"/>
                <w:lang w:val="en-US" w:eastAsia="zh-CN"/>
              </w:rPr>
              <w:t>经</w:t>
            </w:r>
            <w:r>
              <w:rPr>
                <w:rFonts w:hint="default" w:ascii="宋体" w:hAnsi="宋体"/>
                <w:color w:val="auto"/>
              </w:rPr>
              <w:t>业主或建设单位同意任职变更的文件；②负责项目监管的行业行政主管部门出具同意任职变更的证明材料。</w:t>
            </w:r>
          </w:p>
          <w:p w14:paraId="0A7ADACE">
            <w:pPr>
              <w:snapToGrid w:val="0"/>
              <w:spacing w:line="400" w:lineRule="exact"/>
              <w:ind w:firstLine="420" w:firstLineChars="200"/>
              <w:rPr>
                <w:rFonts w:hint="eastAsia" w:ascii="宋体" w:hAnsi="宋体"/>
                <w:color w:val="auto"/>
                <w:szCs w:val="21"/>
                <w:highlight w:val="none"/>
              </w:rPr>
            </w:pPr>
            <w:r>
              <w:rPr>
                <w:rFonts w:hint="default" w:ascii="宋体" w:hAnsi="宋体"/>
                <w:color w:val="auto"/>
              </w:rPr>
              <w:t>放弃在其他项目中标或拟中标的需提供</w:t>
            </w:r>
            <w:r>
              <w:rPr>
                <w:rFonts w:hint="eastAsia" w:ascii="宋体" w:hAnsi="宋体"/>
                <w:color w:val="auto"/>
                <w:lang w:eastAsia="zh-CN"/>
              </w:rPr>
              <w:t>：</w:t>
            </w:r>
            <w:r>
              <w:rPr>
                <w:rFonts w:hint="default" w:ascii="宋体" w:hAnsi="宋体"/>
                <w:color w:val="auto"/>
              </w:rPr>
              <w:t>①经中标或拟中标的其他项目建设单位同意的放弃中标函</w:t>
            </w:r>
            <w:r>
              <w:rPr>
                <w:rFonts w:hint="eastAsia" w:ascii="宋体" w:hAnsi="宋体"/>
                <w:color w:val="auto"/>
                <w:szCs w:val="21"/>
                <w:highlight w:val="none"/>
              </w:rPr>
              <w:t>。</w:t>
            </w:r>
          </w:p>
          <w:p w14:paraId="1C5014D8">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.1.2.4未提供上述承诺或承诺内容不符合要求的，由评标委员会作否决投标处理</w:t>
            </w:r>
            <w:r>
              <w:rPr>
                <w:rFonts w:hint="default" w:ascii="宋体" w:hAnsi="宋体" w:eastAsia="宋体"/>
                <w:color w:val="auto"/>
                <w:sz w:val="21"/>
              </w:rPr>
              <w:t>。</w:t>
            </w:r>
          </w:p>
          <w:p w14:paraId="45FE8B2D">
            <w:pPr>
              <w:snapToGrid w:val="0"/>
              <w:spacing w:line="400" w:lineRule="exact"/>
              <w:ind w:firstLine="420" w:firstLineChars="200"/>
              <w:rPr>
                <w:rFonts w:hint="eastAsia" w:eastAsia="宋体"/>
                <w:color w:val="auto"/>
                <w:highlight w:val="none"/>
                <w:lang w:eastAsia="zh-CN"/>
              </w:rPr>
            </w:pPr>
            <w:r>
              <w:rPr>
                <w:rFonts w:hint="eastAsia"/>
                <w:color w:val="auto"/>
                <w:highlight w:val="none"/>
              </w:rPr>
              <w:t>投标人</w:t>
            </w:r>
            <w:r>
              <w:rPr>
                <w:rFonts w:hint="eastAsia"/>
                <w:color w:val="auto"/>
                <w:highlight w:val="none"/>
                <w:lang w:eastAsia="zh-CN"/>
              </w:rPr>
              <w:t>必</w:t>
            </w:r>
            <w:r>
              <w:rPr>
                <w:rFonts w:hint="eastAsia"/>
                <w:color w:val="auto"/>
                <w:highlight w:val="none"/>
              </w:rPr>
              <w:t>须在投标文件资格审查部分提供有效的拟派项目经理身份证、建造师注册证、安全生产考核合格证书（B类）、投标人为其交纳的养老保险证明材料，拟派项目经理到岗履职和未被禁止参与投标的承诺（承诺格式见第九章投标文件格式）</w:t>
            </w:r>
            <w:r>
              <w:rPr>
                <w:rFonts w:hint="eastAsia"/>
                <w:color w:val="auto"/>
                <w:highlight w:val="none"/>
                <w:lang w:eastAsia="zh-CN"/>
              </w:rPr>
              <w:t>。</w:t>
            </w:r>
          </w:p>
          <w:p w14:paraId="6681565D">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14:paraId="0A7FAAEC">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14:paraId="04477C10">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14:paraId="1EF13EF9">
            <w:pPr>
              <w:spacing w:line="400" w:lineRule="exact"/>
              <w:ind w:firstLine="420" w:firstLineChars="200"/>
              <w:rPr>
                <w:rFonts w:ascii="宋体" w:hAnsi="宋体"/>
                <w:i/>
                <w:color w:val="auto"/>
                <w:szCs w:val="21"/>
                <w:highlight w:val="none"/>
              </w:rPr>
            </w:pPr>
            <w:r>
              <w:rPr>
                <w:rFonts w:hint="eastAsia" w:ascii="宋体" w:hAnsi="宋体"/>
                <w:bCs/>
                <w:snapToGrid w:val="0"/>
                <w:color w:val="auto"/>
                <w:highlight w:val="none"/>
                <w:lang w:val="en-US" w:eastAsia="zh-CN"/>
              </w:rPr>
              <w:t>3</w:t>
            </w:r>
            <w:r>
              <w:rPr>
                <w:rFonts w:hint="eastAsia" w:ascii="宋体" w:hAnsi="宋体"/>
                <w:bCs/>
                <w:snapToGrid w:val="0"/>
                <w:color w:val="auto"/>
                <w:highlight w:val="none"/>
              </w:rPr>
              <w:t>.2项目总工：1人。</w:t>
            </w:r>
          </w:p>
          <w:p w14:paraId="2CBA4D80">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3</w:t>
            </w:r>
            <w:r>
              <w:rPr>
                <w:rFonts w:hint="eastAsia" w:ascii="宋体" w:hAnsi="宋体"/>
                <w:color w:val="auto"/>
                <w:szCs w:val="21"/>
                <w:highlight w:val="none"/>
              </w:rPr>
              <w:t>.2.1投标人拟派的项目总工</w:t>
            </w:r>
            <w:r>
              <w:rPr>
                <w:rFonts w:ascii="宋体" w:hAnsi="宋体"/>
                <w:color w:val="auto"/>
                <w:szCs w:val="21"/>
                <w:highlight w:val="none"/>
              </w:rPr>
              <w:t>应具有</w:t>
            </w:r>
            <w:r>
              <w:rPr>
                <w:rFonts w:hint="eastAsia" w:ascii="宋体" w:hAnsi="宋体"/>
                <w:i w:val="0"/>
                <w:iCs/>
                <w:color w:val="auto"/>
                <w:szCs w:val="21"/>
                <w:highlight w:val="none"/>
                <w:u w:val="single"/>
                <w:lang w:val="en-US" w:eastAsia="zh-CN"/>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w:t>
            </w:r>
            <w:r>
              <w:rPr>
                <w:rFonts w:ascii="宋体" w:hAnsi="宋体"/>
                <w:color w:val="auto"/>
                <w:szCs w:val="21"/>
                <w:highlight w:val="none"/>
              </w:rPr>
              <w:t>上职称</w:t>
            </w:r>
            <w:r>
              <w:rPr>
                <w:rFonts w:hint="eastAsia" w:ascii="宋体" w:hAnsi="宋体"/>
                <w:color w:val="auto"/>
                <w:szCs w:val="21"/>
                <w:highlight w:val="none"/>
              </w:rPr>
              <w:t>。</w:t>
            </w:r>
          </w:p>
          <w:p w14:paraId="7A44E3D1">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.2.2项目总工承诺要求：投标人须承诺拟派项目总工按相关规定到岗履职和未被禁止参与投标。</w:t>
            </w:r>
          </w:p>
          <w:p w14:paraId="05542BFE">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.2.2.1到岗履职承诺要求：承诺拟派项目总工中标后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招标人造成损失的，投标人依法承担违约赔偿责任。拟派项目总工中标后不得随意更换。</w:t>
            </w:r>
          </w:p>
          <w:p w14:paraId="2899465E">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2.2.2未被禁止参与投标承诺要求：承诺拟派项目总工未被重庆市交通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1E0DDCBC">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未提供上述承诺或承诺内容不符合要求的，由评标委员会作否决投标处理</w:t>
            </w:r>
            <w:r>
              <w:rPr>
                <w:rFonts w:hint="default" w:ascii="宋体" w:hAnsi="宋体" w:eastAsia="宋体"/>
                <w:color w:val="auto"/>
                <w:sz w:val="21"/>
              </w:rPr>
              <w:t>。</w:t>
            </w:r>
          </w:p>
          <w:p w14:paraId="02B4361E">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必须</w:t>
            </w:r>
            <w:r>
              <w:rPr>
                <w:rFonts w:hint="eastAsia" w:ascii="宋体" w:hAnsi="宋体"/>
                <w:color w:val="auto"/>
                <w:szCs w:val="21"/>
                <w:highlight w:val="none"/>
              </w:rPr>
              <w:t>在投标文件资格审查部分提供有效的拟派项目总工身份证、职称证、</w:t>
            </w:r>
            <w:r>
              <w:rPr>
                <w:rFonts w:hint="eastAsia"/>
                <w:color w:val="auto"/>
                <w:highlight w:val="none"/>
              </w:rPr>
              <w:t>投标人为其交纳的养老保险证明材料，拟派项目总工到岗履职和未被禁止参与投标的承诺（承诺格式见第九章投标文件格式）。</w:t>
            </w:r>
          </w:p>
          <w:p w14:paraId="1B80C0F2">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4.</w:t>
            </w:r>
            <w:r>
              <w:rPr>
                <w:rFonts w:hint="eastAsia" w:ascii="宋体" w:hAnsi="宋体" w:cs="宋体"/>
                <w:b/>
                <w:color w:val="auto"/>
                <w:kern w:val="0"/>
                <w:szCs w:val="21"/>
                <w:highlight w:val="none"/>
                <w:lang w:bidi="ar"/>
              </w:rPr>
              <w:t>其他管理和技术人员要求</w:t>
            </w:r>
          </w:p>
          <w:p w14:paraId="0C66622E">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投标时投标人只须在投标文件资格审查部分提供拟投入其他管理和技术人员承诺，无需提供人员的具体证明材料，具体人员由招标人和中标人在合同谈判阶段确定。</w:t>
            </w:r>
          </w:p>
          <w:p w14:paraId="14C0D070">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b/>
                <w:color w:val="auto"/>
                <w:szCs w:val="21"/>
                <w:highlight w:val="none"/>
                <w:lang w:val="en-US" w:eastAsia="zh-CN"/>
              </w:rPr>
              <w:t>5.</w:t>
            </w:r>
            <w:r>
              <w:rPr>
                <w:rFonts w:hint="eastAsia" w:ascii="宋体" w:hAnsi="宋体" w:cs="宋体"/>
                <w:b/>
                <w:color w:val="auto"/>
                <w:kern w:val="0"/>
                <w:szCs w:val="21"/>
                <w:highlight w:val="none"/>
                <w:lang w:bidi="ar"/>
              </w:rPr>
              <w:t>委托代理人：</w:t>
            </w:r>
          </w:p>
          <w:p w14:paraId="249A2DB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委托代理人必须为投标人本单位人员。</w:t>
            </w:r>
          </w:p>
          <w:p w14:paraId="1C24025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投标人须在投标文件资格审查部分提供投标人为该委托代理人缴纳的养老保险证明。否则，将由评标委员会作否决投标处理。</w:t>
            </w:r>
          </w:p>
          <w:p w14:paraId="7EEB6FF0">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14:paraId="4C3EC7C4">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上述要求</w:t>
            </w:r>
            <w:r>
              <w:rPr>
                <w:rFonts w:hint="eastAsia" w:ascii="宋体" w:hAnsi="宋体" w:cs="宋体"/>
                <w:color w:val="auto"/>
                <w:szCs w:val="21"/>
                <w:highlight w:val="none"/>
              </w:rPr>
              <w:t>须提交的相关证明材料均为扫描件</w:t>
            </w:r>
            <w:r>
              <w:rPr>
                <w:rFonts w:hint="eastAsia" w:ascii="宋体" w:hAnsi="宋体" w:cs="宋体"/>
                <w:color w:val="auto"/>
                <w:szCs w:val="21"/>
                <w:highlight w:val="none"/>
                <w:lang w:eastAsia="zh-CN"/>
              </w:rPr>
              <w:t>（原件或复印件的扫描件均可），</w:t>
            </w:r>
            <w:r>
              <w:rPr>
                <w:rFonts w:hint="eastAsia" w:ascii="宋体" w:hAnsi="宋体" w:cs="宋体"/>
                <w:color w:val="auto"/>
                <w:szCs w:val="21"/>
                <w:highlight w:val="none"/>
              </w:rPr>
              <w:t>扫描件须清晰可辨，</w:t>
            </w:r>
            <w:r>
              <w:rPr>
                <w:rFonts w:hint="eastAsia" w:ascii="宋体" w:hAnsi="宋体" w:cs="宋体"/>
                <w:color w:val="auto"/>
                <w:kern w:val="0"/>
                <w:szCs w:val="21"/>
                <w:highlight w:val="none"/>
              </w:rPr>
              <w:t>有一条不满足</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14:paraId="1C57B8DB">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（2）投标人须自行承诺其提供的上述相关证明材料真实有效，不存在弄虚作假情形（格式见第九章投标文件格式）。</w:t>
            </w:r>
            <w:r>
              <w:rPr>
                <w:rFonts w:hint="eastAsia" w:ascii="宋体" w:hAnsi="宋体" w:cs="宋体"/>
                <w:color w:val="auto"/>
                <w:szCs w:val="21"/>
                <w:highlight w:val="none"/>
                <w:u w:val="single"/>
              </w:rPr>
              <w:t>招标人在合同签订前均有权对投标人提供的资料进行核实，若发现弄虚作假，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color w:val="auto"/>
                <w:szCs w:val="21"/>
                <w:highlight w:val="none"/>
              </w:rPr>
              <w:t>。</w:t>
            </w:r>
          </w:p>
          <w:p w14:paraId="389BC359">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（3）本招标文件中所要求的人员养老保险证明要求如下：</w:t>
            </w:r>
          </w:p>
          <w:p w14:paraId="780B6CEF">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w:t>
            </w:r>
            <w:r>
              <w:rPr>
                <w:rFonts w:hint="eastAsia" w:ascii="宋体" w:hAnsi="宋体" w:cs="宋体"/>
                <w:bCs/>
                <w:color w:val="auto"/>
                <w:kern w:val="0"/>
                <w:szCs w:val="21"/>
                <w:highlight w:val="none"/>
                <w:lang w:val="en-US" w:eastAsia="zh-CN"/>
              </w:rPr>
              <w:t>企业</w:t>
            </w:r>
            <w:r>
              <w:rPr>
                <w:rFonts w:hint="eastAsia" w:ascii="宋体" w:hAnsi="宋体" w:cs="宋体"/>
                <w:bCs/>
                <w:color w:val="auto"/>
                <w:kern w:val="0"/>
                <w:szCs w:val="21"/>
                <w:highlight w:val="none"/>
              </w:rPr>
              <w:t>提供养老保险证明，事业单位提供养老保险证明或行政主管部门在编证明。</w:t>
            </w:r>
          </w:p>
          <w:p w14:paraId="4296C425">
            <w:pPr>
              <w:spacing w:line="400" w:lineRule="exact"/>
              <w:ind w:firstLine="420" w:firstLineChars="200"/>
              <w:rPr>
                <w:rFonts w:hint="eastAsia" w:ascii="宋体" w:hAnsi="宋体" w:eastAsia="宋体" w:cs="宋体"/>
                <w:color w:val="auto"/>
                <w:szCs w:val="21"/>
                <w:shd w:val="clear" w:color="auto" w:fill="FFFFFF"/>
              </w:rPr>
            </w:pPr>
            <w:r>
              <w:rPr>
                <w:rFonts w:hint="eastAsia" w:ascii="宋体" w:hAnsi="宋体" w:cs="宋体"/>
                <w:bCs/>
                <w:color w:val="auto"/>
                <w:kern w:val="0"/>
                <w:szCs w:val="21"/>
                <w:highlight w:val="none"/>
              </w:rPr>
              <w:t>②</w:t>
            </w:r>
            <w:r>
              <w:rPr>
                <w:rFonts w:hint="eastAsia" w:ascii="宋体" w:hAnsi="宋体" w:cs="宋体"/>
                <w:bCs/>
                <w:snapToGrid w:val="0"/>
                <w:color w:val="auto"/>
                <w:kern w:val="0"/>
                <w:szCs w:val="21"/>
                <w:highlight w:val="none"/>
              </w:rPr>
              <w:t>项目经理、项目总工和委托代理人的</w:t>
            </w:r>
            <w:r>
              <w:rPr>
                <w:rFonts w:hint="eastAsia" w:ascii="宋体" w:hAnsi="宋体" w:cs="宋体"/>
                <w:bCs/>
                <w:snapToGrid w:val="0"/>
                <w:color w:val="auto"/>
                <w:kern w:val="0"/>
                <w:szCs w:val="21"/>
                <w:highlight w:val="none"/>
                <w:lang w:val="en-US" w:eastAsia="zh-CN"/>
              </w:rPr>
              <w:t>连续</w:t>
            </w:r>
            <w:r>
              <w:rPr>
                <w:rFonts w:hint="eastAsia" w:ascii="宋体" w:hAnsi="宋体" w:cs="宋体"/>
                <w:bCs/>
                <w:snapToGrid w:val="0"/>
                <w:color w:val="auto"/>
                <w:kern w:val="0"/>
                <w:szCs w:val="21"/>
                <w:highlight w:val="none"/>
              </w:rPr>
              <w:t>养老保险证明期限</w:t>
            </w:r>
            <w:r>
              <w:rPr>
                <w:rFonts w:hint="eastAsia" w:ascii="宋体" w:hAnsi="宋体" w:cs="宋体"/>
                <w:bCs/>
                <w:snapToGrid w:val="0"/>
                <w:color w:val="auto"/>
                <w:kern w:val="0"/>
                <w:szCs w:val="21"/>
                <w:highlight w:val="none"/>
                <w:lang w:val="en-US" w:eastAsia="zh-CN"/>
              </w:rPr>
              <w:t>须包含</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3</w:t>
            </w:r>
            <w:r>
              <w:rPr>
                <w:rFonts w:hint="eastAsia" w:ascii="宋体" w:hAnsi="宋体" w:cs="宋体"/>
                <w:bCs/>
                <w:snapToGrid w:val="0"/>
                <w:color w:val="auto"/>
                <w:kern w:val="0"/>
                <w:szCs w:val="21"/>
                <w:highlight w:val="none"/>
              </w:rPr>
              <w:t>月至</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8</w:t>
            </w:r>
            <w:r>
              <w:rPr>
                <w:rFonts w:hint="eastAsia" w:ascii="宋体" w:hAnsi="宋体" w:cs="宋体"/>
                <w:bCs/>
                <w:snapToGrid w:val="0"/>
                <w:color w:val="auto"/>
                <w:kern w:val="0"/>
                <w:szCs w:val="21"/>
                <w:highlight w:val="none"/>
              </w:rPr>
              <w:t>月</w:t>
            </w:r>
            <w:r>
              <w:rPr>
                <w:rFonts w:hint="eastAsia" w:ascii="宋体" w:hAnsi="宋体" w:cs="宋体"/>
                <w:bCs/>
                <w:color w:val="auto"/>
                <w:szCs w:val="21"/>
                <w:highlight w:val="none"/>
              </w:rPr>
              <w:t>。提供的养老保险参保证明</w:t>
            </w:r>
            <w:r>
              <w:rPr>
                <w:rFonts w:hint="eastAsia" w:ascii="宋体" w:hAnsi="宋体"/>
                <w:bCs/>
                <w:color w:val="auto"/>
                <w:szCs w:val="21"/>
                <w:highlight w:val="none"/>
              </w:rPr>
              <w:t>须体现上述人员的姓名、身份证号（或社保号）、单位名称、本单位参保时间（或起始参保时间）</w:t>
            </w:r>
            <w:r>
              <w:rPr>
                <w:rFonts w:hint="eastAsia" w:ascii="宋体" w:hAnsi="宋体" w:cs="宋体"/>
                <w:bCs/>
                <w:color w:val="auto"/>
                <w:szCs w:val="21"/>
                <w:highlight w:val="none"/>
              </w:rPr>
              <w:t>，并带有社保部门公章或社保部门的有效电子印章。</w:t>
            </w:r>
          </w:p>
        </w:tc>
      </w:tr>
      <w:tr w14:paraId="297B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14:paraId="2C6177D8">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1.4.2</w:t>
            </w:r>
          </w:p>
        </w:tc>
        <w:tc>
          <w:tcPr>
            <w:tcW w:w="1500" w:type="dxa"/>
            <w:vAlign w:val="center"/>
          </w:tcPr>
          <w:p w14:paraId="4A4148C5">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7189" w:type="dxa"/>
            <w:vAlign w:val="center"/>
          </w:tcPr>
          <w:p w14:paraId="138255D5">
            <w:pPr>
              <w:snapToGrid w:val="0"/>
              <w:spacing w:line="400" w:lineRule="exact"/>
              <w:ind w:firstLine="420" w:firstLineChars="200"/>
              <w:rPr>
                <w:rFonts w:hint="eastAsia" w:ascii="宋体" w:hAnsi="宋体" w:eastAsia="宋体" w:cs="宋体"/>
                <w:color w:val="auto"/>
                <w:kern w:val="0"/>
                <w:szCs w:val="21"/>
              </w:rPr>
            </w:pPr>
            <w:r>
              <w:rPr>
                <w:rFonts w:hint="eastAsia" w:ascii="宋体" w:hAnsi="宋体" w:cs="宋体"/>
                <w:color w:val="auto"/>
                <w:kern w:val="0"/>
                <w:szCs w:val="21"/>
                <w:highlight w:val="none"/>
              </w:rPr>
              <w:t>不接受</w:t>
            </w:r>
          </w:p>
        </w:tc>
      </w:tr>
      <w:tr w14:paraId="6818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14:paraId="7DBA455F">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1.4.3</w:t>
            </w:r>
          </w:p>
        </w:tc>
        <w:tc>
          <w:tcPr>
            <w:tcW w:w="1500" w:type="dxa"/>
            <w:vAlign w:val="center"/>
          </w:tcPr>
          <w:p w14:paraId="3CC94B15">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投标人不得存在的其他关联情形</w:t>
            </w:r>
          </w:p>
        </w:tc>
        <w:tc>
          <w:tcPr>
            <w:tcW w:w="7189" w:type="dxa"/>
            <w:vAlign w:val="center"/>
          </w:tcPr>
          <w:p w14:paraId="395550C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（1）为招标人不具有独立法人资格的附属机构（单位）；</w:t>
            </w:r>
          </w:p>
          <w:p w14:paraId="3C50FD8A">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（2）与招标人存在利害关系且可能影响招标公正性；</w:t>
            </w:r>
          </w:p>
          <w:p w14:paraId="6ECBD2D6">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（3）与本标段的其他投标人同为一个单位负责人；</w:t>
            </w:r>
          </w:p>
          <w:p w14:paraId="6E2F7D06">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（4）与本标段的其他投标人存在控股、管理关系；</w:t>
            </w:r>
          </w:p>
          <w:p w14:paraId="668B5F4B">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（5）为本标段前期准备提供设计或咨询服务的法人或其任何附属机构（单位）；</w:t>
            </w:r>
          </w:p>
          <w:p w14:paraId="5602479E">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（6）为本标段的监理人；</w:t>
            </w:r>
          </w:p>
          <w:p w14:paraId="5435B542">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（7）为本标段的代建人；</w:t>
            </w:r>
          </w:p>
          <w:p w14:paraId="247DC69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（8）为本标段的招标代理机构；</w:t>
            </w:r>
          </w:p>
          <w:p w14:paraId="7C342D56">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（9）与本标段的监理人或代建人或招标代理机构同为一个法定代表人；</w:t>
            </w:r>
          </w:p>
          <w:p w14:paraId="0D502D7D">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（10）与本标段的监理人或代建人或招标代理机构存在控股或参股关系；</w:t>
            </w:r>
          </w:p>
          <w:p w14:paraId="1C72F42E">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（11）法律法规或投标人须知前附表规定的其他情形。</w:t>
            </w:r>
          </w:p>
        </w:tc>
      </w:tr>
      <w:tr w14:paraId="0163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14:paraId="31D77464">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1.11</w:t>
            </w:r>
            <w:r>
              <w:rPr>
                <w:rFonts w:hint="eastAsia" w:ascii="宋体" w:hAnsi="宋体" w:cs="宋体"/>
                <w:color w:val="auto"/>
                <w:kern w:val="0"/>
                <w:szCs w:val="21"/>
                <w:lang w:val="en-US" w:eastAsia="zh-CN"/>
              </w:rPr>
              <w:t>.1</w:t>
            </w:r>
          </w:p>
        </w:tc>
        <w:tc>
          <w:tcPr>
            <w:tcW w:w="1500" w:type="dxa"/>
            <w:vAlign w:val="center"/>
          </w:tcPr>
          <w:p w14:paraId="42F7F21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分包</w:t>
            </w:r>
          </w:p>
        </w:tc>
        <w:tc>
          <w:tcPr>
            <w:tcW w:w="7189" w:type="dxa"/>
            <w:vAlign w:val="center"/>
          </w:tcPr>
          <w:p w14:paraId="3DEEF5D7">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rPr>
              <w:t>不允许</w:t>
            </w:r>
          </w:p>
        </w:tc>
      </w:tr>
      <w:tr w14:paraId="5B43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E6D21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1500" w:type="dxa"/>
            <w:vAlign w:val="center"/>
          </w:tcPr>
          <w:p w14:paraId="4610B04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构成招标文件的其他材料</w:t>
            </w:r>
          </w:p>
        </w:tc>
        <w:tc>
          <w:tcPr>
            <w:tcW w:w="7189" w:type="dxa"/>
            <w:vAlign w:val="center"/>
          </w:tcPr>
          <w:p w14:paraId="1DC6B5E1">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szCs w:val="21"/>
                <w:lang w:val="en-US" w:eastAsia="zh-CN"/>
              </w:rPr>
              <w:t>招标人</w:t>
            </w:r>
            <w:r>
              <w:rPr>
                <w:rFonts w:hint="eastAsia" w:ascii="宋体" w:hAnsi="宋体" w:eastAsia="宋体" w:cs="宋体"/>
                <w:color w:val="auto"/>
                <w:szCs w:val="21"/>
              </w:rPr>
              <w:t>发出的澄清及修改。</w:t>
            </w:r>
          </w:p>
        </w:tc>
      </w:tr>
      <w:tr w14:paraId="5F6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30798D4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1500" w:type="dxa"/>
            <w:vAlign w:val="center"/>
          </w:tcPr>
          <w:p w14:paraId="2403CEC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投标人对招标文件提出疑问的截止时间</w:t>
            </w:r>
          </w:p>
        </w:tc>
        <w:tc>
          <w:tcPr>
            <w:tcW w:w="7189" w:type="dxa"/>
            <w:vAlign w:val="center"/>
          </w:tcPr>
          <w:p w14:paraId="24085B7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color w:val="auto"/>
                <w:lang w:val="en-US" w:eastAsia="zh-CN"/>
              </w:rPr>
              <w:t>提出</w:t>
            </w:r>
            <w:r>
              <w:rPr>
                <w:rFonts w:hint="eastAsia" w:ascii="宋体" w:hAnsi="宋体" w:eastAsia="宋体" w:cs="宋体"/>
                <w:color w:val="auto"/>
              </w:rPr>
              <w:t>。</w:t>
            </w:r>
          </w:p>
        </w:tc>
      </w:tr>
      <w:tr w14:paraId="32D8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14:paraId="73F68A7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1500" w:type="dxa"/>
            <w:vAlign w:val="center"/>
          </w:tcPr>
          <w:p w14:paraId="2EF84B7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对招标文件澄清的截止时间</w:t>
            </w:r>
          </w:p>
        </w:tc>
        <w:tc>
          <w:tcPr>
            <w:tcW w:w="7189" w:type="dxa"/>
            <w:vAlign w:val="center"/>
          </w:tcPr>
          <w:p w14:paraId="6C3F73C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lang w:val="en-US" w:eastAsia="zh-CN"/>
              </w:rPr>
              <w:t>招标人</w:t>
            </w:r>
            <w:r>
              <w:rPr>
                <w:rFonts w:hint="eastAsia" w:ascii="宋体" w:hAnsi="宋体" w:eastAsia="宋体" w:cs="宋体"/>
                <w:color w:val="auto"/>
                <w:szCs w:val="21"/>
              </w:rPr>
              <w:t>应在</w:t>
            </w:r>
            <w:r>
              <w:rPr>
                <w:rFonts w:hint="eastAsia" w:ascii="宋体" w:hAnsi="宋体" w:eastAsia="宋体" w:cs="宋体"/>
                <w:color w:val="auto"/>
                <w:lang w:val="en-US" w:eastAsia="zh-CN"/>
              </w:rPr>
              <w:t>比选</w:t>
            </w:r>
            <w:r>
              <w:rPr>
                <w:rFonts w:hint="eastAsia" w:ascii="宋体" w:hAnsi="宋体" w:eastAsia="宋体" w:cs="宋体"/>
                <w:color w:val="auto"/>
                <w:szCs w:val="21"/>
              </w:rPr>
              <w:t>公告规定的时间前，</w:t>
            </w:r>
            <w:r>
              <w:rPr>
                <w:rFonts w:hint="eastAsia" w:ascii="宋体" w:hAnsi="宋体" w:eastAsia="宋体" w:cs="宋体"/>
                <w:color w:val="auto"/>
                <w:kern w:val="0"/>
                <w:szCs w:val="21"/>
              </w:rPr>
              <w:t>在</w:t>
            </w:r>
            <w:r>
              <w:rPr>
                <w:rFonts w:hint="eastAsia" w:ascii="宋体" w:hAnsi="宋体" w:cs="宋体"/>
                <w:color w:val="auto"/>
                <w:kern w:val="0"/>
                <w:szCs w:val="21"/>
                <w:u w:val="single"/>
                <w:lang w:eastAsia="zh-CN"/>
              </w:rPr>
              <w:t>重庆市铜梁区人民政府网</w:t>
            </w:r>
            <w:r>
              <w:rPr>
                <w:rFonts w:hint="eastAsia" w:ascii="宋体" w:hAnsi="宋体" w:eastAsia="宋体" w:cs="宋体"/>
                <w:color w:val="auto"/>
                <w:kern w:val="0"/>
                <w:szCs w:val="21"/>
                <w:u w:val="single"/>
                <w:lang w:eastAsia="zh-CN"/>
              </w:rPr>
              <w:t>（http://www.cqstl.gov.cn</w:t>
            </w:r>
            <w:r>
              <w:rPr>
                <w:rFonts w:hint="eastAsia" w:ascii="宋体" w:hAnsi="宋体" w:cs="宋体"/>
                <w:color w:val="auto"/>
                <w:kern w:val="0"/>
                <w:szCs w:val="21"/>
                <w:u w:val="single"/>
                <w:lang w:eastAsia="zh-CN"/>
              </w:rPr>
              <w:t>）</w:t>
            </w:r>
            <w:r>
              <w:rPr>
                <w:rFonts w:hint="eastAsia" w:ascii="宋体" w:hAnsi="宋体" w:eastAsia="宋体" w:cs="宋体"/>
                <w:color w:val="auto"/>
                <w:kern w:val="0"/>
                <w:szCs w:val="21"/>
              </w:rPr>
              <w:t>发布澄清。</w:t>
            </w:r>
          </w:p>
        </w:tc>
      </w:tr>
      <w:tr w14:paraId="1D5C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14:paraId="6C9D15F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14:paraId="4BB4112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投标截止时间</w:t>
            </w:r>
          </w:p>
        </w:tc>
        <w:tc>
          <w:tcPr>
            <w:tcW w:w="7189" w:type="dxa"/>
            <w:vAlign w:val="center"/>
          </w:tcPr>
          <w:p w14:paraId="559B6DF9">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公告规定的投标截止时间。</w:t>
            </w:r>
          </w:p>
        </w:tc>
      </w:tr>
      <w:tr w14:paraId="47B03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14:paraId="5552335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2.2.3</w:t>
            </w:r>
          </w:p>
        </w:tc>
        <w:tc>
          <w:tcPr>
            <w:tcW w:w="1500" w:type="dxa"/>
            <w:vAlign w:val="center"/>
          </w:tcPr>
          <w:p w14:paraId="3156E50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对招标文件进行修改的时间</w:t>
            </w:r>
          </w:p>
        </w:tc>
        <w:tc>
          <w:tcPr>
            <w:tcW w:w="7189" w:type="dxa"/>
            <w:vAlign w:val="center"/>
          </w:tcPr>
          <w:p w14:paraId="2C6CB167">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修改内容可能影响投标文件编制的，须在投标截止时间3日前发布，发布时间至投标截止时间不足3日的，须相应延后投标截止时间。</w:t>
            </w:r>
          </w:p>
        </w:tc>
      </w:tr>
      <w:tr w14:paraId="5546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14:paraId="6278B4F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500" w:type="dxa"/>
            <w:vAlign w:val="center"/>
          </w:tcPr>
          <w:p w14:paraId="506F436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投标人对比选文件及澄清修改提出异议的截止时间</w:t>
            </w:r>
          </w:p>
        </w:tc>
        <w:tc>
          <w:tcPr>
            <w:tcW w:w="7189" w:type="dxa"/>
            <w:vAlign w:val="center"/>
          </w:tcPr>
          <w:p w14:paraId="7A695413">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投标人对比选文件和答疑补遗有异议的，应当在投标截止时间3日前，以书面形式通知</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或招标代理机构。</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应当自收到异议之日起1日内</w:t>
            </w:r>
            <w:r>
              <w:rPr>
                <w:rFonts w:hint="eastAsia" w:ascii="宋体" w:hAnsi="宋体" w:eastAsia="宋体" w:cs="宋体"/>
                <w:snapToGrid w:val="0"/>
                <w:color w:val="auto"/>
                <w:kern w:val="0"/>
                <w:szCs w:val="21"/>
                <w:lang w:eastAsia="zh-CN"/>
              </w:rPr>
              <w:t>作出</w:t>
            </w:r>
            <w:r>
              <w:rPr>
                <w:rFonts w:hint="eastAsia" w:ascii="宋体" w:hAnsi="宋体" w:eastAsia="宋体" w:cs="宋体"/>
                <w:snapToGrid w:val="0"/>
                <w:color w:val="auto"/>
                <w:kern w:val="0"/>
                <w:szCs w:val="21"/>
              </w:rPr>
              <w:t>答复，并将最终答复内容以补遗的形式在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snapToGrid w:val="0"/>
                <w:color w:val="auto"/>
                <w:kern w:val="0"/>
                <w:szCs w:val="21"/>
              </w:rPr>
              <w:t>发布。补遗内容可能影响投标文件编制的，须在投标截止时间3日前发布，发布时间至投标截止时间不足3日的，须相应延后投标截止时间。</w:t>
            </w:r>
          </w:p>
        </w:tc>
      </w:tr>
      <w:tr w14:paraId="7AAD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DFED4C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3.1.1</w:t>
            </w:r>
          </w:p>
        </w:tc>
        <w:tc>
          <w:tcPr>
            <w:tcW w:w="1500" w:type="dxa"/>
            <w:vAlign w:val="center"/>
          </w:tcPr>
          <w:p w14:paraId="254BD48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构成投标文件的其他材料</w:t>
            </w:r>
          </w:p>
        </w:tc>
        <w:tc>
          <w:tcPr>
            <w:tcW w:w="7189" w:type="dxa"/>
            <w:vAlign w:val="center"/>
          </w:tcPr>
          <w:p w14:paraId="651BF5A4">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rPr>
              <w:t>投标人的书面澄清、说明和补正（但不得改变投标文件的实质性内容）</w:t>
            </w:r>
          </w:p>
        </w:tc>
      </w:tr>
      <w:tr w14:paraId="375B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013EA53">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3.2.1</w:t>
            </w:r>
          </w:p>
        </w:tc>
        <w:tc>
          <w:tcPr>
            <w:tcW w:w="1500" w:type="dxa"/>
            <w:vAlign w:val="center"/>
          </w:tcPr>
          <w:p w14:paraId="30A92C71">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增值税税金的计算方法</w:t>
            </w:r>
          </w:p>
        </w:tc>
        <w:tc>
          <w:tcPr>
            <w:tcW w:w="7189" w:type="dxa"/>
            <w:vAlign w:val="center"/>
          </w:tcPr>
          <w:p w14:paraId="0039728A">
            <w:pPr>
              <w:snapToGrid w:val="0"/>
              <w:spacing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一般计税法</w:t>
            </w:r>
          </w:p>
        </w:tc>
      </w:tr>
      <w:tr w14:paraId="4771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38D73F6E">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3.2.3</w:t>
            </w:r>
          </w:p>
        </w:tc>
        <w:tc>
          <w:tcPr>
            <w:tcW w:w="1500" w:type="dxa"/>
            <w:vAlign w:val="center"/>
          </w:tcPr>
          <w:p w14:paraId="76C90C3F">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报价方式</w:t>
            </w:r>
          </w:p>
        </w:tc>
        <w:tc>
          <w:tcPr>
            <w:tcW w:w="7189" w:type="dxa"/>
            <w:vAlign w:val="center"/>
          </w:tcPr>
          <w:p w14:paraId="4BF66044">
            <w:pPr>
              <w:widowControl/>
              <w:spacing w:line="400" w:lineRule="exact"/>
              <w:ind w:firstLine="420" w:firstLineChars="200"/>
              <w:jc w:val="left"/>
              <w:rPr>
                <w:rFonts w:hint="eastAsia" w:ascii="宋体" w:hAnsi="宋体" w:eastAsia="宋体" w:cs="宋体"/>
                <w:color w:val="auto"/>
              </w:rPr>
            </w:pPr>
            <w:r>
              <w:rPr>
                <w:rFonts w:hint="eastAsia" w:ascii="宋体" w:hAnsi="宋体" w:cs="宋体"/>
                <w:color w:val="auto"/>
                <w:kern w:val="0"/>
                <w:szCs w:val="21"/>
                <w:highlight w:val="none"/>
                <w:lang w:bidi="ar"/>
              </w:rPr>
              <w:t>单价</w:t>
            </w:r>
          </w:p>
        </w:tc>
      </w:tr>
      <w:tr w14:paraId="6203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2F032C8">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3.2.5</w:t>
            </w:r>
          </w:p>
        </w:tc>
        <w:tc>
          <w:tcPr>
            <w:tcW w:w="1500" w:type="dxa"/>
            <w:vAlign w:val="center"/>
          </w:tcPr>
          <w:p w14:paraId="1090FBEC">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安全生产费</w:t>
            </w:r>
          </w:p>
        </w:tc>
        <w:tc>
          <w:tcPr>
            <w:tcW w:w="7189" w:type="dxa"/>
            <w:vAlign w:val="center"/>
          </w:tcPr>
          <w:p w14:paraId="1AC5FD65">
            <w:pPr>
              <w:pStyle w:val="267"/>
              <w:spacing w:line="400" w:lineRule="exact"/>
              <w:ind w:left="113" w:leftChars="0" w:right="86" w:rightChars="0"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7084.00元</w:t>
            </w:r>
          </w:p>
        </w:tc>
      </w:tr>
      <w:tr w14:paraId="565C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285A50DC">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3.2.6</w:t>
            </w:r>
          </w:p>
        </w:tc>
        <w:tc>
          <w:tcPr>
            <w:tcW w:w="1500" w:type="dxa"/>
            <w:vAlign w:val="center"/>
          </w:tcPr>
          <w:p w14:paraId="2FFA7839">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是否接受调价函</w:t>
            </w:r>
          </w:p>
        </w:tc>
        <w:tc>
          <w:tcPr>
            <w:tcW w:w="7189" w:type="dxa"/>
            <w:vAlign w:val="center"/>
          </w:tcPr>
          <w:p w14:paraId="618AC274">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否</w:t>
            </w:r>
          </w:p>
        </w:tc>
      </w:tr>
      <w:tr w14:paraId="049A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0CA7EF6C">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3.2.8</w:t>
            </w:r>
          </w:p>
        </w:tc>
        <w:tc>
          <w:tcPr>
            <w:tcW w:w="1500" w:type="dxa"/>
            <w:vAlign w:val="center"/>
          </w:tcPr>
          <w:p w14:paraId="24FF6D38">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最高投标限价</w:t>
            </w:r>
          </w:p>
        </w:tc>
        <w:tc>
          <w:tcPr>
            <w:tcW w:w="7189" w:type="dxa"/>
            <w:vAlign w:val="center"/>
          </w:tcPr>
          <w:p w14:paraId="31CFC8A4">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有，最高投标限价：</w:t>
            </w:r>
            <w:r>
              <w:rPr>
                <w:rFonts w:hint="eastAsia" w:ascii="宋体" w:hAnsi="宋体" w:cs="宋体"/>
                <w:color w:val="auto"/>
                <w:kern w:val="0"/>
                <w:szCs w:val="21"/>
                <w:highlight w:val="none"/>
                <w:u w:val="single"/>
                <w:lang w:val="en-US" w:eastAsia="zh-CN" w:bidi="ar"/>
              </w:rPr>
              <w:t>481225元（大写肆拾捌万壹仟贰佰贰拾伍 ）</w:t>
            </w:r>
          </w:p>
        </w:tc>
      </w:tr>
      <w:tr w14:paraId="6320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5D06E890">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3.2.9</w:t>
            </w:r>
          </w:p>
        </w:tc>
        <w:tc>
          <w:tcPr>
            <w:tcW w:w="1500" w:type="dxa"/>
            <w:vAlign w:val="center"/>
          </w:tcPr>
          <w:p w14:paraId="4813ADC3">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投标报价的其他要求</w:t>
            </w:r>
          </w:p>
        </w:tc>
        <w:tc>
          <w:tcPr>
            <w:tcW w:w="7189" w:type="dxa"/>
            <w:vAlign w:val="center"/>
          </w:tcPr>
          <w:p w14:paraId="3A3A44C7">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有，具体要求为：</w:t>
            </w:r>
          </w:p>
          <w:p w14:paraId="2A0DFF48">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将公布投标总报价最高限价及各清单子目单价最高限价。</w:t>
            </w:r>
          </w:p>
          <w:p w14:paraId="61021BE0">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投标人的投标总报价不应高于投标总报价最高限价，否则由评标委员会作否决投标处理；</w:t>
            </w:r>
          </w:p>
          <w:p w14:paraId="1B57DB7D">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投标人投标报价中的各清单子目单价不应高于各清单子目单价最高限价。</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在合同签订前将对中标人“已标价工程量清单”进行复核，若出现差错则按以下原则进行处理（或结算）：</w:t>
            </w:r>
          </w:p>
          <w:p w14:paraId="02F018AD">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汇总计算结果与投标函总报价不一致时，按就低不就高原则进行修正，即：汇总计算结果高于投标函总报价则以投标函总报价为准，按汇总计算结果与投标函总报价相比的降低幅度同比例修正分项报价和各清单子目单价； 汇总计算结果低于投标函总报价则以分部分项工程量清单报价汇总计算结果为准进行签约或结算；</w:t>
            </w:r>
          </w:p>
          <w:p w14:paraId="79F776E3">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（2）依据单价和数量计算结果与其合价不符的，按不利于投标人原则（就低不就高）对其单价和合价进行修正。</w:t>
            </w:r>
          </w:p>
          <w:p w14:paraId="08CE0176">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（3）单价报价超过工程量清单综合单价最高限价的，以工程量清单综合单价最高限价为基础，按照中标总报价与总价最高限价的下浮比例进行同比例下调修正其单价和合价。</w:t>
            </w:r>
          </w:p>
          <w:p w14:paraId="3A2B7727">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（4）工程量清单漏项的，按该项单价为0进行修正（即视为该项工作内容的报价已包括在其他项目报价内），超出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提供的工程量清单范围的清单项目报价不予认可，按该清单项目报价为0对其单价和合价进行修正。</w:t>
            </w:r>
          </w:p>
          <w:p w14:paraId="6BB60DE2">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投标人须在投标文件资格审查部分提供承诺（格式详见第九章投标文件格式），并包括以下内容：</w:t>
            </w:r>
          </w:p>
          <w:p w14:paraId="7FEF6804">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（1）按照第五章“工程量清单”、第八章“工程量清单计量规则”的规定进行报价。</w:t>
            </w:r>
          </w:p>
          <w:p w14:paraId="6CA1560D">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（2）招标文件中规定工程量清单不允许修改的内容不得修改。</w:t>
            </w:r>
          </w:p>
          <w:p w14:paraId="037C3F7B">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（3）投标总报价不高于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公布的投标总报价最高限价。</w:t>
            </w:r>
          </w:p>
          <w:p w14:paraId="499EA8E5">
            <w:pPr>
              <w:pStyle w:val="2"/>
              <w:spacing w:after="0"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（4）各清单子目单价不高于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公布的各清单子目单价最高限价的。</w:t>
            </w:r>
          </w:p>
          <w:p w14:paraId="2D61888D">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rPr>
              <w:t>5</w:t>
            </w:r>
            <w:r>
              <w:rPr>
                <w:rFonts w:hint="eastAsia" w:ascii="宋体" w:hAnsi="宋体" w:cs="宋体"/>
                <w:color w:val="auto"/>
                <w:szCs w:val="21"/>
                <w:highlight w:val="none"/>
              </w:rPr>
              <w:t>）若出现差错，按招标文件第二章投标人须知前附表第3.2.9项规定的原则进行处理（或结算）。</w:t>
            </w:r>
          </w:p>
          <w:p w14:paraId="4A59E7D1">
            <w:pPr>
              <w:pStyle w:val="2"/>
              <w:spacing w:after="0"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投标人未按上述要求提供承诺函的，由评标委员会作否决投标处理。</w:t>
            </w:r>
          </w:p>
        </w:tc>
      </w:tr>
      <w:tr w14:paraId="20E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14:paraId="2FC9A1F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3.3.1</w:t>
            </w:r>
          </w:p>
        </w:tc>
        <w:tc>
          <w:tcPr>
            <w:tcW w:w="1500" w:type="dxa"/>
            <w:vAlign w:val="center"/>
          </w:tcPr>
          <w:p w14:paraId="5F66B0A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7189" w:type="dxa"/>
            <w:vAlign w:val="center"/>
          </w:tcPr>
          <w:p w14:paraId="159A3BBE">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u w:val="single"/>
              </w:rPr>
              <w:t>90</w:t>
            </w:r>
            <w:r>
              <w:rPr>
                <w:rFonts w:hint="eastAsia" w:ascii="宋体" w:hAnsi="宋体" w:eastAsia="宋体" w:cs="宋体"/>
                <w:color w:val="auto"/>
                <w:szCs w:val="21"/>
              </w:rPr>
              <w:t>日历天（从提交投标文件截止日起计算）</w:t>
            </w:r>
          </w:p>
        </w:tc>
      </w:tr>
      <w:tr w14:paraId="18AA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14B9FF0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3.4.1</w:t>
            </w:r>
          </w:p>
        </w:tc>
        <w:tc>
          <w:tcPr>
            <w:tcW w:w="1500" w:type="dxa"/>
            <w:vAlign w:val="center"/>
          </w:tcPr>
          <w:p w14:paraId="17BD4EC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投标保证金</w:t>
            </w:r>
          </w:p>
        </w:tc>
        <w:tc>
          <w:tcPr>
            <w:tcW w:w="7189" w:type="dxa"/>
            <w:vAlign w:val="center"/>
          </w:tcPr>
          <w:p w14:paraId="19C922DE">
            <w:pPr>
              <w:snapToGrid w:val="0"/>
              <w:spacing w:line="460" w:lineRule="exact"/>
              <w:ind w:firstLine="411" w:firstLineChars="196"/>
              <w:rPr>
                <w:rFonts w:ascii="宋体" w:hAnsi="宋体" w:cs="宋体"/>
                <w:color w:val="auto"/>
                <w:kern w:val="0"/>
                <w:szCs w:val="21"/>
              </w:rPr>
            </w:pPr>
            <w:r>
              <w:rPr>
                <w:rFonts w:hint="eastAsia" w:ascii="宋体" w:hAnsi="宋体" w:cs="宋体"/>
                <w:color w:val="auto"/>
                <w:kern w:val="0"/>
                <w:szCs w:val="21"/>
                <w:lang w:eastAsia="zh-CN"/>
              </w:rPr>
              <w:t>1.</w:t>
            </w:r>
            <w:r>
              <w:rPr>
                <w:rFonts w:hint="eastAsia" w:ascii="宋体" w:hAnsi="宋体" w:cs="宋体"/>
                <w:color w:val="auto"/>
                <w:kern w:val="0"/>
                <w:szCs w:val="21"/>
              </w:rPr>
              <w:t>投标保证金交纳方式：投标保证金以现金方式在递交投标文件时现场交纳，投标保证金交纳截止时间与投标截止时间一致。</w:t>
            </w:r>
          </w:p>
          <w:p w14:paraId="2A3F4D5D">
            <w:pPr>
              <w:snapToGrid w:val="0"/>
              <w:spacing w:line="460" w:lineRule="exact"/>
              <w:rPr>
                <w:rFonts w:ascii="宋体" w:hAnsi="宋体" w:cs="宋体"/>
                <w:snapToGrid w:val="0"/>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lang w:eastAsia="zh-CN"/>
              </w:rPr>
              <w:t>2.</w:t>
            </w:r>
            <w:r>
              <w:rPr>
                <w:rFonts w:hint="eastAsia" w:ascii="宋体" w:hAnsi="宋体" w:cs="宋体"/>
                <w:color w:val="auto"/>
                <w:kern w:val="0"/>
                <w:szCs w:val="21"/>
              </w:rPr>
              <w:t>投标保证金的金额：人民币</w:t>
            </w:r>
            <w:r>
              <w:rPr>
                <w:rFonts w:hint="eastAsia" w:ascii="宋体" w:hAnsi="宋体" w:cs="宋体"/>
                <w:b/>
                <w:bCs/>
                <w:color w:val="auto"/>
                <w:kern w:val="0"/>
                <w:szCs w:val="21"/>
                <w:u w:val="single"/>
                <w:lang w:val="en-US" w:eastAsia="zh-CN"/>
              </w:rPr>
              <w:t>9600</w:t>
            </w:r>
            <w:r>
              <w:rPr>
                <w:rFonts w:hint="eastAsia" w:ascii="宋体" w:hAnsi="宋体" w:cs="宋体"/>
                <w:snapToGrid w:val="0"/>
                <w:color w:val="auto"/>
                <w:kern w:val="0"/>
                <w:szCs w:val="21"/>
              </w:rPr>
              <w:t>元整（大写：</w:t>
            </w:r>
            <w:r>
              <w:rPr>
                <w:rFonts w:hint="eastAsia" w:ascii="宋体" w:hAnsi="宋体" w:cs="宋体"/>
                <w:snapToGrid w:val="0"/>
                <w:color w:val="auto"/>
                <w:kern w:val="0"/>
                <w:szCs w:val="21"/>
                <w:lang w:eastAsia="zh-CN"/>
              </w:rPr>
              <w:t>玖仟陆佰元整</w:t>
            </w:r>
            <w:r>
              <w:rPr>
                <w:rFonts w:hint="eastAsia" w:ascii="宋体" w:hAnsi="宋体" w:cs="宋体"/>
                <w:snapToGrid w:val="0"/>
                <w:color w:val="auto"/>
                <w:kern w:val="0"/>
                <w:szCs w:val="21"/>
              </w:rPr>
              <w:t>）。</w:t>
            </w:r>
          </w:p>
          <w:p w14:paraId="63AE3F08">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3.</w:t>
            </w:r>
            <w:r>
              <w:rPr>
                <w:rFonts w:hint="eastAsia" w:ascii="宋体" w:hAnsi="宋体" w:cs="宋体"/>
                <w:color w:val="auto"/>
                <w:szCs w:val="21"/>
              </w:rPr>
              <w:t>投标保证金有效期与投标有效期一致。</w:t>
            </w:r>
          </w:p>
          <w:p w14:paraId="4C7832F8">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4.</w:t>
            </w:r>
            <w:r>
              <w:rPr>
                <w:rFonts w:hint="eastAsia" w:ascii="宋体" w:hAnsi="宋体" w:cs="宋体"/>
                <w:color w:val="auto"/>
                <w:kern w:val="0"/>
                <w:szCs w:val="21"/>
              </w:rPr>
              <w:t>投标保证金的退还。</w:t>
            </w:r>
          </w:p>
          <w:p w14:paraId="52E38984">
            <w:pPr>
              <w:snapToGrid w:val="0"/>
              <w:spacing w:line="460" w:lineRule="exact"/>
              <w:ind w:firstLine="210" w:firstLineChars="10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rPr>
              <w:t>未中标的</w:t>
            </w:r>
            <w:r>
              <w:rPr>
                <w:rFonts w:hint="eastAsia" w:ascii="宋体" w:hAnsi="宋体" w:cs="宋体"/>
                <w:color w:val="auto"/>
                <w:kern w:val="0"/>
                <w:szCs w:val="21"/>
              </w:rPr>
              <w:t>投标人的投标保证金在评标结束后当场退还。</w:t>
            </w:r>
          </w:p>
          <w:p w14:paraId="289EDDF3">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比选人应当在法定时间内和中标人签订合同。比选人应当在合同生效后2个工作日内向中标人退还投标保证金</w:t>
            </w:r>
            <w:r>
              <w:rPr>
                <w:rFonts w:hint="eastAsia" w:ascii="宋体" w:hAnsi="宋体" w:cs="宋体"/>
                <w:color w:val="auto"/>
                <w:kern w:val="0"/>
                <w:szCs w:val="21"/>
              </w:rPr>
              <w:t>。</w:t>
            </w:r>
          </w:p>
          <w:p w14:paraId="01BB6972">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bCs/>
                <w:color w:val="auto"/>
                <w:kern w:val="0"/>
                <w:szCs w:val="21"/>
              </w:rPr>
            </w:pPr>
            <w:r>
              <w:rPr>
                <w:rFonts w:hint="eastAsia" w:ascii="宋体" w:hAnsi="宋体" w:eastAsia="宋体" w:cs="宋体"/>
                <w:bCs/>
                <w:snapToGrid w:val="0"/>
                <w:color w:val="auto"/>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14:paraId="0ACB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B123236">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3.6</w:t>
            </w:r>
            <w:r>
              <w:rPr>
                <w:rFonts w:hint="eastAsia" w:ascii="宋体" w:hAnsi="宋体" w:cs="宋体"/>
                <w:color w:val="auto"/>
                <w:kern w:val="0"/>
                <w:szCs w:val="21"/>
                <w:lang w:val="en-US" w:eastAsia="zh-CN"/>
              </w:rPr>
              <w:t>.1</w:t>
            </w:r>
          </w:p>
        </w:tc>
        <w:tc>
          <w:tcPr>
            <w:tcW w:w="1500" w:type="dxa"/>
            <w:vAlign w:val="center"/>
          </w:tcPr>
          <w:p w14:paraId="1A40E1F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是否允许递交备选投标方案</w:t>
            </w:r>
          </w:p>
        </w:tc>
        <w:tc>
          <w:tcPr>
            <w:tcW w:w="7189" w:type="dxa"/>
            <w:vAlign w:val="center"/>
          </w:tcPr>
          <w:p w14:paraId="4EFDBC57">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不允许</w:t>
            </w:r>
          </w:p>
        </w:tc>
      </w:tr>
      <w:tr w14:paraId="4DB5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49D2551">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3.7.3</w:t>
            </w:r>
          </w:p>
        </w:tc>
        <w:tc>
          <w:tcPr>
            <w:tcW w:w="1500" w:type="dxa"/>
            <w:vAlign w:val="center"/>
          </w:tcPr>
          <w:p w14:paraId="4DA34050">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签字或盖章要求</w:t>
            </w:r>
          </w:p>
        </w:tc>
        <w:tc>
          <w:tcPr>
            <w:tcW w:w="7189" w:type="dxa"/>
            <w:vAlign w:val="center"/>
          </w:tcPr>
          <w:p w14:paraId="0A4E7DCD">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14:paraId="2623FB97">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rPr>
              <w:t>未按上述规定执行的，交由评标委员会作否决投标处理。</w:t>
            </w:r>
          </w:p>
        </w:tc>
      </w:tr>
      <w:tr w14:paraId="40E3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14:paraId="13E9E6B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3.7.4</w:t>
            </w:r>
          </w:p>
        </w:tc>
        <w:tc>
          <w:tcPr>
            <w:tcW w:w="1500" w:type="dxa"/>
            <w:vAlign w:val="center"/>
          </w:tcPr>
          <w:p w14:paraId="08FCF89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投标文件的份数</w:t>
            </w:r>
          </w:p>
        </w:tc>
        <w:tc>
          <w:tcPr>
            <w:tcW w:w="7189" w:type="dxa"/>
            <w:vAlign w:val="center"/>
          </w:tcPr>
          <w:p w14:paraId="6590DD61">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投标文件正本1份、副本2份，电子版形式（光盘）1份。当副本和正本不一致时，以正本为准。否则由评标委员会作否决投标处理。</w:t>
            </w:r>
          </w:p>
          <w:p w14:paraId="26767368">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电子版形式（光盘）中的经济部分：应包含经济部分全部excel格式预算表格，工程量清单综合单价分析表无须装订入投标文件纸质版中，但清单项目的综合单价分析表（excel格式）必须刻入光盘中。</w:t>
            </w:r>
          </w:p>
          <w:p w14:paraId="6F96977A">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注：在核发中标通知书时，中标人应另外补充一式 6 份投标文件（除需增加的工程量清单综合单价分析表外，其他内容必须与投标时提交的投标文件相一致）。</w:t>
            </w:r>
          </w:p>
        </w:tc>
      </w:tr>
      <w:tr w14:paraId="4996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08A591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3.7.5</w:t>
            </w:r>
          </w:p>
        </w:tc>
        <w:tc>
          <w:tcPr>
            <w:tcW w:w="1500" w:type="dxa"/>
            <w:vAlign w:val="center"/>
          </w:tcPr>
          <w:p w14:paraId="56DFA926">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装订要求</w:t>
            </w:r>
          </w:p>
        </w:tc>
        <w:tc>
          <w:tcPr>
            <w:tcW w:w="7189" w:type="dxa"/>
            <w:vAlign w:val="center"/>
          </w:tcPr>
          <w:p w14:paraId="53DEC348">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1.本工程应将投标函部分、经济部分、资格审查部分各自分别装订成册。</w:t>
            </w:r>
          </w:p>
          <w:p w14:paraId="0941082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2.装订</w:t>
            </w:r>
          </w:p>
          <w:p w14:paraId="31DE892A">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（1）投标函部分的装订要求</w:t>
            </w:r>
          </w:p>
          <w:p w14:paraId="1AF11925">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14:paraId="275383E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）经济部分的装订要求</w:t>
            </w:r>
          </w:p>
          <w:p w14:paraId="3A43DF6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14:paraId="0468D3B5">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）资格审查部分的装订要求</w:t>
            </w:r>
          </w:p>
          <w:p w14:paraId="51F9873D">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tc>
      </w:tr>
      <w:tr w14:paraId="7011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14:paraId="5D24E697">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4.1.1</w:t>
            </w:r>
          </w:p>
        </w:tc>
        <w:tc>
          <w:tcPr>
            <w:tcW w:w="1500" w:type="dxa"/>
            <w:vAlign w:val="center"/>
          </w:tcPr>
          <w:p w14:paraId="3B6F7FE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投标文件的密封</w:t>
            </w:r>
          </w:p>
        </w:tc>
        <w:tc>
          <w:tcPr>
            <w:tcW w:w="7189" w:type="dxa"/>
            <w:vAlign w:val="center"/>
          </w:tcPr>
          <w:p w14:paraId="132B99AE">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 投标文件袋使用“投标保函部分”袋（如有）、“投标函部分”袋、“经济部分”袋、“技术部分”袋（如有）、“资格审查部分”袋以及“投标文件”大袋。</w:t>
            </w:r>
          </w:p>
          <w:p w14:paraId="6AC1C3EF">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r>
              <w:rPr>
                <w:rFonts w:hint="eastAsia" w:ascii="宋体" w:hAnsi="宋体" w:cs="宋体"/>
                <w:color w:val="auto"/>
                <w:szCs w:val="21"/>
                <w:lang w:eastAsia="zh-CN"/>
              </w:rPr>
              <w:t>]</w:t>
            </w:r>
          </w:p>
          <w:p w14:paraId="1189A7E9">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 投标函部分和电子版形式（光盘）装入“投标函部分”袋中，密封并在袋上加盖投标人单位法人章。</w:t>
            </w:r>
          </w:p>
          <w:p w14:paraId="4199BBB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 经济部分装入“经济部分”袋中，密封并在袋上加盖投标人单位法人章。</w:t>
            </w:r>
          </w:p>
          <w:p w14:paraId="05721643">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资格审查部分装入“资格审查部分”袋中，密封并在袋上加盖投标人单位法人章。</w:t>
            </w:r>
          </w:p>
          <w:p w14:paraId="3A3E3384">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“投标函部分</w:t>
            </w:r>
            <w:r>
              <w:rPr>
                <w:rFonts w:hint="eastAsia" w:ascii="宋体" w:hAnsi="宋体" w:cs="宋体"/>
                <w:color w:val="auto"/>
                <w:szCs w:val="21"/>
                <w:lang w:eastAsia="zh-CN"/>
              </w:rPr>
              <w:t>”“</w:t>
            </w:r>
            <w:r>
              <w:rPr>
                <w:rFonts w:hint="eastAsia" w:ascii="宋体" w:hAnsi="宋体" w:eastAsia="宋体" w:cs="宋体"/>
                <w:color w:val="auto"/>
                <w:szCs w:val="21"/>
              </w:rPr>
              <w:t>经济部分</w:t>
            </w:r>
            <w:r>
              <w:rPr>
                <w:rFonts w:hint="eastAsia" w:ascii="宋体" w:hAnsi="宋体" w:cs="宋体"/>
                <w:color w:val="auto"/>
                <w:szCs w:val="21"/>
                <w:lang w:eastAsia="zh-CN"/>
              </w:rPr>
              <w:t>”“</w:t>
            </w:r>
            <w:r>
              <w:rPr>
                <w:rFonts w:hint="eastAsia" w:ascii="宋体" w:hAnsi="宋体" w:eastAsia="宋体" w:cs="宋体"/>
                <w:color w:val="auto"/>
                <w:szCs w:val="21"/>
              </w:rPr>
              <w:t>资格审查部分”等小袋装入“投标文件”大袋中，密封并在大袋上加盖投标人单位法人章，同时“投标文件”大袋应按本表第4.1.2项的规定写明相应内容。一个大袋装不下的，可使用多个大袋分册封装。大袋未按要求密封的，</w:t>
            </w:r>
            <w:r>
              <w:rPr>
                <w:rFonts w:hint="eastAsia" w:ascii="宋体" w:hAnsi="宋体" w:cs="宋体"/>
                <w:color w:val="auto"/>
                <w:szCs w:val="21"/>
                <w:lang w:eastAsia="zh-CN"/>
              </w:rPr>
              <w:t>招标人</w:t>
            </w:r>
            <w:r>
              <w:rPr>
                <w:rFonts w:hint="eastAsia" w:ascii="宋体" w:hAnsi="宋体" w:eastAsia="宋体" w:cs="宋体"/>
                <w:color w:val="auto"/>
                <w:szCs w:val="21"/>
              </w:rPr>
              <w:t>或代理机构应该拒收。</w:t>
            </w:r>
          </w:p>
          <w:p w14:paraId="74AA2212">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注：“投标函部分”袋、“经济部分”袋、“资格审查部分”袋只为方便投标文件分装，不作为判定密封合格与否的条件。但为了方便开标，请各投标人主动配合，按要求分装。</w:t>
            </w:r>
          </w:p>
        </w:tc>
      </w:tr>
      <w:tr w14:paraId="1CAC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215ED9E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4.1.2</w:t>
            </w:r>
          </w:p>
        </w:tc>
        <w:tc>
          <w:tcPr>
            <w:tcW w:w="1500" w:type="dxa"/>
            <w:vAlign w:val="center"/>
          </w:tcPr>
          <w:p w14:paraId="389F041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189" w:type="dxa"/>
            <w:vAlign w:val="center"/>
          </w:tcPr>
          <w:p w14:paraId="27003C76">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应在“投标文件”大袋封套上写明如下内容：</w:t>
            </w:r>
          </w:p>
          <w:p w14:paraId="1712CD16">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u w:val="single"/>
                <w:lang w:val="en-US" w:eastAsia="zh-CN"/>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名称：</w:t>
            </w:r>
            <w:r>
              <w:rPr>
                <w:rFonts w:hint="eastAsia" w:ascii="宋体" w:hAnsi="宋体" w:eastAsia="宋体" w:cs="宋体"/>
                <w:snapToGrid w:val="0"/>
                <w:color w:val="auto"/>
                <w:kern w:val="0"/>
                <w:u w:val="single"/>
                <w:lang w:val="en-US" w:eastAsia="zh-CN"/>
              </w:rPr>
              <w:t xml:space="preserve">             </w:t>
            </w:r>
          </w:p>
          <w:p w14:paraId="3A64ABC9">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14:paraId="0CB2E17C">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投标文件</w:t>
            </w:r>
          </w:p>
          <w:p w14:paraId="205E84D5">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14:paraId="16D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BB510E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4.2.2</w:t>
            </w:r>
          </w:p>
        </w:tc>
        <w:tc>
          <w:tcPr>
            <w:tcW w:w="1500" w:type="dxa"/>
            <w:vAlign w:val="center"/>
          </w:tcPr>
          <w:p w14:paraId="20EB6FA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递交投标文件的地点</w:t>
            </w:r>
          </w:p>
        </w:tc>
        <w:tc>
          <w:tcPr>
            <w:tcW w:w="7189" w:type="dxa"/>
            <w:vAlign w:val="center"/>
          </w:tcPr>
          <w:p w14:paraId="3D9F532A">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重庆市铜梁区福果镇人民政府</w:t>
            </w:r>
            <w:r>
              <w:rPr>
                <w:rFonts w:hint="eastAsia" w:ascii="宋体" w:hAnsi="宋体" w:eastAsia="宋体" w:cs="宋体"/>
                <w:color w:val="auto"/>
                <w:kern w:val="0"/>
                <w:szCs w:val="21"/>
                <w:lang w:eastAsia="zh-CN"/>
              </w:rPr>
              <w:t>会议室</w:t>
            </w:r>
          </w:p>
        </w:tc>
      </w:tr>
      <w:tr w14:paraId="0F29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658CC5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4.2.3</w:t>
            </w:r>
          </w:p>
        </w:tc>
        <w:tc>
          <w:tcPr>
            <w:tcW w:w="1500" w:type="dxa"/>
            <w:vAlign w:val="center"/>
          </w:tcPr>
          <w:p w14:paraId="4FFD1AEE">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是否退还投标文件</w:t>
            </w:r>
          </w:p>
        </w:tc>
        <w:tc>
          <w:tcPr>
            <w:tcW w:w="7189" w:type="dxa"/>
            <w:vAlign w:val="center"/>
          </w:tcPr>
          <w:p w14:paraId="452D1265">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否</w:t>
            </w:r>
          </w:p>
        </w:tc>
      </w:tr>
      <w:tr w14:paraId="63A2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05FDC74">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5.1</w:t>
            </w:r>
            <w:r>
              <w:rPr>
                <w:rFonts w:hint="eastAsia" w:ascii="宋体" w:hAnsi="宋体" w:cs="宋体"/>
                <w:color w:val="auto"/>
                <w:kern w:val="0"/>
                <w:szCs w:val="21"/>
                <w:lang w:val="en-US" w:eastAsia="zh-CN"/>
              </w:rPr>
              <w:t>.1</w:t>
            </w:r>
          </w:p>
        </w:tc>
        <w:tc>
          <w:tcPr>
            <w:tcW w:w="1500" w:type="dxa"/>
            <w:vAlign w:val="center"/>
          </w:tcPr>
          <w:p w14:paraId="22B0A78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开标时间和地点</w:t>
            </w:r>
          </w:p>
        </w:tc>
        <w:tc>
          <w:tcPr>
            <w:tcW w:w="7189" w:type="dxa"/>
            <w:vAlign w:val="center"/>
          </w:tcPr>
          <w:p w14:paraId="69C0CEA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开标时间：同投标截止时间</w:t>
            </w:r>
          </w:p>
          <w:p w14:paraId="7053C194">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u w:val="single"/>
              </w:rPr>
            </w:pPr>
            <w:r>
              <w:rPr>
                <w:rFonts w:hint="eastAsia" w:ascii="宋体" w:hAnsi="宋体" w:eastAsia="宋体" w:cs="宋体"/>
                <w:color w:val="auto"/>
                <w:kern w:val="0"/>
                <w:szCs w:val="21"/>
              </w:rPr>
              <w:t>开标地点：</w:t>
            </w:r>
            <w:r>
              <w:rPr>
                <w:rFonts w:hint="eastAsia" w:ascii="宋体" w:hAnsi="宋体" w:cs="宋体"/>
                <w:snapToGrid w:val="0"/>
                <w:color w:val="auto"/>
                <w:kern w:val="0"/>
                <w:szCs w:val="21"/>
                <w:lang w:eastAsia="zh-CN"/>
              </w:rPr>
              <w:t>重庆市铜梁区福果镇人民政府</w:t>
            </w:r>
            <w:r>
              <w:rPr>
                <w:rFonts w:hint="eastAsia" w:ascii="宋体" w:hAnsi="宋体" w:eastAsia="宋体" w:cs="宋体"/>
                <w:snapToGrid w:val="0"/>
                <w:color w:val="auto"/>
                <w:kern w:val="0"/>
                <w:szCs w:val="21"/>
                <w:lang w:eastAsia="zh-CN"/>
              </w:rPr>
              <w:t>会议室</w:t>
            </w:r>
          </w:p>
        </w:tc>
      </w:tr>
      <w:tr w14:paraId="6138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B64FAD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500" w:type="dxa"/>
            <w:vAlign w:val="center"/>
          </w:tcPr>
          <w:p w14:paraId="7149712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开标程序</w:t>
            </w:r>
          </w:p>
        </w:tc>
        <w:tc>
          <w:tcPr>
            <w:tcW w:w="7189" w:type="dxa"/>
            <w:vAlign w:val="center"/>
          </w:tcPr>
          <w:p w14:paraId="2D0A5456">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主持人按下列程序进行开标：</w:t>
            </w:r>
          </w:p>
          <w:p w14:paraId="41A2F65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核验参加开标会议的投标人的法定代表人或委托代理人本人身份证（原件），核验委托代理人的授权委托书、养老保险证明材料复印件，以确认其身份合法有效；若经核实委托代理人提</w:t>
            </w:r>
            <w:r>
              <w:rPr>
                <w:rFonts w:hint="eastAsia" w:ascii="宋体" w:hAnsi="宋体" w:cs="宋体"/>
                <w:color w:val="auto"/>
                <w:szCs w:val="21"/>
                <w:lang w:eastAsia="zh-CN"/>
              </w:rPr>
              <w:t>供的</w:t>
            </w:r>
            <w:r>
              <w:rPr>
                <w:rFonts w:hint="eastAsia" w:ascii="宋体" w:hAnsi="宋体" w:eastAsia="宋体" w:cs="宋体"/>
                <w:color w:val="auto"/>
                <w:szCs w:val="21"/>
              </w:rPr>
              <w:t>资料与实际不符的，不得参加开标会。核验合格的法定代表人或委托代理人可自行选择是否参加开标会，不参加开标会的视为默认开标结果。</w:t>
            </w:r>
          </w:p>
          <w:p w14:paraId="34D213E0">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宣布开标纪律。</w:t>
            </w:r>
          </w:p>
          <w:p w14:paraId="298AE04C">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宣布开标人、唱标人、记录人、监标人等有关人员姓名。</w:t>
            </w:r>
          </w:p>
          <w:p w14:paraId="4051BE0A">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 公布在投标截止时间前递交投标文件的投标人名称。</w:t>
            </w:r>
          </w:p>
          <w:p w14:paraId="12BDE6FB">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 投标文件的密封检查：投标人可对自己的投标文件封装情况进行检查，以确认其投标文件密封完好。</w:t>
            </w:r>
          </w:p>
          <w:p w14:paraId="1DA4C889">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 汇总投标保证金交纳情况</w:t>
            </w:r>
          </w:p>
          <w:p w14:paraId="0BD590D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 公布最高限价。</w:t>
            </w:r>
          </w:p>
          <w:p w14:paraId="336C03E7">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 逐单位随机开启投标文件。开启投标文件大袋及投标函部分袋、经济部分袋、资格审查部分袋；公布投标人名称、投标报价、质量要求、工期及其他内容并记录在案。</w:t>
            </w:r>
          </w:p>
          <w:p w14:paraId="51B32E0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lang w:val="en-US" w:eastAsia="zh-CN"/>
              </w:rPr>
              <w:t>.</w:t>
            </w:r>
            <w:r>
              <w:rPr>
                <w:rFonts w:hint="eastAsia" w:ascii="宋体" w:hAnsi="宋体" w:eastAsia="宋体" w:cs="宋体"/>
                <w:color w:val="auto"/>
                <w:szCs w:val="21"/>
              </w:rPr>
              <w:t xml:space="preserve"> 投标人对开标有异议的，应当场提出，由</w:t>
            </w:r>
            <w:r>
              <w:rPr>
                <w:rFonts w:hint="eastAsia" w:ascii="宋体" w:hAnsi="宋体" w:cs="宋体"/>
                <w:color w:val="auto"/>
                <w:szCs w:val="21"/>
                <w:lang w:eastAsia="zh-CN"/>
              </w:rPr>
              <w:t>招标人</w:t>
            </w:r>
            <w:r>
              <w:rPr>
                <w:rFonts w:hint="eastAsia" w:ascii="宋体" w:hAnsi="宋体" w:eastAsia="宋体" w:cs="宋体"/>
                <w:color w:val="auto"/>
                <w:szCs w:val="21"/>
              </w:rPr>
              <w:t>或代理机构当场答复，并记录到开标记录表中。异议处理完毕后，汇总开标情况，打印开标记录表。</w:t>
            </w:r>
          </w:p>
          <w:p w14:paraId="03244EC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 投标人代表、</w:t>
            </w:r>
            <w:r>
              <w:rPr>
                <w:rFonts w:hint="eastAsia" w:ascii="宋体" w:hAnsi="宋体" w:cs="宋体"/>
                <w:color w:val="auto"/>
                <w:szCs w:val="21"/>
                <w:lang w:val="en-US" w:eastAsia="zh-CN"/>
              </w:rPr>
              <w:t>招标人</w:t>
            </w:r>
            <w:r>
              <w:rPr>
                <w:rFonts w:hint="eastAsia" w:ascii="宋体" w:hAnsi="宋体" w:eastAsia="宋体" w:cs="宋体"/>
                <w:color w:val="auto"/>
                <w:szCs w:val="21"/>
              </w:rPr>
              <w:t>代表、监标人、主持人、记录人等有关人员在开标记录上签名确认。因其他原因未能签名的，视为默认开标结果。</w:t>
            </w:r>
          </w:p>
          <w:p w14:paraId="3C8FB162">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开标记录表交由评标委员会评审。</w:t>
            </w:r>
          </w:p>
          <w:p w14:paraId="0A0B06BE">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11</w:t>
            </w:r>
            <w:r>
              <w:rPr>
                <w:rFonts w:hint="eastAsia" w:ascii="宋体" w:hAnsi="宋体" w:eastAsia="宋体" w:cs="宋体"/>
                <w:color w:val="auto"/>
                <w:szCs w:val="21"/>
              </w:rPr>
              <w:t>. 开标结束。</w:t>
            </w:r>
          </w:p>
        </w:tc>
      </w:tr>
      <w:tr w14:paraId="6221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37A49B52">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6.1</w:t>
            </w:r>
            <w:r>
              <w:rPr>
                <w:rFonts w:hint="eastAsia" w:ascii="宋体" w:hAnsi="宋体" w:cs="宋体"/>
                <w:color w:val="auto"/>
                <w:kern w:val="0"/>
                <w:szCs w:val="21"/>
                <w:lang w:val="en-US" w:eastAsia="zh-CN"/>
              </w:rPr>
              <w:t>.1</w:t>
            </w:r>
          </w:p>
        </w:tc>
        <w:tc>
          <w:tcPr>
            <w:tcW w:w="1500" w:type="dxa"/>
            <w:vAlign w:val="center"/>
          </w:tcPr>
          <w:p w14:paraId="7C2E589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评标委员会的组建</w:t>
            </w:r>
          </w:p>
        </w:tc>
        <w:tc>
          <w:tcPr>
            <w:tcW w:w="7189" w:type="dxa"/>
            <w:vAlign w:val="center"/>
          </w:tcPr>
          <w:p w14:paraId="4EDA4ED7">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1.</w:t>
            </w:r>
            <w:r>
              <w:rPr>
                <w:rFonts w:hint="eastAsia" w:ascii="宋体" w:hAnsi="宋体" w:eastAsia="宋体" w:cs="宋体"/>
                <w:color w:val="auto"/>
                <w:kern w:val="0"/>
                <w:szCs w:val="21"/>
              </w:rPr>
              <w:t>评标委员会构成：</w:t>
            </w:r>
            <w:r>
              <w:rPr>
                <w:rFonts w:hint="eastAsia" w:ascii="宋体" w:hAnsi="宋体" w:eastAsia="宋体" w:cs="宋体"/>
                <w:color w:val="auto"/>
                <w:kern w:val="0"/>
                <w:szCs w:val="21"/>
                <w:u w:val="single"/>
              </w:rPr>
              <w:t xml:space="preserve"> 3 </w:t>
            </w:r>
            <w:r>
              <w:rPr>
                <w:rFonts w:hint="eastAsia" w:ascii="宋体" w:hAnsi="宋体" w:eastAsia="宋体" w:cs="宋体"/>
                <w:color w:val="auto"/>
                <w:kern w:val="0"/>
                <w:szCs w:val="21"/>
              </w:rPr>
              <w:t>人；</w:t>
            </w:r>
          </w:p>
          <w:p w14:paraId="0780505D">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2.</w:t>
            </w:r>
            <w:r>
              <w:rPr>
                <w:rFonts w:hint="eastAsia" w:ascii="宋体" w:hAnsi="宋体" w:eastAsia="宋体" w:cs="宋体"/>
                <w:color w:val="auto"/>
                <w:kern w:val="0"/>
                <w:szCs w:val="21"/>
              </w:rPr>
              <w:t>评标专家确定方式：</w:t>
            </w:r>
            <w:r>
              <w:rPr>
                <w:rFonts w:hint="eastAsia" w:ascii="宋体" w:hAnsi="宋体" w:eastAsia="宋体" w:cs="宋体"/>
                <w:snapToGrid w:val="0"/>
                <w:color w:val="auto"/>
                <w:kern w:val="0"/>
                <w:szCs w:val="21"/>
              </w:rPr>
              <w:t>由</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依法组建</w:t>
            </w:r>
            <w:r>
              <w:rPr>
                <w:rFonts w:hint="eastAsia" w:ascii="宋体" w:hAnsi="宋体" w:eastAsia="宋体" w:cs="宋体"/>
                <w:color w:val="auto"/>
                <w:kern w:val="0"/>
                <w:szCs w:val="21"/>
              </w:rPr>
              <w:t>。</w:t>
            </w:r>
          </w:p>
        </w:tc>
      </w:tr>
      <w:tr w14:paraId="4CB3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30F883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1</w:t>
            </w:r>
          </w:p>
        </w:tc>
        <w:tc>
          <w:tcPr>
            <w:tcW w:w="1500" w:type="dxa"/>
            <w:vAlign w:val="center"/>
          </w:tcPr>
          <w:p w14:paraId="6E630816">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中标公示</w:t>
            </w:r>
          </w:p>
        </w:tc>
        <w:tc>
          <w:tcPr>
            <w:tcW w:w="7189" w:type="dxa"/>
            <w:vAlign w:val="center"/>
          </w:tcPr>
          <w:p w14:paraId="4CA7C48A">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cs="宋体"/>
                <w:color w:val="auto"/>
                <w:szCs w:val="21"/>
                <w:lang w:eastAsia="zh-CN"/>
              </w:rPr>
              <w:t>招标人</w:t>
            </w:r>
            <w:r>
              <w:rPr>
                <w:rFonts w:hint="eastAsia" w:ascii="宋体" w:hAnsi="宋体" w:eastAsia="宋体" w:cs="宋体"/>
                <w:color w:val="auto"/>
                <w:szCs w:val="21"/>
              </w:rPr>
              <w:t>在收到评标报告后3日内将评标结果在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color w:val="auto"/>
                <w:szCs w:val="21"/>
              </w:rPr>
              <w:t>进行公示，公示期为3日。为深化信息公开，接受社会监督，公示内容包括中标候选人名称、排序、投标报价、质量、工期。</w:t>
            </w:r>
          </w:p>
        </w:tc>
      </w:tr>
      <w:tr w14:paraId="61C9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70C8287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2</w:t>
            </w:r>
          </w:p>
        </w:tc>
        <w:tc>
          <w:tcPr>
            <w:tcW w:w="1500" w:type="dxa"/>
            <w:vAlign w:val="center"/>
          </w:tcPr>
          <w:p w14:paraId="5E6FFDC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是否授权评标委员会确定中标人</w:t>
            </w:r>
          </w:p>
        </w:tc>
        <w:tc>
          <w:tcPr>
            <w:tcW w:w="7189" w:type="dxa"/>
            <w:vAlign w:val="center"/>
          </w:tcPr>
          <w:p w14:paraId="47011D2C">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lang w:val="en-US"/>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w:t>
            </w:r>
            <w:r>
              <w:rPr>
                <w:rFonts w:hint="eastAsia" w:ascii="宋体" w:hAnsi="宋体"/>
                <w:color w:val="auto"/>
                <w:kern w:val="0"/>
                <w:szCs w:val="21"/>
              </w:rPr>
              <w:t>1~3</w:t>
            </w:r>
            <w:r>
              <w:rPr>
                <w:rFonts w:ascii="宋体" w:hAnsi="宋体"/>
                <w:color w:val="auto"/>
                <w:kern w:val="0"/>
                <w:szCs w:val="21"/>
              </w:rPr>
              <w:t>名为中标候选人。</w:t>
            </w:r>
          </w:p>
        </w:tc>
      </w:tr>
      <w:tr w14:paraId="0372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6D1C2F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3</w:t>
            </w:r>
          </w:p>
        </w:tc>
        <w:tc>
          <w:tcPr>
            <w:tcW w:w="1500" w:type="dxa"/>
            <w:vAlign w:val="center"/>
          </w:tcPr>
          <w:p w14:paraId="1CC127A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履约担保</w:t>
            </w:r>
          </w:p>
        </w:tc>
        <w:tc>
          <w:tcPr>
            <w:tcW w:w="7189" w:type="dxa"/>
            <w:vAlign w:val="center"/>
          </w:tcPr>
          <w:p w14:paraId="6F032C53">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1.担保形式：履约保证金</w:t>
            </w:r>
          </w:p>
          <w:p w14:paraId="2DFA4A98">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2.金额：</w:t>
            </w:r>
            <w:r>
              <w:rPr>
                <w:rFonts w:hint="eastAsia" w:ascii="宋体" w:hAnsi="宋体" w:eastAsia="宋体" w:cs="宋体"/>
                <w:color w:val="auto"/>
                <w:szCs w:val="21"/>
                <w:lang w:val="en-US" w:eastAsia="zh-CN"/>
              </w:rPr>
              <w:t>中标合同金额</w:t>
            </w:r>
            <w:r>
              <w:rPr>
                <w:rFonts w:hint="eastAsia" w:ascii="宋体" w:hAnsi="宋体" w:eastAsia="宋体" w:cs="宋体"/>
                <w:color w:val="auto"/>
                <w:szCs w:val="21"/>
                <w:lang w:val="en-US"/>
              </w:rPr>
              <w:t>的10%</w:t>
            </w:r>
          </w:p>
          <w:p w14:paraId="74557EF9">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rPr>
              <w:t>3.</w:t>
            </w:r>
            <w:r>
              <w:rPr>
                <w:rFonts w:hint="eastAsia" w:ascii="宋体" w:hAnsi="宋体" w:cs="宋体"/>
                <w:color w:val="auto"/>
                <w:szCs w:val="21"/>
                <w:lang w:val="en-US" w:eastAsia="zh-CN"/>
              </w:rPr>
              <w:t>提交方式：现金或履约保函或现金+履约保函的组合；采用履约保函形式的，保函必须为不可撤销且见索即付</w:t>
            </w:r>
          </w:p>
          <w:p w14:paraId="0C25250A">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4.缴纳时间：中标人收到中标通知书后5个工作日内且在合同签订前，提交至</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指定账户；若未按时提交，则视为中标人放弃中标。其投标保证金不予退还。给</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造成的损失超过投标保证金数额的，中标人还应当对超过部分予以赔偿。</w:t>
            </w:r>
          </w:p>
          <w:p w14:paraId="5F793408">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yellow"/>
                <w:lang w:val="en-US"/>
              </w:rPr>
            </w:pPr>
            <w:r>
              <w:rPr>
                <w:rFonts w:hint="eastAsia" w:ascii="宋体" w:hAnsi="宋体" w:eastAsia="宋体" w:cs="宋体"/>
                <w:color w:val="auto"/>
                <w:szCs w:val="21"/>
                <w:lang w:val="en-US"/>
              </w:rPr>
              <w:t>5.履约保证金的退还：</w:t>
            </w:r>
            <w:r>
              <w:rPr>
                <w:rFonts w:hint="eastAsia" w:ascii="宋体" w:hAnsi="宋体" w:cs="宋体"/>
                <w:color w:val="auto"/>
                <w:kern w:val="0"/>
                <w:szCs w:val="21"/>
              </w:rPr>
              <w:t>工程竣工验收合格后28日内一次性不计息返还。</w:t>
            </w:r>
          </w:p>
        </w:tc>
      </w:tr>
      <w:tr w14:paraId="62F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14:paraId="45FCA9D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lang w:eastAsia="zh-CN"/>
              </w:rPr>
            </w:pPr>
            <w:r>
              <w:rPr>
                <w:rFonts w:hint="eastAsia" w:ascii="宋体" w:hAnsi="宋体" w:cs="宋体"/>
                <w:b/>
                <w:color w:val="auto"/>
                <w:kern w:val="0"/>
                <w:szCs w:val="21"/>
                <w:lang w:val="en-US" w:eastAsia="zh-CN"/>
              </w:rPr>
              <w:t>8</w:t>
            </w:r>
          </w:p>
        </w:tc>
        <w:tc>
          <w:tcPr>
            <w:tcW w:w="8689" w:type="dxa"/>
            <w:gridSpan w:val="2"/>
            <w:vAlign w:val="center"/>
          </w:tcPr>
          <w:p w14:paraId="022490EB">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需要补充的其他内容</w:t>
            </w:r>
          </w:p>
        </w:tc>
      </w:tr>
      <w:tr w14:paraId="1C2A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2EC54816">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8.1</w:t>
            </w:r>
          </w:p>
        </w:tc>
        <w:tc>
          <w:tcPr>
            <w:tcW w:w="1500" w:type="dxa"/>
            <w:vAlign w:val="center"/>
          </w:tcPr>
          <w:p w14:paraId="717E271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工程款支付</w:t>
            </w:r>
          </w:p>
        </w:tc>
        <w:tc>
          <w:tcPr>
            <w:tcW w:w="7189" w:type="dxa"/>
            <w:vAlign w:val="center"/>
          </w:tcPr>
          <w:p w14:paraId="3B393002">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lang w:eastAsia="zh-CN"/>
              </w:rPr>
            </w:pPr>
            <w:r>
              <w:rPr>
                <w:rFonts w:hint="eastAsia" w:ascii="宋体" w:hAnsi="宋体" w:cs="宋体"/>
                <w:color w:val="auto"/>
                <w:szCs w:val="21"/>
                <w:lang w:eastAsia="zh-CN"/>
              </w:rPr>
              <w:t>本工程无预付款，竣工验收合格资金到位后支付至审定金额的97％，余下审定金额的3%作为工程质保金，缺陷责任期满后如无质量问题一次性无息付清。缺陷责任期为1年，从工程竣工验收合格之日起计算。</w:t>
            </w:r>
          </w:p>
        </w:tc>
      </w:tr>
      <w:tr w14:paraId="2F7A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35395389">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8.2</w:t>
            </w:r>
          </w:p>
        </w:tc>
        <w:tc>
          <w:tcPr>
            <w:tcW w:w="1500" w:type="dxa"/>
            <w:vAlign w:val="center"/>
          </w:tcPr>
          <w:p w14:paraId="3A66792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其他</w:t>
            </w:r>
          </w:p>
        </w:tc>
        <w:tc>
          <w:tcPr>
            <w:tcW w:w="7189" w:type="dxa"/>
            <w:vAlign w:val="center"/>
          </w:tcPr>
          <w:p w14:paraId="0D7CB3F5">
            <w:pPr>
              <w:pStyle w:val="64"/>
              <w:ind w:left="0" w:leftChars="0" w:firstLine="2100" w:firstLineChars="1000"/>
              <w:rPr>
                <w:rFonts w:hint="eastAsia" w:eastAsia="宋体"/>
                <w:color w:val="auto"/>
                <w:lang w:val="en-US" w:eastAsia="zh-CN"/>
              </w:rPr>
            </w:pPr>
            <w:r>
              <w:rPr>
                <w:rFonts w:hint="eastAsia"/>
                <w:color w:val="auto"/>
                <w:lang w:val="en-US" w:eastAsia="zh-CN"/>
              </w:rPr>
              <w:t>/</w:t>
            </w:r>
          </w:p>
        </w:tc>
      </w:tr>
      <w:tr w14:paraId="7970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62137496">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1"/>
                <w:szCs w:val="21"/>
                <w:lang w:val="en-US" w:eastAsia="zh-CN" w:bidi="ar-SA"/>
              </w:rPr>
            </w:pPr>
            <w:bookmarkStart w:id="34" w:name="_Toc277082552"/>
            <w:bookmarkStart w:id="35" w:name="_Toc13995"/>
            <w:bookmarkStart w:id="36" w:name="_Toc909"/>
            <w:bookmarkStart w:id="37" w:name="_Toc200513126"/>
            <w:bookmarkStart w:id="38" w:name="_Toc452058682"/>
            <w:bookmarkStart w:id="39" w:name="_Toc386029647"/>
            <w:bookmarkStart w:id="40" w:name="_Toc224103317"/>
            <w:bookmarkStart w:id="41" w:name="_Toc287607746"/>
            <w:r>
              <w:rPr>
                <w:rFonts w:hint="eastAsia" w:ascii="宋体" w:hAnsi="宋体" w:cs="宋体"/>
                <w:color w:val="auto"/>
                <w:kern w:val="0"/>
                <w:szCs w:val="21"/>
                <w:lang w:val="en-US" w:eastAsia="zh-CN"/>
              </w:rPr>
              <w:t>8.3</w:t>
            </w:r>
          </w:p>
        </w:tc>
        <w:tc>
          <w:tcPr>
            <w:tcW w:w="1500" w:type="dxa"/>
            <w:vAlign w:val="center"/>
          </w:tcPr>
          <w:p w14:paraId="0A4F227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w:t>
            </w:r>
          </w:p>
          <w:p w14:paraId="16D9083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服务费</w:t>
            </w:r>
          </w:p>
        </w:tc>
        <w:tc>
          <w:tcPr>
            <w:tcW w:w="7189" w:type="dxa"/>
            <w:vAlign w:val="center"/>
          </w:tcPr>
          <w:p w14:paraId="087DCEF5">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.本项目招标代理服务费由中标人支付。</w:t>
            </w:r>
          </w:p>
          <w:p w14:paraId="741BC3CE">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rPr>
              <w:t>2.比选代理服务费金额：</w:t>
            </w:r>
            <w:r>
              <w:rPr>
                <w:rFonts w:hint="eastAsia" w:ascii="宋体" w:hAnsi="宋体" w:cs="宋体"/>
                <w:b/>
                <w:bCs/>
                <w:color w:val="auto"/>
                <w:kern w:val="0"/>
                <w:szCs w:val="21"/>
                <w:highlight w:val="none"/>
                <w:lang w:val="en-US" w:eastAsia="zh-CN"/>
              </w:rPr>
              <w:t>3000</w:t>
            </w:r>
            <w:r>
              <w:rPr>
                <w:rFonts w:hint="eastAsia" w:ascii="宋体" w:hAnsi="宋体" w:eastAsia="宋体" w:cs="宋体"/>
                <w:b/>
                <w:color w:val="auto"/>
                <w:kern w:val="0"/>
                <w:szCs w:val="21"/>
                <w:highlight w:val="none"/>
              </w:rPr>
              <w:t>元（大写：</w:t>
            </w:r>
            <w:r>
              <w:rPr>
                <w:rFonts w:hint="eastAsia" w:ascii="宋体" w:hAnsi="宋体" w:cs="宋体"/>
                <w:b/>
                <w:color w:val="auto"/>
                <w:kern w:val="0"/>
                <w:szCs w:val="21"/>
                <w:highlight w:val="none"/>
                <w:lang w:eastAsia="zh-CN"/>
              </w:rPr>
              <w:t>叁仟元整</w:t>
            </w:r>
            <w:r>
              <w:rPr>
                <w:rFonts w:hint="eastAsia" w:ascii="宋体" w:hAnsi="宋体" w:eastAsia="宋体" w:cs="宋体"/>
                <w:b/>
                <w:color w:val="auto"/>
                <w:kern w:val="0"/>
                <w:szCs w:val="21"/>
                <w:highlight w:val="none"/>
              </w:rPr>
              <w:t>）。</w:t>
            </w:r>
          </w:p>
          <w:p w14:paraId="44C76C73">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3.支付时间：在中标通知书发出前由中标人一次性支付比选代理机构。</w:t>
            </w:r>
          </w:p>
          <w:p w14:paraId="08A36AF8">
            <w:pPr>
              <w:pStyle w:val="64"/>
              <w:ind w:left="0" w:leftChars="0" w:firstLine="0" w:firstLineChars="0"/>
              <w:rPr>
                <w:rFonts w:hint="eastAsia" w:ascii="Calibri" w:hAnsi="Calibri" w:eastAsia="宋体" w:cs="Times New Roman"/>
                <w:color w:val="auto"/>
                <w:sz w:val="21"/>
                <w:lang w:val="en-US" w:eastAsia="zh-CN" w:bidi="ar-SA"/>
              </w:rPr>
            </w:pPr>
          </w:p>
        </w:tc>
      </w:tr>
      <w:tr w14:paraId="3D16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609B7D22">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8.4</w:t>
            </w:r>
          </w:p>
        </w:tc>
        <w:tc>
          <w:tcPr>
            <w:tcW w:w="1500" w:type="dxa"/>
            <w:vAlign w:val="center"/>
          </w:tcPr>
          <w:p w14:paraId="655A0D20">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rPr>
              <w:t>重新招标</w:t>
            </w:r>
            <w:r>
              <w:rPr>
                <w:rFonts w:hint="eastAsia" w:ascii="宋体" w:hAnsi="宋体" w:cs="宋体"/>
                <w:color w:val="auto"/>
                <w:kern w:val="0"/>
                <w:szCs w:val="21"/>
                <w:highlight w:val="none"/>
                <w:lang w:val="en-US" w:eastAsia="zh-CN"/>
              </w:rPr>
              <w:t>的情形</w:t>
            </w:r>
          </w:p>
        </w:tc>
        <w:tc>
          <w:tcPr>
            <w:tcW w:w="7189" w:type="dxa"/>
            <w:vAlign w:val="center"/>
          </w:tcPr>
          <w:p w14:paraId="397D535A">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有下列情形之一的，招标人将重新招标：</w:t>
            </w:r>
          </w:p>
          <w:p w14:paraId="70D6F931">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（1）投标截止时间止，投标人少于 3 个的；</w:t>
            </w:r>
          </w:p>
          <w:p w14:paraId="3838EF4C">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14:paraId="6B24CB42">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61F8A244">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14:paraId="53CC6B34">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注：本款只适用于首次招标。</w:t>
            </w:r>
          </w:p>
        </w:tc>
      </w:tr>
      <w:tr w14:paraId="6EE2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23D81C55">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8.5</w:t>
            </w:r>
          </w:p>
        </w:tc>
        <w:tc>
          <w:tcPr>
            <w:tcW w:w="1500" w:type="dxa"/>
            <w:vAlign w:val="center"/>
          </w:tcPr>
          <w:p w14:paraId="2BDECD9E">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重新</w:t>
            </w:r>
            <w:r>
              <w:rPr>
                <w:rFonts w:hint="eastAsia" w:ascii="宋体" w:hAnsi="宋体" w:cs="宋体"/>
                <w:color w:val="auto"/>
                <w:kern w:val="0"/>
                <w:szCs w:val="21"/>
                <w:highlight w:val="none"/>
              </w:rPr>
              <w:t>招标和不再招标</w:t>
            </w:r>
          </w:p>
        </w:tc>
        <w:tc>
          <w:tcPr>
            <w:tcW w:w="7189" w:type="dxa"/>
            <w:vAlign w:val="center"/>
          </w:tcPr>
          <w:p w14:paraId="579E98EF">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重新招标的投标人仍然少于三个的，按照招标投标法律法规规定的程序开标和评标。重新招标经评审</w:t>
            </w:r>
            <w:r>
              <w:rPr>
                <w:rFonts w:hint="eastAsia" w:ascii="宋体" w:hAnsi="宋体" w:cs="宋体"/>
                <w:snapToGrid w:val="0"/>
                <w:color w:val="auto"/>
                <w:kern w:val="0"/>
                <w:szCs w:val="21"/>
                <w:highlight w:val="none"/>
                <w:lang w:eastAsia="zh-CN"/>
              </w:rPr>
              <w:t>有</w:t>
            </w:r>
            <w:r>
              <w:rPr>
                <w:rFonts w:hint="eastAsia" w:ascii="宋体" w:hAnsi="宋体" w:cs="宋体"/>
                <w:snapToGrid w:val="0"/>
                <w:color w:val="auto"/>
                <w:kern w:val="0"/>
                <w:szCs w:val="21"/>
                <w:highlight w:val="none"/>
              </w:rPr>
              <w:t>效投标人的，应当依法确定中标候选人；无有效投标人的，可以不再进行招标，但是按照国家有关规定需要履行审批、核准、备案手续的依法必须进行招标的项目，应当报原项目投资主管部门审批、核准、备案。</w:t>
            </w:r>
          </w:p>
        </w:tc>
      </w:tr>
      <w:tr w14:paraId="5F1F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14:paraId="454B4240">
            <w:pPr>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8.6</w:t>
            </w:r>
          </w:p>
        </w:tc>
        <w:tc>
          <w:tcPr>
            <w:tcW w:w="1500" w:type="dxa"/>
            <w:vAlign w:val="center"/>
          </w:tcPr>
          <w:p w14:paraId="1F1A67F1">
            <w:pPr>
              <w:snapToGrid w:val="0"/>
              <w:spacing w:line="400" w:lineRule="exact"/>
              <w:jc w:val="left"/>
              <w:rPr>
                <w:rFonts w:hint="eastAsia" w:ascii="宋体" w:hAnsi="宋体" w:eastAsia="宋体" w:cs="Times New Roman"/>
                <w:color w:val="auto"/>
                <w:kern w:val="0"/>
                <w:sz w:val="21"/>
                <w:szCs w:val="21"/>
                <w:lang w:val="en-US" w:eastAsia="zh-CN" w:bidi="ar-SA"/>
              </w:rPr>
            </w:pP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tc>
        <w:tc>
          <w:tcPr>
            <w:tcW w:w="7189" w:type="dxa"/>
            <w:vAlign w:val="center"/>
          </w:tcPr>
          <w:p w14:paraId="2F292DAD">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1.担保形式：</w:t>
            </w: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p w14:paraId="5CC54B12">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2.金额：中标金额的</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w:t>
            </w:r>
          </w:p>
          <w:p w14:paraId="0028D4F4">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3.提交方式：从中标人基本账户银行转账或电汇</w:t>
            </w:r>
          </w:p>
          <w:p w14:paraId="45F5971C">
            <w:pPr>
              <w:autoSpaceDE w:val="0"/>
              <w:autoSpaceDN w:val="0"/>
              <w:adjustRightInd w:val="0"/>
              <w:snapToGrid w:val="0"/>
              <w:spacing w:line="360" w:lineRule="auto"/>
              <w:ind w:firstLine="420" w:firstLineChars="200"/>
              <w:rPr>
                <w:rFonts w:hint="default" w:ascii="宋体" w:hAnsi="宋体" w:eastAsia="宋体" w:cs="Times New Roman"/>
                <w:color w:val="auto"/>
                <w:kern w:val="0"/>
                <w:sz w:val="21"/>
                <w:szCs w:val="21"/>
                <w:lang w:val="en-US" w:eastAsia="zh-CN" w:bidi="ar-SA"/>
              </w:rPr>
            </w:pPr>
            <w:r>
              <w:rPr>
                <w:rFonts w:hint="default" w:ascii="Times New Roman" w:hAnsi="Times New Roman" w:cs="Times New Roman"/>
                <w:color w:val="auto"/>
                <w:kern w:val="0"/>
                <w:szCs w:val="21"/>
              </w:rPr>
              <w:t>4.缴纳时间：中标人收到中标通知书后</w:t>
            </w:r>
            <w:r>
              <w:rPr>
                <w:rFonts w:hint="eastAsia" w:cs="Times New Roman"/>
                <w:color w:val="auto"/>
                <w:kern w:val="0"/>
                <w:szCs w:val="21"/>
                <w:lang w:val="en-US" w:eastAsia="zh-CN"/>
              </w:rPr>
              <w:t>5</w:t>
            </w:r>
            <w:r>
              <w:rPr>
                <w:rFonts w:hint="default" w:ascii="Times New Roman" w:hAnsi="Times New Roman" w:cs="Times New Roman"/>
                <w:color w:val="auto"/>
                <w:kern w:val="0"/>
                <w:szCs w:val="21"/>
              </w:rPr>
              <w:t>日内且在合同签订前，提交至</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人指定账户；若未按时提交，则视为中标人放弃中标。其投标保证金不予退还。给</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人造成的损失超过投标保证金数额的，中标人还应当对超过部分予以赔偿。</w:t>
            </w:r>
          </w:p>
        </w:tc>
      </w:tr>
      <w:bookmarkEnd w:id="34"/>
      <w:bookmarkEnd w:id="35"/>
      <w:bookmarkEnd w:id="36"/>
      <w:bookmarkEnd w:id="37"/>
      <w:bookmarkEnd w:id="38"/>
      <w:bookmarkEnd w:id="39"/>
      <w:bookmarkEnd w:id="40"/>
      <w:bookmarkEnd w:id="41"/>
    </w:tbl>
    <w:p w14:paraId="2576F2EC">
      <w:pPr>
        <w:spacing w:line="360" w:lineRule="auto"/>
        <w:jc w:val="left"/>
        <w:rPr>
          <w:rFonts w:hint="eastAsia" w:ascii="宋体" w:hAnsi="宋体" w:cs="宋体"/>
          <w:color w:val="auto"/>
          <w:szCs w:val="21"/>
          <w:highlight w:val="none"/>
        </w:rPr>
      </w:pPr>
      <w:bookmarkStart w:id="42" w:name="招标文件03章02评标办法综合评估法00"/>
      <w:bookmarkEnd w:id="42"/>
      <w:bookmarkStart w:id="43" w:name="招标文件03章02评标办法综合评估法"/>
      <w:bookmarkEnd w:id="43"/>
      <w:r>
        <w:rPr>
          <w:rFonts w:hint="eastAsia" w:ascii="宋体" w:hAnsi="宋体" w:cs="宋体"/>
          <w:b/>
          <w:color w:val="auto"/>
          <w:szCs w:val="21"/>
          <w:highlight w:val="none"/>
        </w:rPr>
        <w:t>以下部分为投标人须知正文。</w:t>
      </w:r>
    </w:p>
    <w:p w14:paraId="08D9E426">
      <w:pPr>
        <w:rPr>
          <w:color w:val="auto"/>
        </w:rPr>
      </w:pPr>
      <w:r>
        <w:rPr>
          <w:rFonts w:hint="eastAsia" w:ascii="宋体" w:hAnsi="宋体" w:cs="宋体"/>
          <w:color w:val="auto"/>
          <w:sz w:val="28"/>
          <w:szCs w:val="28"/>
          <w:highlight w:val="none"/>
        </w:rPr>
        <w:br w:type="page"/>
      </w:r>
    </w:p>
    <w:p w14:paraId="0F86A2BE">
      <w:pPr>
        <w:autoSpaceDE w:val="0"/>
        <w:autoSpaceDN w:val="0"/>
        <w:adjustRightInd w:val="0"/>
        <w:snapToGrid w:val="0"/>
        <w:spacing w:line="440" w:lineRule="exact"/>
        <w:jc w:val="left"/>
        <w:rPr>
          <w:rFonts w:ascii="宋体" w:hAnsi="宋体" w:cs="宋体"/>
          <w:bCs/>
          <w:color w:val="auto"/>
          <w:kern w:val="0"/>
          <w:szCs w:val="21"/>
        </w:rPr>
      </w:pPr>
    </w:p>
    <w:bookmarkEnd w:id="19"/>
    <w:bookmarkEnd w:id="20"/>
    <w:bookmarkEnd w:id="21"/>
    <w:bookmarkEnd w:id="22"/>
    <w:bookmarkEnd w:id="23"/>
    <w:p w14:paraId="7C021FFE">
      <w:pPr>
        <w:pStyle w:val="4"/>
        <w:spacing w:before="0" w:after="0" w:line="360" w:lineRule="auto"/>
        <w:rPr>
          <w:rFonts w:hint="eastAsia" w:ascii="宋体" w:hAnsi="宋体" w:cs="宋体"/>
          <w:color w:val="auto"/>
          <w:sz w:val="28"/>
          <w:szCs w:val="28"/>
          <w:highlight w:val="none"/>
        </w:rPr>
      </w:pPr>
      <w:bookmarkStart w:id="44" w:name="_Toc57795860"/>
      <w:bookmarkStart w:id="45" w:name="_Toc513492489"/>
      <w:bookmarkStart w:id="46" w:name="_Toc452058732"/>
      <w:bookmarkStart w:id="47" w:name="_Toc277082605"/>
      <w:bookmarkStart w:id="48" w:name="_Toc287620738"/>
      <w:bookmarkStart w:id="49" w:name="_Toc287607799"/>
      <w:bookmarkStart w:id="50" w:name="_Toc31654"/>
      <w:bookmarkStart w:id="51" w:name="_Toc287607810"/>
      <w:bookmarkStart w:id="52" w:name="_Toc287620749"/>
      <w:r>
        <w:rPr>
          <w:rFonts w:hint="eastAsia" w:ascii="宋体" w:hAnsi="宋体" w:cs="宋体"/>
          <w:color w:val="auto"/>
          <w:sz w:val="28"/>
          <w:szCs w:val="28"/>
          <w:highlight w:val="none"/>
        </w:rPr>
        <w:t>1. 总则</w:t>
      </w:r>
      <w:bookmarkEnd w:id="44"/>
    </w:p>
    <w:p w14:paraId="6ED277AE">
      <w:pPr>
        <w:pStyle w:val="5"/>
        <w:spacing w:before="0" w:after="0" w:line="360" w:lineRule="auto"/>
        <w:rPr>
          <w:rFonts w:hint="eastAsia" w:ascii="宋体" w:hAnsi="宋体" w:cs="宋体"/>
          <w:color w:val="auto"/>
          <w:sz w:val="21"/>
          <w:szCs w:val="21"/>
          <w:highlight w:val="none"/>
        </w:rPr>
      </w:pPr>
      <w:bookmarkStart w:id="53" w:name="_Toc57795861"/>
      <w:r>
        <w:rPr>
          <w:rFonts w:hint="eastAsia" w:ascii="宋体" w:hAnsi="宋体" w:cs="宋体"/>
          <w:color w:val="auto"/>
          <w:sz w:val="21"/>
          <w:szCs w:val="21"/>
          <w:highlight w:val="none"/>
        </w:rPr>
        <w:t>1.1 项目概况</w:t>
      </w:r>
      <w:bookmarkEnd w:id="53"/>
    </w:p>
    <w:p w14:paraId="0E2A44A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1.1.1 </w:t>
      </w:r>
      <w:r>
        <w:rPr>
          <w:rFonts w:hint="eastAsia" w:ascii="宋体" w:hAnsi="宋体" w:eastAsia="宋体" w:cs="宋体"/>
          <w:color w:val="auto"/>
          <w:spacing w:val="-1"/>
          <w:sz w:val="21"/>
          <w:szCs w:val="21"/>
          <w:highlight w:val="none"/>
          <w:lang w:eastAsia="zh-CN"/>
        </w:rPr>
        <w:t>根据《中华人民</w:t>
      </w:r>
      <w:r>
        <w:rPr>
          <w:rFonts w:hint="eastAsia" w:ascii="宋体" w:hAnsi="宋体" w:eastAsia="宋体" w:cs="宋体"/>
          <w:color w:val="auto"/>
          <w:sz w:val="21"/>
          <w:szCs w:val="21"/>
          <w:highlight w:val="none"/>
          <w:lang w:eastAsia="zh-CN"/>
        </w:rPr>
        <w:t>共和国招标投标法》《中华人民共和国招标投标法实施条例》《公路工程建设项目招标投标管理办法》等有关法律、法规和规章的规定，本招标项目已具备的招标条件见投标人须知前附表，现对本标段施工进行招标。</w:t>
      </w:r>
    </w:p>
    <w:p w14:paraId="564C7D5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本招标项目招标人：见投标人须知前附表。</w:t>
      </w:r>
    </w:p>
    <w:p w14:paraId="41E3EFC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招标代理机构：见投标人须知前附表。</w:t>
      </w:r>
    </w:p>
    <w:p w14:paraId="7F2FBC3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本招标项目名称：见投标人须知前附表。</w:t>
      </w:r>
    </w:p>
    <w:p w14:paraId="3C4858D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建设地点：见投标人须知前附表。</w:t>
      </w:r>
    </w:p>
    <w:p w14:paraId="1A75518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项目相关单位：见投标人须知前附表。</w:t>
      </w:r>
    </w:p>
    <w:p w14:paraId="09826072">
      <w:pPr>
        <w:pStyle w:val="5"/>
        <w:spacing w:before="0" w:after="0" w:line="360" w:lineRule="auto"/>
        <w:rPr>
          <w:rFonts w:hint="eastAsia" w:ascii="宋体" w:hAnsi="宋体" w:cs="宋体"/>
          <w:color w:val="auto"/>
          <w:sz w:val="21"/>
          <w:szCs w:val="21"/>
          <w:highlight w:val="none"/>
        </w:rPr>
      </w:pPr>
      <w:bookmarkStart w:id="54" w:name="_Toc57795862"/>
      <w:r>
        <w:rPr>
          <w:rFonts w:hint="eastAsia" w:ascii="宋体" w:hAnsi="宋体" w:cs="宋体"/>
          <w:color w:val="auto"/>
          <w:sz w:val="21"/>
          <w:szCs w:val="21"/>
          <w:highlight w:val="none"/>
        </w:rPr>
        <w:t>1.2 招标项目的资金来源和落实情况</w:t>
      </w:r>
      <w:bookmarkEnd w:id="54"/>
    </w:p>
    <w:p w14:paraId="3FE7AE3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资金来源及比例：见投标人须知前附表。</w:t>
      </w:r>
    </w:p>
    <w:p w14:paraId="50CDACD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资金落实情况：见投标人须知前附表。</w:t>
      </w:r>
    </w:p>
    <w:p w14:paraId="61429042">
      <w:pPr>
        <w:pStyle w:val="5"/>
        <w:spacing w:before="0" w:after="0" w:line="360" w:lineRule="auto"/>
        <w:rPr>
          <w:rFonts w:hint="eastAsia" w:ascii="宋体" w:hAnsi="宋体" w:cs="宋体"/>
          <w:color w:val="auto"/>
          <w:sz w:val="21"/>
          <w:szCs w:val="21"/>
          <w:highlight w:val="none"/>
        </w:rPr>
      </w:pPr>
      <w:bookmarkStart w:id="55" w:name="_Toc57795863"/>
      <w:r>
        <w:rPr>
          <w:rFonts w:hint="eastAsia" w:ascii="宋体" w:hAnsi="宋体" w:cs="宋体"/>
          <w:color w:val="auto"/>
          <w:sz w:val="21"/>
          <w:szCs w:val="21"/>
          <w:highlight w:val="none"/>
        </w:rPr>
        <w:t>1.3 招标范围、计划工期、质量要求和安全目标</w:t>
      </w:r>
      <w:bookmarkEnd w:id="55"/>
    </w:p>
    <w:p w14:paraId="3F9C7BB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招标范围：见投标人须知前附表。</w:t>
      </w:r>
    </w:p>
    <w:p w14:paraId="71B9EA1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计划工期：见投标人须知前附表。</w:t>
      </w:r>
    </w:p>
    <w:p w14:paraId="333F311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质量要求：</w:t>
      </w:r>
      <w:r>
        <w:rPr>
          <w:rFonts w:hint="eastAsia" w:ascii="宋体" w:hAnsi="宋体" w:eastAsia="宋体" w:cs="宋体"/>
          <w:color w:val="auto"/>
          <w:sz w:val="21"/>
          <w:szCs w:val="21"/>
          <w:highlight w:val="none"/>
          <w:lang w:eastAsia="zh-CN"/>
        </w:rPr>
        <w:t>见投标人须知前附表。</w:t>
      </w:r>
    </w:p>
    <w:p w14:paraId="74BFA0B9">
      <w:pPr>
        <w:pStyle w:val="268"/>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 安全目标：</w:t>
      </w:r>
      <w:r>
        <w:rPr>
          <w:rFonts w:hint="eastAsia" w:ascii="宋体" w:hAnsi="宋体" w:eastAsia="宋体" w:cs="宋体"/>
          <w:color w:val="auto"/>
          <w:sz w:val="21"/>
          <w:szCs w:val="21"/>
          <w:highlight w:val="none"/>
          <w:lang w:eastAsia="zh-CN"/>
        </w:rPr>
        <w:t>见投标人须知前附表。</w:t>
      </w:r>
    </w:p>
    <w:p w14:paraId="6FD2D2E1">
      <w:pPr>
        <w:pStyle w:val="5"/>
        <w:spacing w:before="0" w:after="0" w:line="360" w:lineRule="auto"/>
        <w:rPr>
          <w:rFonts w:hint="eastAsia" w:ascii="宋体" w:hAnsi="宋体" w:cs="宋体"/>
          <w:color w:val="auto"/>
          <w:sz w:val="21"/>
          <w:szCs w:val="21"/>
          <w:highlight w:val="none"/>
        </w:rPr>
      </w:pPr>
      <w:bookmarkStart w:id="56" w:name="_Toc57795865"/>
      <w:r>
        <w:rPr>
          <w:rFonts w:hint="eastAsia" w:ascii="宋体" w:hAnsi="宋体" w:cs="宋体"/>
          <w:color w:val="auto"/>
          <w:sz w:val="21"/>
          <w:szCs w:val="21"/>
          <w:highlight w:val="none"/>
        </w:rPr>
        <w:t>1.4 投标人资格要求</w:t>
      </w:r>
      <w:bookmarkEnd w:id="56"/>
    </w:p>
    <w:p w14:paraId="2A50F78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投标人应具备承担本项目施工的资质条件、能力和信誉。</w:t>
      </w:r>
    </w:p>
    <w:p w14:paraId="33F4199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olor w:val="auto"/>
          <w:sz w:val="21"/>
          <w:szCs w:val="21"/>
          <w:highlight w:val="none"/>
          <w:lang w:eastAsia="zh-CN"/>
        </w:rPr>
        <w:t>资质条件、营业执照及安全生产条件：</w:t>
      </w:r>
      <w:r>
        <w:rPr>
          <w:rFonts w:hint="eastAsia" w:ascii="宋体" w:hAnsi="宋体" w:eastAsia="宋体" w:cs="宋体"/>
          <w:color w:val="auto"/>
          <w:sz w:val="21"/>
          <w:szCs w:val="21"/>
          <w:highlight w:val="none"/>
          <w:lang w:eastAsia="zh-CN"/>
        </w:rPr>
        <w:t>见投标人须知前附表；</w:t>
      </w:r>
    </w:p>
    <w:p w14:paraId="1321D95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bidi="ar"/>
        </w:rPr>
        <w:t>投标截止日投标资格情况要求</w:t>
      </w:r>
      <w:r>
        <w:rPr>
          <w:rFonts w:hint="eastAsia" w:ascii="宋体" w:hAnsi="宋体" w:eastAsia="宋体" w:cs="宋体"/>
          <w:color w:val="auto"/>
          <w:sz w:val="21"/>
          <w:szCs w:val="21"/>
          <w:highlight w:val="none"/>
          <w:lang w:eastAsia="zh-CN"/>
        </w:rPr>
        <w:t>：见投标人须知前附表；</w:t>
      </w:r>
    </w:p>
    <w:p w14:paraId="183D2CA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）项目经理和项目总工资格：见投标人须知前附表；</w:t>
      </w:r>
    </w:p>
    <w:p w14:paraId="31888A9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）其他管理和技术人员要求：见投标人须知前附表；</w:t>
      </w:r>
    </w:p>
    <w:p w14:paraId="764E238E">
      <w:pPr>
        <w:pStyle w:val="230"/>
        <w:tabs>
          <w:tab w:val="left" w:pos="1647"/>
        </w:tabs>
        <w:spacing w:line="360" w:lineRule="auto"/>
        <w:ind w:left="0" w:firstLineChars="200"/>
        <w:rPr>
          <w:rFonts w:hint="eastAsia"/>
          <w:color w:val="auto"/>
          <w:sz w:val="21"/>
          <w:szCs w:val="21"/>
          <w:highlight w:val="none"/>
          <w:lang w:val="ru-RU" w:bidi="ar-SA"/>
        </w:rPr>
      </w:pPr>
      <w:r>
        <w:rPr>
          <w:rFonts w:hint="eastAsia"/>
          <w:color w:val="auto"/>
          <w:sz w:val="21"/>
          <w:szCs w:val="21"/>
          <w:highlight w:val="none"/>
          <w:lang w:val="ru-RU" w:bidi="ar-SA"/>
        </w:rPr>
        <w:t>（</w:t>
      </w:r>
      <w:r>
        <w:rPr>
          <w:rFonts w:hint="eastAsia"/>
          <w:color w:val="auto"/>
          <w:sz w:val="21"/>
          <w:szCs w:val="21"/>
          <w:highlight w:val="none"/>
          <w:lang w:val="en-US" w:eastAsia="zh-CN" w:bidi="ar-SA"/>
        </w:rPr>
        <w:t>5</w:t>
      </w:r>
      <w:r>
        <w:rPr>
          <w:rFonts w:hint="eastAsia"/>
          <w:color w:val="auto"/>
          <w:sz w:val="21"/>
          <w:szCs w:val="21"/>
          <w:highlight w:val="none"/>
          <w:lang w:val="ru-RU" w:bidi="ar-SA"/>
        </w:rPr>
        <w:t>）主要机械设备和试验检测设备要求：见投标人须知前附表；</w:t>
      </w:r>
    </w:p>
    <w:p w14:paraId="1DC3F0A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）其他要求：见投标人须知前附表。</w:t>
      </w:r>
    </w:p>
    <w:p w14:paraId="153B5EC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投标人须知前附表规定接受联合体投标的，联合体应当符合本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项和投标人须知前附表的要求外，还应遵守以下规定：</w:t>
      </w:r>
    </w:p>
    <w:p w14:paraId="41D858A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（1）联合体各方应按招标文件提供的格式签订联合体协议书，明确联合体牵头人和各方权利义务</w:t>
      </w:r>
      <w:r>
        <w:rPr>
          <w:rFonts w:hint="eastAsia" w:ascii="宋体" w:hAnsi="宋体" w:eastAsia="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，并承诺就中标项目向招标人承担连带责任；</w:t>
      </w:r>
    </w:p>
    <w:p w14:paraId="6DDF9D9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14:paraId="0264E5E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（3）联合体各方不得再以自己名义单独或参加其他联合体在同一标段中投标；</w:t>
      </w:r>
    </w:p>
    <w:p w14:paraId="2CF95DE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2D9A4DC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（5）尽管委任了联合体牵头人，但联合体各成员在投标、签约与履约合同过程中，仍负有连带的和各自的法律责任。</w:t>
      </w:r>
    </w:p>
    <w:p w14:paraId="550A773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投标人（包括联合体各成员）不得与本标段相关单位存在下列关联关系：</w:t>
      </w:r>
    </w:p>
    <w:p w14:paraId="64F9272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14:paraId="3A10CD2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14:paraId="213C60E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（3）与本标段的其他投标人同为一个单位负责人；</w:t>
      </w:r>
    </w:p>
    <w:p w14:paraId="6E1ED81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（4）与本标段的其他投标人存在控股、管理关系；</w:t>
      </w:r>
    </w:p>
    <w:p w14:paraId="0C13ECC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14:paraId="7961DBC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14:paraId="5A2B71A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14:paraId="1BE265B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（8）为本标段的招标代理机构；</w:t>
      </w:r>
    </w:p>
    <w:p w14:paraId="688FE38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）与本标段的监理人或代建人或招标代理机构同为一个法定代表人；</w:t>
      </w:r>
    </w:p>
    <w:p w14:paraId="34C33BD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（10）与本标段的监理人或代建人或招标代理机构存在控股或参股关系；</w:t>
      </w:r>
    </w:p>
    <w:p w14:paraId="00F9818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）法律法规或投标人须知前附表规定的其他情形。</w:t>
      </w:r>
    </w:p>
    <w:p w14:paraId="2976541A">
      <w:pPr>
        <w:pStyle w:val="5"/>
        <w:spacing w:before="0" w:after="0" w:line="360" w:lineRule="auto"/>
        <w:rPr>
          <w:rFonts w:hint="eastAsia" w:ascii="宋体" w:hAnsi="宋体" w:cs="宋体"/>
          <w:color w:val="auto"/>
          <w:sz w:val="21"/>
          <w:szCs w:val="21"/>
          <w:highlight w:val="none"/>
        </w:rPr>
      </w:pPr>
      <w:bookmarkStart w:id="57" w:name="_Toc57795866"/>
      <w:r>
        <w:rPr>
          <w:rFonts w:hint="eastAsia" w:ascii="宋体" w:hAnsi="宋体" w:cs="宋体"/>
          <w:color w:val="auto"/>
          <w:sz w:val="21"/>
          <w:szCs w:val="21"/>
          <w:highlight w:val="none"/>
        </w:rPr>
        <w:t>1.5 费用承担</w:t>
      </w:r>
      <w:bookmarkEnd w:id="57"/>
    </w:p>
    <w:p w14:paraId="2BA8878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14:paraId="75B85F90">
      <w:pPr>
        <w:pStyle w:val="5"/>
        <w:spacing w:before="0" w:after="0" w:line="360" w:lineRule="auto"/>
        <w:rPr>
          <w:rFonts w:hint="eastAsia" w:ascii="宋体" w:hAnsi="宋体" w:cs="宋体"/>
          <w:color w:val="auto"/>
          <w:sz w:val="21"/>
          <w:szCs w:val="21"/>
          <w:highlight w:val="none"/>
        </w:rPr>
      </w:pPr>
      <w:bookmarkStart w:id="58" w:name="_Toc57795867"/>
      <w:r>
        <w:rPr>
          <w:rFonts w:hint="eastAsia" w:ascii="宋体" w:hAnsi="宋体" w:cs="宋体"/>
          <w:color w:val="auto"/>
          <w:sz w:val="21"/>
          <w:szCs w:val="21"/>
          <w:highlight w:val="none"/>
        </w:rPr>
        <w:t>1.6 保密</w:t>
      </w:r>
      <w:bookmarkEnd w:id="58"/>
    </w:p>
    <w:p w14:paraId="2F85308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参与招标投标活动的各方应对招标文件和投标文件中的商业和技术等秘密保密，否则应承担相应的法律责任。</w:t>
      </w:r>
    </w:p>
    <w:p w14:paraId="5906A604">
      <w:pPr>
        <w:pStyle w:val="5"/>
        <w:spacing w:before="0" w:after="0" w:line="360" w:lineRule="auto"/>
        <w:rPr>
          <w:rFonts w:hint="eastAsia" w:ascii="宋体" w:hAnsi="宋体" w:cs="宋体"/>
          <w:color w:val="auto"/>
          <w:sz w:val="21"/>
          <w:szCs w:val="21"/>
          <w:highlight w:val="none"/>
        </w:rPr>
      </w:pPr>
      <w:bookmarkStart w:id="59" w:name="_Toc57795868"/>
      <w:r>
        <w:rPr>
          <w:rFonts w:hint="eastAsia" w:ascii="宋体" w:hAnsi="宋体" w:cs="宋体"/>
          <w:color w:val="auto"/>
          <w:sz w:val="21"/>
          <w:szCs w:val="21"/>
          <w:highlight w:val="none"/>
        </w:rPr>
        <w:t>1.7 语言文字</w:t>
      </w:r>
      <w:bookmarkEnd w:id="59"/>
    </w:p>
    <w:p w14:paraId="6AA6BA2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14:paraId="0BE72581">
      <w:pPr>
        <w:pStyle w:val="5"/>
        <w:spacing w:before="0" w:after="0" w:line="360" w:lineRule="auto"/>
        <w:rPr>
          <w:rFonts w:hint="eastAsia" w:ascii="宋体" w:hAnsi="宋体" w:cs="宋体"/>
          <w:color w:val="auto"/>
          <w:sz w:val="21"/>
          <w:szCs w:val="21"/>
          <w:highlight w:val="none"/>
        </w:rPr>
      </w:pPr>
      <w:bookmarkStart w:id="60" w:name="_Toc57795869"/>
      <w:r>
        <w:rPr>
          <w:rFonts w:hint="eastAsia" w:ascii="宋体" w:hAnsi="宋体" w:cs="宋体"/>
          <w:color w:val="auto"/>
          <w:sz w:val="21"/>
          <w:szCs w:val="21"/>
          <w:highlight w:val="none"/>
        </w:rPr>
        <w:t>1.8 计量单位</w:t>
      </w:r>
      <w:bookmarkEnd w:id="60"/>
    </w:p>
    <w:p w14:paraId="64E964D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14:paraId="37AE7FDE">
      <w:pPr>
        <w:pStyle w:val="5"/>
        <w:spacing w:before="0" w:after="0" w:line="360" w:lineRule="auto"/>
        <w:rPr>
          <w:rFonts w:hint="eastAsia" w:ascii="宋体" w:hAnsi="宋体" w:cs="宋体"/>
          <w:color w:val="auto"/>
          <w:sz w:val="21"/>
          <w:szCs w:val="21"/>
          <w:highlight w:val="none"/>
        </w:rPr>
      </w:pPr>
      <w:bookmarkStart w:id="61" w:name="_Toc57795870"/>
      <w:r>
        <w:rPr>
          <w:rFonts w:hint="eastAsia" w:ascii="宋体" w:hAnsi="宋体" w:cs="宋体"/>
          <w:color w:val="auto"/>
          <w:sz w:val="21"/>
          <w:szCs w:val="21"/>
          <w:highlight w:val="none"/>
        </w:rPr>
        <w:t>1.9 踏勘现场</w:t>
      </w:r>
      <w:bookmarkEnd w:id="61"/>
    </w:p>
    <w:p w14:paraId="6633C0F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1.9.1投标人须知前附表规定组织踏勘现场的，招标人按投标人须知前附表规定的时间、地点组织投标人踏勘项目现场。</w:t>
      </w:r>
    </w:p>
    <w:p w14:paraId="07D48B7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1.9.2投标人踏勘现场发生的费用自理。</w:t>
      </w:r>
    </w:p>
    <w:p w14:paraId="172CA27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1.9.3除招标人的原因外，投标人自行负责在踏勘现场中所发生的人员伤亡和财产损失。</w:t>
      </w:r>
    </w:p>
    <w:p w14:paraId="0C5E2D2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1502B848">
      <w:pPr>
        <w:pStyle w:val="5"/>
        <w:spacing w:before="0" w:after="0" w:line="360" w:lineRule="auto"/>
        <w:rPr>
          <w:rFonts w:hint="eastAsia" w:ascii="宋体" w:hAnsi="宋体" w:cs="宋体"/>
          <w:color w:val="auto"/>
          <w:sz w:val="21"/>
          <w:szCs w:val="21"/>
          <w:highlight w:val="none"/>
        </w:rPr>
      </w:pPr>
      <w:bookmarkStart w:id="62" w:name="_Toc57795871"/>
      <w:r>
        <w:rPr>
          <w:rFonts w:hint="eastAsia" w:ascii="宋体" w:hAnsi="宋体" w:cs="宋体"/>
          <w:color w:val="auto"/>
          <w:sz w:val="21"/>
          <w:szCs w:val="21"/>
          <w:highlight w:val="none"/>
        </w:rPr>
        <w:t>1.10 投标预备会</w:t>
      </w:r>
      <w:bookmarkEnd w:id="62"/>
    </w:p>
    <w:p w14:paraId="4A5E7D5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投标人须知前附表规定召开投标预备会的，招标人按投标人须知前附表规定的时间和地点召开投标预备会，澄清投标人提出的问题。</w:t>
      </w:r>
    </w:p>
    <w:p w14:paraId="3383244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投标人应在投标人须知前附表规定的时间前，以书面形式将提出的问题送达招标人，以便招标人在会议期间澄清。</w:t>
      </w:r>
    </w:p>
    <w:p w14:paraId="1933360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投标预备会后，招标人在投标人须知前附表规定的时间内，将对投标人所提问题的澄清，以投标人须知前附表规定的形式通知所有投标人。该澄清内容为招标文件的组成部分。</w:t>
      </w:r>
    </w:p>
    <w:p w14:paraId="588F56F0">
      <w:pPr>
        <w:pStyle w:val="5"/>
        <w:spacing w:before="0" w:after="0" w:line="360" w:lineRule="auto"/>
        <w:rPr>
          <w:rFonts w:hint="eastAsia" w:ascii="宋体" w:hAnsi="宋体" w:cs="宋体"/>
          <w:color w:val="auto"/>
          <w:sz w:val="21"/>
          <w:szCs w:val="21"/>
          <w:highlight w:val="none"/>
        </w:rPr>
      </w:pPr>
      <w:bookmarkStart w:id="63" w:name="_Toc57795872"/>
      <w:r>
        <w:rPr>
          <w:rFonts w:hint="eastAsia" w:ascii="宋体" w:hAnsi="宋体" w:cs="宋体"/>
          <w:color w:val="auto"/>
          <w:sz w:val="21"/>
          <w:szCs w:val="21"/>
          <w:highlight w:val="none"/>
        </w:rPr>
        <w:t>1.11 分包</w:t>
      </w:r>
      <w:bookmarkEnd w:id="63"/>
    </w:p>
    <w:p w14:paraId="257568D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投标人拟在中标后将中标项目的部分非主体、非关键性工作进行分包的，应符合以下规定：</w:t>
      </w:r>
    </w:p>
    <w:p w14:paraId="06859B9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（1）分包内容要求：允许分包的工程范围仅限于非关键性工程或适合专业化队伍施工的专项工程。招标人允许分包或不允许分包的专项工程（如有）应在投标人须知前附表中载明。</w:t>
      </w:r>
    </w:p>
    <w:p w14:paraId="29BFFBE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（2）接受分包的第三人资格要求：分包人的资格能力应与其分包工程的标准和规模相适应，且具备投标人须知前附表中规定的资格条件。</w:t>
      </w:r>
    </w:p>
    <w:p w14:paraId="10D3852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（3）其他要求：投标人如有分包计划，应按第九章“投标文件格式”的要求填写“拟分包项目情况表”，明确拟分包的工程及规模，且投标人中标后的分包应满足合同条款第 4.3 款的相关要求。</w:t>
      </w:r>
    </w:p>
    <w:p w14:paraId="1767C2C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中标人不得向他人转让中标项目，接受分包的人不得再次分包。中标人应就分包项目向招标人负责，接受分包的人就分包项目承担连带责任。</w:t>
      </w:r>
    </w:p>
    <w:p w14:paraId="5E144A13">
      <w:pPr>
        <w:pStyle w:val="5"/>
        <w:spacing w:before="0" w:after="0" w:line="360" w:lineRule="auto"/>
        <w:rPr>
          <w:rFonts w:hint="eastAsia" w:ascii="宋体" w:hAnsi="宋体" w:cs="宋体"/>
          <w:color w:val="auto"/>
          <w:sz w:val="21"/>
          <w:szCs w:val="21"/>
          <w:highlight w:val="none"/>
        </w:rPr>
      </w:pPr>
      <w:bookmarkStart w:id="64" w:name="_Toc57795873"/>
      <w:r>
        <w:rPr>
          <w:rFonts w:hint="eastAsia" w:ascii="宋体" w:hAnsi="宋体" w:cs="宋体"/>
          <w:color w:val="auto"/>
          <w:sz w:val="21"/>
          <w:szCs w:val="21"/>
          <w:highlight w:val="none"/>
        </w:rPr>
        <w:t>1.12 响应和偏差</w:t>
      </w:r>
      <w:bookmarkEnd w:id="64"/>
    </w:p>
    <w:p w14:paraId="51D4506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投标文件偏离招标文件某些要求，视为投标文件存在偏差。偏差包括重大偏差和细微偏差。</w:t>
      </w:r>
    </w:p>
    <w:p w14:paraId="5687F11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投标文件应对招标文件的实质性要求和条件作出满足性或更有利于招标人的响应，否则，视为投标文件存在重大偏差，投标人的投标将被否决。</w:t>
      </w:r>
    </w:p>
    <w:p w14:paraId="4EDB8B2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投标文件存在第三章“评标办法”中所列任一否决投标情形的，均属于存在重大偏差。</w:t>
      </w:r>
    </w:p>
    <w:p w14:paraId="41A781B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投标文件中的下列偏差为细微偏差：</w:t>
      </w:r>
    </w:p>
    <w:p w14:paraId="46C0468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14:paraId="1E07F15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评标委员会对投标文件中的细微偏差按如下规定处理：</w:t>
      </w:r>
    </w:p>
    <w:p w14:paraId="0744FB0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项所述的细微偏差，按照第三章“评标办法”的规定予以修正并要求投标人进行澄清；</w:t>
      </w:r>
    </w:p>
    <w:p w14:paraId="3652146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投标人应根据招标文件的要求提供施工组织设计等内容以对招标文件作出响应。</w:t>
      </w:r>
    </w:p>
    <w:p w14:paraId="22DCF6C3">
      <w:pPr>
        <w:pStyle w:val="4"/>
        <w:spacing w:before="0" w:after="0" w:line="360" w:lineRule="auto"/>
        <w:rPr>
          <w:rFonts w:hint="eastAsia" w:ascii="宋体" w:hAnsi="宋体" w:cs="宋体"/>
          <w:color w:val="auto"/>
          <w:sz w:val="28"/>
          <w:szCs w:val="28"/>
          <w:highlight w:val="none"/>
        </w:rPr>
      </w:pPr>
      <w:bookmarkStart w:id="65" w:name="_Toc57795874"/>
      <w:r>
        <w:rPr>
          <w:rFonts w:hint="eastAsia" w:ascii="宋体" w:hAnsi="宋体" w:cs="宋体"/>
          <w:color w:val="auto"/>
          <w:sz w:val="28"/>
          <w:szCs w:val="28"/>
          <w:highlight w:val="none"/>
        </w:rPr>
        <w:t>2. 招标文件</w:t>
      </w:r>
      <w:bookmarkEnd w:id="65"/>
    </w:p>
    <w:p w14:paraId="379BCFAE">
      <w:pPr>
        <w:pStyle w:val="5"/>
        <w:spacing w:before="0" w:after="0" w:line="360" w:lineRule="auto"/>
        <w:rPr>
          <w:rFonts w:hint="eastAsia" w:ascii="宋体" w:hAnsi="宋体" w:cs="宋体"/>
          <w:color w:val="auto"/>
          <w:sz w:val="21"/>
          <w:szCs w:val="21"/>
          <w:highlight w:val="none"/>
        </w:rPr>
      </w:pPr>
      <w:bookmarkStart w:id="66" w:name="_Toc57795875"/>
      <w:r>
        <w:rPr>
          <w:rFonts w:hint="eastAsia" w:ascii="宋体" w:hAnsi="宋体" w:cs="宋体"/>
          <w:color w:val="auto"/>
          <w:sz w:val="21"/>
          <w:szCs w:val="21"/>
          <w:highlight w:val="none"/>
        </w:rPr>
        <w:t>2.1 招标文件的组成</w:t>
      </w:r>
      <w:bookmarkEnd w:id="66"/>
    </w:p>
    <w:p w14:paraId="2CCE816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本招标文件包括：</w:t>
      </w:r>
    </w:p>
    <w:p w14:paraId="2218BBB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（1）招标公告（或投标邀请书）；</w:t>
      </w:r>
    </w:p>
    <w:p w14:paraId="632026E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14:paraId="4F98114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14:paraId="088F6EB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14:paraId="7D956A3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（5）工程量清单；</w:t>
      </w:r>
    </w:p>
    <w:p w14:paraId="5E80785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（6）图纸；</w:t>
      </w:r>
    </w:p>
    <w:p w14:paraId="789FDC7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（7）技术规范；</w:t>
      </w:r>
    </w:p>
    <w:p w14:paraId="376B203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（8）工程量清单计量规则；</w:t>
      </w:r>
    </w:p>
    <w:p w14:paraId="734ACE9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（9）投标文件格式；</w:t>
      </w:r>
    </w:p>
    <w:p w14:paraId="410EF94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（10）投标人须知前附表规定的其他资料。</w:t>
      </w:r>
    </w:p>
    <w:p w14:paraId="3DCA52E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款对招标文件所作的澄清、修改，构成招标文件的组成部分。</w:t>
      </w:r>
    </w:p>
    <w:p w14:paraId="597C179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当招标文件、招标文件的澄清或修改等在同一内容的表述上不一致时，以最后发出的书面文件为准。当对招标文件的理解有争议的，应当作出不利于招标人的解释，但违背国家利益、社会公共利益的除外。</w:t>
      </w:r>
    </w:p>
    <w:p w14:paraId="1F567442">
      <w:pPr>
        <w:pStyle w:val="5"/>
        <w:spacing w:before="0" w:after="0" w:line="360" w:lineRule="auto"/>
        <w:rPr>
          <w:rFonts w:hint="eastAsia" w:ascii="宋体" w:hAnsi="宋体" w:cs="宋体"/>
          <w:color w:val="auto"/>
          <w:sz w:val="21"/>
          <w:szCs w:val="21"/>
          <w:highlight w:val="none"/>
        </w:rPr>
      </w:pPr>
      <w:bookmarkStart w:id="67" w:name="_Toc57795876"/>
      <w:r>
        <w:rPr>
          <w:rFonts w:hint="eastAsia" w:ascii="宋体" w:hAnsi="宋体" w:cs="宋体"/>
          <w:color w:val="auto"/>
          <w:sz w:val="21"/>
          <w:szCs w:val="21"/>
          <w:highlight w:val="none"/>
        </w:rPr>
        <w:t>2.2 招标文件的澄清</w:t>
      </w:r>
      <w:bookmarkEnd w:id="67"/>
    </w:p>
    <w:p w14:paraId="7469CC24">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投标人应仔细阅读和检查招标文件的全部内容。如发现缺页或附件不全，应及时向招标人提出，以便补齐。如有疑问，应在投标人须知前附表规定的时间前</w:t>
      </w:r>
      <w:r>
        <w:rPr>
          <w:rFonts w:hint="eastAsia" w:ascii="宋体" w:hAnsi="宋体" w:eastAsia="宋体" w:cs="宋体"/>
          <w:color w:val="auto"/>
          <w:sz w:val="21"/>
          <w:szCs w:val="21"/>
          <w:highlight w:val="none"/>
          <w:lang w:eastAsia="zh-CN"/>
        </w:rPr>
        <w:t>提问</w:t>
      </w:r>
      <w:r>
        <w:rPr>
          <w:rFonts w:hint="eastAsia" w:ascii="宋体" w:hAnsi="宋体" w:eastAsia="宋体" w:cs="宋体"/>
          <w:snapToGrid w:val="0"/>
          <w:color w:val="auto"/>
          <w:sz w:val="21"/>
          <w:szCs w:val="21"/>
          <w:highlight w:val="none"/>
          <w:lang w:eastAsia="zh-CN"/>
        </w:rPr>
        <w:t>，要求招标人对招标文件予以澄清。</w:t>
      </w:r>
    </w:p>
    <w:p w14:paraId="458BAFF4">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2.2.2 招标文件的澄清将在投标人须知前附表规定的投标截止时间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天前</w:t>
      </w:r>
      <w:r>
        <w:rPr>
          <w:rFonts w:hint="eastAsia" w:ascii="宋体" w:hAnsi="宋体" w:eastAsia="宋体" w:cs="宋体"/>
          <w:color w:val="auto"/>
          <w:sz w:val="21"/>
          <w:szCs w:val="21"/>
          <w:highlight w:val="none"/>
          <w:lang w:eastAsia="zh-CN"/>
        </w:rPr>
        <w:t>在相应网站发布，</w:t>
      </w:r>
      <w:r>
        <w:rPr>
          <w:rFonts w:hint="eastAsia" w:ascii="宋体" w:hAnsi="宋体" w:eastAsia="宋体" w:cs="宋体"/>
          <w:snapToGrid w:val="0"/>
          <w:color w:val="auto"/>
          <w:sz w:val="21"/>
          <w:szCs w:val="21"/>
          <w:highlight w:val="none"/>
          <w:lang w:eastAsia="zh-CN"/>
        </w:rPr>
        <w:t>但不指明澄清问题的来源。如果澄清发出的时间距投标截止时间不足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天，相应延长投标截止时间。</w:t>
      </w:r>
    </w:p>
    <w:p w14:paraId="0B9D2FC5">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2.2.3 </w:t>
      </w:r>
      <w:r>
        <w:rPr>
          <w:rFonts w:hint="eastAsia" w:ascii="宋体" w:hAnsi="宋体" w:eastAsia="宋体" w:cs="宋体"/>
          <w:color w:val="auto"/>
          <w:sz w:val="21"/>
          <w:szCs w:val="21"/>
          <w:highlight w:val="none"/>
          <w:lang w:eastAsia="zh-CN"/>
        </w:rPr>
        <w:t>招标人对招标文件的</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14:paraId="5158089A">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position w:val="-2"/>
          <w:sz w:val="21"/>
          <w:szCs w:val="21"/>
          <w:highlight w:val="none"/>
          <w:lang w:eastAsia="zh-CN"/>
        </w:rPr>
        <w:t>2.2.4 投标人对招标文件和澄清修改仍有异议的，可于投标截止时间</w:t>
      </w:r>
      <w:r>
        <w:rPr>
          <w:rFonts w:hint="eastAsia" w:ascii="宋体" w:hAnsi="宋体" w:eastAsia="宋体" w:cs="宋体"/>
          <w:snapToGrid w:val="0"/>
          <w:color w:val="auto"/>
          <w:position w:val="-2"/>
          <w:sz w:val="21"/>
          <w:szCs w:val="21"/>
          <w:highlight w:val="none"/>
          <w:lang w:val="en-US" w:eastAsia="zh-CN"/>
        </w:rPr>
        <w:t>3</w:t>
      </w:r>
      <w:r>
        <w:rPr>
          <w:rFonts w:hint="eastAsia" w:ascii="宋体" w:hAnsi="宋体" w:eastAsia="宋体" w:cs="宋体"/>
          <w:snapToGrid w:val="0"/>
          <w:color w:val="auto"/>
          <w:position w:val="-2"/>
          <w:sz w:val="21"/>
          <w:szCs w:val="21"/>
          <w:highlight w:val="none"/>
          <w:lang w:eastAsia="zh-CN"/>
        </w:rPr>
        <w:t>日前，</w:t>
      </w:r>
      <w:r>
        <w:rPr>
          <w:rFonts w:hint="eastAsia" w:ascii="宋体" w:hAnsi="宋体" w:eastAsia="宋体" w:cs="宋体"/>
          <w:snapToGrid w:val="0"/>
          <w:color w:val="auto"/>
          <w:position w:val="-2"/>
          <w:sz w:val="21"/>
          <w:szCs w:val="21"/>
          <w:highlight w:val="none"/>
          <w:lang w:val="en-US" w:eastAsia="zh-CN"/>
        </w:rPr>
        <w:t>向招标人</w:t>
      </w:r>
      <w:r>
        <w:rPr>
          <w:rFonts w:hint="eastAsia" w:ascii="宋体" w:hAnsi="宋体" w:eastAsia="宋体" w:cs="宋体"/>
          <w:snapToGrid w:val="0"/>
          <w:color w:val="auto"/>
          <w:position w:val="-2"/>
          <w:sz w:val="21"/>
          <w:szCs w:val="21"/>
          <w:highlight w:val="none"/>
          <w:lang w:eastAsia="zh-CN"/>
        </w:rPr>
        <w:t>提出</w:t>
      </w:r>
      <w:r>
        <w:rPr>
          <w:rFonts w:hint="eastAsia" w:ascii="宋体" w:hAnsi="宋体" w:eastAsia="宋体" w:cs="宋体"/>
          <w:snapToGrid w:val="0"/>
          <w:color w:val="auto"/>
          <w:sz w:val="21"/>
          <w:szCs w:val="21"/>
          <w:highlight w:val="none"/>
          <w:lang w:eastAsia="zh-CN"/>
        </w:rPr>
        <w:t>。招标人应将答复以修改的形式在</w:t>
      </w:r>
      <w:r>
        <w:rPr>
          <w:rFonts w:hint="eastAsia" w:ascii="宋体" w:hAnsi="宋体" w:eastAsia="宋体" w:cs="宋体"/>
          <w:color w:val="auto"/>
          <w:sz w:val="21"/>
          <w:szCs w:val="21"/>
          <w:highlight w:val="none"/>
          <w:lang w:eastAsia="zh-CN"/>
        </w:rPr>
        <w:t>相应网站发布</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14:paraId="027BDEA7">
      <w:pPr>
        <w:pStyle w:val="5"/>
        <w:spacing w:before="0" w:after="0" w:line="360" w:lineRule="auto"/>
        <w:rPr>
          <w:rFonts w:hint="eastAsia" w:ascii="宋体" w:hAnsi="宋体" w:cs="宋体"/>
          <w:color w:val="auto"/>
          <w:sz w:val="21"/>
          <w:szCs w:val="21"/>
          <w:highlight w:val="none"/>
        </w:rPr>
      </w:pPr>
      <w:bookmarkStart w:id="68" w:name="_Toc57795877"/>
      <w:r>
        <w:rPr>
          <w:rFonts w:hint="eastAsia" w:ascii="宋体" w:hAnsi="宋体" w:cs="宋体"/>
          <w:color w:val="auto"/>
          <w:sz w:val="21"/>
          <w:szCs w:val="21"/>
          <w:highlight w:val="none"/>
        </w:rPr>
        <w:t>2.3 招标文件的修改</w:t>
      </w:r>
      <w:bookmarkEnd w:id="68"/>
    </w:p>
    <w:p w14:paraId="668A61C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按照本章第2.2款招标文件的澄清相关内容及方式执行。</w:t>
      </w:r>
    </w:p>
    <w:p w14:paraId="5DA1F998">
      <w:pPr>
        <w:pStyle w:val="4"/>
        <w:spacing w:before="0" w:after="0" w:line="360" w:lineRule="auto"/>
        <w:rPr>
          <w:rFonts w:hint="eastAsia" w:ascii="宋体" w:hAnsi="宋体" w:cs="宋体"/>
          <w:color w:val="auto"/>
          <w:sz w:val="28"/>
          <w:szCs w:val="28"/>
          <w:highlight w:val="none"/>
        </w:rPr>
      </w:pPr>
      <w:bookmarkStart w:id="69" w:name="_Toc57795878"/>
      <w:r>
        <w:rPr>
          <w:rFonts w:hint="eastAsia" w:ascii="宋体" w:hAnsi="宋体" w:cs="宋体"/>
          <w:color w:val="auto"/>
          <w:sz w:val="28"/>
          <w:szCs w:val="28"/>
          <w:highlight w:val="none"/>
        </w:rPr>
        <w:t>3. 投标文件</w:t>
      </w:r>
      <w:bookmarkEnd w:id="69"/>
    </w:p>
    <w:p w14:paraId="34AA8620">
      <w:pPr>
        <w:pStyle w:val="5"/>
        <w:spacing w:before="0" w:after="0" w:line="360" w:lineRule="auto"/>
        <w:rPr>
          <w:rFonts w:hint="eastAsia" w:ascii="宋体" w:hAnsi="宋体" w:cs="宋体"/>
          <w:color w:val="auto"/>
          <w:sz w:val="21"/>
          <w:szCs w:val="21"/>
          <w:highlight w:val="none"/>
        </w:rPr>
      </w:pPr>
      <w:bookmarkStart w:id="70" w:name="_Toc57795879"/>
      <w:r>
        <w:rPr>
          <w:rFonts w:hint="eastAsia" w:ascii="宋体" w:hAnsi="宋体" w:cs="宋体"/>
          <w:color w:val="auto"/>
          <w:sz w:val="21"/>
          <w:szCs w:val="21"/>
          <w:highlight w:val="none"/>
        </w:rPr>
        <w:t>3.1投标文件的组成</w:t>
      </w:r>
      <w:bookmarkEnd w:id="70"/>
    </w:p>
    <w:p w14:paraId="5EA8C93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14:paraId="0FAF7814">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3.1.1.1投标函部分</w:t>
      </w:r>
    </w:p>
    <w:p w14:paraId="3C206725">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（1）投标函</w:t>
      </w:r>
    </w:p>
    <w:p w14:paraId="340EB836">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（2）投标函附录</w:t>
      </w:r>
    </w:p>
    <w:p w14:paraId="0A64A3C1">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（3）法定代表人身份证明或附有法定代表人身份证明的授权委托书</w:t>
      </w:r>
    </w:p>
    <w:p w14:paraId="5E5847DB">
      <w:pPr>
        <w:spacing w:line="360" w:lineRule="auto"/>
        <w:ind w:firstLine="420" w:firstLineChars="200"/>
        <w:rPr>
          <w:rFonts w:hint="eastAsia" w:ascii="宋体" w:hAnsi="宋体" w:cs="宋体"/>
          <w:color w:val="auto"/>
          <w:kern w:val="0"/>
          <w:szCs w:val="21"/>
          <w:highlight w:val="none"/>
          <w:lang w:val="ru-RU"/>
        </w:rPr>
      </w:pPr>
    </w:p>
    <w:p w14:paraId="5555D310">
      <w:pPr>
        <w:spacing w:line="360" w:lineRule="auto"/>
        <w:ind w:firstLine="420" w:firstLineChars="200"/>
        <w:rPr>
          <w:rFonts w:hint="eastAsia" w:ascii="宋体" w:hAnsi="宋体"/>
          <w:color w:val="auto"/>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rPr>
        <w:t>2经济</w:t>
      </w:r>
      <w:r>
        <w:rPr>
          <w:rFonts w:hint="eastAsia" w:ascii="宋体" w:hAnsi="宋体" w:cs="宋体"/>
          <w:color w:val="auto"/>
          <w:kern w:val="0"/>
          <w:szCs w:val="21"/>
          <w:highlight w:val="none"/>
          <w:lang w:val="ru-RU"/>
        </w:rPr>
        <w:t>部分</w:t>
      </w:r>
    </w:p>
    <w:p w14:paraId="14BC32D6">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ru-RU"/>
        </w:rPr>
        <w:t>）已标价工程量清单</w:t>
      </w:r>
    </w:p>
    <w:p w14:paraId="54CD0188">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资格审查部分</w:t>
      </w:r>
    </w:p>
    <w:p w14:paraId="517C29EF">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（1）法定代表人身份证明或附有法定代表人身份证明的授权委托书</w:t>
      </w:r>
    </w:p>
    <w:p w14:paraId="076C40F7">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（2）投标人基本情况表</w:t>
      </w:r>
    </w:p>
    <w:p w14:paraId="03E82941">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）项目管理机构</w:t>
      </w:r>
    </w:p>
    <w:p w14:paraId="7B057701">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承诺</w:t>
      </w:r>
    </w:p>
    <w:p w14:paraId="0C225A2A">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val="ru-RU"/>
        </w:rPr>
        <w:t>）其他资料</w:t>
      </w:r>
    </w:p>
    <w:p w14:paraId="4F5EF91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投标人在评标过程中作出的符合法律法规和招标文件规定的澄清确认，构成投标文件的组成部分。</w:t>
      </w:r>
    </w:p>
    <w:p w14:paraId="477CD53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3.1.2投标人须知前附表规定不接受联合体投标的，或投标人没有组成联合体的，投标文件不包括联合体协议书。</w:t>
      </w:r>
    </w:p>
    <w:p w14:paraId="4C07BD7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投标人须知前附表未要求提交投标保证金的，投标文件不包括投标保证金。</w:t>
      </w:r>
    </w:p>
    <w:p w14:paraId="159A71F2">
      <w:pPr>
        <w:pStyle w:val="5"/>
        <w:spacing w:before="0" w:after="0" w:line="360" w:lineRule="auto"/>
        <w:rPr>
          <w:rFonts w:hint="eastAsia" w:ascii="宋体" w:hAnsi="宋体" w:cs="宋体"/>
          <w:color w:val="auto"/>
          <w:sz w:val="21"/>
          <w:szCs w:val="21"/>
          <w:highlight w:val="none"/>
        </w:rPr>
      </w:pPr>
      <w:bookmarkStart w:id="71" w:name="_Toc57795880"/>
      <w:r>
        <w:rPr>
          <w:rFonts w:hint="eastAsia" w:ascii="宋体" w:hAnsi="宋体" w:cs="宋体"/>
          <w:color w:val="auto"/>
          <w:sz w:val="21"/>
          <w:szCs w:val="21"/>
          <w:highlight w:val="none"/>
        </w:rPr>
        <w:t>3.2 投标报价</w:t>
      </w:r>
      <w:bookmarkEnd w:id="71"/>
    </w:p>
    <w:p w14:paraId="5EEFA6F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14:paraId="57B82D5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招标采用工程量固化清单，招标人将工程量清单电子文件上传至投标人须知前附表载明的网站供投标人自行下载。投标人填写工程量清单中各子目的单价及总价，即可完成投标工程量清单的编制，确定投标报价，编入投标文件。投标人未在工程量清单中填入单价或总额价的工程子目，将被认为其已包含在工程量清单其他子目的单价和总额价中，招标人将不予支付。</w:t>
      </w:r>
    </w:p>
    <w:p w14:paraId="4E17C6E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投标人必须严格遵循工程量固化清单电子文件中的数据、格式及运算定义，严禁投标人修改工程量固化清单电子文件中的数据、格式及运算定义。</w:t>
      </w:r>
    </w:p>
    <w:p w14:paraId="7DF40BD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投标人根据招标人提供的工程量固化清单电子文件填报完成并生成的投标工程量清单中的投标报价和投标函大写金额报价应一致，如果报价金额出现差异，其投标将被否决。</w:t>
      </w:r>
    </w:p>
    <w:p w14:paraId="131E70F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投标人应充分了解本项目的总体情况以及影响投标报价的其他要素。</w:t>
      </w:r>
    </w:p>
    <w:p w14:paraId="6868FA0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本项目的报价方式见投标人须知前附表。投标人在投标截止时间前修改投标函中的投标总报价，应同时修改投标文件“已标价工程量清单”中的相应报价。此修改须符合本章第 4.3 款的有关要求。</w:t>
      </w:r>
    </w:p>
    <w:p w14:paraId="4D902EA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投标人如果发现工程量清单中的数量与图纸中数量不一致时，应立即通知招标人核查，除非招标人按照本章第2.2 款或2.3 款的有关要求，以招标文件澄清或修改的方式予以更正，否则，应以工程量清单中列出的数量为准。</w:t>
      </w:r>
    </w:p>
    <w:p w14:paraId="50C085E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3.2.5 投标人应根据《公路水运工程安全生产监督管理办法》，在投标总价中计入安全生产费用，安全生产费用应符合合同条款第 9.2.5 项的规定。工程量清单第 100章内列有上述安全生产费的支付子目，由投标人按招标文件的规定填写总额价。</w:t>
      </w:r>
    </w:p>
    <w:p w14:paraId="3326AED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3.2.6 除投标人须知前附表另有规定外，招标人不接受调价函。</w:t>
      </w:r>
    </w:p>
    <w:p w14:paraId="26DF698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3.2.7 在合同实施期间，投标人填写的单价、合价和总价是否由于物价波动进行价格调整按照合同条款第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04347CA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3.2.8 招标人设有最高投标限价的，投标人的投标报价不得超过最高投标限价，最高投标限价在投标人须知前附表中载明。</w:t>
      </w:r>
    </w:p>
    <w:p w14:paraId="291B681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3.2.9 投标报价的其他要求见投标人须知前附表。</w:t>
      </w:r>
    </w:p>
    <w:p w14:paraId="5B569DFD">
      <w:pPr>
        <w:pStyle w:val="5"/>
        <w:spacing w:before="0" w:after="0" w:line="360" w:lineRule="auto"/>
        <w:rPr>
          <w:rFonts w:hint="eastAsia" w:ascii="宋体" w:hAnsi="宋体" w:cs="宋体"/>
          <w:color w:val="auto"/>
          <w:sz w:val="21"/>
          <w:szCs w:val="21"/>
          <w:highlight w:val="none"/>
        </w:rPr>
      </w:pPr>
      <w:bookmarkStart w:id="72" w:name="_Toc57795881"/>
      <w:r>
        <w:rPr>
          <w:rFonts w:hint="eastAsia" w:ascii="宋体" w:hAnsi="宋体" w:cs="宋体"/>
          <w:color w:val="auto"/>
          <w:sz w:val="21"/>
          <w:szCs w:val="21"/>
          <w:highlight w:val="none"/>
        </w:rPr>
        <w:t>3.3投标有效期</w:t>
      </w:r>
      <w:bookmarkEnd w:id="72"/>
    </w:p>
    <w:p w14:paraId="6471C81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 90 日。</w:t>
      </w:r>
    </w:p>
    <w:p w14:paraId="5DCB66D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在投标有效期内，投标人撤销投标文件的，应承担招标文件和法律规定的责任。</w:t>
      </w:r>
    </w:p>
    <w:p w14:paraId="2E2820B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出现特殊情况需要延长投标有效期的，招标人在投标人须知前附表载明的网站，以公告形式通知所有投标人延长投标有效期。在公告发布的 24 小时内， 若招标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14:paraId="7B7D1939">
      <w:pPr>
        <w:pStyle w:val="5"/>
        <w:spacing w:before="0" w:after="0" w:line="360" w:lineRule="auto"/>
        <w:rPr>
          <w:rFonts w:hint="eastAsia" w:ascii="宋体" w:hAnsi="宋体" w:cs="宋体"/>
          <w:color w:val="auto"/>
          <w:sz w:val="21"/>
          <w:szCs w:val="21"/>
          <w:highlight w:val="none"/>
        </w:rPr>
      </w:pPr>
      <w:bookmarkStart w:id="73" w:name="_Toc57795882"/>
      <w:r>
        <w:rPr>
          <w:rFonts w:hint="eastAsia" w:ascii="宋体" w:hAnsi="宋体" w:cs="宋体"/>
          <w:color w:val="auto"/>
          <w:sz w:val="21"/>
          <w:szCs w:val="21"/>
          <w:highlight w:val="none"/>
        </w:rPr>
        <w:t>3.4 投标保证金</w:t>
      </w:r>
      <w:bookmarkEnd w:id="73"/>
    </w:p>
    <w:p w14:paraId="47F27C1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投标人在递交投标文件的同时，应按投标人须知前附表规定的金额、担保形式和</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要求递交投标保证金，并作为其投标文件的组成部分。</w:t>
      </w:r>
    </w:p>
    <w:p w14:paraId="7BEDB2E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无论采取何种形式的投标保证金，投标保证金有效期均应与投标有效期一致。招标人如果按本章第 3.3.3 项的规定延长了投标有效期，则投标保证金的有效期也相应延长。</w:t>
      </w:r>
    </w:p>
    <w:p w14:paraId="7144202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投标人不按本章第 3.4.1 项要求提交投标保证金的，评标委员会将否决其投标。</w:t>
      </w:r>
    </w:p>
    <w:p w14:paraId="35C9A00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3FCB9AA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利息计算原则见投标人须知前附表。</w:t>
      </w:r>
    </w:p>
    <w:p w14:paraId="0F1D57B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有下列情形之一的，投标保证金将不予退还：</w:t>
      </w:r>
    </w:p>
    <w:p w14:paraId="0FE1F31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14:paraId="17C208F2">
      <w:pPr>
        <w:pStyle w:val="268"/>
        <w:spacing w:before="0" w:after="0"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kern w:val="0"/>
          <w:sz w:val="21"/>
          <w:szCs w:val="21"/>
        </w:rPr>
        <w:t>中标人在收到中标通知书后，无正当理由不与招标人订立合同，在签订合同时向招标人提出附加条件，或者不按照招标文件要求提交履约保证金</w:t>
      </w:r>
      <w:r>
        <w:rPr>
          <w:rFonts w:hint="eastAsia" w:asciiTheme="minorEastAsia" w:hAnsiTheme="minorEastAsia" w:eastAsiaTheme="minorEastAsia" w:cstheme="minorEastAsia"/>
          <w:color w:val="auto"/>
          <w:sz w:val="21"/>
          <w:szCs w:val="21"/>
          <w:highlight w:val="none"/>
          <w:lang w:eastAsia="zh-CN"/>
        </w:rPr>
        <w:t>；</w:t>
      </w:r>
    </w:p>
    <w:p w14:paraId="37E55E3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p w14:paraId="75ED369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）发生投标人须知前附表规定的其他可以不予退还投标保证金的情形。</w:t>
      </w:r>
    </w:p>
    <w:p w14:paraId="76B6DED8">
      <w:pPr>
        <w:pStyle w:val="5"/>
        <w:spacing w:before="0" w:after="0" w:line="360" w:lineRule="auto"/>
        <w:rPr>
          <w:rFonts w:hint="eastAsia" w:ascii="宋体" w:hAnsi="宋体" w:cs="宋体"/>
          <w:color w:val="auto"/>
          <w:sz w:val="21"/>
          <w:szCs w:val="21"/>
          <w:highlight w:val="none"/>
        </w:rPr>
      </w:pPr>
      <w:bookmarkStart w:id="74" w:name="_Toc57795884"/>
      <w:r>
        <w:rPr>
          <w:rFonts w:hint="eastAsia" w:ascii="宋体" w:hAnsi="宋体" w:cs="宋体"/>
          <w:color w:val="auto"/>
          <w:sz w:val="21"/>
          <w:szCs w:val="21"/>
          <w:highlight w:val="none"/>
        </w:rPr>
        <w:t>3.5资格审查资料</w:t>
      </w:r>
      <w:bookmarkEnd w:id="74"/>
    </w:p>
    <w:p w14:paraId="5F15CB5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 1.4 款规定的资质、财务、业绩、信誉等要求。</w:t>
      </w:r>
    </w:p>
    <w:p w14:paraId="1F204E6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3.5.1“投标人基本情况表”应附企业法人营业执照副本、施工资质证书副本（带二维码）、安全生产许可证副本的扫描件。</w:t>
      </w:r>
    </w:p>
    <w:p w14:paraId="2455D28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14:paraId="656BDD4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3.5.2“财务状况表”应附经会计师事务所或审计机构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合法有效的</w:t>
      </w:r>
      <w:r>
        <w:rPr>
          <w:rFonts w:hint="eastAsia" w:ascii="宋体" w:hAnsi="宋体" w:eastAsia="宋体" w:cs="宋体"/>
          <w:color w:val="auto"/>
          <w:sz w:val="21"/>
          <w:szCs w:val="21"/>
          <w:highlight w:val="none"/>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14:paraId="50FD24B2">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3.5.3 “类似项目”</w:t>
      </w:r>
      <w:r>
        <w:rPr>
          <w:rFonts w:hint="eastAsia" w:ascii="宋体" w:hAnsi="宋体" w:eastAsia="宋体"/>
          <w:color w:val="auto"/>
          <w:sz w:val="21"/>
          <w:szCs w:val="21"/>
          <w:highlight w:val="none"/>
          <w:lang w:eastAsia="zh-CN"/>
        </w:rPr>
        <w:t>应是已列入交通运输主管部门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并公开的主包已建业绩或分包已建业绩，具体时间要求见投标人须知前附表。</w:t>
      </w:r>
    </w:p>
    <w:p w14:paraId="46AD2471">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类似项目情况表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应附在交通运输部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中查询到的企业</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业绩信息</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相关项目网页截图复印件，即包括</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项目名称</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标段类型</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合同价</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主要工程量</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项目主要管理人员</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等栏目在内的项目详细信息网页截图。在交通运输部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中无法查询，但可在省级交通运输主管部门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中查询的，应附省级交通运输主管部门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中查询到的网页截图。除网页截图外，投标人无须再提供任何业绩证明材料。</w:t>
      </w:r>
    </w:p>
    <w:p w14:paraId="0383581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如投标人未提供相关项目网页截图或相关项目网页截图中的信息无法证实投标人满足招标文件规定的资格审查条件（业绩最低要求），则该项目业绩不予认定</w:t>
      </w:r>
      <w:r>
        <w:rPr>
          <w:rFonts w:hint="eastAsia" w:ascii="宋体" w:hAnsi="宋体" w:eastAsia="宋体" w:cs="宋体"/>
          <w:color w:val="auto"/>
          <w:sz w:val="21"/>
          <w:szCs w:val="21"/>
          <w:highlight w:val="none"/>
          <w:lang w:eastAsia="zh-CN"/>
        </w:rPr>
        <w:t>。</w:t>
      </w:r>
    </w:p>
    <w:p w14:paraId="5A8F44E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3.5.4“投标人的信誉情况表”应附投标人在国家企业信用信息公示系统中未被列入严重违法失信企业名单，在“信用中国”网站未被列入失信惩戒对象名单的网页截图。</w:t>
      </w:r>
    </w:p>
    <w:p w14:paraId="348F8DD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14:paraId="483294F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委任的项目经理和项目总工资历表”还应附交通运输部“全国公路建设市场信用信息管理系统”中载明的、能够证明项目经理和项目总工具有相关业绩的网页截图。在交通运输部“全国公路建设市场信用信息管理系统”中无法查询，但可在省级交通运输主管部门“公路建设市场信用信息管理系统”中查询的，应附省级交通运输主管部门“公路建设市场信用信息管理系统”中查询到的网页截图。除网页截图复印件外，投标人无须再提供任何业绩证明材料。如投标人未提供相关业绩网页截图或相关业绩网页截图中的信息无法证实投标人满足招标文件规定的资格审查条件（项目经理和项目总工最低要求），则该业绩不予认定。</w:t>
      </w:r>
    </w:p>
    <w:p w14:paraId="47C5C9A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3.5.6“拟委任的其他管理和技术人员汇总表”（如有）应按前附表规定填报满足本章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1.4.1</w:t>
      </w:r>
      <w:r>
        <w:rPr>
          <w:rFonts w:hint="eastAsia" w:ascii="宋体" w:hAnsi="宋体" w:eastAsia="宋体" w:cs="宋体"/>
          <w:color w:val="auto"/>
          <w:sz w:val="21"/>
          <w:szCs w:val="21"/>
          <w:highlight w:val="none"/>
          <w:lang w:val="en-US" w:eastAsia="zh-CN"/>
        </w:rPr>
        <w:t xml:space="preserve"> 项</w:t>
      </w:r>
      <w:r>
        <w:rPr>
          <w:rFonts w:hint="eastAsia" w:ascii="宋体" w:hAnsi="宋体" w:eastAsia="宋体" w:cs="宋体"/>
          <w:color w:val="auto"/>
          <w:sz w:val="21"/>
          <w:szCs w:val="21"/>
          <w:highlight w:val="none"/>
          <w:lang w:eastAsia="zh-CN"/>
        </w:rPr>
        <w:t>规定的其他人员的相关信息。</w:t>
      </w:r>
    </w:p>
    <w:p w14:paraId="2489875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3.5.7“拟投入本标段的主要施工机械表”“拟配备本标段的主要材料试验、测量、质检仪器设备表”（如有））应按前附表规定填报满足本章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1.4.1 </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规定的机械设备和试验检测设备。</w:t>
      </w:r>
    </w:p>
    <w:p w14:paraId="4B15560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3.5.8 投标人须知前附表规定接受联合体投标的，本章第3.5.1 项至第3.5.7 项规定的表格和资料应包括联合体各方相关情况。</w:t>
      </w:r>
    </w:p>
    <w:p w14:paraId="50D396B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3.5.9 除合同条款约定的特殊情形外，投标人在投标文件中填报的项目经理和项目总工不允许更换，否则将按合同条款的约定予以处罚。</w:t>
      </w:r>
    </w:p>
    <w:p w14:paraId="14D1077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3.5.10 投标人在投标文件中填报的资质、业绩、主要人员资历和目前在岗情况、信用等级等信息，应与其在交通运输部或</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交通行政主管部门“公路建设市场信用信息管理系统”上填报并发布的相关信息一致。投标人应根据本单位实际情况及时完成相关信息的申报、录入和动态更新，并对相关信息的真实性、完整性和准确性负责。</w:t>
      </w:r>
    </w:p>
    <w:p w14:paraId="4C09947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3.5.11 招标人有权核查投标人在资格预审申请文件和投标文件中提供的材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交通行政主管部门，作为不良记录纳入公路建设市场信用信息管理系统。</w:t>
      </w:r>
    </w:p>
    <w:p w14:paraId="3239F16D">
      <w:pPr>
        <w:pStyle w:val="5"/>
        <w:spacing w:before="0" w:after="0" w:line="360" w:lineRule="auto"/>
        <w:rPr>
          <w:rFonts w:hint="eastAsia" w:ascii="宋体" w:hAnsi="宋体" w:cs="宋体"/>
          <w:color w:val="auto"/>
          <w:sz w:val="21"/>
          <w:szCs w:val="21"/>
          <w:highlight w:val="none"/>
        </w:rPr>
      </w:pPr>
      <w:bookmarkStart w:id="75" w:name="_Toc57795885"/>
      <w:r>
        <w:rPr>
          <w:rFonts w:hint="eastAsia" w:ascii="宋体" w:hAnsi="宋体" w:cs="宋体"/>
          <w:color w:val="auto"/>
          <w:sz w:val="21"/>
          <w:szCs w:val="21"/>
          <w:highlight w:val="none"/>
        </w:rPr>
        <w:t>3.6 备选投标方案</w:t>
      </w:r>
      <w:bookmarkEnd w:id="75"/>
    </w:p>
    <w:p w14:paraId="4016A8B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14:paraId="4ED7426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4CAE86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投标人提供两个或两个以上投标报价，或在投标文件中提供一个报价，但同时提供两个或两个以上施工组织设计的，视为提供备选方案。</w:t>
      </w:r>
    </w:p>
    <w:p w14:paraId="7567B6CB">
      <w:pPr>
        <w:pStyle w:val="5"/>
        <w:spacing w:before="0" w:after="0" w:line="360" w:lineRule="auto"/>
        <w:rPr>
          <w:rFonts w:hint="eastAsia" w:ascii="宋体" w:hAnsi="宋体" w:cs="宋体"/>
          <w:color w:val="auto"/>
          <w:sz w:val="21"/>
          <w:szCs w:val="21"/>
          <w:highlight w:val="none"/>
        </w:rPr>
      </w:pPr>
      <w:bookmarkStart w:id="76" w:name="_Toc57795886"/>
      <w:r>
        <w:rPr>
          <w:rFonts w:hint="eastAsia" w:ascii="宋体" w:hAnsi="宋体" w:cs="宋体"/>
          <w:color w:val="auto"/>
          <w:sz w:val="21"/>
          <w:szCs w:val="21"/>
          <w:highlight w:val="none"/>
        </w:rPr>
        <w:t>3.7 投标文件的编制</w:t>
      </w:r>
      <w:bookmarkEnd w:id="76"/>
    </w:p>
    <w:p w14:paraId="108788E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投标文件应按第九章“投标文件格式”进行编写，如有必要，可以增加附页，作为投标文件的组成部分。其中，投标函附录在满足招标文件实质性要求的基础上，可以提出比招标文件要求更有利于招标人的承诺。</w:t>
      </w:r>
    </w:p>
    <w:p w14:paraId="0B3D370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投标文件应对招标文件有关工期、投标有效期、质量要求、安全目标、技术标准和要求、招标范围等实质性内容作出响应。</w:t>
      </w:r>
    </w:p>
    <w:p w14:paraId="487313D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投标文件的签名盖章要求：按本章投标人须知前附表第3.7.3项执行。</w:t>
      </w:r>
    </w:p>
    <w:p w14:paraId="3F75ECA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投标文件份数：见投标人须知前附表规定。</w:t>
      </w:r>
    </w:p>
    <w:p w14:paraId="05CA1FB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投标文件应按规定格式排版，并编制目录，具体编制要求见投标人须知前附表规定。</w:t>
      </w:r>
    </w:p>
    <w:p w14:paraId="588E2E67">
      <w:pPr>
        <w:pStyle w:val="4"/>
        <w:spacing w:before="0" w:after="0" w:line="360" w:lineRule="auto"/>
        <w:rPr>
          <w:rFonts w:hint="eastAsia" w:ascii="宋体" w:hAnsi="宋体" w:cs="宋体"/>
          <w:color w:val="auto"/>
          <w:sz w:val="28"/>
          <w:szCs w:val="28"/>
          <w:highlight w:val="none"/>
        </w:rPr>
      </w:pPr>
      <w:bookmarkStart w:id="77" w:name="_Toc57795887"/>
      <w:r>
        <w:rPr>
          <w:rFonts w:hint="eastAsia" w:ascii="宋体" w:hAnsi="宋体" w:cs="宋体"/>
          <w:color w:val="auto"/>
          <w:sz w:val="28"/>
          <w:szCs w:val="28"/>
          <w:highlight w:val="none"/>
        </w:rPr>
        <w:t>4. 投标</w:t>
      </w:r>
      <w:bookmarkEnd w:id="77"/>
    </w:p>
    <w:p w14:paraId="00CE5FD2">
      <w:pPr>
        <w:pStyle w:val="5"/>
        <w:spacing w:before="0" w:after="0" w:line="360" w:lineRule="auto"/>
        <w:rPr>
          <w:rFonts w:hint="eastAsia" w:ascii="宋体" w:hAnsi="宋体" w:cs="宋体"/>
          <w:color w:val="auto"/>
          <w:sz w:val="21"/>
          <w:szCs w:val="21"/>
          <w:highlight w:val="none"/>
        </w:rPr>
      </w:pPr>
      <w:bookmarkStart w:id="78" w:name="_Toc57795888"/>
      <w:r>
        <w:rPr>
          <w:rFonts w:hint="eastAsia" w:ascii="宋体" w:hAnsi="宋体" w:cs="宋体"/>
          <w:color w:val="auto"/>
          <w:sz w:val="21"/>
          <w:szCs w:val="21"/>
          <w:highlight w:val="none"/>
        </w:rPr>
        <w:t>4.1 投标文件的密封和标识</w:t>
      </w:r>
      <w:bookmarkEnd w:id="78"/>
    </w:p>
    <w:p w14:paraId="7A98538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投标文件的密封：见投标人须知前附表。</w:t>
      </w:r>
    </w:p>
    <w:p w14:paraId="634D4F2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封套上应写明的内容：见投标人须知前附表。</w:t>
      </w:r>
    </w:p>
    <w:p w14:paraId="448FB055">
      <w:pPr>
        <w:pStyle w:val="5"/>
        <w:spacing w:before="0" w:after="0" w:line="360" w:lineRule="auto"/>
        <w:rPr>
          <w:rFonts w:hint="eastAsia" w:ascii="宋体" w:hAnsi="宋体" w:cs="宋体"/>
          <w:color w:val="auto"/>
          <w:sz w:val="21"/>
          <w:szCs w:val="21"/>
          <w:highlight w:val="none"/>
        </w:rPr>
      </w:pPr>
      <w:bookmarkStart w:id="79" w:name="_Toc57795889"/>
      <w:r>
        <w:rPr>
          <w:rFonts w:hint="eastAsia" w:ascii="宋体" w:hAnsi="宋体" w:cs="宋体"/>
          <w:color w:val="auto"/>
          <w:sz w:val="21"/>
          <w:szCs w:val="21"/>
          <w:highlight w:val="none"/>
        </w:rPr>
        <w:t>4.2投标文件的递交</w:t>
      </w:r>
      <w:bookmarkEnd w:id="79"/>
    </w:p>
    <w:p w14:paraId="202990D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投标人应在投标人须知前附表第 2.2.2 项规定的投标截止时间前递交投标文件。</w:t>
      </w:r>
    </w:p>
    <w:p w14:paraId="587F01A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投标人递交投标文件的地点：见投标人须知前附表。</w:t>
      </w:r>
    </w:p>
    <w:p w14:paraId="5DC0452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除投标人须知前附表另有规定外，投标人所递交的投标文件不予退还。</w:t>
      </w:r>
    </w:p>
    <w:p w14:paraId="075AC68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4.2.4逾期送达的或者未送达指定地点的投标文件，招标人不予受理。</w:t>
      </w:r>
    </w:p>
    <w:p w14:paraId="1ADC5F0B">
      <w:pPr>
        <w:pStyle w:val="4"/>
        <w:spacing w:before="0" w:after="0" w:line="360" w:lineRule="auto"/>
        <w:rPr>
          <w:rFonts w:hint="eastAsia" w:ascii="宋体" w:hAnsi="宋体" w:cs="宋体"/>
          <w:color w:val="auto"/>
          <w:sz w:val="28"/>
          <w:szCs w:val="28"/>
          <w:highlight w:val="none"/>
        </w:rPr>
      </w:pPr>
      <w:bookmarkStart w:id="80" w:name="_Toc57795891"/>
      <w:r>
        <w:rPr>
          <w:rFonts w:hint="eastAsia" w:ascii="宋体" w:hAnsi="宋体" w:cs="宋体"/>
          <w:color w:val="auto"/>
          <w:sz w:val="28"/>
          <w:szCs w:val="28"/>
          <w:highlight w:val="none"/>
        </w:rPr>
        <w:t>5. 开标</w:t>
      </w:r>
      <w:bookmarkEnd w:id="80"/>
    </w:p>
    <w:p w14:paraId="327F5F60">
      <w:pPr>
        <w:pStyle w:val="5"/>
        <w:spacing w:before="0" w:after="0" w:line="360" w:lineRule="auto"/>
        <w:rPr>
          <w:rFonts w:hint="eastAsia" w:ascii="宋体" w:hAnsi="宋体" w:cs="宋体"/>
          <w:color w:val="auto"/>
          <w:sz w:val="21"/>
          <w:szCs w:val="21"/>
          <w:highlight w:val="none"/>
        </w:rPr>
      </w:pPr>
      <w:bookmarkStart w:id="81" w:name="_Toc57795892"/>
      <w:r>
        <w:rPr>
          <w:rFonts w:hint="eastAsia" w:ascii="宋体" w:hAnsi="宋体" w:cs="宋体"/>
          <w:color w:val="auto"/>
          <w:sz w:val="21"/>
          <w:szCs w:val="21"/>
          <w:highlight w:val="none"/>
        </w:rPr>
        <w:t>5.1 开标时间和地点</w:t>
      </w:r>
      <w:bookmarkEnd w:id="81"/>
    </w:p>
    <w:p w14:paraId="4E6522C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招标人在本章第 4.2.1 项规定的投标截止时间（开标时间）和投标人须知前附表规定的地点对收到的投标文件公开开标，并邀请所有投标人的法定代表人或其委托代理人准时参加。</w:t>
      </w:r>
    </w:p>
    <w:p w14:paraId="152B5C4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投标人若未派法定代表人或委托代理人出席开标活动，视为该投标人默认开标结果。</w:t>
      </w:r>
    </w:p>
    <w:p w14:paraId="28A4A1BA">
      <w:pPr>
        <w:pStyle w:val="5"/>
        <w:spacing w:before="0" w:after="0" w:line="360" w:lineRule="auto"/>
        <w:rPr>
          <w:rFonts w:hint="eastAsia" w:ascii="宋体" w:hAnsi="宋体" w:cs="宋体"/>
          <w:color w:val="auto"/>
          <w:sz w:val="21"/>
          <w:szCs w:val="21"/>
          <w:highlight w:val="none"/>
        </w:rPr>
      </w:pPr>
      <w:bookmarkStart w:id="82" w:name="_Toc57795893"/>
      <w:r>
        <w:rPr>
          <w:rFonts w:hint="eastAsia" w:ascii="宋体" w:hAnsi="宋体" w:cs="宋体"/>
          <w:color w:val="auto"/>
          <w:sz w:val="21"/>
          <w:szCs w:val="21"/>
          <w:highlight w:val="none"/>
        </w:rPr>
        <w:t>5.2开标程序</w:t>
      </w:r>
      <w:bookmarkEnd w:id="82"/>
    </w:p>
    <w:p w14:paraId="1F0BB4E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详见投标人须知前附表第5.2款开标程序</w:t>
      </w:r>
      <w:r>
        <w:rPr>
          <w:rFonts w:hint="eastAsia" w:ascii="宋体" w:hAnsi="宋体" w:eastAsia="宋体" w:cs="宋体"/>
          <w:color w:val="auto"/>
          <w:sz w:val="21"/>
          <w:szCs w:val="21"/>
          <w:highlight w:val="none"/>
          <w:lang w:eastAsia="zh-CN"/>
        </w:rPr>
        <w:t>。</w:t>
      </w:r>
    </w:p>
    <w:p w14:paraId="2319386D">
      <w:pPr>
        <w:pStyle w:val="5"/>
        <w:spacing w:before="0" w:after="0" w:line="360" w:lineRule="auto"/>
        <w:rPr>
          <w:rFonts w:hint="eastAsia" w:ascii="宋体" w:hAnsi="宋体" w:cs="宋体"/>
          <w:color w:val="auto"/>
          <w:sz w:val="21"/>
          <w:szCs w:val="21"/>
          <w:highlight w:val="none"/>
        </w:rPr>
      </w:pPr>
      <w:bookmarkStart w:id="83" w:name="_Toc57795894"/>
      <w:r>
        <w:rPr>
          <w:rFonts w:hint="eastAsia" w:ascii="宋体" w:hAnsi="宋体" w:cs="宋体"/>
          <w:color w:val="auto"/>
          <w:sz w:val="21"/>
          <w:szCs w:val="21"/>
          <w:highlight w:val="none"/>
        </w:rPr>
        <w:t>5.3 开标异议</w:t>
      </w:r>
      <w:bookmarkEnd w:id="83"/>
    </w:p>
    <w:p w14:paraId="1911F06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对开标有异议的，应在开标现场提出，开标现场提出异议的，应出示法定代表人身份证明或附有法定代表人身份证明的授权委托书。招标人当场作出答复，并制作记录，有异议的投标人代表、招标人代表、记录人等有关人员在记录上签名确认。</w:t>
      </w:r>
    </w:p>
    <w:p w14:paraId="3F4B5EE5">
      <w:pPr>
        <w:pStyle w:val="4"/>
        <w:spacing w:before="0" w:after="0" w:line="360" w:lineRule="auto"/>
        <w:rPr>
          <w:rFonts w:hint="eastAsia" w:ascii="宋体" w:hAnsi="宋体" w:cs="宋体"/>
          <w:color w:val="auto"/>
          <w:sz w:val="28"/>
          <w:szCs w:val="28"/>
          <w:highlight w:val="none"/>
        </w:rPr>
      </w:pPr>
      <w:bookmarkStart w:id="84" w:name="_Toc57795895"/>
      <w:r>
        <w:rPr>
          <w:rFonts w:hint="eastAsia" w:ascii="宋体" w:hAnsi="宋体" w:cs="宋体"/>
          <w:color w:val="auto"/>
          <w:sz w:val="28"/>
          <w:szCs w:val="28"/>
          <w:highlight w:val="none"/>
        </w:rPr>
        <w:t>6. 评标</w:t>
      </w:r>
      <w:bookmarkEnd w:id="84"/>
    </w:p>
    <w:p w14:paraId="36354E04">
      <w:pPr>
        <w:pStyle w:val="5"/>
        <w:spacing w:before="0" w:after="0" w:line="360" w:lineRule="auto"/>
        <w:rPr>
          <w:rFonts w:hint="eastAsia" w:ascii="宋体" w:hAnsi="宋体" w:cs="宋体"/>
          <w:color w:val="auto"/>
          <w:sz w:val="21"/>
          <w:szCs w:val="21"/>
          <w:highlight w:val="none"/>
        </w:rPr>
      </w:pPr>
      <w:bookmarkStart w:id="85" w:name="_Toc57795896"/>
      <w:r>
        <w:rPr>
          <w:rFonts w:hint="eastAsia" w:ascii="宋体" w:hAnsi="宋体" w:cs="宋体"/>
          <w:color w:val="auto"/>
          <w:sz w:val="21"/>
          <w:szCs w:val="21"/>
          <w:highlight w:val="none"/>
        </w:rPr>
        <w:t>6.1 评标委员会</w:t>
      </w:r>
      <w:bookmarkEnd w:id="85"/>
    </w:p>
    <w:p w14:paraId="0422F36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评标委员会的组建：</w:t>
      </w:r>
      <w:r>
        <w:rPr>
          <w:rFonts w:hint="eastAsia" w:ascii="宋体" w:hAnsi="宋体" w:eastAsia="宋体" w:cs="宋体"/>
          <w:color w:val="auto"/>
          <w:sz w:val="21"/>
          <w:szCs w:val="21"/>
          <w:highlight w:val="none"/>
          <w:lang w:eastAsia="zh-CN"/>
        </w:rPr>
        <w:t>见投标人须知前附表。</w:t>
      </w:r>
    </w:p>
    <w:p w14:paraId="4501B71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评标委员会成员有下列情形之一的，应主动提出回避：</w:t>
      </w:r>
    </w:p>
    <w:p w14:paraId="3023263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（1）为负责招标项目监督管理的交通运输主管部门的工作人员，或招标项目的主管部门的工作人员，或对该项目有监督职责的行政监督部门的工作人员；</w:t>
      </w:r>
    </w:p>
    <w:p w14:paraId="4AAE1C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（2）招标人或招标代理机构主要负责人的近亲属，或与投标人法定代表人或其委托代理人有近亲属关系；</w:t>
      </w:r>
    </w:p>
    <w:p w14:paraId="79B542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（3）为投标人的工作人员或退休人员；</w:t>
      </w:r>
    </w:p>
    <w:p w14:paraId="6969A5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（4）与投标人有其他利害关系，可能影响评标活动公正性；</w:t>
      </w:r>
    </w:p>
    <w:p w14:paraId="0883B2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（5）在与招标投标有关的活动中有过违法违规行为、曾受过行政处罚或刑事处罚；</w:t>
      </w:r>
    </w:p>
    <w:p w14:paraId="4A9F44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（6）招标人及其子公司、招标人的上级主管部门或者控股公司、招标代理机构的工作人员或者退休人员；</w:t>
      </w:r>
    </w:p>
    <w:p w14:paraId="7B8BF2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（7）近3年在招标人、投标人或招标代理机构工作过的人员。</w:t>
      </w:r>
    </w:p>
    <w:p w14:paraId="34109C79">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14:paraId="4C8DAC57">
      <w:pPr>
        <w:pStyle w:val="5"/>
        <w:spacing w:before="0" w:after="0" w:line="360" w:lineRule="auto"/>
        <w:rPr>
          <w:rFonts w:hint="eastAsia" w:ascii="宋体" w:hAnsi="宋体" w:cs="宋体"/>
          <w:color w:val="auto"/>
          <w:sz w:val="21"/>
          <w:szCs w:val="21"/>
          <w:highlight w:val="none"/>
        </w:rPr>
      </w:pPr>
      <w:bookmarkStart w:id="86" w:name="_Toc57795897"/>
      <w:r>
        <w:rPr>
          <w:rFonts w:hint="eastAsia" w:ascii="宋体" w:hAnsi="宋体" w:cs="宋体"/>
          <w:color w:val="auto"/>
          <w:sz w:val="21"/>
          <w:szCs w:val="21"/>
          <w:highlight w:val="none"/>
        </w:rPr>
        <w:t>6.2 评标原则</w:t>
      </w:r>
      <w:bookmarkEnd w:id="86"/>
    </w:p>
    <w:p w14:paraId="48F2A14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评标活动遵循公平、公正、科学和择优的原则。</w:t>
      </w:r>
    </w:p>
    <w:p w14:paraId="5417EC94">
      <w:pPr>
        <w:pStyle w:val="5"/>
        <w:spacing w:before="0" w:after="0" w:line="360" w:lineRule="auto"/>
        <w:rPr>
          <w:rFonts w:hint="eastAsia" w:ascii="宋体" w:hAnsi="宋体" w:cs="宋体"/>
          <w:color w:val="auto"/>
          <w:sz w:val="21"/>
          <w:szCs w:val="21"/>
          <w:highlight w:val="none"/>
        </w:rPr>
      </w:pPr>
      <w:bookmarkStart w:id="87" w:name="_Toc57795898"/>
      <w:r>
        <w:rPr>
          <w:rFonts w:hint="eastAsia" w:ascii="宋体" w:hAnsi="宋体" w:cs="宋体"/>
          <w:color w:val="auto"/>
          <w:sz w:val="21"/>
          <w:szCs w:val="21"/>
          <w:highlight w:val="none"/>
        </w:rPr>
        <w:t>6.3 评标</w:t>
      </w:r>
      <w:bookmarkEnd w:id="87"/>
    </w:p>
    <w:p w14:paraId="6703E27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评标委员会按照第三章“评标办法”规定的方法、评审因素、标准和程序对投标文件进行评审。第三章“评标办法”没有规定的方法、评审因素和标准，不作为评标依据。</w:t>
      </w:r>
    </w:p>
    <w:p w14:paraId="2941D1A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评标完成后，评标委员会应向招标人提交书面评标报告和中标候选人名单。评标委员会推荐中标候选人的人数见投标人须知前附表。</w:t>
      </w:r>
    </w:p>
    <w:p w14:paraId="003B534D">
      <w:pPr>
        <w:pStyle w:val="4"/>
        <w:spacing w:before="0" w:after="0" w:line="360" w:lineRule="auto"/>
        <w:rPr>
          <w:rFonts w:hint="eastAsia" w:ascii="宋体" w:hAnsi="宋体" w:cs="宋体"/>
          <w:color w:val="auto"/>
          <w:sz w:val="28"/>
          <w:szCs w:val="28"/>
          <w:highlight w:val="none"/>
        </w:rPr>
      </w:pPr>
      <w:bookmarkStart w:id="88" w:name="_Toc57795899"/>
      <w:r>
        <w:rPr>
          <w:rFonts w:hint="eastAsia" w:ascii="宋体" w:hAnsi="宋体" w:cs="宋体"/>
          <w:color w:val="auto"/>
          <w:sz w:val="28"/>
          <w:szCs w:val="28"/>
          <w:highlight w:val="none"/>
        </w:rPr>
        <w:t>7. 合同授予</w:t>
      </w:r>
      <w:bookmarkEnd w:id="88"/>
    </w:p>
    <w:p w14:paraId="1627EEC4">
      <w:pPr>
        <w:pStyle w:val="5"/>
        <w:spacing w:before="0" w:after="0" w:line="360" w:lineRule="auto"/>
        <w:rPr>
          <w:rFonts w:hint="eastAsia" w:ascii="宋体" w:hAnsi="宋体" w:cs="宋体"/>
          <w:color w:val="auto"/>
          <w:sz w:val="21"/>
          <w:szCs w:val="21"/>
          <w:highlight w:val="none"/>
        </w:rPr>
      </w:pPr>
      <w:bookmarkStart w:id="89" w:name="_Toc57795900"/>
      <w:r>
        <w:rPr>
          <w:rFonts w:hint="eastAsia" w:ascii="宋体" w:hAnsi="宋体" w:cs="宋体"/>
          <w:color w:val="auto"/>
          <w:sz w:val="21"/>
          <w:szCs w:val="21"/>
          <w:highlight w:val="none"/>
        </w:rPr>
        <w:t>7.1 中标候选人公示</w:t>
      </w:r>
      <w:bookmarkEnd w:id="89"/>
    </w:p>
    <w:p w14:paraId="3B0F3C32">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招标人在收到评标报告之日起 3 日内，按照投标人须知前附表规定的公示媒介和期限公示中标候选人，公示期不得少于 3 日。</w:t>
      </w:r>
    </w:p>
    <w:p w14:paraId="2764B16F">
      <w:pPr>
        <w:pStyle w:val="5"/>
        <w:spacing w:before="0" w:after="0" w:line="360" w:lineRule="auto"/>
        <w:rPr>
          <w:rFonts w:hint="eastAsia" w:ascii="宋体" w:hAnsi="宋体" w:cs="宋体"/>
          <w:color w:val="auto"/>
          <w:sz w:val="21"/>
          <w:szCs w:val="21"/>
          <w:highlight w:val="none"/>
        </w:rPr>
      </w:pPr>
      <w:bookmarkStart w:id="90" w:name="_Toc57795901"/>
      <w:r>
        <w:rPr>
          <w:rFonts w:hint="eastAsia" w:ascii="宋体" w:hAnsi="宋体" w:cs="宋体"/>
          <w:color w:val="auto"/>
          <w:sz w:val="21"/>
          <w:szCs w:val="21"/>
          <w:highlight w:val="none"/>
        </w:rPr>
        <w:t>7.2 评标结果异议</w:t>
      </w:r>
      <w:bookmarkEnd w:id="90"/>
    </w:p>
    <w:p w14:paraId="5F868A7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投标人或其他利害关系人对依法必须进行招标的项目的评标结果有异议的，应在中标候选人公示期间提出。招标人将在收到异议之日起 3 日内作出答复；作出答复前，将暂停招标投标活动。</w:t>
      </w:r>
    </w:p>
    <w:p w14:paraId="022C4067">
      <w:pPr>
        <w:pStyle w:val="5"/>
        <w:spacing w:before="0" w:after="0" w:line="360" w:lineRule="auto"/>
        <w:rPr>
          <w:rFonts w:hint="eastAsia" w:ascii="宋体" w:hAnsi="宋体" w:cs="宋体"/>
          <w:color w:val="auto"/>
          <w:sz w:val="21"/>
          <w:szCs w:val="21"/>
          <w:highlight w:val="none"/>
        </w:rPr>
      </w:pPr>
      <w:bookmarkStart w:id="91" w:name="_Toc57795902"/>
      <w:r>
        <w:rPr>
          <w:rFonts w:hint="eastAsia" w:ascii="宋体" w:hAnsi="宋体" w:cs="宋体"/>
          <w:color w:val="auto"/>
          <w:sz w:val="21"/>
          <w:szCs w:val="21"/>
          <w:highlight w:val="none"/>
        </w:rPr>
        <w:t>7.3 中标候选人履约能力审查</w:t>
      </w:r>
      <w:bookmarkEnd w:id="91"/>
    </w:p>
    <w:p w14:paraId="7CCBFF1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14:paraId="2955C169">
      <w:pPr>
        <w:pStyle w:val="5"/>
        <w:spacing w:before="0" w:after="0" w:line="360" w:lineRule="auto"/>
        <w:rPr>
          <w:rFonts w:hint="eastAsia" w:ascii="宋体" w:hAnsi="宋体" w:cs="宋体"/>
          <w:color w:val="auto"/>
          <w:sz w:val="21"/>
          <w:szCs w:val="21"/>
          <w:highlight w:val="none"/>
        </w:rPr>
      </w:pPr>
      <w:bookmarkStart w:id="92" w:name="_Toc57795903"/>
      <w:r>
        <w:rPr>
          <w:rFonts w:hint="eastAsia" w:ascii="宋体" w:hAnsi="宋体" w:cs="宋体"/>
          <w:color w:val="auto"/>
          <w:sz w:val="21"/>
          <w:szCs w:val="21"/>
          <w:highlight w:val="none"/>
        </w:rPr>
        <w:t>7.4 定标</w:t>
      </w:r>
      <w:bookmarkEnd w:id="92"/>
    </w:p>
    <w:p w14:paraId="650C794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按照投标人须知前附表的规定，招标人或招标人授权的评标委员会依法确定中标人。</w:t>
      </w:r>
    </w:p>
    <w:p w14:paraId="15FF17D6">
      <w:pPr>
        <w:pStyle w:val="5"/>
        <w:spacing w:before="0" w:after="0" w:line="360" w:lineRule="auto"/>
        <w:rPr>
          <w:rFonts w:hint="eastAsia" w:ascii="宋体" w:hAnsi="宋体" w:cs="宋体"/>
          <w:color w:val="auto"/>
          <w:sz w:val="21"/>
          <w:szCs w:val="21"/>
          <w:highlight w:val="none"/>
        </w:rPr>
      </w:pPr>
      <w:bookmarkStart w:id="93" w:name="_Toc57795904"/>
      <w:r>
        <w:rPr>
          <w:rFonts w:hint="eastAsia" w:ascii="宋体" w:hAnsi="宋体" w:cs="宋体"/>
          <w:color w:val="auto"/>
          <w:sz w:val="21"/>
          <w:szCs w:val="21"/>
          <w:highlight w:val="none"/>
        </w:rPr>
        <w:t>7.5 中标通知</w:t>
      </w:r>
      <w:bookmarkEnd w:id="93"/>
    </w:p>
    <w:p w14:paraId="4E76187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款规定的投标有效期内，招标人以投标人须知前附表规定的形式向中标人发出中标通知书，同时将中标结果通知未中标的投标人。</w:t>
      </w:r>
    </w:p>
    <w:p w14:paraId="4B660023">
      <w:pPr>
        <w:pStyle w:val="5"/>
        <w:spacing w:before="0" w:after="0" w:line="360" w:lineRule="auto"/>
        <w:rPr>
          <w:rFonts w:hint="eastAsia" w:ascii="宋体" w:hAnsi="宋体" w:cs="宋体"/>
          <w:color w:val="auto"/>
          <w:sz w:val="21"/>
          <w:szCs w:val="21"/>
          <w:highlight w:val="none"/>
        </w:rPr>
      </w:pPr>
      <w:bookmarkStart w:id="94" w:name="_Toc57795905"/>
      <w:r>
        <w:rPr>
          <w:rFonts w:hint="eastAsia" w:ascii="宋体" w:hAnsi="宋体" w:cs="宋体"/>
          <w:color w:val="auto"/>
          <w:sz w:val="21"/>
          <w:szCs w:val="21"/>
          <w:highlight w:val="none"/>
        </w:rPr>
        <w:t>7.6 中标结果公告</w:t>
      </w:r>
      <w:bookmarkEnd w:id="94"/>
    </w:p>
    <w:p w14:paraId="747305B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招标人在确定中标人之日起 3 日内，按照投标人须知前附表规定的公告媒介和期限公告中标结果，公告期不得少于 3 日。公告内容包括中标人名称、中标价。</w:t>
      </w:r>
    </w:p>
    <w:p w14:paraId="6B8C37D8">
      <w:pPr>
        <w:pStyle w:val="5"/>
        <w:spacing w:before="0" w:after="0" w:line="360" w:lineRule="auto"/>
        <w:rPr>
          <w:rFonts w:hint="eastAsia" w:ascii="宋体" w:hAnsi="宋体" w:cs="宋体"/>
          <w:color w:val="auto"/>
          <w:sz w:val="21"/>
          <w:szCs w:val="21"/>
          <w:highlight w:val="none"/>
        </w:rPr>
      </w:pPr>
      <w:bookmarkStart w:id="95" w:name="_Toc57795906"/>
      <w:r>
        <w:rPr>
          <w:rFonts w:hint="eastAsia" w:ascii="宋体" w:hAnsi="宋体" w:cs="宋体"/>
          <w:color w:val="auto"/>
          <w:sz w:val="21"/>
          <w:szCs w:val="21"/>
          <w:highlight w:val="none"/>
        </w:rPr>
        <w:t>7.7 履约保证金</w:t>
      </w:r>
      <w:bookmarkEnd w:id="95"/>
    </w:p>
    <w:p w14:paraId="6C06A5B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%。联合体中标的，其履约保证金以联合体各方或联合体中牵头人的名义提交。</w:t>
      </w:r>
    </w:p>
    <w:p w14:paraId="453FF7D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采用履约保函时，应由符合投标人须知前附表规定级别的银行开具，所需的费用由中标人承担，中标人应保证履约保函有效。</w:t>
      </w:r>
    </w:p>
    <w:p w14:paraId="42555C6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7.7.2 中标人不能按本章第 7.7.1 项要求提交履约保证金的，视为放弃中标，其投标保证金不予退还，给招标人造成的损失超过投标保证金数额的，中标人还应对超过部分予以赔偿。</w:t>
      </w:r>
    </w:p>
    <w:p w14:paraId="50728149">
      <w:pPr>
        <w:pStyle w:val="5"/>
        <w:spacing w:before="0" w:after="0" w:line="360" w:lineRule="auto"/>
        <w:rPr>
          <w:rFonts w:hint="eastAsia" w:ascii="宋体" w:hAnsi="宋体" w:cs="宋体"/>
          <w:color w:val="auto"/>
          <w:sz w:val="21"/>
          <w:szCs w:val="21"/>
          <w:highlight w:val="none"/>
        </w:rPr>
      </w:pPr>
      <w:bookmarkStart w:id="96" w:name="_Toc57795907"/>
      <w:r>
        <w:rPr>
          <w:rFonts w:hint="eastAsia" w:ascii="宋体" w:hAnsi="宋体" w:cs="宋体"/>
          <w:color w:val="auto"/>
          <w:sz w:val="21"/>
          <w:szCs w:val="21"/>
          <w:highlight w:val="none"/>
        </w:rPr>
        <w:t>7.8 签订合同</w:t>
      </w:r>
      <w:bookmarkEnd w:id="96"/>
    </w:p>
    <w:p w14:paraId="15A1471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7.8.1 招标人和中标人应在中标通知书发出之日起 30 日内，根据招标文件和中标人的投标文件订立书面合同。中标人放弃中标项目，无正当理由拒签合同，在签订合同时向招标人提出附加条件或者更改合同实质性内容，或不按照招标文件要求提交低价风险担保（适用于经评审最低投标价法）或履约保证金的，招标人取消其中标资格，其投标保证金不予退还；给招标人造成的损失超过投标保证金数额的，中标人还应对超过部分予以赔偿。</w:t>
      </w:r>
    </w:p>
    <w:p w14:paraId="315E75A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7.8.2 发出中标通知书后，招标人无正当理由拒签合同，或在签订合同时向中标人提出附加条件的，招标人向中标人退还投标保证金；给中标人造成损失的，还应赔偿损失。</w:t>
      </w:r>
    </w:p>
    <w:p w14:paraId="780307F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7.8.3 签约合同价的确定原则如下：（如投标人按照招标人提供的工程量固化清单电子文件填写工程量清单，无须按照第三章“评标办法”的相关规定对投标报价进行修正，则本项不适用。）</w:t>
      </w:r>
    </w:p>
    <w:p w14:paraId="30C24B6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（1）按照评标办法规定对投标报价进行修正后，若修正后的最终投标报价小于开标时的投标函大写金额报价，则签订合同时以修正后的最终投标报价为准；</w:t>
      </w:r>
    </w:p>
    <w:p w14:paraId="7BD4143D">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14:paraId="086A1EE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7.8.4 联合体中标的，联合体各方应共同与招标人签订合同，就中标项目向招标人承担连带责任。</w:t>
      </w:r>
    </w:p>
    <w:p w14:paraId="02FB5D2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7.8.5 招标人和中标人在签订合同协议书的同时，须按照本招标文件规定的格式和要求签订廉政合同及安全生产合同，明确双方在廉政建设和安全生产方面的权利和义务以及应承担的违约责任。</w:t>
      </w:r>
    </w:p>
    <w:p w14:paraId="35D7046B">
      <w:pPr>
        <w:pStyle w:val="4"/>
        <w:spacing w:before="0" w:after="0" w:line="360" w:lineRule="auto"/>
        <w:rPr>
          <w:rFonts w:hint="eastAsia" w:ascii="宋体" w:hAnsi="宋体" w:cs="宋体"/>
          <w:color w:val="auto"/>
          <w:sz w:val="28"/>
          <w:szCs w:val="28"/>
          <w:highlight w:val="none"/>
        </w:rPr>
      </w:pPr>
      <w:bookmarkStart w:id="97" w:name="_Toc57795908"/>
      <w:r>
        <w:rPr>
          <w:rFonts w:hint="eastAsia" w:ascii="宋体" w:hAnsi="宋体" w:cs="宋体"/>
          <w:color w:val="auto"/>
          <w:sz w:val="28"/>
          <w:szCs w:val="28"/>
          <w:highlight w:val="none"/>
        </w:rPr>
        <w:t>8. 纪律和监督</w:t>
      </w:r>
      <w:bookmarkEnd w:id="97"/>
    </w:p>
    <w:p w14:paraId="700D9ADB">
      <w:pPr>
        <w:pStyle w:val="5"/>
        <w:spacing w:before="0" w:after="0" w:line="360" w:lineRule="auto"/>
        <w:rPr>
          <w:rFonts w:hint="eastAsia" w:ascii="宋体" w:hAnsi="宋体" w:cs="宋体"/>
          <w:color w:val="auto"/>
          <w:sz w:val="21"/>
          <w:szCs w:val="21"/>
          <w:highlight w:val="none"/>
        </w:rPr>
      </w:pPr>
      <w:bookmarkStart w:id="98" w:name="_Toc57795909"/>
      <w:r>
        <w:rPr>
          <w:rFonts w:hint="eastAsia" w:ascii="宋体" w:hAnsi="宋体" w:cs="宋体"/>
          <w:color w:val="auto"/>
          <w:sz w:val="21"/>
          <w:szCs w:val="21"/>
          <w:highlight w:val="none"/>
        </w:rPr>
        <w:t>8.1 对招标人的纪律要求</w:t>
      </w:r>
      <w:bookmarkEnd w:id="98"/>
    </w:p>
    <w:p w14:paraId="49EC509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招标人不得泄露招标投标活动中应保密的情况和资料，不得与投标人串通损害国家利益、社会公共利益或他人合法权益。</w:t>
      </w:r>
    </w:p>
    <w:p w14:paraId="38489DB8">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有下列情形之一的，属于招标人与投标人串通投标：</w:t>
      </w:r>
    </w:p>
    <w:p w14:paraId="25BA14F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（1）招标人在开标前开启投标文件并将有关信息泄露给其他投标人；</w:t>
      </w:r>
    </w:p>
    <w:p w14:paraId="45A33C4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（2）招标人直接或者间接向投标人泄露标底、评标委员会成员等信息；</w:t>
      </w:r>
    </w:p>
    <w:p w14:paraId="43DEF7F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（3）招标人明示或者暗示投标人压低或者抬高投标报价；</w:t>
      </w:r>
    </w:p>
    <w:p w14:paraId="3BECFCE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（4）招标人授意投标人撤换、修改投标文件；</w:t>
      </w:r>
    </w:p>
    <w:p w14:paraId="5C78E94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（5）招标人明示或者暗示投标人为特定投标人中标提供方便；</w:t>
      </w:r>
    </w:p>
    <w:p w14:paraId="397CCD6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（6）招标人与投标人为谋求特定投标人中标而采取的其他串通行为。</w:t>
      </w:r>
    </w:p>
    <w:p w14:paraId="5CDA719E">
      <w:pPr>
        <w:pStyle w:val="5"/>
        <w:spacing w:before="0" w:after="0" w:line="360" w:lineRule="auto"/>
        <w:rPr>
          <w:rFonts w:hint="eastAsia" w:ascii="宋体" w:hAnsi="宋体" w:cs="宋体"/>
          <w:color w:val="auto"/>
          <w:sz w:val="21"/>
          <w:szCs w:val="21"/>
          <w:highlight w:val="none"/>
        </w:rPr>
      </w:pPr>
      <w:bookmarkStart w:id="99" w:name="_Toc57795910"/>
      <w:r>
        <w:rPr>
          <w:rFonts w:hint="eastAsia" w:ascii="宋体" w:hAnsi="宋体" w:cs="宋体"/>
          <w:color w:val="auto"/>
          <w:sz w:val="21"/>
          <w:szCs w:val="21"/>
          <w:highlight w:val="none"/>
        </w:rPr>
        <w:t>8.2 对投标人的纪律要求</w:t>
      </w:r>
      <w:bookmarkEnd w:id="99"/>
    </w:p>
    <w:p w14:paraId="34BE252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投标人不得相互串通投标或与招标人串通投标，不得向招标人或评标委员会成员行贿谋取中标，不得以他人名义投标或以其他方式弄虚作假骗取中标；投标人不得以任何方式干扰、影响评标工作。</w:t>
      </w:r>
    </w:p>
    <w:p w14:paraId="53FEDF4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8.2.1 有下列情形之一的，属于投标人相互串通投标：</w:t>
      </w:r>
    </w:p>
    <w:p w14:paraId="46CCEDA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（1）投标人之间协商投标报价等投标文件的实质性内容；</w:t>
      </w:r>
    </w:p>
    <w:p w14:paraId="0E2C8AF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（2）投标人之间约定中标人；</w:t>
      </w:r>
    </w:p>
    <w:p w14:paraId="1ED9FDEC">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（3）投标人之间约定部分投标人放弃投标或者中标；</w:t>
      </w:r>
    </w:p>
    <w:p w14:paraId="62DCF16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（4）属于同一集团、协会、商会等组织成员的投标人按照该组织要求协同投标；</w:t>
      </w:r>
    </w:p>
    <w:p w14:paraId="4B63849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（5）投标人之间为谋取中标或者排斥特定投标人而采取的其他联合行动。</w:t>
      </w:r>
    </w:p>
    <w:p w14:paraId="60A32FB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8.2.2 有下列情形之一的，视为投标人相互串通投标：</w:t>
      </w:r>
    </w:p>
    <w:p w14:paraId="772CF53A">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（1）不同投标人的投标文件由同一单位或者个人编制；</w:t>
      </w:r>
    </w:p>
    <w:p w14:paraId="500D38D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（2）不同投标人委托同一单位或者个人办理投标事宜；</w:t>
      </w:r>
    </w:p>
    <w:p w14:paraId="2A92D614">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（3）不同投标人的投标文件载明的项目管理成员为同一人；</w:t>
      </w:r>
    </w:p>
    <w:p w14:paraId="0FE4623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（4）不同投标人的投标文件异常一致或者投标报价呈规律性差异；</w:t>
      </w:r>
    </w:p>
    <w:p w14:paraId="778500F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（5）不同投标人的投标文件相互混装；</w:t>
      </w:r>
    </w:p>
    <w:p w14:paraId="0569AB5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（6）不同投标人的投标保证金从同一单位或者个人的账户转出；</w:t>
      </w:r>
    </w:p>
    <w:p w14:paraId="528536E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（7）不同投标人的电子投标文件MAC地址相同。</w:t>
      </w:r>
    </w:p>
    <w:p w14:paraId="2DC9D54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8.2.3 使用通过受让或者租借等方式获取的资格、资质证书投标的，属于以他人名义投标。</w:t>
      </w:r>
    </w:p>
    <w:p w14:paraId="254A952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8.2.4 投标人有下列情形之一的，属于以其他方式弄虚作假的行为：</w:t>
      </w:r>
    </w:p>
    <w:p w14:paraId="45FA1951">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14:paraId="656F769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14:paraId="24A4CC36">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14:paraId="5CA06833">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14:paraId="5833B23F">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14:paraId="11284797">
      <w:pPr>
        <w:pStyle w:val="5"/>
        <w:spacing w:before="0" w:after="0" w:line="360" w:lineRule="auto"/>
        <w:rPr>
          <w:rFonts w:hint="eastAsia" w:ascii="宋体" w:hAnsi="宋体" w:cs="宋体"/>
          <w:color w:val="auto"/>
          <w:sz w:val="21"/>
          <w:szCs w:val="21"/>
          <w:highlight w:val="none"/>
        </w:rPr>
      </w:pPr>
      <w:bookmarkStart w:id="100" w:name="_Toc57795911"/>
      <w:r>
        <w:rPr>
          <w:rFonts w:hint="eastAsia" w:ascii="宋体" w:hAnsi="宋体" w:cs="宋体"/>
          <w:color w:val="auto"/>
          <w:sz w:val="21"/>
          <w:szCs w:val="21"/>
          <w:highlight w:val="none"/>
        </w:rPr>
        <w:t>8.3 对评标委员会成员的纪律要求</w:t>
      </w:r>
      <w:bookmarkEnd w:id="100"/>
    </w:p>
    <w:p w14:paraId="5F7DF07B">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p>
    <w:p w14:paraId="3035C06F">
      <w:pPr>
        <w:pStyle w:val="5"/>
        <w:spacing w:before="0" w:after="0" w:line="360" w:lineRule="auto"/>
        <w:rPr>
          <w:rFonts w:hint="eastAsia" w:ascii="宋体" w:hAnsi="宋体" w:cs="宋体"/>
          <w:color w:val="auto"/>
          <w:sz w:val="21"/>
          <w:szCs w:val="21"/>
          <w:highlight w:val="none"/>
        </w:rPr>
      </w:pPr>
      <w:bookmarkStart w:id="101" w:name="_Toc57795912"/>
      <w:r>
        <w:rPr>
          <w:rFonts w:hint="eastAsia" w:ascii="宋体" w:hAnsi="宋体" w:cs="宋体"/>
          <w:color w:val="auto"/>
          <w:sz w:val="21"/>
          <w:szCs w:val="21"/>
          <w:highlight w:val="none"/>
        </w:rPr>
        <w:t>8.4 对与评标活动有关的工作人员的纪律要求</w:t>
      </w:r>
      <w:bookmarkEnd w:id="101"/>
    </w:p>
    <w:p w14:paraId="53D5AC0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1344E8DD">
      <w:pPr>
        <w:pStyle w:val="5"/>
        <w:spacing w:before="0" w:after="0" w:line="360" w:lineRule="auto"/>
        <w:rPr>
          <w:rFonts w:hint="eastAsia" w:ascii="宋体" w:hAnsi="宋体" w:cs="宋体"/>
          <w:color w:val="auto"/>
          <w:sz w:val="21"/>
          <w:szCs w:val="21"/>
          <w:highlight w:val="none"/>
        </w:rPr>
      </w:pPr>
      <w:bookmarkStart w:id="102" w:name="_Toc57795913"/>
      <w:r>
        <w:rPr>
          <w:rFonts w:hint="eastAsia" w:ascii="宋体" w:hAnsi="宋体" w:cs="宋体"/>
          <w:color w:val="auto"/>
          <w:sz w:val="21"/>
          <w:szCs w:val="21"/>
          <w:highlight w:val="none"/>
        </w:rPr>
        <w:t>8.5 投诉</w:t>
      </w:r>
      <w:bookmarkEnd w:id="102"/>
    </w:p>
    <w:p w14:paraId="460DB5A5">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8.5.1 投标人或其他利害关系人认为招标投标活动不符合法律、行政法规规定的，可以自知道或应当知道之日起 10 日内向有关行政监督部门投诉。投诉应有明确的请求和必要的证明材料。</w:t>
      </w:r>
    </w:p>
    <w:p w14:paraId="7840CC5E">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监督部门的联系方式见投标人须知前附表。</w:t>
      </w:r>
    </w:p>
    <w:p w14:paraId="7E79C850">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8.5.2 投标人或其他利害关系人对招标文件、开标和评标结果提出投诉的，应按照本章第 2.2 款、第 5.3 款和第 7.2 款的规定先向招标人提出异议。异议答复期间不计算在第 8.5.1 项规定的期限内。</w:t>
      </w:r>
    </w:p>
    <w:p w14:paraId="649C846E">
      <w:pPr>
        <w:pStyle w:val="4"/>
        <w:spacing w:before="0" w:after="0" w:line="360" w:lineRule="auto"/>
        <w:rPr>
          <w:rFonts w:hint="eastAsia" w:ascii="宋体" w:hAnsi="宋体" w:cs="宋体"/>
          <w:color w:val="auto"/>
          <w:sz w:val="28"/>
          <w:szCs w:val="28"/>
          <w:highlight w:val="none"/>
        </w:rPr>
      </w:pPr>
      <w:bookmarkStart w:id="103" w:name="_Toc57795914"/>
      <w:r>
        <w:rPr>
          <w:rFonts w:hint="eastAsia" w:ascii="宋体" w:hAnsi="宋体" w:cs="宋体"/>
          <w:color w:val="auto"/>
          <w:sz w:val="28"/>
          <w:szCs w:val="28"/>
          <w:highlight w:val="none"/>
        </w:rPr>
        <w:t>9. 是否采用电子招标投标</w:t>
      </w:r>
      <w:bookmarkEnd w:id="103"/>
    </w:p>
    <w:p w14:paraId="09C844D7">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本招标项目是否采用电子招标投标方式：见投标人须知前附表。</w:t>
      </w:r>
    </w:p>
    <w:p w14:paraId="062A7996">
      <w:pPr>
        <w:pStyle w:val="4"/>
        <w:spacing w:before="0" w:after="0" w:line="360" w:lineRule="auto"/>
        <w:rPr>
          <w:rFonts w:hint="eastAsia" w:ascii="宋体" w:hAnsi="宋体" w:cs="宋体"/>
          <w:color w:val="auto"/>
          <w:sz w:val="28"/>
          <w:szCs w:val="28"/>
          <w:highlight w:val="none"/>
        </w:rPr>
      </w:pPr>
      <w:bookmarkStart w:id="104" w:name="_Toc57795915"/>
      <w:r>
        <w:rPr>
          <w:rFonts w:hint="eastAsia" w:ascii="宋体" w:hAnsi="宋体" w:cs="宋体"/>
          <w:color w:val="auto"/>
          <w:sz w:val="28"/>
          <w:szCs w:val="28"/>
          <w:highlight w:val="none"/>
        </w:rPr>
        <w:t>10. 需要补充的其他内容</w:t>
      </w:r>
      <w:bookmarkEnd w:id="104"/>
    </w:p>
    <w:p w14:paraId="77753712">
      <w:pPr>
        <w:autoSpaceDE w:val="0"/>
        <w:autoSpaceDN w:val="0"/>
        <w:adjustRightInd w:val="0"/>
        <w:snapToGrid w:val="0"/>
        <w:spacing w:line="380" w:lineRule="exact"/>
        <w:ind w:firstLine="420"/>
        <w:jc w:val="left"/>
        <w:rPr>
          <w:color w:val="auto"/>
        </w:rPr>
      </w:pPr>
      <w:r>
        <w:rPr>
          <w:rFonts w:hint="eastAsia" w:ascii="宋体" w:hAnsi="宋体" w:eastAsia="宋体" w:cs="宋体"/>
          <w:color w:val="auto"/>
          <w:sz w:val="21"/>
          <w:szCs w:val="21"/>
          <w:highlight w:val="none"/>
          <w:lang w:eastAsia="zh-CN"/>
        </w:rPr>
        <w:t>需要补充的其他内容：见投标人须知前附表。</w:t>
      </w:r>
    </w:p>
    <w:bookmarkEnd w:id="45"/>
    <w:bookmarkEnd w:id="46"/>
    <w:bookmarkEnd w:id="47"/>
    <w:bookmarkEnd w:id="48"/>
    <w:bookmarkEnd w:id="49"/>
    <w:bookmarkEnd w:id="50"/>
    <w:p w14:paraId="76DE99C5">
      <w:pPr>
        <w:pStyle w:val="3"/>
        <w:spacing w:before="0" w:after="0" w:line="400" w:lineRule="exact"/>
        <w:jc w:val="center"/>
        <w:rPr>
          <w:rFonts w:ascii="宋体" w:hAnsi="宋体"/>
          <w:snapToGrid w:val="0"/>
          <w:color w:val="auto"/>
          <w:kern w:val="0"/>
        </w:rPr>
      </w:pPr>
      <w:bookmarkStart w:id="105" w:name="_Toc452058737"/>
      <w:bookmarkStart w:id="106" w:name="_Toc513492490"/>
      <w:r>
        <w:rPr>
          <w:rFonts w:ascii="宋体" w:hAnsi="宋体"/>
          <w:snapToGrid w:val="0"/>
          <w:color w:val="auto"/>
          <w:kern w:val="0"/>
        </w:rPr>
        <w:br w:type="page"/>
      </w:r>
      <w:bookmarkStart w:id="107" w:name="_Toc6580"/>
      <w:r>
        <w:rPr>
          <w:rFonts w:ascii="宋体" w:hAnsi="宋体"/>
          <w:snapToGrid w:val="0"/>
          <w:color w:val="auto"/>
          <w:kern w:val="0"/>
          <w:sz w:val="32"/>
          <w:szCs w:val="32"/>
        </w:rPr>
        <w:t xml:space="preserve">第三章 </w:t>
      </w:r>
      <w:r>
        <w:rPr>
          <w:rFonts w:hint="eastAsia" w:ascii="宋体" w:hAnsi="宋体"/>
          <w:snapToGrid w:val="0"/>
          <w:color w:val="auto"/>
          <w:kern w:val="0"/>
          <w:sz w:val="32"/>
          <w:szCs w:val="32"/>
        </w:rPr>
        <w:t xml:space="preserve"> </w:t>
      </w:r>
      <w:r>
        <w:rPr>
          <w:rFonts w:ascii="宋体" w:hAnsi="宋体"/>
          <w:snapToGrid w:val="0"/>
          <w:color w:val="auto"/>
          <w:kern w:val="0"/>
          <w:sz w:val="32"/>
          <w:szCs w:val="32"/>
        </w:rPr>
        <w:t>评标办法（</w:t>
      </w:r>
      <w:r>
        <w:rPr>
          <w:rFonts w:hint="eastAsia" w:ascii="宋体" w:hAnsi="宋体"/>
          <w:snapToGrid w:val="0"/>
          <w:color w:val="auto"/>
          <w:kern w:val="0"/>
          <w:sz w:val="32"/>
          <w:szCs w:val="32"/>
        </w:rPr>
        <w:t>经评审的最低投标价法</w:t>
      </w:r>
      <w:r>
        <w:rPr>
          <w:rFonts w:ascii="宋体" w:hAnsi="宋体"/>
          <w:snapToGrid w:val="0"/>
          <w:color w:val="auto"/>
          <w:kern w:val="0"/>
          <w:sz w:val="32"/>
          <w:szCs w:val="32"/>
        </w:rPr>
        <w:t>）</w:t>
      </w:r>
      <w:bookmarkEnd w:id="107"/>
    </w:p>
    <w:p w14:paraId="6F50C7DF">
      <w:pPr>
        <w:keepNext/>
        <w:keepLines/>
        <w:spacing w:line="400" w:lineRule="exact"/>
        <w:outlineLvl w:val="1"/>
        <w:rPr>
          <w:rFonts w:ascii="宋体" w:hAnsi="宋体"/>
          <w:b/>
          <w:color w:val="auto"/>
          <w:sz w:val="28"/>
          <w:szCs w:val="28"/>
        </w:rPr>
      </w:pPr>
      <w:bookmarkStart w:id="108" w:name="_Toc1584"/>
      <w:r>
        <w:rPr>
          <w:rFonts w:hint="eastAsia" w:ascii="宋体" w:hAnsi="宋体"/>
          <w:b/>
          <w:color w:val="auto"/>
          <w:sz w:val="28"/>
          <w:szCs w:val="28"/>
        </w:rPr>
        <w:t>评标办法前附表</w:t>
      </w:r>
      <w:bookmarkEnd w:id="108"/>
    </w:p>
    <w:p w14:paraId="16CF33F6">
      <w:pPr>
        <w:spacing w:line="400" w:lineRule="exact"/>
        <w:ind w:firstLine="427" w:firstLineChars="196"/>
        <w:rPr>
          <w:rFonts w:ascii="宋体" w:hAnsi="宋体"/>
          <w:color w:val="auto"/>
          <w:spacing w:val="4"/>
          <w:kern w:val="0"/>
          <w:szCs w:val="21"/>
        </w:rPr>
      </w:pPr>
      <w:bookmarkStart w:id="109"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109"/>
    </w:p>
    <w:tbl>
      <w:tblPr>
        <w:tblStyle w:val="52"/>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14:paraId="24DF0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14:paraId="4B3F1056">
            <w:pPr>
              <w:spacing w:line="400" w:lineRule="exact"/>
              <w:jc w:val="center"/>
              <w:rPr>
                <w:rFonts w:ascii="宋体" w:hAnsi="宋体"/>
                <w:b/>
                <w:color w:val="auto"/>
                <w:kern w:val="0"/>
              </w:rPr>
            </w:pPr>
            <w:r>
              <w:rPr>
                <w:rFonts w:ascii="宋体" w:hAnsi="宋体"/>
                <w:b/>
                <w:color w:val="auto"/>
                <w:kern w:val="0"/>
              </w:rPr>
              <w:t>条款号</w:t>
            </w:r>
          </w:p>
        </w:tc>
        <w:tc>
          <w:tcPr>
            <w:tcW w:w="1545" w:type="dxa"/>
            <w:tcBorders>
              <w:left w:val="single" w:color="auto" w:sz="4" w:space="0"/>
            </w:tcBorders>
            <w:vAlign w:val="center"/>
          </w:tcPr>
          <w:p w14:paraId="13262A4F">
            <w:pPr>
              <w:spacing w:line="400" w:lineRule="exact"/>
              <w:jc w:val="center"/>
              <w:rPr>
                <w:rFonts w:ascii="宋体" w:hAnsi="宋体"/>
                <w:b/>
                <w:color w:val="auto"/>
                <w:kern w:val="0"/>
              </w:rPr>
            </w:pPr>
            <w:r>
              <w:rPr>
                <w:rFonts w:ascii="宋体" w:hAnsi="宋体"/>
                <w:b/>
                <w:color w:val="auto"/>
                <w:kern w:val="0"/>
              </w:rPr>
              <w:t>评审因素</w:t>
            </w:r>
          </w:p>
        </w:tc>
        <w:tc>
          <w:tcPr>
            <w:tcW w:w="7290" w:type="dxa"/>
            <w:gridSpan w:val="2"/>
            <w:vAlign w:val="center"/>
          </w:tcPr>
          <w:p w14:paraId="75F87AFC">
            <w:pPr>
              <w:spacing w:line="400" w:lineRule="exact"/>
              <w:jc w:val="center"/>
              <w:rPr>
                <w:rFonts w:ascii="宋体" w:hAnsi="宋体"/>
                <w:b/>
                <w:color w:val="auto"/>
                <w:kern w:val="0"/>
              </w:rPr>
            </w:pPr>
            <w:r>
              <w:rPr>
                <w:rFonts w:ascii="宋体" w:hAnsi="宋体"/>
                <w:b/>
                <w:color w:val="auto"/>
                <w:kern w:val="0"/>
              </w:rPr>
              <w:t>评审标准</w:t>
            </w:r>
          </w:p>
        </w:tc>
      </w:tr>
      <w:tr w14:paraId="7A71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14:paraId="1F4C37F9">
            <w:pPr>
              <w:pStyle w:val="264"/>
              <w:spacing w:line="400" w:lineRule="exact"/>
              <w:ind w:firstLine="0" w:firstLineChars="0"/>
              <w:jc w:val="center"/>
              <w:rPr>
                <w:color w:val="auto"/>
                <w:sz w:val="21"/>
                <w:szCs w:val="21"/>
              </w:rPr>
            </w:pPr>
            <w:r>
              <w:rPr>
                <w:color w:val="auto"/>
                <w:sz w:val="21"/>
                <w:szCs w:val="21"/>
              </w:rPr>
              <w:t>1</w:t>
            </w:r>
          </w:p>
        </w:tc>
        <w:tc>
          <w:tcPr>
            <w:tcW w:w="1545" w:type="dxa"/>
            <w:tcBorders>
              <w:left w:val="single" w:color="auto" w:sz="4" w:space="0"/>
            </w:tcBorders>
            <w:vAlign w:val="center"/>
          </w:tcPr>
          <w:p w14:paraId="219D360A">
            <w:pPr>
              <w:pStyle w:val="264"/>
              <w:spacing w:line="400" w:lineRule="exact"/>
              <w:ind w:firstLine="0" w:firstLineChars="0"/>
              <w:jc w:val="center"/>
              <w:rPr>
                <w:color w:val="auto"/>
                <w:sz w:val="21"/>
                <w:szCs w:val="21"/>
              </w:rPr>
            </w:pPr>
            <w:r>
              <w:rPr>
                <w:rFonts w:hint="eastAsia"/>
                <w:color w:val="auto"/>
                <w:sz w:val="21"/>
                <w:szCs w:val="21"/>
              </w:rPr>
              <w:t>评标办法</w:t>
            </w:r>
          </w:p>
        </w:tc>
        <w:tc>
          <w:tcPr>
            <w:tcW w:w="7290" w:type="dxa"/>
            <w:gridSpan w:val="2"/>
            <w:vAlign w:val="center"/>
          </w:tcPr>
          <w:p w14:paraId="11623F6C">
            <w:pPr>
              <w:spacing w:line="400" w:lineRule="exact"/>
              <w:ind w:firstLine="427" w:firstLineChars="196"/>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color w:val="auto"/>
                <w:spacing w:val="-7"/>
                <w:u w:val="single"/>
              </w:rPr>
              <w:t>全体成员</w:t>
            </w:r>
            <w:r>
              <w:rPr>
                <w:rFonts w:ascii="宋体" w:hAnsi="宋体" w:cs="宋体"/>
                <w:color w:val="auto"/>
                <w:u w:val="single"/>
              </w:rPr>
              <w:t>投票，并按</w:t>
            </w:r>
            <w:r>
              <w:rPr>
                <w:rFonts w:hint="eastAsia" w:ascii="宋体" w:hAnsi="宋体" w:cs="宋体"/>
                <w:color w:val="auto"/>
                <w:u w:val="single"/>
              </w:rPr>
              <w:t>简单</w:t>
            </w:r>
            <w:r>
              <w:rPr>
                <w:rFonts w:ascii="宋体" w:hAnsi="宋体" w:cs="宋体"/>
                <w:color w:val="auto"/>
                <w:u w:val="single"/>
              </w:rPr>
              <w:t>多数</w:t>
            </w:r>
            <w:r>
              <w:rPr>
                <w:rFonts w:hint="eastAsia" w:ascii="宋体" w:hAnsi="宋体"/>
                <w:color w:val="auto"/>
                <w:spacing w:val="4"/>
                <w:kern w:val="0"/>
                <w:szCs w:val="21"/>
              </w:rPr>
              <w:t>原则排序。</w:t>
            </w:r>
          </w:p>
        </w:tc>
      </w:tr>
      <w:tr w14:paraId="15C73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14:paraId="0883154C">
            <w:pPr>
              <w:spacing w:line="400" w:lineRule="exact"/>
              <w:jc w:val="center"/>
              <w:rPr>
                <w:rFonts w:ascii="宋体" w:hAnsi="宋体"/>
                <w:color w:val="auto"/>
                <w:kern w:val="0"/>
              </w:rPr>
            </w:pPr>
            <w:r>
              <w:rPr>
                <w:rFonts w:hint="eastAsia" w:ascii="宋体" w:hAnsi="宋体"/>
                <w:color w:val="auto"/>
                <w:kern w:val="0"/>
              </w:rPr>
              <w:t>2.1</w:t>
            </w:r>
          </w:p>
        </w:tc>
        <w:tc>
          <w:tcPr>
            <w:tcW w:w="1545" w:type="dxa"/>
            <w:tcBorders>
              <w:left w:val="single" w:color="auto" w:sz="4" w:space="0"/>
              <w:right w:val="single" w:color="auto" w:sz="4" w:space="0"/>
            </w:tcBorders>
            <w:vAlign w:val="center"/>
          </w:tcPr>
          <w:p w14:paraId="06AB8EF0">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7290" w:type="dxa"/>
            <w:gridSpan w:val="2"/>
            <w:tcBorders>
              <w:left w:val="single" w:color="auto" w:sz="4" w:space="0"/>
            </w:tcBorders>
            <w:vAlign w:val="center"/>
          </w:tcPr>
          <w:p w14:paraId="660B62D6">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14:paraId="698C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14:paraId="02D16FA9">
            <w:pPr>
              <w:spacing w:line="400" w:lineRule="exact"/>
              <w:jc w:val="center"/>
              <w:rPr>
                <w:rFonts w:ascii="宋体" w:hAnsi="宋体"/>
                <w:color w:val="auto"/>
                <w:kern w:val="0"/>
              </w:rPr>
            </w:pPr>
            <w:r>
              <w:rPr>
                <w:rFonts w:hint="eastAsia" w:ascii="宋体" w:hAnsi="宋体"/>
                <w:color w:val="auto"/>
                <w:kern w:val="0"/>
              </w:rPr>
              <w:t>2.2</w:t>
            </w:r>
          </w:p>
        </w:tc>
        <w:tc>
          <w:tcPr>
            <w:tcW w:w="1545" w:type="dxa"/>
            <w:tcBorders>
              <w:left w:val="single" w:color="auto" w:sz="4" w:space="0"/>
              <w:right w:val="single" w:color="auto" w:sz="4" w:space="0"/>
            </w:tcBorders>
            <w:vAlign w:val="center"/>
          </w:tcPr>
          <w:p w14:paraId="74B664FD">
            <w:pPr>
              <w:spacing w:line="400" w:lineRule="exact"/>
              <w:jc w:val="center"/>
              <w:rPr>
                <w:rFonts w:ascii="宋体" w:hAnsi="宋体"/>
                <w:color w:val="auto"/>
                <w:kern w:val="0"/>
              </w:rPr>
            </w:pPr>
            <w:r>
              <w:rPr>
                <w:rFonts w:hint="eastAsia" w:ascii="宋体" w:hAnsi="宋体"/>
                <w:color w:val="auto"/>
                <w:kern w:val="0"/>
              </w:rPr>
              <w:t>符合性审查</w:t>
            </w:r>
          </w:p>
        </w:tc>
        <w:tc>
          <w:tcPr>
            <w:tcW w:w="7290" w:type="dxa"/>
            <w:gridSpan w:val="2"/>
            <w:tcBorders>
              <w:left w:val="single" w:color="auto" w:sz="4" w:space="0"/>
            </w:tcBorders>
            <w:vAlign w:val="center"/>
          </w:tcPr>
          <w:p w14:paraId="64B34661">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color w:val="auto"/>
                <w:lang w:val="en-US" w:eastAsia="zh-CN"/>
              </w:rPr>
              <w:t>5</w:t>
            </w:r>
            <w:r>
              <w:rPr>
                <w:rFonts w:hint="eastAsia" w:ascii="宋体" w:hAnsi="宋体"/>
                <w:color w:val="auto"/>
                <w:kern w:val="0"/>
              </w:rPr>
              <w:t>名（若实际投标人数量小于勾选数量，</w:t>
            </w:r>
            <w:r>
              <w:rPr>
                <w:rFonts w:hint="eastAsia" w:ascii="宋体" w:hAnsi="宋体"/>
                <w:color w:val="auto"/>
                <w:spacing w:val="4"/>
                <w:kern w:val="0"/>
                <w:szCs w:val="21"/>
              </w:rPr>
              <w:t>则全部纳入）进行符合性审查。符合性审查内容：资格评审、形式评审、响应性评审、投标函部分及经济部分评审。符合性审查</w:t>
            </w:r>
            <w:r>
              <w:rPr>
                <w:rFonts w:hint="eastAsia" w:ascii="宋体" w:hAnsi="宋体"/>
                <w:color w:val="auto"/>
                <w:kern w:val="0"/>
              </w:rPr>
              <w:t>合格的投标人中，报价最低的成为第一中标候选人，报价次低的成为第二中标候选人，依次类推。</w:t>
            </w:r>
          </w:p>
        </w:tc>
      </w:tr>
      <w:tr w14:paraId="04AFB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14:paraId="31447BD3">
            <w:pPr>
              <w:spacing w:line="400" w:lineRule="exact"/>
              <w:jc w:val="center"/>
              <w:rPr>
                <w:rFonts w:ascii="宋体" w:hAnsi="宋体" w:cs="宋体"/>
                <w:color w:val="auto"/>
                <w:szCs w:val="21"/>
              </w:rPr>
            </w:pPr>
            <w:r>
              <w:rPr>
                <w:rFonts w:hint="eastAsia" w:ascii="宋体" w:hAnsi="宋体" w:cs="宋体"/>
                <w:color w:val="auto"/>
                <w:szCs w:val="21"/>
              </w:rPr>
              <w:t>2.2.2</w:t>
            </w:r>
          </w:p>
        </w:tc>
        <w:tc>
          <w:tcPr>
            <w:tcW w:w="1545" w:type="dxa"/>
            <w:vMerge w:val="restart"/>
            <w:tcBorders>
              <w:left w:val="single" w:color="auto" w:sz="4" w:space="0"/>
              <w:right w:val="single" w:color="auto" w:sz="4" w:space="0"/>
            </w:tcBorders>
            <w:vAlign w:val="center"/>
          </w:tcPr>
          <w:p w14:paraId="3023BC2D">
            <w:pPr>
              <w:spacing w:line="400" w:lineRule="exact"/>
              <w:jc w:val="center"/>
              <w:rPr>
                <w:rFonts w:ascii="宋体" w:hAnsi="宋体"/>
                <w:color w:val="auto"/>
                <w:kern w:val="0"/>
              </w:rPr>
            </w:pPr>
            <w:r>
              <w:rPr>
                <w:rFonts w:hint="eastAsia" w:ascii="宋体" w:hAnsi="宋体"/>
                <w:color w:val="auto"/>
                <w:kern w:val="0"/>
              </w:rPr>
              <w:t>资格评审标准</w:t>
            </w:r>
          </w:p>
        </w:tc>
        <w:tc>
          <w:tcPr>
            <w:tcW w:w="2565" w:type="dxa"/>
            <w:tcBorders>
              <w:top w:val="single" w:color="auto" w:sz="4" w:space="0"/>
              <w:left w:val="single" w:color="auto" w:sz="4" w:space="0"/>
              <w:right w:val="single" w:color="auto" w:sz="4" w:space="0"/>
            </w:tcBorders>
            <w:vAlign w:val="center"/>
          </w:tcPr>
          <w:p w14:paraId="775D56E4">
            <w:pPr>
              <w:snapToGrid w:val="0"/>
              <w:spacing w:line="400" w:lineRule="exact"/>
              <w:jc w:val="center"/>
              <w:rPr>
                <w:rFonts w:ascii="宋体" w:hAnsi="宋体" w:cs="宋体"/>
                <w:color w:val="auto"/>
                <w:kern w:val="0"/>
              </w:rPr>
            </w:pPr>
            <w:r>
              <w:rPr>
                <w:rFonts w:hint="eastAsia" w:ascii="宋体" w:hAnsi="宋体" w:cs="宋体"/>
                <w:color w:val="auto"/>
                <w:kern w:val="0"/>
              </w:rPr>
              <w:t>资质条件</w:t>
            </w:r>
          </w:p>
        </w:tc>
        <w:tc>
          <w:tcPr>
            <w:tcW w:w="4725" w:type="dxa"/>
            <w:tcBorders>
              <w:top w:val="single" w:color="auto" w:sz="4" w:space="0"/>
              <w:left w:val="single" w:color="auto" w:sz="4" w:space="0"/>
            </w:tcBorders>
            <w:vAlign w:val="center"/>
          </w:tcPr>
          <w:p w14:paraId="40252F5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6408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1182136B">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3D1FF791">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3090AA32">
            <w:pPr>
              <w:snapToGrid w:val="0"/>
              <w:spacing w:line="400" w:lineRule="exact"/>
              <w:jc w:val="center"/>
              <w:rPr>
                <w:rFonts w:ascii="宋体" w:hAnsi="宋体" w:cs="宋体"/>
                <w:color w:val="auto"/>
                <w:kern w:val="0"/>
              </w:rPr>
            </w:pPr>
            <w:r>
              <w:rPr>
                <w:rFonts w:hint="eastAsia" w:ascii="宋体" w:hAnsi="宋体" w:cs="宋体"/>
                <w:color w:val="auto"/>
                <w:kern w:val="0"/>
              </w:rPr>
              <w:t>营业执照</w:t>
            </w:r>
          </w:p>
        </w:tc>
        <w:tc>
          <w:tcPr>
            <w:tcW w:w="4725" w:type="dxa"/>
            <w:tcBorders>
              <w:top w:val="single" w:color="auto" w:sz="4" w:space="0"/>
              <w:left w:val="single" w:color="auto" w:sz="4" w:space="0"/>
            </w:tcBorders>
            <w:vAlign w:val="center"/>
          </w:tcPr>
          <w:p w14:paraId="146D66A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75DFC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14:paraId="517300D2">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5008A78D">
            <w:pPr>
              <w:spacing w:line="400" w:lineRule="exact"/>
              <w:jc w:val="center"/>
              <w:rPr>
                <w:rFonts w:ascii="宋体" w:hAnsi="宋体"/>
                <w:color w:val="auto"/>
                <w:kern w:val="0"/>
              </w:rPr>
            </w:pPr>
          </w:p>
        </w:tc>
        <w:tc>
          <w:tcPr>
            <w:tcW w:w="2565" w:type="dxa"/>
            <w:tcBorders>
              <w:top w:val="single" w:color="auto" w:sz="4" w:space="0"/>
              <w:left w:val="single" w:color="auto" w:sz="4" w:space="0"/>
              <w:bottom w:val="single" w:color="auto" w:sz="4" w:space="0"/>
              <w:right w:val="single" w:color="auto" w:sz="4" w:space="0"/>
            </w:tcBorders>
            <w:vAlign w:val="center"/>
          </w:tcPr>
          <w:p w14:paraId="36C9B241">
            <w:pPr>
              <w:snapToGrid w:val="0"/>
              <w:spacing w:line="400" w:lineRule="exact"/>
              <w:jc w:val="center"/>
              <w:rPr>
                <w:color w:val="auto"/>
              </w:rPr>
            </w:pPr>
            <w:r>
              <w:rPr>
                <w:rFonts w:hint="eastAsia"/>
                <w:color w:val="auto"/>
              </w:rPr>
              <w:t>安全生产条件</w:t>
            </w:r>
          </w:p>
        </w:tc>
        <w:tc>
          <w:tcPr>
            <w:tcW w:w="4725" w:type="dxa"/>
            <w:tcBorders>
              <w:top w:val="single" w:color="auto" w:sz="4" w:space="0"/>
              <w:left w:val="single" w:color="auto" w:sz="4" w:space="0"/>
              <w:bottom w:val="single" w:color="auto" w:sz="4" w:space="0"/>
            </w:tcBorders>
            <w:vAlign w:val="center"/>
          </w:tcPr>
          <w:p w14:paraId="7CDC12CC">
            <w:pPr>
              <w:snapToGrid w:val="0"/>
              <w:spacing w:line="400" w:lineRule="exact"/>
              <w:ind w:firstLine="420" w:firstLineChars="200"/>
              <w:rPr>
                <w:rFonts w:ascii="宋体" w:hAnsi="宋体" w:cs="宋体"/>
                <w:color w:val="auto"/>
              </w:rPr>
            </w:pPr>
            <w:r>
              <w:rPr>
                <w:rFonts w:hint="eastAsia" w:ascii="宋体" w:hAnsi="宋体" w:cs="宋体"/>
                <w:color w:val="auto"/>
              </w:rPr>
              <w:t>符合第二章“投标人须知”第1.4.1项规定</w:t>
            </w:r>
          </w:p>
        </w:tc>
      </w:tr>
      <w:tr w14:paraId="347BA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69B102B9">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34A7334C">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0D514D1E">
            <w:pPr>
              <w:snapToGrid w:val="0"/>
              <w:spacing w:line="400" w:lineRule="exact"/>
              <w:jc w:val="center"/>
              <w:rPr>
                <w:rFonts w:ascii="宋体" w:hAnsi="宋体" w:cs="宋体"/>
                <w:color w:val="auto"/>
                <w:kern w:val="0"/>
              </w:rPr>
            </w:pPr>
            <w:r>
              <w:rPr>
                <w:rFonts w:hint="eastAsia" w:ascii="宋体" w:hAnsi="宋体" w:cs="宋体"/>
                <w:color w:val="auto"/>
                <w:szCs w:val="21"/>
              </w:rPr>
              <w:t>投标截止日投标资格情况</w:t>
            </w:r>
          </w:p>
        </w:tc>
        <w:tc>
          <w:tcPr>
            <w:tcW w:w="4725" w:type="dxa"/>
            <w:tcBorders>
              <w:top w:val="single" w:color="auto" w:sz="4" w:space="0"/>
              <w:left w:val="single" w:color="auto" w:sz="4" w:space="0"/>
            </w:tcBorders>
            <w:vAlign w:val="center"/>
          </w:tcPr>
          <w:p w14:paraId="5319DEC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337F9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581A6467">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18155D67">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25554E27">
            <w:pPr>
              <w:snapToGrid w:val="0"/>
              <w:spacing w:line="400" w:lineRule="exact"/>
              <w:jc w:val="center"/>
              <w:rPr>
                <w:rFonts w:ascii="宋体" w:hAnsi="宋体" w:cs="宋体"/>
                <w:color w:val="auto"/>
                <w:kern w:val="0"/>
              </w:rPr>
            </w:pPr>
            <w:r>
              <w:rPr>
                <w:rFonts w:hint="eastAsia" w:ascii="宋体" w:hAnsi="宋体" w:cs="宋体"/>
                <w:color w:val="auto"/>
                <w:kern w:val="0"/>
              </w:rPr>
              <w:t>项目经理资格要求</w:t>
            </w:r>
          </w:p>
        </w:tc>
        <w:tc>
          <w:tcPr>
            <w:tcW w:w="4725" w:type="dxa"/>
            <w:tcBorders>
              <w:top w:val="single" w:color="auto" w:sz="4" w:space="0"/>
              <w:left w:val="single" w:color="auto" w:sz="4" w:space="0"/>
            </w:tcBorders>
            <w:vAlign w:val="center"/>
          </w:tcPr>
          <w:p w14:paraId="7C8AE6B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14:paraId="1CF47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14:paraId="6354A11D">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14:paraId="5D4D01DF">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14:paraId="49419D34">
            <w:pPr>
              <w:snapToGrid w:val="0"/>
              <w:spacing w:line="400" w:lineRule="exact"/>
              <w:jc w:val="center"/>
              <w:rPr>
                <w:rFonts w:ascii="宋体" w:hAnsi="宋体" w:cs="宋体"/>
                <w:color w:val="auto"/>
                <w:kern w:val="0"/>
              </w:rPr>
            </w:pPr>
            <w:r>
              <w:rPr>
                <w:rFonts w:hint="eastAsia" w:ascii="宋体" w:hAnsi="宋体" w:cs="宋体"/>
                <w:color w:val="auto"/>
                <w:kern w:val="0"/>
              </w:rPr>
              <w:t>其他要求</w:t>
            </w:r>
          </w:p>
        </w:tc>
        <w:tc>
          <w:tcPr>
            <w:tcW w:w="4725" w:type="dxa"/>
            <w:tcBorders>
              <w:top w:val="single" w:color="auto" w:sz="4" w:space="0"/>
              <w:left w:val="single" w:color="auto" w:sz="4" w:space="0"/>
            </w:tcBorders>
            <w:vAlign w:val="center"/>
          </w:tcPr>
          <w:p w14:paraId="7E814996">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14:paraId="6D9AB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14:paraId="747ED2DB">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45" w:type="dxa"/>
            <w:vMerge w:val="restart"/>
            <w:tcBorders>
              <w:left w:val="single" w:color="auto" w:sz="4" w:space="0"/>
            </w:tcBorders>
            <w:vAlign w:val="center"/>
          </w:tcPr>
          <w:p w14:paraId="4BE29D99">
            <w:pPr>
              <w:spacing w:line="400" w:lineRule="exact"/>
              <w:jc w:val="center"/>
              <w:rPr>
                <w:rFonts w:ascii="宋体" w:hAnsi="宋体"/>
                <w:color w:val="auto"/>
                <w:kern w:val="0"/>
              </w:rPr>
            </w:pPr>
            <w:r>
              <w:rPr>
                <w:rFonts w:hint="eastAsia" w:ascii="宋体" w:hAnsi="宋体"/>
                <w:color w:val="auto"/>
                <w:kern w:val="0"/>
              </w:rPr>
              <w:t>形式评审标准</w:t>
            </w:r>
          </w:p>
        </w:tc>
        <w:tc>
          <w:tcPr>
            <w:tcW w:w="2565" w:type="dxa"/>
            <w:tcBorders>
              <w:right w:val="single" w:color="auto" w:sz="4" w:space="0"/>
            </w:tcBorders>
            <w:vAlign w:val="center"/>
          </w:tcPr>
          <w:p w14:paraId="549FECAB">
            <w:pPr>
              <w:spacing w:line="400" w:lineRule="exact"/>
              <w:jc w:val="center"/>
              <w:rPr>
                <w:rFonts w:ascii="宋体" w:hAnsi="宋体" w:cs="宋体"/>
                <w:color w:val="auto"/>
                <w:kern w:val="0"/>
              </w:rPr>
            </w:pPr>
            <w:r>
              <w:rPr>
                <w:rFonts w:hint="eastAsia" w:ascii="宋体" w:hAnsi="宋体" w:cs="宋体"/>
                <w:color w:val="auto"/>
                <w:kern w:val="0"/>
              </w:rPr>
              <w:t>投标人名称</w:t>
            </w:r>
          </w:p>
        </w:tc>
        <w:tc>
          <w:tcPr>
            <w:tcW w:w="4725" w:type="dxa"/>
            <w:tcBorders>
              <w:left w:val="single" w:color="auto" w:sz="4" w:space="0"/>
            </w:tcBorders>
            <w:vAlign w:val="center"/>
          </w:tcPr>
          <w:p w14:paraId="72CC772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14:paraId="6306F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168E2A1">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14:paraId="6A26C9F3">
            <w:pPr>
              <w:spacing w:line="400" w:lineRule="exact"/>
              <w:jc w:val="center"/>
              <w:rPr>
                <w:rFonts w:ascii="宋体" w:hAnsi="宋体"/>
                <w:b/>
                <w:color w:val="auto"/>
                <w:kern w:val="0"/>
              </w:rPr>
            </w:pPr>
          </w:p>
        </w:tc>
        <w:tc>
          <w:tcPr>
            <w:tcW w:w="2565" w:type="dxa"/>
            <w:tcBorders>
              <w:right w:val="single" w:color="auto" w:sz="4" w:space="0"/>
            </w:tcBorders>
            <w:vAlign w:val="center"/>
          </w:tcPr>
          <w:p w14:paraId="109EEBBA">
            <w:pPr>
              <w:spacing w:line="400" w:lineRule="exact"/>
              <w:jc w:val="center"/>
              <w:rPr>
                <w:rFonts w:ascii="宋体" w:hAnsi="宋体" w:cs="宋体"/>
                <w:color w:val="auto"/>
                <w:kern w:val="0"/>
              </w:rPr>
            </w:pPr>
            <w:r>
              <w:rPr>
                <w:rFonts w:hint="eastAsia" w:ascii="宋体" w:hAnsi="宋体" w:cs="宋体"/>
                <w:color w:val="auto"/>
                <w:kern w:val="0"/>
              </w:rPr>
              <w:t>投标文件格式</w:t>
            </w:r>
          </w:p>
        </w:tc>
        <w:tc>
          <w:tcPr>
            <w:tcW w:w="4725" w:type="dxa"/>
            <w:tcBorders>
              <w:left w:val="single" w:color="auto" w:sz="4" w:space="0"/>
            </w:tcBorders>
            <w:vAlign w:val="center"/>
          </w:tcPr>
          <w:p w14:paraId="0D04BDD4">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符合第二章“投标人须知”第3.7款的要求（不含投标函部分）。</w:t>
            </w:r>
          </w:p>
        </w:tc>
      </w:tr>
      <w:tr w14:paraId="6566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27A8052">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14:paraId="60348775">
            <w:pPr>
              <w:spacing w:line="400" w:lineRule="exact"/>
              <w:jc w:val="center"/>
              <w:rPr>
                <w:rFonts w:ascii="宋体" w:hAnsi="宋体"/>
                <w:b/>
                <w:color w:val="auto"/>
                <w:kern w:val="0"/>
              </w:rPr>
            </w:pPr>
          </w:p>
        </w:tc>
        <w:tc>
          <w:tcPr>
            <w:tcW w:w="2565" w:type="dxa"/>
            <w:tcBorders>
              <w:right w:val="single" w:color="auto" w:sz="4" w:space="0"/>
            </w:tcBorders>
            <w:vAlign w:val="center"/>
          </w:tcPr>
          <w:p w14:paraId="7A5D25ED">
            <w:pPr>
              <w:spacing w:line="400" w:lineRule="exact"/>
              <w:jc w:val="center"/>
              <w:rPr>
                <w:rFonts w:ascii="宋体" w:hAnsi="宋体" w:cs="宋体"/>
                <w:color w:val="auto"/>
                <w:kern w:val="0"/>
              </w:rPr>
            </w:pPr>
            <w:r>
              <w:rPr>
                <w:rFonts w:hint="eastAsia" w:ascii="宋体" w:hAnsi="宋体" w:cs="宋体"/>
                <w:color w:val="auto"/>
                <w:kern w:val="0"/>
              </w:rPr>
              <w:t>投标文件的签署</w:t>
            </w:r>
          </w:p>
        </w:tc>
        <w:tc>
          <w:tcPr>
            <w:tcW w:w="4725" w:type="dxa"/>
            <w:tcBorders>
              <w:left w:val="single" w:color="auto" w:sz="4" w:space="0"/>
            </w:tcBorders>
            <w:vAlign w:val="center"/>
          </w:tcPr>
          <w:p w14:paraId="335F17A4">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14:paraId="2F0D801D">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14:paraId="4E36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2B671C9">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14:paraId="21F587C1">
            <w:pPr>
              <w:spacing w:line="400" w:lineRule="exact"/>
              <w:jc w:val="center"/>
              <w:rPr>
                <w:rFonts w:ascii="宋体" w:hAnsi="宋体"/>
                <w:b/>
                <w:color w:val="auto"/>
                <w:kern w:val="0"/>
              </w:rPr>
            </w:pPr>
          </w:p>
        </w:tc>
        <w:tc>
          <w:tcPr>
            <w:tcW w:w="2565" w:type="dxa"/>
            <w:tcBorders>
              <w:right w:val="single" w:color="auto" w:sz="4" w:space="0"/>
            </w:tcBorders>
            <w:vAlign w:val="center"/>
          </w:tcPr>
          <w:p w14:paraId="792DF9EF">
            <w:pPr>
              <w:spacing w:line="400" w:lineRule="exact"/>
              <w:jc w:val="center"/>
              <w:rPr>
                <w:rFonts w:ascii="宋体" w:hAnsi="宋体" w:cs="宋体"/>
                <w:color w:val="auto"/>
                <w:kern w:val="0"/>
              </w:rPr>
            </w:pPr>
            <w:r>
              <w:rPr>
                <w:rFonts w:hint="eastAsia" w:ascii="宋体" w:hAnsi="宋体" w:cs="宋体"/>
                <w:color w:val="auto"/>
                <w:kern w:val="0"/>
              </w:rPr>
              <w:t>委托代理人</w:t>
            </w:r>
          </w:p>
        </w:tc>
        <w:tc>
          <w:tcPr>
            <w:tcW w:w="4725" w:type="dxa"/>
            <w:tcBorders>
              <w:left w:val="single" w:color="auto" w:sz="4" w:space="0"/>
            </w:tcBorders>
            <w:vAlign w:val="center"/>
          </w:tcPr>
          <w:p w14:paraId="6385F5D3">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14:paraId="3A13B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4FA1E00F">
            <w:pPr>
              <w:spacing w:line="400" w:lineRule="exact"/>
              <w:jc w:val="center"/>
              <w:rPr>
                <w:rFonts w:ascii="宋体" w:hAnsi="宋体"/>
                <w:color w:val="auto"/>
                <w:kern w:val="0"/>
              </w:rPr>
            </w:pPr>
            <w:r>
              <w:rPr>
                <w:rFonts w:hint="eastAsia" w:ascii="宋体" w:hAnsi="宋体"/>
                <w:color w:val="auto"/>
                <w:kern w:val="0"/>
              </w:rPr>
              <w:t>2.2.4</w:t>
            </w:r>
          </w:p>
        </w:tc>
        <w:tc>
          <w:tcPr>
            <w:tcW w:w="1545" w:type="dxa"/>
            <w:vMerge w:val="restart"/>
            <w:tcBorders>
              <w:top w:val="single" w:color="auto" w:sz="4" w:space="0"/>
              <w:left w:val="single" w:color="auto" w:sz="4" w:space="0"/>
            </w:tcBorders>
            <w:vAlign w:val="center"/>
          </w:tcPr>
          <w:p w14:paraId="6D25B50B">
            <w:pPr>
              <w:spacing w:line="400" w:lineRule="exact"/>
              <w:jc w:val="center"/>
              <w:rPr>
                <w:rFonts w:ascii="宋体" w:hAnsi="宋体"/>
                <w:color w:val="auto"/>
                <w:kern w:val="0"/>
              </w:rPr>
            </w:pPr>
            <w:r>
              <w:rPr>
                <w:rFonts w:ascii="宋体" w:hAnsi="宋体"/>
                <w:color w:val="auto"/>
                <w:kern w:val="0"/>
              </w:rPr>
              <w:t>响应性评审</w:t>
            </w:r>
          </w:p>
          <w:p w14:paraId="22630587">
            <w:pPr>
              <w:spacing w:line="400" w:lineRule="exact"/>
              <w:jc w:val="center"/>
              <w:rPr>
                <w:rFonts w:ascii="宋体" w:hAnsi="宋体"/>
                <w:color w:val="auto"/>
                <w:kern w:val="0"/>
              </w:rPr>
            </w:pPr>
            <w:r>
              <w:rPr>
                <w:rFonts w:ascii="宋体" w:hAnsi="宋体"/>
                <w:color w:val="auto"/>
                <w:kern w:val="0"/>
              </w:rPr>
              <w:t>标准</w:t>
            </w:r>
          </w:p>
        </w:tc>
        <w:tc>
          <w:tcPr>
            <w:tcW w:w="2565" w:type="dxa"/>
            <w:tcBorders>
              <w:right w:val="single" w:color="auto" w:sz="4" w:space="0"/>
            </w:tcBorders>
            <w:vAlign w:val="center"/>
          </w:tcPr>
          <w:p w14:paraId="69622919">
            <w:pPr>
              <w:snapToGrid w:val="0"/>
              <w:spacing w:line="400" w:lineRule="exact"/>
              <w:jc w:val="center"/>
              <w:rPr>
                <w:rFonts w:ascii="宋体" w:hAnsi="宋体" w:cs="宋体"/>
                <w:color w:val="auto"/>
                <w:kern w:val="0"/>
              </w:rPr>
            </w:pPr>
            <w:r>
              <w:rPr>
                <w:rFonts w:hint="eastAsia" w:ascii="宋体" w:hAnsi="宋体" w:cs="宋体"/>
                <w:color w:val="auto"/>
                <w:kern w:val="0"/>
              </w:rPr>
              <w:t>投标内容</w:t>
            </w:r>
          </w:p>
        </w:tc>
        <w:tc>
          <w:tcPr>
            <w:tcW w:w="4725" w:type="dxa"/>
            <w:tcBorders>
              <w:left w:val="single" w:color="auto" w:sz="4" w:space="0"/>
            </w:tcBorders>
            <w:vAlign w:val="center"/>
          </w:tcPr>
          <w:p w14:paraId="3E6CD1DB">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14:paraId="653E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B3BF705">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5D028B96">
            <w:pPr>
              <w:spacing w:line="400" w:lineRule="exact"/>
              <w:jc w:val="center"/>
              <w:rPr>
                <w:rFonts w:ascii="宋体" w:hAnsi="宋体"/>
                <w:color w:val="auto"/>
                <w:kern w:val="0"/>
              </w:rPr>
            </w:pPr>
          </w:p>
        </w:tc>
        <w:tc>
          <w:tcPr>
            <w:tcW w:w="2565" w:type="dxa"/>
            <w:tcBorders>
              <w:right w:val="single" w:color="auto" w:sz="4" w:space="0"/>
            </w:tcBorders>
            <w:vAlign w:val="center"/>
          </w:tcPr>
          <w:p w14:paraId="1368CB41">
            <w:pPr>
              <w:spacing w:line="400" w:lineRule="exact"/>
              <w:jc w:val="center"/>
              <w:rPr>
                <w:rFonts w:ascii="宋体" w:hAnsi="宋体" w:cs="宋体"/>
                <w:color w:val="auto"/>
                <w:kern w:val="0"/>
              </w:rPr>
            </w:pPr>
            <w:r>
              <w:rPr>
                <w:rFonts w:hint="eastAsia" w:ascii="宋体" w:hAnsi="宋体" w:cs="宋体"/>
                <w:color w:val="auto"/>
                <w:kern w:val="0"/>
              </w:rPr>
              <w:t>投标保证金</w:t>
            </w:r>
          </w:p>
        </w:tc>
        <w:tc>
          <w:tcPr>
            <w:tcW w:w="4725" w:type="dxa"/>
            <w:tcBorders>
              <w:left w:val="single" w:color="auto" w:sz="4" w:space="0"/>
            </w:tcBorders>
            <w:vAlign w:val="center"/>
          </w:tcPr>
          <w:p w14:paraId="0FE638BF">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符合第二章“投标人须知前附表”第3.4款规定。</w:t>
            </w:r>
          </w:p>
        </w:tc>
      </w:tr>
      <w:tr w14:paraId="7E9E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2B9C7F70">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52CEA6D1">
            <w:pPr>
              <w:spacing w:line="400" w:lineRule="exact"/>
              <w:jc w:val="center"/>
              <w:rPr>
                <w:rFonts w:ascii="宋体" w:hAnsi="宋体"/>
                <w:color w:val="auto"/>
                <w:kern w:val="0"/>
              </w:rPr>
            </w:pPr>
          </w:p>
        </w:tc>
        <w:tc>
          <w:tcPr>
            <w:tcW w:w="2565" w:type="dxa"/>
            <w:tcBorders>
              <w:right w:val="single" w:color="auto" w:sz="4" w:space="0"/>
            </w:tcBorders>
            <w:vAlign w:val="center"/>
          </w:tcPr>
          <w:p w14:paraId="07A48A01">
            <w:pPr>
              <w:snapToGrid w:val="0"/>
              <w:spacing w:line="400" w:lineRule="exact"/>
              <w:jc w:val="center"/>
              <w:rPr>
                <w:rFonts w:ascii="宋体" w:hAnsi="宋体" w:cs="宋体"/>
                <w:color w:val="auto"/>
                <w:kern w:val="0"/>
              </w:rPr>
            </w:pPr>
            <w:r>
              <w:rPr>
                <w:rFonts w:hint="eastAsia" w:ascii="宋体" w:hAnsi="宋体" w:cs="宋体"/>
                <w:color w:val="auto"/>
                <w:kern w:val="0"/>
              </w:rPr>
              <w:t>权利义务</w:t>
            </w:r>
          </w:p>
        </w:tc>
        <w:tc>
          <w:tcPr>
            <w:tcW w:w="4725" w:type="dxa"/>
            <w:tcBorders>
              <w:left w:val="single" w:color="auto" w:sz="4" w:space="0"/>
            </w:tcBorders>
            <w:vAlign w:val="center"/>
          </w:tcPr>
          <w:p w14:paraId="03F22C66">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szCs w:val="21"/>
                <w:lang w:val="en-US" w:eastAsia="zh-CN"/>
              </w:rPr>
              <w:t>招标人</w:t>
            </w:r>
            <w:r>
              <w:rPr>
                <w:rFonts w:hint="eastAsia" w:ascii="宋体" w:hAnsi="宋体" w:cs="宋体"/>
                <w:color w:val="auto"/>
                <w:kern w:val="0"/>
              </w:rPr>
              <w:t>不能接受的条件。（由投标人承诺，承诺书格式详见第八章投标文件格式。）</w:t>
            </w:r>
          </w:p>
        </w:tc>
      </w:tr>
      <w:tr w14:paraId="4B09D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04E9986">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55F4B529">
            <w:pPr>
              <w:spacing w:line="400" w:lineRule="exact"/>
              <w:jc w:val="center"/>
              <w:rPr>
                <w:rFonts w:ascii="宋体" w:hAnsi="宋体"/>
                <w:color w:val="auto"/>
                <w:kern w:val="0"/>
              </w:rPr>
            </w:pPr>
          </w:p>
        </w:tc>
        <w:tc>
          <w:tcPr>
            <w:tcW w:w="2565" w:type="dxa"/>
            <w:tcBorders>
              <w:right w:val="single" w:color="auto" w:sz="4" w:space="0"/>
            </w:tcBorders>
            <w:vAlign w:val="center"/>
          </w:tcPr>
          <w:p w14:paraId="19921344">
            <w:pPr>
              <w:snapToGrid w:val="0"/>
              <w:spacing w:line="400" w:lineRule="exact"/>
              <w:jc w:val="center"/>
              <w:rPr>
                <w:rFonts w:ascii="宋体" w:hAnsi="宋体" w:cs="宋体"/>
                <w:color w:val="auto"/>
                <w:kern w:val="0"/>
              </w:rPr>
            </w:pPr>
            <w:r>
              <w:rPr>
                <w:rFonts w:hint="eastAsia" w:ascii="宋体" w:hAnsi="宋体" w:cs="宋体"/>
                <w:color w:val="auto"/>
                <w:kern w:val="0"/>
              </w:rPr>
              <w:t>技术标准和要求</w:t>
            </w:r>
          </w:p>
        </w:tc>
        <w:tc>
          <w:tcPr>
            <w:tcW w:w="4725" w:type="dxa"/>
            <w:tcBorders>
              <w:left w:val="single" w:color="auto" w:sz="4" w:space="0"/>
            </w:tcBorders>
            <w:vAlign w:val="center"/>
          </w:tcPr>
          <w:p w14:paraId="7BB87A2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14:paraId="274C9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14:paraId="768DE145">
            <w:pPr>
              <w:spacing w:line="400" w:lineRule="exact"/>
              <w:jc w:val="center"/>
              <w:rPr>
                <w:rFonts w:ascii="宋体" w:hAnsi="宋体"/>
                <w:color w:val="auto"/>
                <w:kern w:val="0"/>
              </w:rPr>
            </w:pPr>
          </w:p>
        </w:tc>
        <w:tc>
          <w:tcPr>
            <w:tcW w:w="1545" w:type="dxa"/>
            <w:vMerge w:val="continue"/>
            <w:tcBorders>
              <w:left w:val="single" w:color="auto" w:sz="4" w:space="0"/>
              <w:bottom w:val="single" w:color="auto" w:sz="4" w:space="0"/>
            </w:tcBorders>
            <w:vAlign w:val="center"/>
          </w:tcPr>
          <w:p w14:paraId="58CC7848">
            <w:pPr>
              <w:spacing w:line="400" w:lineRule="exact"/>
              <w:jc w:val="center"/>
              <w:rPr>
                <w:rFonts w:ascii="宋体" w:hAnsi="宋体"/>
                <w:color w:val="auto"/>
                <w:kern w:val="0"/>
              </w:rPr>
            </w:pPr>
          </w:p>
        </w:tc>
        <w:tc>
          <w:tcPr>
            <w:tcW w:w="2565" w:type="dxa"/>
            <w:tcBorders>
              <w:right w:val="single" w:color="auto" w:sz="4" w:space="0"/>
            </w:tcBorders>
            <w:vAlign w:val="center"/>
          </w:tcPr>
          <w:p w14:paraId="7772D7CC">
            <w:pPr>
              <w:snapToGrid w:val="0"/>
              <w:spacing w:line="400" w:lineRule="exact"/>
              <w:jc w:val="center"/>
              <w:rPr>
                <w:rFonts w:ascii="宋体" w:hAnsi="宋体" w:cs="宋体"/>
                <w:color w:val="auto"/>
                <w:kern w:val="0"/>
              </w:rPr>
            </w:pPr>
            <w:r>
              <w:rPr>
                <w:rFonts w:hint="eastAsia" w:ascii="宋体" w:hAnsi="宋体" w:cs="宋体"/>
                <w:color w:val="auto"/>
                <w:kern w:val="0"/>
              </w:rPr>
              <w:t>实质性要求</w:t>
            </w:r>
          </w:p>
        </w:tc>
        <w:tc>
          <w:tcPr>
            <w:tcW w:w="4725" w:type="dxa"/>
            <w:tcBorders>
              <w:left w:val="single" w:color="auto" w:sz="4" w:space="0"/>
            </w:tcBorders>
            <w:vAlign w:val="center"/>
          </w:tcPr>
          <w:p w14:paraId="79A0CB49">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14:paraId="2A8F28CF">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14:paraId="133B5061">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14:paraId="20778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14:paraId="6D4D2E62">
            <w:pPr>
              <w:spacing w:line="400" w:lineRule="exact"/>
              <w:jc w:val="center"/>
              <w:rPr>
                <w:rFonts w:ascii="宋体" w:hAnsi="宋体"/>
                <w:color w:val="auto"/>
                <w:kern w:val="0"/>
              </w:rPr>
            </w:pPr>
            <w:r>
              <w:rPr>
                <w:rFonts w:hint="eastAsia" w:ascii="宋体" w:hAnsi="宋体"/>
                <w:color w:val="auto"/>
                <w:kern w:val="0"/>
              </w:rPr>
              <w:t>2.2.5</w:t>
            </w:r>
          </w:p>
        </w:tc>
        <w:tc>
          <w:tcPr>
            <w:tcW w:w="1545" w:type="dxa"/>
            <w:vMerge w:val="restart"/>
            <w:tcBorders>
              <w:top w:val="single" w:color="auto" w:sz="4" w:space="0"/>
              <w:left w:val="single" w:color="auto" w:sz="4" w:space="0"/>
            </w:tcBorders>
            <w:vAlign w:val="center"/>
          </w:tcPr>
          <w:p w14:paraId="1C10FE0B">
            <w:pPr>
              <w:spacing w:line="400" w:lineRule="exact"/>
              <w:jc w:val="center"/>
              <w:rPr>
                <w:rFonts w:ascii="宋体" w:hAnsi="宋体"/>
                <w:color w:val="auto"/>
                <w:kern w:val="0"/>
              </w:rPr>
            </w:pPr>
            <w:r>
              <w:rPr>
                <w:rFonts w:hint="eastAsia" w:ascii="宋体" w:hAnsi="宋体"/>
                <w:color w:val="auto"/>
                <w:kern w:val="0"/>
              </w:rPr>
              <w:t>投标函部分及经济部分评审标准</w:t>
            </w:r>
          </w:p>
        </w:tc>
        <w:tc>
          <w:tcPr>
            <w:tcW w:w="2565" w:type="dxa"/>
            <w:tcBorders>
              <w:right w:val="single" w:color="auto" w:sz="4" w:space="0"/>
            </w:tcBorders>
            <w:vAlign w:val="center"/>
          </w:tcPr>
          <w:p w14:paraId="5513BEBE">
            <w:pPr>
              <w:snapToGrid w:val="0"/>
              <w:spacing w:line="400" w:lineRule="exact"/>
              <w:jc w:val="center"/>
              <w:rPr>
                <w:rFonts w:ascii="宋体" w:hAnsi="宋体" w:cs="宋体"/>
                <w:color w:val="auto"/>
                <w:kern w:val="0"/>
              </w:rPr>
            </w:pPr>
            <w:r>
              <w:rPr>
                <w:rFonts w:hint="eastAsia" w:ascii="宋体" w:hAnsi="宋体" w:cs="宋体"/>
                <w:color w:val="auto"/>
                <w:kern w:val="0"/>
              </w:rPr>
              <w:t>投标函部分的签名盖章</w:t>
            </w:r>
          </w:p>
        </w:tc>
        <w:tc>
          <w:tcPr>
            <w:tcW w:w="4725" w:type="dxa"/>
            <w:tcBorders>
              <w:left w:val="single" w:color="auto" w:sz="4" w:space="0"/>
            </w:tcBorders>
            <w:vAlign w:val="center"/>
          </w:tcPr>
          <w:p w14:paraId="6569F57D">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投标函部分的格式要求法定代表人或其委托代理人签名（或盖章）的须齐全。</w:t>
            </w:r>
          </w:p>
        </w:tc>
      </w:tr>
      <w:tr w14:paraId="10447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375EA344">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1D635EF3">
            <w:pPr>
              <w:spacing w:line="400" w:lineRule="exact"/>
              <w:jc w:val="center"/>
              <w:rPr>
                <w:rFonts w:ascii="宋体" w:hAnsi="宋体"/>
                <w:color w:val="auto"/>
                <w:kern w:val="0"/>
              </w:rPr>
            </w:pPr>
          </w:p>
        </w:tc>
        <w:tc>
          <w:tcPr>
            <w:tcW w:w="2565" w:type="dxa"/>
            <w:tcBorders>
              <w:right w:val="single" w:color="auto" w:sz="4" w:space="0"/>
            </w:tcBorders>
            <w:vAlign w:val="center"/>
          </w:tcPr>
          <w:p w14:paraId="1223497D">
            <w:pPr>
              <w:snapToGrid w:val="0"/>
              <w:spacing w:line="400" w:lineRule="exact"/>
              <w:jc w:val="center"/>
              <w:rPr>
                <w:rFonts w:ascii="宋体" w:hAnsi="宋体" w:cs="宋体"/>
                <w:color w:val="auto"/>
                <w:kern w:val="0"/>
              </w:rPr>
            </w:pPr>
            <w:r>
              <w:rPr>
                <w:rFonts w:hint="eastAsia" w:ascii="宋体" w:hAnsi="宋体" w:cs="宋体"/>
                <w:color w:val="auto"/>
                <w:kern w:val="0"/>
              </w:rPr>
              <w:t>工期</w:t>
            </w:r>
          </w:p>
        </w:tc>
        <w:tc>
          <w:tcPr>
            <w:tcW w:w="4725" w:type="dxa"/>
            <w:tcBorders>
              <w:left w:val="single" w:color="auto" w:sz="4" w:space="0"/>
            </w:tcBorders>
            <w:vAlign w:val="center"/>
          </w:tcPr>
          <w:p w14:paraId="325611CF">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符合第二章“投标人须知”第1.3.2项规定</w:t>
            </w:r>
          </w:p>
        </w:tc>
      </w:tr>
      <w:tr w14:paraId="7E59A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D2FF5D9">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7EC370F9">
            <w:pPr>
              <w:spacing w:line="400" w:lineRule="exact"/>
              <w:jc w:val="center"/>
              <w:rPr>
                <w:rFonts w:ascii="宋体" w:hAnsi="宋体"/>
                <w:color w:val="auto"/>
                <w:kern w:val="0"/>
              </w:rPr>
            </w:pPr>
          </w:p>
        </w:tc>
        <w:tc>
          <w:tcPr>
            <w:tcW w:w="2565" w:type="dxa"/>
            <w:tcBorders>
              <w:right w:val="single" w:color="auto" w:sz="4" w:space="0"/>
            </w:tcBorders>
            <w:vAlign w:val="center"/>
          </w:tcPr>
          <w:p w14:paraId="6556F1FB">
            <w:pPr>
              <w:snapToGrid w:val="0"/>
              <w:spacing w:line="400" w:lineRule="exact"/>
              <w:jc w:val="center"/>
              <w:rPr>
                <w:rFonts w:ascii="宋体" w:hAnsi="宋体" w:cs="宋体"/>
                <w:color w:val="auto"/>
                <w:kern w:val="0"/>
              </w:rPr>
            </w:pPr>
            <w:r>
              <w:rPr>
                <w:rFonts w:hint="eastAsia" w:ascii="宋体" w:hAnsi="宋体" w:cs="宋体"/>
                <w:color w:val="auto"/>
                <w:kern w:val="0"/>
              </w:rPr>
              <w:t>工程质量</w:t>
            </w:r>
          </w:p>
        </w:tc>
        <w:tc>
          <w:tcPr>
            <w:tcW w:w="4725" w:type="dxa"/>
            <w:tcBorders>
              <w:left w:val="single" w:color="auto" w:sz="4" w:space="0"/>
            </w:tcBorders>
            <w:vAlign w:val="center"/>
          </w:tcPr>
          <w:p w14:paraId="7FC3EE9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符合第二章“投标人须知”第1.3.3项规定</w:t>
            </w:r>
          </w:p>
        </w:tc>
      </w:tr>
      <w:tr w14:paraId="1E3DD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16B62EF8">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3F684809">
            <w:pPr>
              <w:spacing w:line="400" w:lineRule="exact"/>
              <w:jc w:val="center"/>
              <w:rPr>
                <w:rFonts w:ascii="宋体" w:hAnsi="宋体"/>
                <w:color w:val="auto"/>
                <w:kern w:val="0"/>
              </w:rPr>
            </w:pPr>
          </w:p>
        </w:tc>
        <w:tc>
          <w:tcPr>
            <w:tcW w:w="2565" w:type="dxa"/>
            <w:tcBorders>
              <w:right w:val="single" w:color="auto" w:sz="4" w:space="0"/>
            </w:tcBorders>
            <w:vAlign w:val="center"/>
          </w:tcPr>
          <w:p w14:paraId="2816BB41">
            <w:pPr>
              <w:snapToGrid w:val="0"/>
              <w:spacing w:line="400" w:lineRule="exact"/>
              <w:jc w:val="center"/>
              <w:rPr>
                <w:rFonts w:ascii="宋体" w:hAnsi="宋体" w:cs="宋体"/>
                <w:color w:val="auto"/>
                <w:kern w:val="0"/>
              </w:rPr>
            </w:pPr>
            <w:r>
              <w:rPr>
                <w:rFonts w:hint="eastAsia" w:ascii="宋体" w:hAnsi="宋体" w:cs="宋体"/>
                <w:color w:val="auto"/>
                <w:kern w:val="0"/>
              </w:rPr>
              <w:t>投标有效期</w:t>
            </w:r>
          </w:p>
        </w:tc>
        <w:tc>
          <w:tcPr>
            <w:tcW w:w="4725" w:type="dxa"/>
            <w:tcBorders>
              <w:left w:val="single" w:color="auto" w:sz="4" w:space="0"/>
            </w:tcBorders>
            <w:vAlign w:val="center"/>
          </w:tcPr>
          <w:p w14:paraId="42375DB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符合第二章“投标人须知”第3.3.1项规定</w:t>
            </w:r>
          </w:p>
        </w:tc>
      </w:tr>
      <w:tr w14:paraId="4349D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5C067A9B">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377006A2">
            <w:pPr>
              <w:spacing w:line="400" w:lineRule="exact"/>
              <w:jc w:val="center"/>
              <w:rPr>
                <w:rFonts w:ascii="宋体" w:hAnsi="宋体"/>
                <w:color w:val="auto"/>
                <w:kern w:val="0"/>
              </w:rPr>
            </w:pPr>
          </w:p>
        </w:tc>
        <w:tc>
          <w:tcPr>
            <w:tcW w:w="2565" w:type="dxa"/>
            <w:tcBorders>
              <w:right w:val="single" w:color="auto" w:sz="4" w:space="0"/>
            </w:tcBorders>
            <w:vAlign w:val="center"/>
          </w:tcPr>
          <w:p w14:paraId="1AC31F2E">
            <w:pPr>
              <w:snapToGrid w:val="0"/>
              <w:spacing w:line="400" w:lineRule="exact"/>
              <w:jc w:val="center"/>
              <w:rPr>
                <w:rFonts w:ascii="宋体" w:hAnsi="宋体" w:cs="宋体"/>
                <w:color w:val="auto"/>
                <w:kern w:val="0"/>
              </w:rPr>
            </w:pPr>
            <w:r>
              <w:rPr>
                <w:rFonts w:hint="eastAsia" w:ascii="宋体" w:hAnsi="宋体" w:cs="宋体"/>
                <w:color w:val="auto"/>
                <w:kern w:val="0"/>
              </w:rPr>
              <w:t>投标总报价</w:t>
            </w:r>
          </w:p>
        </w:tc>
        <w:tc>
          <w:tcPr>
            <w:tcW w:w="4725" w:type="dxa"/>
            <w:tcBorders>
              <w:left w:val="single" w:color="auto" w:sz="4" w:space="0"/>
            </w:tcBorders>
            <w:vAlign w:val="center"/>
          </w:tcPr>
          <w:p w14:paraId="7EB22BA7">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1.投标总报价必须与已标价工程量清单总报价一致，且工程量清单总报价与依据单价、工程数量、分部分项工程合价计算出的结果应一致。</w:t>
            </w:r>
          </w:p>
          <w:p w14:paraId="00A5D3A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2.投标总报价不得高于</w:t>
            </w:r>
            <w:r>
              <w:rPr>
                <w:rFonts w:hint="eastAsia" w:ascii="宋体" w:hAnsi="宋体" w:cs="宋体"/>
                <w:color w:val="auto"/>
                <w:kern w:val="0"/>
                <w:lang w:eastAsia="zh-CN"/>
              </w:rPr>
              <w:t>招标人</w:t>
            </w:r>
            <w:r>
              <w:rPr>
                <w:rFonts w:hint="eastAsia" w:ascii="宋体" w:hAnsi="宋体" w:cs="宋体"/>
                <w:color w:val="auto"/>
                <w:kern w:val="0"/>
              </w:rPr>
              <w:t>公布的投标总报价最高限价。</w:t>
            </w:r>
          </w:p>
          <w:p w14:paraId="7D81CF78">
            <w:pPr>
              <w:snapToGrid w:val="0"/>
              <w:spacing w:line="400" w:lineRule="exact"/>
              <w:ind w:firstLine="420" w:firstLineChars="200"/>
              <w:rPr>
                <w:rFonts w:ascii="宋体" w:hAnsi="宋体" w:cs="宋体"/>
                <w:color w:val="auto"/>
                <w:kern w:val="0"/>
              </w:rPr>
            </w:pPr>
          </w:p>
        </w:tc>
      </w:tr>
      <w:tr w14:paraId="3EB3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3472F43B">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300FB2CA">
            <w:pPr>
              <w:spacing w:line="400" w:lineRule="exact"/>
              <w:jc w:val="center"/>
              <w:rPr>
                <w:rFonts w:ascii="宋体" w:hAnsi="宋体"/>
                <w:color w:val="auto"/>
                <w:kern w:val="0"/>
              </w:rPr>
            </w:pPr>
          </w:p>
        </w:tc>
        <w:tc>
          <w:tcPr>
            <w:tcW w:w="2565" w:type="dxa"/>
            <w:tcBorders>
              <w:right w:val="single" w:color="auto" w:sz="4" w:space="0"/>
            </w:tcBorders>
            <w:vAlign w:val="center"/>
          </w:tcPr>
          <w:p w14:paraId="77139E5D">
            <w:pPr>
              <w:snapToGrid w:val="0"/>
              <w:spacing w:line="400" w:lineRule="exact"/>
              <w:jc w:val="center"/>
              <w:rPr>
                <w:rFonts w:ascii="宋体" w:hAnsi="宋体" w:cs="宋体"/>
                <w:color w:val="auto"/>
                <w:kern w:val="0"/>
              </w:rPr>
            </w:pPr>
            <w:r>
              <w:rPr>
                <w:rFonts w:hint="eastAsia" w:ascii="宋体" w:hAnsi="宋体" w:cs="宋体"/>
                <w:color w:val="auto"/>
                <w:kern w:val="0"/>
              </w:rPr>
              <w:t>暂定金额</w:t>
            </w:r>
          </w:p>
        </w:tc>
        <w:tc>
          <w:tcPr>
            <w:tcW w:w="4725" w:type="dxa"/>
            <w:tcBorders>
              <w:left w:val="single" w:color="auto" w:sz="4" w:space="0"/>
            </w:tcBorders>
            <w:vAlign w:val="center"/>
          </w:tcPr>
          <w:p w14:paraId="0747EFD0">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color w:val="auto"/>
                <w:kern w:val="0"/>
              </w:rPr>
              <w:t>文件给定的金额填报。</w:t>
            </w:r>
          </w:p>
        </w:tc>
      </w:tr>
      <w:tr w14:paraId="14A9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6355F465">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127DECB6">
            <w:pPr>
              <w:spacing w:line="400" w:lineRule="exact"/>
              <w:jc w:val="center"/>
              <w:rPr>
                <w:rFonts w:ascii="宋体" w:hAnsi="宋体"/>
                <w:color w:val="auto"/>
                <w:kern w:val="0"/>
              </w:rPr>
            </w:pPr>
          </w:p>
        </w:tc>
        <w:tc>
          <w:tcPr>
            <w:tcW w:w="2565" w:type="dxa"/>
            <w:tcBorders>
              <w:right w:val="single" w:color="auto" w:sz="4" w:space="0"/>
            </w:tcBorders>
            <w:vAlign w:val="center"/>
          </w:tcPr>
          <w:p w14:paraId="30A88D04">
            <w:pPr>
              <w:snapToGrid w:val="0"/>
              <w:spacing w:line="400" w:lineRule="exact"/>
              <w:jc w:val="center"/>
              <w:rPr>
                <w:rFonts w:ascii="宋体" w:hAnsi="宋体" w:cs="宋体"/>
                <w:color w:val="auto"/>
                <w:kern w:val="0"/>
              </w:rPr>
            </w:pPr>
            <w:r>
              <w:rPr>
                <w:rFonts w:hint="eastAsia" w:ascii="宋体" w:hAnsi="宋体" w:cs="宋体"/>
                <w:color w:val="auto"/>
                <w:kern w:val="0"/>
              </w:rPr>
              <w:t>报价唯一</w:t>
            </w:r>
          </w:p>
        </w:tc>
        <w:tc>
          <w:tcPr>
            <w:tcW w:w="4725" w:type="dxa"/>
            <w:tcBorders>
              <w:left w:val="single" w:color="auto" w:sz="4" w:space="0"/>
            </w:tcBorders>
            <w:vAlign w:val="center"/>
          </w:tcPr>
          <w:p w14:paraId="75E4174B">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szCs w:val="21"/>
                <w:lang w:val="en-US" w:eastAsia="zh-CN"/>
              </w:rPr>
              <w:t>比选</w:t>
            </w:r>
            <w:r>
              <w:rPr>
                <w:rFonts w:hint="eastAsia" w:ascii="宋体" w:hAnsi="宋体" w:cs="宋体"/>
                <w:color w:val="auto"/>
                <w:kern w:val="0"/>
              </w:rPr>
              <w:t>文件没有规定的情况下，不得提交选择性报价。</w:t>
            </w:r>
          </w:p>
        </w:tc>
      </w:tr>
      <w:tr w14:paraId="07CE1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14:paraId="79C491EA">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3DB18CDC">
            <w:pPr>
              <w:spacing w:line="400" w:lineRule="exact"/>
              <w:jc w:val="center"/>
              <w:rPr>
                <w:rFonts w:ascii="宋体" w:hAnsi="宋体"/>
                <w:color w:val="auto"/>
                <w:kern w:val="0"/>
              </w:rPr>
            </w:pPr>
          </w:p>
        </w:tc>
        <w:tc>
          <w:tcPr>
            <w:tcW w:w="2565" w:type="dxa"/>
            <w:tcBorders>
              <w:right w:val="single" w:color="auto" w:sz="4" w:space="0"/>
            </w:tcBorders>
            <w:vAlign w:val="center"/>
          </w:tcPr>
          <w:p w14:paraId="1A3AACA9">
            <w:pPr>
              <w:snapToGrid w:val="0"/>
              <w:spacing w:line="400" w:lineRule="exact"/>
              <w:jc w:val="center"/>
              <w:rPr>
                <w:rFonts w:ascii="宋体" w:hAnsi="宋体" w:cs="宋体"/>
                <w:color w:val="auto"/>
                <w:kern w:val="0"/>
              </w:rPr>
            </w:pPr>
            <w:r>
              <w:rPr>
                <w:rFonts w:hint="eastAsia" w:ascii="宋体" w:hAnsi="宋体" w:cs="宋体"/>
                <w:color w:val="auto"/>
                <w:kern w:val="0"/>
              </w:rPr>
              <w:t>已标价工程量清单</w:t>
            </w:r>
          </w:p>
        </w:tc>
        <w:tc>
          <w:tcPr>
            <w:tcW w:w="4725" w:type="dxa"/>
            <w:tcBorders>
              <w:left w:val="single" w:color="auto" w:sz="4" w:space="0"/>
            </w:tcBorders>
            <w:vAlign w:val="center"/>
          </w:tcPr>
          <w:p w14:paraId="37CDF5EC">
            <w:pPr>
              <w:spacing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14:paraId="469971D2">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szCs w:val="21"/>
                <w:lang w:val="en-US" w:eastAsia="zh-CN"/>
              </w:rPr>
              <w:t>比选</w:t>
            </w:r>
            <w:r>
              <w:rPr>
                <w:rFonts w:hint="eastAsia" w:ascii="宋体" w:hAnsi="宋体" w:cs="宋体"/>
                <w:color w:val="auto"/>
                <w:kern w:val="0"/>
              </w:rPr>
              <w:t>文件中规定工程量清单不允许修改的内容不得修改。</w:t>
            </w:r>
          </w:p>
          <w:p w14:paraId="03228238">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3.每项清单综合单价报价不得高于每项清单综合单价最高限价。</w:t>
            </w:r>
          </w:p>
        </w:tc>
      </w:tr>
      <w:tr w14:paraId="6A653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14:paraId="4D7C0F50">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14:paraId="6D641A89">
            <w:pPr>
              <w:spacing w:line="400" w:lineRule="exact"/>
              <w:jc w:val="center"/>
              <w:rPr>
                <w:rFonts w:ascii="宋体" w:hAnsi="宋体"/>
                <w:color w:val="auto"/>
                <w:kern w:val="0"/>
              </w:rPr>
            </w:pPr>
          </w:p>
        </w:tc>
        <w:tc>
          <w:tcPr>
            <w:tcW w:w="2565" w:type="dxa"/>
            <w:tcBorders>
              <w:right w:val="single" w:color="auto" w:sz="4" w:space="0"/>
            </w:tcBorders>
            <w:vAlign w:val="center"/>
          </w:tcPr>
          <w:p w14:paraId="493087E0">
            <w:pPr>
              <w:snapToGrid w:val="0"/>
              <w:spacing w:line="400" w:lineRule="exact"/>
              <w:jc w:val="center"/>
              <w:rPr>
                <w:rFonts w:ascii="宋体" w:hAnsi="宋体" w:cs="宋体"/>
                <w:color w:val="auto"/>
                <w:kern w:val="0"/>
              </w:rPr>
            </w:pPr>
            <w:r>
              <w:rPr>
                <w:rFonts w:hint="eastAsia" w:ascii="宋体" w:hAnsi="宋体" w:cs="宋体"/>
                <w:color w:val="auto"/>
                <w:kern w:val="0"/>
              </w:rPr>
              <w:t>投标报价算术错误修正</w:t>
            </w:r>
          </w:p>
        </w:tc>
        <w:tc>
          <w:tcPr>
            <w:tcW w:w="4725" w:type="dxa"/>
            <w:tcBorders>
              <w:left w:val="single" w:color="auto" w:sz="4" w:space="0"/>
            </w:tcBorders>
            <w:vAlign w:val="center"/>
          </w:tcPr>
          <w:p w14:paraId="14F1EC1E">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符合第三章“评标办法”第3.2.3项规定。</w:t>
            </w:r>
          </w:p>
        </w:tc>
      </w:tr>
      <w:tr w14:paraId="024F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14:paraId="217E9C4D">
            <w:pPr>
              <w:spacing w:line="400" w:lineRule="exact"/>
              <w:jc w:val="center"/>
              <w:rPr>
                <w:rFonts w:ascii="宋体" w:hAnsi="宋体"/>
                <w:color w:val="auto"/>
              </w:rPr>
            </w:pPr>
            <w:r>
              <w:rPr>
                <w:rFonts w:ascii="宋体" w:hAnsi="宋体"/>
                <w:color w:val="auto"/>
              </w:rPr>
              <w:t>3</w:t>
            </w:r>
          </w:p>
        </w:tc>
        <w:tc>
          <w:tcPr>
            <w:tcW w:w="1545" w:type="dxa"/>
            <w:tcBorders>
              <w:left w:val="single" w:color="auto" w:sz="4" w:space="0"/>
              <w:right w:val="single" w:color="auto" w:sz="4" w:space="0"/>
            </w:tcBorders>
            <w:vAlign w:val="center"/>
          </w:tcPr>
          <w:p w14:paraId="1FDAEF9A">
            <w:pPr>
              <w:spacing w:line="400" w:lineRule="exact"/>
              <w:jc w:val="center"/>
              <w:rPr>
                <w:rFonts w:ascii="宋体" w:hAnsi="宋体"/>
                <w:color w:val="auto"/>
              </w:rPr>
            </w:pPr>
            <w:r>
              <w:rPr>
                <w:rFonts w:hint="eastAsia" w:ascii="宋体" w:hAnsi="宋体"/>
                <w:color w:val="auto"/>
              </w:rPr>
              <w:t>评标程序</w:t>
            </w:r>
          </w:p>
        </w:tc>
        <w:tc>
          <w:tcPr>
            <w:tcW w:w="7290" w:type="dxa"/>
            <w:gridSpan w:val="2"/>
            <w:tcBorders>
              <w:left w:val="single" w:color="auto" w:sz="4" w:space="0"/>
            </w:tcBorders>
            <w:vAlign w:val="center"/>
          </w:tcPr>
          <w:p w14:paraId="775DC09A">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1.对报价不高于最高限价的所有投标人的投标文件，按照报价由低到高的顺序排序。在投标函部分及经济部分评审前，推送给评标委员会的投标文件不得显示排序。</w:t>
            </w:r>
          </w:p>
          <w:p w14:paraId="43C2D1DE">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14:paraId="3E46E4EE">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14:paraId="501AEEC1">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color w:val="auto"/>
                <w:kern w:val="0"/>
                <w:szCs w:val="21"/>
              </w:rPr>
              <w:t>文件要求的，评标委员会可以继续评标并确定中标候选人。</w:t>
            </w:r>
          </w:p>
          <w:p w14:paraId="206719F6">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注：若出现投标人投标报价相同的，以“投标人在红名单中优先”的原则排序</w:t>
            </w:r>
            <w:r>
              <w:rPr>
                <w:rFonts w:hint="eastAsia" w:ascii="宋体" w:hAnsi="宋体"/>
                <w:color w:val="auto"/>
                <w:spacing w:val="4"/>
                <w:kern w:val="0"/>
                <w:szCs w:val="21"/>
              </w:rPr>
              <w:t>，投标人是否属于红名单，以开标环节信用状况查询结果为准</w:t>
            </w:r>
            <w:r>
              <w:rPr>
                <w:rFonts w:hint="eastAsia" w:ascii="宋体" w:hAnsi="宋体"/>
                <w:color w:val="auto"/>
                <w:kern w:val="0"/>
                <w:szCs w:val="21"/>
              </w:rPr>
              <w:t>；投标人均在红名单中</w:t>
            </w:r>
            <w:r>
              <w:rPr>
                <w:rFonts w:hint="eastAsia" w:ascii="宋体" w:hAnsi="宋体"/>
                <w:color w:val="auto"/>
                <w:spacing w:val="4"/>
                <w:kern w:val="0"/>
                <w:szCs w:val="21"/>
              </w:rPr>
              <w:t>或均不在红名单中的，由评标委员会</w:t>
            </w:r>
            <w:r>
              <w:rPr>
                <w:rFonts w:hint="eastAsia" w:ascii="宋体" w:hAnsi="宋体"/>
                <w:color w:val="auto"/>
                <w:spacing w:val="-7"/>
                <w:u w:val="single"/>
              </w:rPr>
              <w:t>全体成员</w:t>
            </w:r>
            <w:r>
              <w:rPr>
                <w:rFonts w:hint="eastAsia" w:ascii="宋体" w:hAnsi="宋体"/>
                <w:color w:val="auto"/>
                <w:u w:val="single"/>
              </w:rPr>
              <w:t>投票，并按简单多数</w:t>
            </w:r>
            <w:r>
              <w:rPr>
                <w:rFonts w:hint="eastAsia" w:ascii="宋体" w:hAnsi="宋体"/>
                <w:color w:val="auto"/>
                <w:spacing w:val="4"/>
                <w:kern w:val="0"/>
                <w:szCs w:val="21"/>
              </w:rPr>
              <w:t>原则排序。</w:t>
            </w:r>
          </w:p>
        </w:tc>
      </w:tr>
      <w:tr w14:paraId="5752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14:paraId="4C28A6B9">
            <w:pPr>
              <w:spacing w:line="400" w:lineRule="exact"/>
              <w:jc w:val="center"/>
              <w:rPr>
                <w:rFonts w:ascii="宋体" w:hAnsi="宋体"/>
                <w:color w:val="auto"/>
              </w:rPr>
            </w:pPr>
            <w:r>
              <w:rPr>
                <w:rFonts w:hint="eastAsia" w:ascii="宋体" w:hAnsi="宋体"/>
                <w:color w:val="auto"/>
              </w:rPr>
              <w:t>3.4</w:t>
            </w:r>
          </w:p>
        </w:tc>
        <w:tc>
          <w:tcPr>
            <w:tcW w:w="1545" w:type="dxa"/>
            <w:tcBorders>
              <w:left w:val="single" w:color="auto" w:sz="4" w:space="0"/>
              <w:right w:val="single" w:color="auto" w:sz="4" w:space="0"/>
            </w:tcBorders>
            <w:vAlign w:val="center"/>
          </w:tcPr>
          <w:p w14:paraId="4AE83AFC">
            <w:pPr>
              <w:spacing w:line="400" w:lineRule="exact"/>
              <w:jc w:val="center"/>
              <w:rPr>
                <w:rFonts w:ascii="宋体" w:hAnsi="宋体"/>
                <w:color w:val="auto"/>
              </w:rPr>
            </w:pPr>
            <w:r>
              <w:rPr>
                <w:rFonts w:ascii="宋体" w:hAnsi="宋体"/>
                <w:color w:val="auto"/>
              </w:rPr>
              <w:t>评标结果</w:t>
            </w:r>
          </w:p>
        </w:tc>
        <w:tc>
          <w:tcPr>
            <w:tcW w:w="7290" w:type="dxa"/>
            <w:gridSpan w:val="2"/>
            <w:tcBorders>
              <w:left w:val="single" w:color="auto" w:sz="4" w:space="0"/>
            </w:tcBorders>
            <w:vAlign w:val="center"/>
          </w:tcPr>
          <w:p w14:paraId="0E3951DC">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14:paraId="38DC11FC">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s="宋体"/>
                <w:color w:val="auto"/>
                <w:szCs w:val="21"/>
                <w:lang w:val="en-US" w:eastAsia="zh-CN"/>
              </w:rPr>
              <w:t>招标人</w:t>
            </w:r>
            <w:r>
              <w:rPr>
                <w:rFonts w:ascii="宋体" w:hAnsi="宋体"/>
                <w:color w:val="auto"/>
                <w:kern w:val="0"/>
                <w:szCs w:val="21"/>
              </w:rPr>
              <w:t>提交书面评标报告。</w:t>
            </w:r>
          </w:p>
        </w:tc>
      </w:tr>
    </w:tbl>
    <w:p w14:paraId="0E058C10">
      <w:pPr>
        <w:pStyle w:val="4"/>
        <w:spacing w:before="0" w:after="0" w:line="500" w:lineRule="exact"/>
        <w:jc w:val="left"/>
        <w:rPr>
          <w:rFonts w:ascii="宋体" w:hAnsi="宋体"/>
          <w:bCs w:val="0"/>
          <w:snapToGrid w:val="0"/>
          <w:color w:val="auto"/>
        </w:rPr>
      </w:pPr>
      <w:r>
        <w:rPr>
          <w:rFonts w:ascii="宋体" w:hAnsi="宋体"/>
          <w:bCs w:val="0"/>
          <w:snapToGrid w:val="0"/>
          <w:color w:val="auto"/>
        </w:rPr>
        <w:br w:type="page"/>
      </w:r>
      <w:bookmarkStart w:id="110" w:name="_Toc57820616"/>
      <w:r>
        <w:rPr>
          <w:rFonts w:ascii="宋体" w:hAnsi="宋体"/>
          <w:b w:val="0"/>
          <w:snapToGrid w:val="0"/>
          <w:color w:val="auto"/>
        </w:rPr>
        <w:t>1.  评标方法</w:t>
      </w:r>
      <w:bookmarkEnd w:id="110"/>
    </w:p>
    <w:p w14:paraId="74731CAE">
      <w:pPr>
        <w:spacing w:line="500" w:lineRule="exact"/>
        <w:ind w:firstLine="420" w:firstLineChars="200"/>
        <w:jc w:val="left"/>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rPr>
        <w:t>授权直接确定中标人。若出现投标人投标报价相同的，以评标办法前附表约定的原则确定排序。</w:t>
      </w:r>
    </w:p>
    <w:p w14:paraId="41DBFB6B">
      <w:pPr>
        <w:pStyle w:val="4"/>
        <w:spacing w:before="0" w:after="0" w:line="500" w:lineRule="exact"/>
        <w:jc w:val="left"/>
        <w:rPr>
          <w:rFonts w:ascii="宋体" w:hAnsi="宋体"/>
          <w:b w:val="0"/>
          <w:snapToGrid w:val="0"/>
          <w:color w:val="auto"/>
        </w:rPr>
      </w:pPr>
      <w:bookmarkStart w:id="111" w:name="_Toc57820617"/>
      <w:r>
        <w:rPr>
          <w:rFonts w:ascii="宋体" w:hAnsi="宋体"/>
          <w:b w:val="0"/>
          <w:snapToGrid w:val="0"/>
          <w:color w:val="auto"/>
        </w:rPr>
        <w:t>2.  评审标准</w:t>
      </w:r>
      <w:bookmarkEnd w:id="111"/>
    </w:p>
    <w:p w14:paraId="28CA352A">
      <w:pPr>
        <w:pStyle w:val="5"/>
        <w:spacing w:line="500" w:lineRule="exact"/>
        <w:jc w:val="left"/>
        <w:rPr>
          <w:rFonts w:ascii="宋体" w:hAnsi="宋体" w:cs="宋体"/>
          <w:color w:val="auto"/>
          <w:sz w:val="21"/>
          <w:szCs w:val="21"/>
        </w:rPr>
      </w:pPr>
      <w:bookmarkStart w:id="112" w:name="_Toc5782061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r>
        <w:rPr>
          <w:rFonts w:hint="eastAsia" w:ascii="宋体" w:hAnsi="宋体" w:cs="宋体"/>
          <w:color w:val="auto"/>
          <w:sz w:val="21"/>
          <w:szCs w:val="21"/>
        </w:rPr>
        <w:t>标准</w:t>
      </w:r>
      <w:bookmarkEnd w:id="112"/>
    </w:p>
    <w:p w14:paraId="10E9F1AE">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见评标办法前附表。</w:t>
      </w:r>
    </w:p>
    <w:p w14:paraId="78EE4F5A">
      <w:pPr>
        <w:pStyle w:val="5"/>
        <w:spacing w:line="500" w:lineRule="exact"/>
        <w:jc w:val="left"/>
        <w:rPr>
          <w:rFonts w:ascii="宋体" w:hAnsi="宋体" w:cs="宋体"/>
          <w:color w:val="auto"/>
          <w:sz w:val="21"/>
          <w:szCs w:val="21"/>
        </w:rPr>
      </w:pPr>
      <w:bookmarkStart w:id="113" w:name="_Toc57820619"/>
      <w:r>
        <w:rPr>
          <w:rFonts w:ascii="宋体" w:hAnsi="宋体" w:cs="宋体"/>
          <w:color w:val="auto"/>
          <w:sz w:val="21"/>
          <w:szCs w:val="21"/>
        </w:rPr>
        <w:t>2.</w:t>
      </w:r>
      <w:r>
        <w:rPr>
          <w:rFonts w:hint="eastAsia" w:ascii="宋体" w:hAnsi="宋体" w:cs="宋体"/>
          <w:color w:val="auto"/>
          <w:sz w:val="21"/>
          <w:szCs w:val="21"/>
        </w:rPr>
        <w:t>2符合性审查标准</w:t>
      </w:r>
      <w:bookmarkEnd w:id="113"/>
    </w:p>
    <w:p w14:paraId="5E8B002F">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。符合性审查内容：资格评审、形式评审、响应性、投标函部分及经济部分评审</w:t>
      </w:r>
      <w:r>
        <w:rPr>
          <w:rFonts w:hint="eastAsia" w:ascii="宋体" w:hAnsi="宋体" w:cs="宋体"/>
          <w:color w:val="auto"/>
          <w:szCs w:val="21"/>
        </w:rPr>
        <w:t>。</w:t>
      </w:r>
    </w:p>
    <w:p w14:paraId="2E5F1FA6">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14:paraId="1DEA3041">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资格评审标准：见评标办法前附表。</w:t>
      </w:r>
    </w:p>
    <w:p w14:paraId="251947F9">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14:paraId="76D01989">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14:paraId="253C6639">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2.2.5  投标函部分及经济部分评审标准：见评标办法前附表。</w:t>
      </w:r>
    </w:p>
    <w:p w14:paraId="593225A5">
      <w:pPr>
        <w:pStyle w:val="4"/>
        <w:spacing w:before="0" w:after="0" w:line="500" w:lineRule="exact"/>
        <w:jc w:val="left"/>
        <w:rPr>
          <w:rFonts w:ascii="宋体" w:hAnsi="宋体"/>
          <w:b w:val="0"/>
          <w:snapToGrid w:val="0"/>
          <w:color w:val="auto"/>
        </w:rPr>
      </w:pPr>
      <w:bookmarkStart w:id="114" w:name="_Toc57820620"/>
      <w:r>
        <w:rPr>
          <w:rFonts w:ascii="宋体" w:hAnsi="宋体"/>
          <w:b w:val="0"/>
          <w:snapToGrid w:val="0"/>
          <w:color w:val="auto"/>
        </w:rPr>
        <w:t>3.  评标程序</w:t>
      </w:r>
      <w:bookmarkEnd w:id="114"/>
    </w:p>
    <w:p w14:paraId="538EF4F8">
      <w:pPr>
        <w:pStyle w:val="5"/>
        <w:spacing w:line="500" w:lineRule="exact"/>
        <w:jc w:val="left"/>
        <w:rPr>
          <w:rFonts w:ascii="宋体" w:hAnsi="宋体" w:cs="宋体"/>
          <w:color w:val="auto"/>
          <w:sz w:val="21"/>
          <w:szCs w:val="21"/>
        </w:rPr>
      </w:pPr>
      <w:bookmarkStart w:id="115" w:name="_Toc57820621"/>
      <w:r>
        <w:rPr>
          <w:rFonts w:ascii="宋体" w:hAnsi="宋体" w:cs="宋体"/>
          <w:color w:val="auto"/>
          <w:sz w:val="21"/>
          <w:szCs w:val="21"/>
        </w:rPr>
        <w:t>3.1</w:t>
      </w:r>
      <w:r>
        <w:rPr>
          <w:rFonts w:hint="eastAsia" w:ascii="宋体" w:hAnsi="宋体" w:cs="宋体"/>
          <w:color w:val="auto"/>
          <w:sz w:val="21"/>
          <w:szCs w:val="21"/>
        </w:rPr>
        <w:t>报价排序</w:t>
      </w:r>
      <w:bookmarkEnd w:id="115"/>
    </w:p>
    <w:p w14:paraId="1122A864">
      <w:pPr>
        <w:pStyle w:val="5"/>
        <w:spacing w:line="500" w:lineRule="exact"/>
        <w:ind w:firstLine="420" w:firstLineChars="200"/>
        <w:jc w:val="left"/>
        <w:rPr>
          <w:rFonts w:ascii="宋体" w:hAnsi="宋体" w:cs="宋体"/>
          <w:b w:val="0"/>
          <w:bCs w:val="0"/>
          <w:color w:val="auto"/>
          <w:sz w:val="21"/>
          <w:szCs w:val="21"/>
        </w:rPr>
      </w:pPr>
      <w:bookmarkStart w:id="116" w:name="_Toc57820622"/>
      <w:r>
        <w:rPr>
          <w:rFonts w:hint="eastAsia" w:ascii="宋体" w:hAnsi="宋体" w:cs="宋体"/>
          <w:b w:val="0"/>
          <w:bCs w:val="0"/>
          <w:color w:val="auto"/>
          <w:sz w:val="21"/>
          <w:szCs w:val="21"/>
        </w:rPr>
        <w:t>对报价不高于最高限价的所有投标人的投标文件，按照报价由低到高的顺序排列。</w:t>
      </w:r>
    </w:p>
    <w:p w14:paraId="4B747A7C">
      <w:pPr>
        <w:pStyle w:val="5"/>
        <w:spacing w:line="500" w:lineRule="exact"/>
        <w:jc w:val="left"/>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2符合性审查</w:t>
      </w:r>
      <w:bookmarkEnd w:id="116"/>
    </w:p>
    <w:p w14:paraId="1316F3F2">
      <w:pPr>
        <w:spacing w:line="500" w:lineRule="exact"/>
        <w:ind w:firstLine="413" w:firstLineChars="197"/>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款规定的标准对投标文件进行符合性审查。符合性审查顺序：资格评审、形式评审、响应性、投标函部分及经济部分评审。</w:t>
      </w:r>
    </w:p>
    <w:p w14:paraId="68A9F251">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14:paraId="4F3CBBB3">
      <w:pPr>
        <w:spacing w:line="500" w:lineRule="exact"/>
        <w:ind w:firstLine="405" w:firstLineChars="193"/>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14:paraId="0CA1CAF7">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14:paraId="62527D70">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（3）拒绝按评标委员会要求澄清、说明或补正的。</w:t>
      </w:r>
    </w:p>
    <w:p w14:paraId="59C72D2D">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14:paraId="65B163E1">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14:paraId="49992B2E">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（2）投标函中的总报价与已标价工程量清单总报价不一致，且工程量清单总报价与依据单价、工程数量、分部分项工程合价计算出的结果不一致的，由评标委员会作否决投标处理。</w:t>
      </w:r>
    </w:p>
    <w:p w14:paraId="09D2A311">
      <w:pPr>
        <w:pStyle w:val="5"/>
        <w:spacing w:line="500" w:lineRule="exact"/>
        <w:jc w:val="left"/>
        <w:rPr>
          <w:rFonts w:ascii="宋体" w:hAnsi="宋体" w:cs="宋体"/>
          <w:color w:val="auto"/>
          <w:sz w:val="21"/>
          <w:szCs w:val="21"/>
        </w:rPr>
      </w:pPr>
      <w:bookmarkStart w:id="117" w:name="_Toc57820623"/>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117"/>
    </w:p>
    <w:p w14:paraId="3C0479A4">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14:paraId="3C2FC145">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14:paraId="58CA22F9">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14:paraId="23E72DB2">
      <w:pPr>
        <w:pStyle w:val="5"/>
        <w:spacing w:line="500" w:lineRule="exact"/>
        <w:jc w:val="left"/>
        <w:rPr>
          <w:rFonts w:ascii="宋体" w:hAnsi="宋体" w:cs="宋体"/>
          <w:color w:val="auto"/>
          <w:sz w:val="21"/>
          <w:szCs w:val="21"/>
        </w:rPr>
      </w:pPr>
      <w:bookmarkStart w:id="118" w:name="_Toc479262406"/>
      <w:bookmarkStart w:id="119" w:name="_Toc484465184"/>
      <w:bookmarkStart w:id="120" w:name="_Toc57820624"/>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118"/>
      <w:bookmarkEnd w:id="119"/>
      <w:bookmarkEnd w:id="120"/>
    </w:p>
    <w:p w14:paraId="7AC6BB01">
      <w:pPr>
        <w:autoSpaceDE w:val="0"/>
        <w:autoSpaceDN w:val="0"/>
        <w:adjustRightInd w:val="0"/>
        <w:spacing w:line="500" w:lineRule="exact"/>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 xml:space="preserve"> 除第二章“投标人须知”前附表授权直接确定中标人外，评标委员会按经评审的最低投标价法推荐中标候选人。</w:t>
      </w:r>
    </w:p>
    <w:p w14:paraId="13CC9EE3">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val="en-US" w:eastAsia="zh-CN"/>
        </w:rPr>
        <w:t>招标人</w:t>
      </w:r>
      <w:r>
        <w:rPr>
          <w:rFonts w:hint="eastAsia" w:ascii="宋体" w:hAnsi="宋体" w:cs="宋体"/>
          <w:color w:val="auto"/>
          <w:szCs w:val="21"/>
        </w:rPr>
        <w:t>提交书面评标报告和中标候选人名单。</w:t>
      </w:r>
    </w:p>
    <w:p w14:paraId="55795333">
      <w:pPr>
        <w:pStyle w:val="37"/>
        <w:spacing w:line="360" w:lineRule="auto"/>
        <w:rPr>
          <w:rFonts w:ascii="宋体" w:hAnsi="宋体"/>
          <w:b/>
          <w:color w:val="auto"/>
          <w:sz w:val="28"/>
          <w:szCs w:val="28"/>
          <w:highlight w:val="none"/>
          <w:u w:val="none"/>
          <w:lang w:eastAsia="zh-CN"/>
        </w:rPr>
      </w:pPr>
      <w:r>
        <w:rPr>
          <w:rFonts w:ascii="宋体" w:hAnsi="宋体" w:cs="宋体"/>
          <w:color w:val="auto"/>
          <w:szCs w:val="21"/>
          <w:lang w:eastAsia="zh-CN"/>
        </w:rPr>
        <w:br w:type="page"/>
      </w:r>
      <w:r>
        <w:rPr>
          <w:rFonts w:hint="eastAsia" w:ascii="宋体" w:hAnsi="宋体"/>
          <w:b/>
          <w:color w:val="auto"/>
          <w:sz w:val="28"/>
          <w:szCs w:val="28"/>
          <w:highlight w:val="none"/>
          <w:u w:val="none"/>
          <w:lang w:eastAsia="zh-CN"/>
        </w:rPr>
        <w:t>附件A：经评审的最低投标价法否决投标情况一览表</w:t>
      </w:r>
    </w:p>
    <w:p w14:paraId="21BBC718">
      <w:pPr>
        <w:pStyle w:val="37"/>
        <w:spacing w:line="360" w:lineRule="auto"/>
        <w:ind w:firstLine="420" w:firstLineChars="200"/>
        <w:jc w:val="both"/>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52"/>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14:paraId="180A73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14:paraId="6EB483D1">
            <w:pPr>
              <w:spacing w:line="400" w:lineRule="exact"/>
              <w:jc w:val="center"/>
              <w:rPr>
                <w:rFonts w:ascii="宋体" w:hAnsi="宋体"/>
                <w:b/>
                <w:color w:val="auto"/>
                <w:szCs w:val="21"/>
                <w:highlight w:val="none"/>
              </w:rPr>
            </w:pPr>
            <w:r>
              <w:rPr>
                <w:rFonts w:hint="eastAsia" w:ascii="宋体" w:hAnsi="宋体"/>
                <w:b/>
                <w:color w:val="auto"/>
                <w:szCs w:val="21"/>
                <w:highlight w:val="none"/>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14:paraId="67ECAFD5">
            <w:pPr>
              <w:spacing w:line="400" w:lineRule="exact"/>
              <w:jc w:val="center"/>
              <w:rPr>
                <w:rFonts w:ascii="宋体" w:hAnsi="宋体"/>
                <w:b/>
                <w:color w:val="auto"/>
                <w:szCs w:val="21"/>
                <w:highlight w:val="none"/>
              </w:rPr>
            </w:pPr>
            <w:r>
              <w:rPr>
                <w:rFonts w:hint="eastAsia" w:ascii="宋体" w:hAnsi="宋体"/>
                <w:b/>
                <w:color w:val="auto"/>
                <w:szCs w:val="21"/>
                <w:highlight w:val="none"/>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14:paraId="75B5422F">
            <w:pPr>
              <w:spacing w:line="400" w:lineRule="exact"/>
              <w:jc w:val="center"/>
              <w:rPr>
                <w:rFonts w:ascii="宋体" w:hAnsi="宋体"/>
                <w:b/>
                <w:color w:val="auto"/>
                <w:szCs w:val="21"/>
                <w:highlight w:val="none"/>
              </w:rPr>
            </w:pPr>
            <w:r>
              <w:rPr>
                <w:rFonts w:hint="eastAsia" w:ascii="宋体" w:hAnsi="宋体"/>
                <w:b/>
                <w:color w:val="auto"/>
                <w:szCs w:val="21"/>
                <w:highlight w:val="none"/>
              </w:rPr>
              <w:t>否决投标条件</w:t>
            </w:r>
          </w:p>
        </w:tc>
      </w:tr>
      <w:tr w14:paraId="3C9316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bottom w:val="single" w:color="000000" w:sz="4" w:space="0"/>
              <w:right w:val="single" w:color="000000" w:sz="4" w:space="0"/>
            </w:tcBorders>
            <w:vAlign w:val="center"/>
          </w:tcPr>
          <w:p w14:paraId="58BCBF43">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515" w:type="dxa"/>
            <w:tcBorders>
              <w:top w:val="single" w:color="000000" w:sz="4" w:space="0"/>
              <w:left w:val="single" w:color="000000" w:sz="4" w:space="0"/>
              <w:bottom w:val="single" w:color="auto" w:sz="4" w:space="0"/>
              <w:right w:val="single" w:color="000000" w:sz="4" w:space="0"/>
            </w:tcBorders>
            <w:vAlign w:val="center"/>
          </w:tcPr>
          <w:p w14:paraId="5269CB9C">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14:paraId="1E94BA99">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tcBorders>
              <w:top w:val="single" w:color="000000" w:sz="4" w:space="0"/>
              <w:left w:val="single" w:color="000000" w:sz="4" w:space="0"/>
              <w:bottom w:val="single" w:color="000000" w:sz="4" w:space="0"/>
              <w:right w:val="single" w:color="000000" w:sz="8" w:space="0"/>
            </w:tcBorders>
            <w:vAlign w:val="center"/>
          </w:tcPr>
          <w:p w14:paraId="116AEF64">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A-1投标人的技术方案</w:t>
            </w:r>
            <w:r>
              <w:rPr>
                <w:rFonts w:hint="eastAsia" w:ascii="宋体" w:hAnsi="宋体"/>
                <w:color w:val="auto"/>
                <w:szCs w:val="21"/>
                <w:highlight w:val="none"/>
                <w:lang w:val="en-US" w:eastAsia="zh-CN"/>
              </w:rPr>
              <w:t>综合性</w:t>
            </w:r>
            <w:r>
              <w:rPr>
                <w:rFonts w:hint="eastAsia" w:ascii="宋体" w:hAnsi="宋体"/>
                <w:color w:val="auto"/>
                <w:szCs w:val="21"/>
                <w:highlight w:val="none"/>
              </w:rPr>
              <w:t>评审不合格，由评标委员会作否决投标处理。</w:t>
            </w:r>
            <w:r>
              <w:rPr>
                <w:rFonts w:hint="eastAsia" w:ascii="宋体" w:hAnsi="宋体"/>
                <w:color w:val="auto"/>
                <w:szCs w:val="21"/>
                <w:lang w:val="en-US" w:eastAsia="zh-CN"/>
              </w:rPr>
              <w:t>技术方案采用暗标评审时，其形式应符合</w:t>
            </w:r>
            <w:r>
              <w:rPr>
                <w:rFonts w:hint="eastAsia" w:ascii="宋体" w:hAnsi="宋体"/>
                <w:color w:val="auto"/>
                <w:szCs w:val="21"/>
              </w:rPr>
              <w:t>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w:t>
            </w:r>
            <w:r>
              <w:rPr>
                <w:rFonts w:hint="eastAsia" w:ascii="宋体" w:hAnsi="宋体"/>
                <w:color w:val="auto"/>
                <w:szCs w:val="21"/>
                <w:lang w:val="en-US" w:eastAsia="zh-CN"/>
              </w:rPr>
              <w:t>的</w:t>
            </w:r>
            <w:r>
              <w:rPr>
                <w:rFonts w:hint="eastAsia" w:ascii="宋体" w:hAnsi="宋体"/>
                <w:color w:val="auto"/>
                <w:szCs w:val="21"/>
              </w:rPr>
              <w:t>要求</w:t>
            </w:r>
            <w:r>
              <w:rPr>
                <w:rFonts w:hint="eastAsia" w:ascii="宋体" w:hAnsi="宋体"/>
                <w:color w:val="auto"/>
                <w:szCs w:val="21"/>
                <w:lang w:eastAsia="zh-CN"/>
              </w:rPr>
              <w:t>，</w:t>
            </w:r>
            <w:r>
              <w:rPr>
                <w:rFonts w:hint="eastAsia" w:ascii="宋体" w:hAnsi="宋体"/>
                <w:color w:val="auto"/>
                <w:szCs w:val="21"/>
              </w:rPr>
              <w:t>否则由评标委员会作否决投标处理</w:t>
            </w:r>
            <w:r>
              <w:rPr>
                <w:rFonts w:hint="eastAsia" w:ascii="宋体" w:hAnsi="宋体"/>
                <w:color w:val="auto"/>
                <w:szCs w:val="21"/>
                <w:lang w:eastAsia="zh-CN"/>
              </w:rPr>
              <w:t>。</w:t>
            </w:r>
          </w:p>
        </w:tc>
      </w:tr>
      <w:tr w14:paraId="1AC25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24320CC">
            <w:pPr>
              <w:widowControl/>
              <w:jc w:val="left"/>
              <w:rPr>
                <w:rFonts w:ascii="宋体" w:hAnsi="宋体"/>
                <w:color w:val="auto"/>
                <w:szCs w:val="21"/>
                <w:highlight w:val="none"/>
              </w:rPr>
            </w:pPr>
          </w:p>
        </w:tc>
        <w:tc>
          <w:tcPr>
            <w:tcW w:w="1515" w:type="dxa"/>
            <w:vMerge w:val="restart"/>
            <w:tcBorders>
              <w:top w:val="single" w:color="auto" w:sz="4" w:space="0"/>
              <w:left w:val="single" w:color="000000" w:sz="4" w:space="0"/>
              <w:bottom w:val="single" w:color="000000" w:sz="4" w:space="0"/>
              <w:right w:val="single" w:color="000000" w:sz="4" w:space="0"/>
            </w:tcBorders>
            <w:vAlign w:val="center"/>
          </w:tcPr>
          <w:p w14:paraId="4BABEB0A">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22D453FA">
            <w:pPr>
              <w:spacing w:line="400" w:lineRule="exact"/>
              <w:rPr>
                <w:rFonts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A-2投标人的资质条件、营业执照及安全生产条件须满足投标人须知前附表第1.4.1项的要求，否则由评标委员会作否决投标处理。</w:t>
            </w:r>
          </w:p>
        </w:tc>
      </w:tr>
      <w:tr w14:paraId="606691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B0FE63A">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43F9A2D0">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374FC00">
            <w:pPr>
              <w:spacing w:line="400" w:lineRule="exact"/>
              <w:rPr>
                <w:rFonts w:ascii="宋体" w:hAnsi="宋体"/>
                <w:color w:val="auto"/>
                <w:szCs w:val="21"/>
                <w:highlight w:val="none"/>
              </w:rPr>
            </w:pPr>
            <w:r>
              <w:rPr>
                <w:rFonts w:hint="eastAsia" w:ascii="宋体" w:hAnsi="宋体"/>
                <w:color w:val="auto"/>
                <w:szCs w:val="21"/>
                <w:highlight w:val="none"/>
              </w:rPr>
              <w:t>A-3投标人的财务须满足投标人须知前附表第1.4.1项的要求，否则由评标委员会作否决投标处理（如有）。</w:t>
            </w:r>
          </w:p>
        </w:tc>
      </w:tr>
      <w:tr w14:paraId="1549B5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183BC0D">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4CA8EC08">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9CCF2B8">
            <w:pPr>
              <w:spacing w:line="400" w:lineRule="exact"/>
              <w:rPr>
                <w:rFonts w:ascii="宋体" w:hAnsi="宋体"/>
                <w:color w:val="auto"/>
                <w:szCs w:val="21"/>
                <w:highlight w:val="none"/>
              </w:rPr>
            </w:pPr>
            <w:r>
              <w:rPr>
                <w:rFonts w:hint="eastAsia" w:ascii="宋体" w:hAnsi="宋体"/>
                <w:color w:val="auto"/>
                <w:szCs w:val="21"/>
                <w:highlight w:val="none"/>
              </w:rPr>
              <w:t>A-4投标人的业绩须满足投标人须知前附表第1.4.1项的要求，否则由评标委员会作否决投标处理（如有）。</w:t>
            </w:r>
          </w:p>
        </w:tc>
      </w:tr>
      <w:tr w14:paraId="6D24A5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123DEA7">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676F95C3">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A785258">
            <w:pPr>
              <w:spacing w:line="400" w:lineRule="exact"/>
              <w:rPr>
                <w:rFonts w:ascii="宋体" w:hAnsi="宋体"/>
                <w:color w:val="auto"/>
                <w:szCs w:val="21"/>
                <w:highlight w:val="none"/>
              </w:rPr>
            </w:pPr>
            <w:r>
              <w:rPr>
                <w:rFonts w:hint="eastAsia" w:ascii="宋体" w:hAnsi="宋体"/>
                <w:color w:val="auto"/>
                <w:szCs w:val="21"/>
                <w:highlight w:val="none"/>
              </w:rPr>
              <w:t>A-5投标人的投标截止日投标资格情况须满足投标人须知前附表第1.4.1项的要求，否则由评标委员会作否决投标处理。</w:t>
            </w:r>
          </w:p>
        </w:tc>
      </w:tr>
      <w:tr w14:paraId="26EAC4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CFDE9E7">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703ED76B">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BCCE276">
            <w:pPr>
              <w:spacing w:line="400" w:lineRule="exact"/>
              <w:rPr>
                <w:rFonts w:ascii="宋体" w:hAnsi="宋体"/>
                <w:color w:val="auto"/>
                <w:szCs w:val="21"/>
                <w:highlight w:val="none"/>
              </w:rPr>
            </w:pPr>
            <w:r>
              <w:rPr>
                <w:rFonts w:hint="eastAsia" w:ascii="宋体" w:hAnsi="宋体"/>
                <w:color w:val="auto"/>
                <w:szCs w:val="21"/>
                <w:highlight w:val="none"/>
              </w:rPr>
              <w:t>A-6投标人的项目经理和项目总工资格须满足投标人须知前附表第1.4.1项的要求，否则由评标委员会作否决投标处理。</w:t>
            </w:r>
          </w:p>
        </w:tc>
      </w:tr>
      <w:tr w14:paraId="5E0104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5272ACF">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31ABA9A5">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0446703E">
            <w:pPr>
              <w:spacing w:line="400" w:lineRule="exact"/>
              <w:rPr>
                <w:rFonts w:hint="eastAsia" w:ascii="宋体" w:hAnsi="宋体"/>
                <w:color w:val="auto"/>
                <w:szCs w:val="21"/>
                <w:highlight w:val="none"/>
              </w:rPr>
            </w:pPr>
            <w:r>
              <w:rPr>
                <w:rFonts w:hint="eastAsia" w:ascii="宋体" w:hAnsi="宋体"/>
                <w:color w:val="auto"/>
                <w:szCs w:val="21"/>
                <w:highlight w:val="none"/>
              </w:rPr>
              <w:t>A-7投标人的</w:t>
            </w:r>
            <w:r>
              <w:rPr>
                <w:rFonts w:hint="eastAsia" w:ascii="宋体" w:hAnsi="宋体"/>
                <w:color w:val="auto"/>
                <w:kern w:val="0"/>
                <w:highlight w:val="none"/>
              </w:rPr>
              <w:t>其他管理和技术人员最低要求</w:t>
            </w:r>
            <w:r>
              <w:rPr>
                <w:rFonts w:hint="eastAsia" w:ascii="宋体" w:hAnsi="宋体"/>
                <w:color w:val="auto"/>
                <w:szCs w:val="21"/>
                <w:highlight w:val="none"/>
              </w:rPr>
              <w:t>须满足投标人须知前附表1.4.1项的要求，否则由评标委员会作否决投标处理（如有）。</w:t>
            </w:r>
          </w:p>
        </w:tc>
      </w:tr>
      <w:tr w14:paraId="696A2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8ED91AC">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1EB3D5AE">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18B4EC6">
            <w:pPr>
              <w:spacing w:line="400" w:lineRule="exact"/>
              <w:rPr>
                <w:rFonts w:hint="eastAsia" w:ascii="宋体" w:hAnsi="宋体"/>
                <w:color w:val="auto"/>
                <w:szCs w:val="21"/>
                <w:highlight w:val="none"/>
              </w:rPr>
            </w:pPr>
            <w:r>
              <w:rPr>
                <w:rFonts w:hint="eastAsia" w:ascii="宋体" w:hAnsi="宋体"/>
                <w:color w:val="auto"/>
                <w:szCs w:val="21"/>
                <w:highlight w:val="none"/>
              </w:rPr>
              <w:t>A-8投标人的</w:t>
            </w:r>
            <w:r>
              <w:rPr>
                <w:rFonts w:ascii="宋体" w:hAnsi="宋体"/>
                <w:color w:val="auto"/>
                <w:kern w:val="0"/>
                <w:highlight w:val="none"/>
              </w:rPr>
              <w:t>主要机械设备和试验检测设备最低要求</w:t>
            </w:r>
            <w:r>
              <w:rPr>
                <w:rFonts w:hint="eastAsia" w:ascii="宋体" w:hAnsi="宋体"/>
                <w:color w:val="auto"/>
                <w:szCs w:val="21"/>
                <w:highlight w:val="none"/>
              </w:rPr>
              <w:t>须满足投标人须知前附表1.4.1项的要求，否则由评标委员会作否决投标处理（如有）。</w:t>
            </w:r>
          </w:p>
        </w:tc>
      </w:tr>
      <w:tr w14:paraId="4259F2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8726D55">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3E24388D">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F1473FD">
            <w:pPr>
              <w:spacing w:line="400" w:lineRule="exact"/>
              <w:rPr>
                <w:rFonts w:ascii="宋体" w:hAnsi="宋体"/>
                <w:color w:val="auto"/>
                <w:szCs w:val="21"/>
                <w:highlight w:val="none"/>
              </w:rPr>
            </w:pPr>
            <w:r>
              <w:rPr>
                <w:rFonts w:hint="eastAsia" w:ascii="宋体" w:hAnsi="宋体"/>
                <w:color w:val="auto"/>
                <w:szCs w:val="21"/>
                <w:highlight w:val="none"/>
              </w:rPr>
              <w:t>A-9投标人的其他要求须满足投标人须知前附表第1.4.1项的要求，否则由评标委员会作否决投标处理。</w:t>
            </w:r>
          </w:p>
        </w:tc>
      </w:tr>
      <w:tr w14:paraId="0D43A2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44227E3">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14:paraId="1228745C">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41A1A59">
            <w:pPr>
              <w:spacing w:line="400" w:lineRule="exact"/>
              <w:rPr>
                <w:rFonts w:ascii="宋体" w:hAnsi="宋体"/>
                <w:color w:val="auto"/>
                <w:szCs w:val="21"/>
                <w:highlight w:val="none"/>
              </w:rPr>
            </w:pPr>
            <w:r>
              <w:rPr>
                <w:rFonts w:hint="eastAsia" w:ascii="宋体" w:hAnsi="宋体"/>
                <w:color w:val="auto"/>
                <w:szCs w:val="21"/>
                <w:highlight w:val="none"/>
              </w:rPr>
              <w:t>A-10若有联合体投标人，则：</w:t>
            </w:r>
          </w:p>
          <w:p w14:paraId="2D8FCA20">
            <w:pPr>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联合体各方应按招标文件提供的格式签订联合体协议书，明确联合体牵头人和各方权利义务</w:t>
            </w:r>
            <w:r>
              <w:rPr>
                <w:rFonts w:hint="eastAsia" w:ascii="宋体" w:hAnsi="宋体"/>
                <w:color w:val="auto"/>
                <w:szCs w:val="21"/>
                <w:highlight w:val="none"/>
              </w:rPr>
              <w:t>；</w:t>
            </w:r>
          </w:p>
          <w:p w14:paraId="6AC96298">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由同一专业的单位组成的联合体，按照资质等级较低的单位确定资质等级</w:t>
            </w:r>
            <w:r>
              <w:rPr>
                <w:rFonts w:hint="eastAsia" w:ascii="宋体" w:hAnsi="宋体"/>
                <w:color w:val="auto"/>
                <w:szCs w:val="21"/>
                <w:highlight w:val="none"/>
              </w:rPr>
              <w:t>；</w:t>
            </w:r>
          </w:p>
          <w:p w14:paraId="180A490B">
            <w:pPr>
              <w:spacing w:line="400" w:lineRule="exac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联合体各方不得再以自己名义单独或参加其他联合体在同一标段中投标</w:t>
            </w:r>
            <w:r>
              <w:rPr>
                <w:rFonts w:hint="eastAsia" w:ascii="宋体" w:hAnsi="宋体"/>
                <w:color w:val="auto"/>
                <w:szCs w:val="21"/>
                <w:highlight w:val="none"/>
              </w:rPr>
              <w:t>；</w:t>
            </w:r>
          </w:p>
          <w:p w14:paraId="72FA29DC">
            <w:pPr>
              <w:spacing w:line="400" w:lineRule="exac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联合体所有成员数量不得超过投标人须知前附表规定的数量</w:t>
            </w:r>
            <w:r>
              <w:rPr>
                <w:rFonts w:hint="eastAsia" w:ascii="宋体" w:hAnsi="宋体"/>
                <w:color w:val="auto"/>
                <w:szCs w:val="21"/>
                <w:highlight w:val="none"/>
              </w:rPr>
              <w:t>。</w:t>
            </w:r>
          </w:p>
          <w:p w14:paraId="2395F1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14:paraId="091372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FD4327F">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758D1869">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op w:val="single" w:color="000000" w:sz="4" w:space="0"/>
              <w:left w:val="single" w:color="000000" w:sz="4" w:space="0"/>
              <w:bottom w:val="single" w:color="000000" w:sz="4" w:space="0"/>
              <w:right w:val="single" w:color="000000" w:sz="8" w:space="0"/>
            </w:tcBorders>
            <w:vAlign w:val="top"/>
          </w:tcPr>
          <w:p w14:paraId="5158F8F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A-11投标人名称必须与营业执照、资质证书、安全生产许可证一致，依法变更名称的应提交相应证明材料，否则由评标委员会作否决投标处理。</w:t>
            </w:r>
          </w:p>
        </w:tc>
      </w:tr>
      <w:tr w14:paraId="586D5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218894C">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CCA77DB">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7858809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A-12投标文件格式（不含投标函部分）符合第二章“投标人须知”第3.7款的要求，否则由评标委员会作否决投标处理。</w:t>
            </w:r>
          </w:p>
          <w:p w14:paraId="0DF37482">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编制投标文件时不得对第九章“投标文件格式”的相应要素作实质性修改，否则</w:t>
            </w:r>
            <w:r>
              <w:rPr>
                <w:rFonts w:hint="eastAsia" w:ascii="宋体" w:hAnsi="宋体"/>
                <w:color w:val="auto"/>
                <w:szCs w:val="21"/>
                <w:highlight w:val="none"/>
              </w:rPr>
              <w:t>视为重大偏差，</w:t>
            </w:r>
            <w:r>
              <w:rPr>
                <w:rFonts w:hint="eastAsia" w:ascii="宋体" w:hAnsi="宋体"/>
                <w:color w:val="auto"/>
                <w:kern w:val="0"/>
                <w:szCs w:val="21"/>
                <w:highlight w:val="none"/>
              </w:rPr>
              <w:t>由评标委员会作否决投标处理。</w:t>
            </w:r>
          </w:p>
        </w:tc>
      </w:tr>
      <w:tr w14:paraId="413C82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43A0C5B">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053847A">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4505552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14:paraId="1DAC6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44AACAE2">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1E4C486E">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134A1EA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olor w:val="auto"/>
                <w:szCs w:val="21"/>
                <w:highlight w:val="none"/>
              </w:rPr>
              <w:t>否则由评标委员会作否决投标处理。</w:t>
            </w:r>
          </w:p>
          <w:p w14:paraId="17F00CA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若投标单位为联合体，则联合体协议书中各联合体成员单位</w:t>
            </w:r>
            <w:r>
              <w:rPr>
                <w:rFonts w:hint="eastAsia" w:ascii="宋体" w:hAnsi="宋体"/>
                <w:color w:val="auto"/>
                <w:szCs w:val="21"/>
                <w:highlight w:val="none"/>
                <w:lang w:eastAsia="zh-CN"/>
              </w:rPr>
              <w:t>签名</w:t>
            </w:r>
            <w:r>
              <w:rPr>
                <w:rFonts w:hint="eastAsia" w:ascii="宋体" w:hAnsi="宋体"/>
                <w:color w:val="auto"/>
                <w:szCs w:val="21"/>
                <w:highlight w:val="none"/>
              </w:rPr>
              <w:t>（或盖章）须齐全，联合体协议书以外的投标文件格式中，</w:t>
            </w:r>
            <w:r>
              <w:rPr>
                <w:rFonts w:hint="eastAsia" w:ascii="宋体" w:hAnsi="宋体" w:cs="宋体"/>
                <w:color w:val="auto"/>
                <w:kern w:val="0"/>
                <w:highlight w:val="none"/>
              </w:rPr>
              <w:t>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（或盖章）的均由联合体牵头人法定代表人或其委托代理人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w:t>
            </w:r>
            <w:r>
              <w:rPr>
                <w:rFonts w:hint="eastAsia" w:ascii="宋体" w:hAnsi="宋体"/>
                <w:color w:val="auto"/>
                <w:szCs w:val="21"/>
                <w:highlight w:val="none"/>
              </w:rPr>
              <w:t>，否则由评标委员会作否决投标处理。</w:t>
            </w:r>
          </w:p>
          <w:p w14:paraId="10AF7E0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要求加盖单位法人章的，应加盖投标人的单位</w:t>
            </w:r>
            <w:r>
              <w:rPr>
                <w:rFonts w:hint="eastAsia" w:ascii="宋体" w:hAnsi="宋体"/>
                <w:color w:val="auto"/>
                <w:szCs w:val="21"/>
                <w:highlight w:val="none"/>
                <w:lang w:val="en-US" w:eastAsia="zh-CN"/>
              </w:rPr>
              <w:t>鲜章</w:t>
            </w:r>
            <w:r>
              <w:rPr>
                <w:rFonts w:hint="eastAsia" w:ascii="宋体" w:hAnsi="宋体"/>
                <w:color w:val="auto"/>
                <w:szCs w:val="21"/>
                <w:highlight w:val="none"/>
              </w:rPr>
              <w:t>，否则由评标委员会作否决投标处理。</w:t>
            </w:r>
          </w:p>
          <w:p w14:paraId="54F2DA9D">
            <w:pPr>
              <w:spacing w:line="400" w:lineRule="exact"/>
              <w:ind w:firstLine="420" w:firstLineChars="200"/>
              <w:rPr>
                <w:rFonts w:ascii="宋体" w:hAnsi="宋体"/>
                <w:color w:val="auto"/>
                <w:szCs w:val="21"/>
                <w:highlight w:val="none"/>
              </w:rPr>
            </w:pPr>
            <w:r>
              <w:rPr>
                <w:rFonts w:hint="eastAsia" w:ascii="宋体" w:hAnsi="宋体"/>
                <w:color w:val="auto"/>
                <w:highlight w:val="none"/>
              </w:rPr>
              <w:t>若投标单位为联合体，则联合体协议书中要求各联合体成员盖单位法人章的，各联合体成员盖章须齐全，联合体协议书以外的投标文件格式中要求投标人加盖单位法人章的，均由联合体牵头人加盖其单位</w:t>
            </w:r>
            <w:r>
              <w:rPr>
                <w:rFonts w:hint="eastAsia" w:ascii="宋体" w:hAnsi="宋体"/>
                <w:color w:val="auto"/>
                <w:highlight w:val="none"/>
                <w:lang w:val="en-US" w:eastAsia="zh-CN"/>
              </w:rPr>
              <w:t>鲜章</w:t>
            </w:r>
            <w:r>
              <w:rPr>
                <w:rFonts w:hint="eastAsia" w:ascii="宋体" w:hAnsi="宋体"/>
                <w:color w:val="auto"/>
                <w:highlight w:val="none"/>
              </w:rPr>
              <w:t>。</w:t>
            </w:r>
          </w:p>
        </w:tc>
      </w:tr>
      <w:tr w14:paraId="5A853F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6FDD0DD">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582BA5C">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14:paraId="10B3015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A-15投标人法定代表人的委托代理人有法定代表人签署的授权委托书和投标人为其缴纳的养老保险证明材料。否则由评标委员会作否决投标处理。</w:t>
            </w:r>
          </w:p>
        </w:tc>
      </w:tr>
      <w:tr w14:paraId="624EBF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B29FA8E">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2F2B68AA">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379E771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A-16投标内容符合第二章“投标人须知”第1.3.1项规定，否则由评标委员会作否决投标处理。</w:t>
            </w:r>
          </w:p>
        </w:tc>
      </w:tr>
      <w:tr w14:paraId="1A947D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5248AB5">
            <w:pPr>
              <w:widowControl/>
              <w:jc w:val="left"/>
              <w:rPr>
                <w:rFonts w:ascii="宋体" w:hAnsi="宋体"/>
                <w:color w:val="auto"/>
                <w:szCs w:val="21"/>
                <w:highlight w:val="none"/>
              </w:rPr>
            </w:pPr>
          </w:p>
        </w:tc>
        <w:tc>
          <w:tcPr>
            <w:tcW w:w="1515" w:type="dxa"/>
            <w:vMerge w:val="continue"/>
            <w:tcBorders>
              <w:left w:val="single" w:color="000000" w:sz="4" w:space="0"/>
              <w:right w:val="single" w:color="000000" w:sz="4" w:space="0"/>
            </w:tcBorders>
            <w:vAlign w:val="center"/>
          </w:tcPr>
          <w:p w14:paraId="277BA180">
            <w:pPr>
              <w:spacing w:line="400" w:lineRule="exact"/>
              <w:jc w:val="center"/>
              <w:rPr>
                <w:rFonts w:hint="eastAsia"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3A9A117F">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A-17</w:t>
            </w:r>
            <w:r>
              <w:rPr>
                <w:rFonts w:hint="eastAsia" w:ascii="宋体" w:hAnsi="宋体"/>
                <w:color w:val="auto"/>
                <w:szCs w:val="21"/>
                <w:highlight w:val="none"/>
              </w:rPr>
              <w:t>投标函附录的所有数据均符合招标文件规定</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14:paraId="17B418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0BD27A4">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09BD107">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AC06FA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投标人应按投标人须知前附表第3.4款规定递交投标保证金，并作为其投标文件的组成部分，否则由评标委员会作否决投标处理。</w:t>
            </w:r>
          </w:p>
        </w:tc>
      </w:tr>
      <w:tr w14:paraId="1A8626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799E85A">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297E0AC2">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6049F0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符合第四章“合同条款及格式”规定，投标文件不应附有招标人不能接受的条件。否则由评标委员会作否决投标处理。（由投标人承诺，承诺书格式详见第九章投标文件格式。）</w:t>
            </w:r>
          </w:p>
        </w:tc>
      </w:tr>
      <w:tr w14:paraId="342A44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6CD41FC">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586C1C3">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26CE3F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符合第七章“技术标准和要求”规定。否则由评标委员会作否决投标处理（如有）。（由投标人承诺，承诺书格式详见第九章投标文件格式。）</w:t>
            </w:r>
          </w:p>
        </w:tc>
      </w:tr>
      <w:tr w14:paraId="2FFA1B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D4EF162">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4F48C933">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14438C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投标人有以下情形之一的，其投标文件由评标委员会作否决投标处理：</w:t>
            </w:r>
          </w:p>
          <w:p w14:paraId="0D96F13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1.第二章“投标人须知”第1.4.3项规定的任何一种情形的；</w:t>
            </w:r>
          </w:p>
          <w:p w14:paraId="60DB21B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6515280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1ADC6D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9D8BA71">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14:paraId="62E9E6BE">
            <w:pPr>
              <w:spacing w:line="400" w:lineRule="exact"/>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14:paraId="27DFAC5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s="宋体"/>
                <w:color w:val="auto"/>
                <w:kern w:val="0"/>
                <w:highlight w:val="none"/>
              </w:rPr>
              <w:t>投标函部分的格式要求法定代表人或其委托代理人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s="宋体"/>
                <w:color w:val="auto"/>
                <w:kern w:val="0"/>
                <w:highlight w:val="none"/>
              </w:rPr>
              <w:t>要求加盖单位法人章的，应加盖投标人的单位</w:t>
            </w:r>
            <w:r>
              <w:rPr>
                <w:rFonts w:hint="eastAsia" w:ascii="宋体" w:hAnsi="宋体" w:cs="宋体"/>
                <w:color w:val="auto"/>
                <w:kern w:val="0"/>
                <w:highlight w:val="none"/>
                <w:lang w:val="en-US" w:eastAsia="zh-CN"/>
              </w:rPr>
              <w:t>鲜章</w:t>
            </w:r>
            <w:r>
              <w:rPr>
                <w:rFonts w:hint="eastAsia" w:ascii="宋体" w:hAnsi="宋体"/>
                <w:color w:val="auto"/>
                <w:szCs w:val="21"/>
                <w:highlight w:val="none"/>
              </w:rPr>
              <w:t>，否则由评标委员会作否决投标处理。</w:t>
            </w:r>
          </w:p>
          <w:p w14:paraId="757CA520">
            <w:pPr>
              <w:spacing w:line="400" w:lineRule="exact"/>
              <w:ind w:firstLine="420" w:firstLineChars="200"/>
              <w:rPr>
                <w:rFonts w:ascii="宋体" w:hAnsi="宋体"/>
                <w:color w:val="auto"/>
                <w:szCs w:val="21"/>
                <w:highlight w:val="none"/>
              </w:rPr>
            </w:pPr>
            <w:r>
              <w:rPr>
                <w:rFonts w:hint="eastAsia" w:ascii="宋体" w:hAnsi="宋体" w:cs="宋体"/>
                <w:color w:val="auto"/>
                <w:kern w:val="0"/>
                <w:highlight w:val="none"/>
              </w:rPr>
              <w:t>联合体投标的，投标函部分的格式中要求投标人加盖单位法人章的，均由联合体牵头人加盖其单位</w:t>
            </w:r>
            <w:r>
              <w:rPr>
                <w:rFonts w:hint="eastAsia" w:ascii="宋体" w:hAnsi="宋体" w:cs="宋体"/>
                <w:color w:val="auto"/>
                <w:kern w:val="0"/>
                <w:highlight w:val="none"/>
                <w:lang w:val="en-US" w:eastAsia="zh-CN"/>
              </w:rPr>
              <w:t>鲜章</w:t>
            </w:r>
            <w:r>
              <w:rPr>
                <w:rFonts w:hint="eastAsia" w:ascii="宋体" w:hAnsi="宋体" w:cs="宋体"/>
                <w:color w:val="auto"/>
                <w:kern w:val="0"/>
                <w:highlight w:val="none"/>
              </w:rPr>
              <w:t>，否则由评标委员会作否决投标处理。</w:t>
            </w:r>
          </w:p>
        </w:tc>
      </w:tr>
      <w:tr w14:paraId="78037C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2D649F01">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B0A0827">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10E522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23</w:t>
            </w:r>
            <w:r>
              <w:rPr>
                <w:rFonts w:hint="eastAsia" w:ascii="宋体" w:hAnsi="宋体"/>
                <w:color w:val="auto"/>
                <w:szCs w:val="21"/>
                <w:highlight w:val="none"/>
              </w:rPr>
              <w:t>工期符合第二章“投标人须知”第1.3.2项规定，否则由评标委员会作否决投标处理。</w:t>
            </w:r>
          </w:p>
        </w:tc>
      </w:tr>
      <w:tr w14:paraId="40BAB8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3AB94CFC">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79CAFB42">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6A74194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24</w:t>
            </w:r>
            <w:r>
              <w:rPr>
                <w:rFonts w:hint="eastAsia" w:ascii="宋体" w:hAnsi="宋体"/>
                <w:color w:val="auto"/>
                <w:szCs w:val="21"/>
                <w:highlight w:val="none"/>
              </w:rPr>
              <w:t>工程质量符合第二章“投标人须知”第1.3.3项规定，否则由评标委员会作否决投标处理。</w:t>
            </w:r>
          </w:p>
        </w:tc>
      </w:tr>
      <w:tr w14:paraId="2F22D5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78AA27E5">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6BDA53D">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591CD3C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25</w:t>
            </w:r>
            <w:r>
              <w:rPr>
                <w:rFonts w:hint="eastAsia" w:ascii="宋体" w:hAnsi="宋体"/>
                <w:color w:val="auto"/>
                <w:szCs w:val="21"/>
                <w:highlight w:val="none"/>
              </w:rPr>
              <w:t>投标有效期符合第二章“投标人须知”第3.3.1项规定，否则由评标委员会作否决投标处理。</w:t>
            </w:r>
          </w:p>
        </w:tc>
      </w:tr>
      <w:tr w14:paraId="08B4E8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0A853398">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6D428536">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48435A4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26</w:t>
            </w:r>
            <w:r>
              <w:rPr>
                <w:rFonts w:hint="eastAsia" w:ascii="宋体" w:hAnsi="宋体"/>
                <w:color w:val="auto"/>
                <w:szCs w:val="21"/>
                <w:highlight w:val="none"/>
              </w:rPr>
              <w:t>投标函中的总报价不得高于招标人公布的投标总报价最高限价，否则由评标委员会作否决投标处理。</w:t>
            </w:r>
          </w:p>
        </w:tc>
      </w:tr>
      <w:tr w14:paraId="6356BB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6494228E">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066DFF8A">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1F2F347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28</w:t>
            </w:r>
            <w:r>
              <w:rPr>
                <w:rFonts w:hint="eastAsia" w:ascii="宋体" w:hAnsi="宋体"/>
                <w:color w:val="auto"/>
                <w:szCs w:val="21"/>
                <w:highlight w:val="none"/>
              </w:rPr>
              <w:t>只能有一个有效报价。在招标文件没有规定的情况下，不得提交选择性报价，否则由评标委员会作否决投标处理。</w:t>
            </w:r>
          </w:p>
        </w:tc>
      </w:tr>
      <w:tr w14:paraId="44023F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56201D3D">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5558ECAF">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2A8566F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29</w:t>
            </w:r>
            <w:r>
              <w:rPr>
                <w:rFonts w:hint="eastAsia" w:ascii="宋体" w:hAnsi="宋体"/>
                <w:color w:val="auto"/>
                <w:szCs w:val="21"/>
                <w:highlight w:val="none"/>
              </w:rPr>
              <w:t>投标人对已标价工程量清单的承诺必须满足第二章“投标人须知前附表”第3.2.9项要求，否则由评标委员会作否决投标处理。</w:t>
            </w:r>
          </w:p>
        </w:tc>
      </w:tr>
      <w:tr w14:paraId="5905D4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14:paraId="162271B3">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14:paraId="34E76B5E">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14:paraId="7B2F364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30</w:t>
            </w:r>
            <w:r>
              <w:rPr>
                <w:rFonts w:hint="eastAsia" w:ascii="宋体" w:hAnsi="宋体"/>
                <w:color w:val="auto"/>
                <w:szCs w:val="21"/>
                <w:highlight w:val="none"/>
              </w:rPr>
              <w:t>投标报价有算术错误的，按照第三章“评标办法”第3.2.3项规定执行，否则由评标委员会作否决投标处理。</w:t>
            </w:r>
          </w:p>
        </w:tc>
      </w:tr>
      <w:tr w14:paraId="03BF7E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14:paraId="1752DA1E">
            <w:pPr>
              <w:spacing w:line="400" w:lineRule="exact"/>
              <w:jc w:val="center"/>
              <w:rPr>
                <w:rFonts w:ascii="宋体" w:hAnsi="宋体"/>
                <w:color w:val="auto"/>
                <w:szCs w:val="21"/>
                <w:highlight w:val="none"/>
              </w:rPr>
            </w:pPr>
            <w:r>
              <w:rPr>
                <w:rFonts w:hint="eastAsia" w:ascii="宋体" w:hAnsi="宋体"/>
                <w:color w:val="auto"/>
                <w:szCs w:val="21"/>
                <w:highlight w:val="none"/>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14:paraId="03D0676C">
            <w:pPr>
              <w:spacing w:line="400" w:lineRule="exact"/>
              <w:jc w:val="center"/>
              <w:rPr>
                <w:rFonts w:ascii="宋体" w:hAnsi="宋体"/>
                <w:color w:val="auto"/>
                <w:szCs w:val="21"/>
                <w:highlight w:val="none"/>
              </w:rPr>
            </w:pPr>
          </w:p>
        </w:tc>
        <w:tc>
          <w:tcPr>
            <w:tcW w:w="6333" w:type="dxa"/>
            <w:tcBorders>
              <w:top w:val="single" w:color="000000" w:sz="4" w:space="0"/>
              <w:left w:val="single" w:color="000000" w:sz="4" w:space="0"/>
              <w:bottom w:val="single" w:color="000000" w:sz="8" w:space="0"/>
              <w:right w:val="single" w:color="000000" w:sz="8" w:space="0"/>
            </w:tcBorders>
            <w:vAlign w:val="top"/>
          </w:tcPr>
          <w:p w14:paraId="2A99D27E">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14:paraId="104E35DA">
      <w:pPr>
        <w:ind w:left="1807" w:hanging="1800" w:hangingChars="500"/>
        <w:jc w:val="center"/>
        <w:rPr>
          <w:rFonts w:hint="eastAsia" w:ascii="宋体" w:hAnsi="宋体" w:cs="宋体"/>
          <w:b/>
          <w:bCs/>
          <w:color w:val="auto"/>
          <w:sz w:val="32"/>
          <w:szCs w:val="32"/>
          <w:u w:val="single"/>
          <w:lang w:val="zh-CN"/>
        </w:rPr>
      </w:pPr>
      <w:r>
        <w:rPr>
          <w:rFonts w:hint="eastAsia"/>
          <w:color w:val="auto"/>
          <w:kern w:val="0"/>
          <w:sz w:val="36"/>
          <w:szCs w:val="36"/>
        </w:rPr>
        <w:br w:type="page"/>
      </w:r>
      <w:bookmarkEnd w:id="51"/>
      <w:bookmarkEnd w:id="52"/>
      <w:bookmarkEnd w:id="105"/>
      <w:bookmarkEnd w:id="106"/>
      <w:bookmarkStart w:id="121" w:name="_Toc144974478"/>
      <w:bookmarkStart w:id="122" w:name="_Toc152042286"/>
      <w:bookmarkStart w:id="123" w:name="_Toc513492491"/>
      <w:bookmarkStart w:id="124" w:name="_Toc452058739"/>
      <w:bookmarkStart w:id="125" w:name="_Toc352707846"/>
      <w:bookmarkStart w:id="126" w:name="_Toc354832093"/>
      <w:bookmarkStart w:id="127" w:name="_Toc199124869"/>
      <w:r>
        <w:rPr>
          <w:rFonts w:hint="eastAsia" w:ascii="宋体" w:hAnsi="宋体" w:cs="宋体"/>
          <w:b/>
          <w:bCs/>
          <w:color w:val="auto"/>
          <w:sz w:val="32"/>
          <w:szCs w:val="32"/>
          <w:u w:val="single"/>
          <w:lang w:val="zh-CN"/>
        </w:rPr>
        <w:t>2025年度福果镇农村公路护栏建设项目（第二次）</w:t>
      </w:r>
    </w:p>
    <w:p w14:paraId="13040B57">
      <w:pPr>
        <w:ind w:left="1807" w:hanging="1807" w:hangingChars="500"/>
        <w:jc w:val="center"/>
        <w:rPr>
          <w:rFonts w:hint="eastAsia" w:ascii="宋体" w:hAnsi="宋体" w:cs="宋体"/>
          <w:b/>
          <w:bCs/>
          <w:color w:val="auto"/>
          <w:sz w:val="44"/>
          <w:szCs w:val="44"/>
          <w:lang w:val="zh-CN"/>
        </w:rPr>
      </w:pPr>
      <w:r>
        <w:rPr>
          <w:rFonts w:hint="eastAsia" w:ascii="宋体" w:hAnsi="宋体" w:cs="宋体"/>
          <w:b/>
          <w:bCs/>
          <w:color w:val="auto"/>
          <w:sz w:val="36"/>
          <w:szCs w:val="36"/>
          <w:lang w:val="zh-CN"/>
        </w:rPr>
        <w:t>施工合同</w:t>
      </w:r>
    </w:p>
    <w:p w14:paraId="4A6477B2">
      <w:pPr>
        <w:tabs>
          <w:tab w:val="left" w:pos="1695"/>
          <w:tab w:val="left" w:pos="3370"/>
          <w:tab w:val="left" w:pos="5555"/>
        </w:tabs>
        <w:autoSpaceDE w:val="0"/>
        <w:autoSpaceDN w:val="0"/>
        <w:adjustRightInd w:val="0"/>
        <w:snapToGrid w:val="0"/>
        <w:spacing w:line="360" w:lineRule="auto"/>
        <w:jc w:val="center"/>
        <w:rPr>
          <w:rFonts w:hint="eastAsia" w:ascii="宋体" w:hAnsi="宋体" w:cs="MingLiU"/>
          <w:color w:val="auto"/>
          <w:kern w:val="0"/>
          <w:sz w:val="20"/>
        </w:rPr>
      </w:pPr>
    </w:p>
    <w:bookmarkEnd w:id="121"/>
    <w:bookmarkEnd w:id="122"/>
    <w:p w14:paraId="32F98019">
      <w:pPr>
        <w:spacing w:line="400" w:lineRule="exact"/>
        <w:jc w:val="center"/>
        <w:rPr>
          <w:rFonts w:hint="eastAsia" w:hAnsi="黑体" w:eastAsia="黑体"/>
          <w:b/>
          <w:color w:val="auto"/>
          <w:sz w:val="32"/>
          <w:szCs w:val="32"/>
        </w:rPr>
      </w:pPr>
      <w:bookmarkStart w:id="128" w:name="_Toc330976731"/>
      <w:bookmarkStart w:id="129" w:name="_Toc28955"/>
      <w:bookmarkStart w:id="130" w:name="_Toc319675654"/>
      <w:bookmarkStart w:id="131" w:name="_Toc389633615"/>
      <w:bookmarkStart w:id="132" w:name="_Toc483923184"/>
      <w:bookmarkStart w:id="133" w:name="_Toc17540"/>
      <w:bookmarkStart w:id="134" w:name="_Toc144974834"/>
      <w:bookmarkStart w:id="135" w:name="_Toc152045772"/>
      <w:bookmarkStart w:id="136" w:name="_Toc152042554"/>
      <w:bookmarkStart w:id="137" w:name="_Toc25457"/>
      <w:bookmarkStart w:id="138" w:name="_Toc152045785"/>
      <w:bookmarkStart w:id="139" w:name="_Toc386029711"/>
      <w:bookmarkStart w:id="140" w:name="_Toc152042574"/>
      <w:bookmarkStart w:id="141" w:name="_Toc287607858"/>
      <w:bookmarkStart w:id="142" w:name="_Toc144974854"/>
      <w:bookmarkStart w:id="143" w:name="_Toc24925"/>
      <w:bookmarkStart w:id="144" w:name="_Toc224103479"/>
      <w:bookmarkStart w:id="145" w:name="_Toc277082640"/>
      <w:r>
        <w:rPr>
          <w:rFonts w:hint="eastAsia" w:hAnsi="黑体" w:eastAsia="黑体"/>
          <w:b/>
          <w:color w:val="auto"/>
          <w:sz w:val="32"/>
          <w:szCs w:val="32"/>
        </w:rPr>
        <w:t>第一部分 合同协议书</w:t>
      </w:r>
    </w:p>
    <w:p w14:paraId="287EBCD6">
      <w:pPr>
        <w:spacing w:line="400" w:lineRule="exact"/>
        <w:jc w:val="center"/>
        <w:rPr>
          <w:rFonts w:hint="eastAsia" w:hAnsi="黑体" w:eastAsia="黑体"/>
          <w:b/>
          <w:color w:val="auto"/>
          <w:sz w:val="32"/>
          <w:szCs w:val="32"/>
        </w:rPr>
      </w:pPr>
    </w:p>
    <w:p w14:paraId="6A7D0423">
      <w:pPr>
        <w:spacing w:line="460" w:lineRule="exact"/>
        <w:rPr>
          <w:rFonts w:hint="eastAsia" w:ascii="宋体" w:hAnsi="宋体" w:eastAsia="宋体" w:cs="宋体"/>
          <w:b/>
          <w:snapToGrid w:val="0"/>
          <w:color w:val="auto"/>
          <w:kern w:val="0"/>
          <w:szCs w:val="21"/>
          <w:u w:val="single"/>
          <w:lang w:eastAsia="zh-CN"/>
        </w:rPr>
      </w:pPr>
      <w:r>
        <w:rPr>
          <w:rFonts w:hint="eastAsia" w:ascii="宋体" w:hAnsi="宋体" w:cs="宋体"/>
          <w:b/>
          <w:color w:val="auto"/>
          <w:szCs w:val="21"/>
        </w:rPr>
        <w:t>发包人（全称）：</w:t>
      </w:r>
      <w:r>
        <w:rPr>
          <w:rFonts w:hint="eastAsia" w:ascii="宋体" w:hAnsi="宋体" w:cs="宋体"/>
          <w:b/>
          <w:color w:val="auto"/>
          <w:szCs w:val="21"/>
          <w:u w:val="single"/>
          <w:lang w:eastAsia="zh-CN"/>
        </w:rPr>
        <w:t>重庆市铜梁区福果镇人民政府</w:t>
      </w:r>
    </w:p>
    <w:p w14:paraId="10D988B1">
      <w:pPr>
        <w:spacing w:line="460" w:lineRule="exact"/>
        <w:rPr>
          <w:rFonts w:hint="eastAsia" w:ascii="宋体" w:hAnsi="宋体" w:cs="宋体"/>
          <w:b/>
          <w:color w:val="auto"/>
          <w:szCs w:val="21"/>
          <w:u w:val="single"/>
        </w:rPr>
      </w:pPr>
      <w:r>
        <w:rPr>
          <w:rFonts w:hint="eastAsia" w:ascii="宋体" w:hAnsi="宋体" w:cs="宋体"/>
          <w:b/>
          <w:color w:val="auto"/>
          <w:szCs w:val="21"/>
        </w:rPr>
        <w:t xml:space="preserve">承包人（全称）：                      </w:t>
      </w:r>
    </w:p>
    <w:p w14:paraId="7BF4C596">
      <w:pPr>
        <w:spacing w:line="460" w:lineRule="exact"/>
        <w:ind w:firstLine="527" w:firstLineChars="250"/>
        <w:jc w:val="left"/>
        <w:rPr>
          <w:rFonts w:hint="eastAsia" w:ascii="宋体" w:hAnsi="宋体" w:cs="宋体"/>
          <w:b/>
          <w:snapToGrid w:val="0"/>
          <w:color w:val="auto"/>
          <w:kern w:val="0"/>
          <w:szCs w:val="21"/>
          <w:u w:val="single"/>
        </w:rPr>
      </w:pPr>
      <w:r>
        <w:rPr>
          <w:rFonts w:hint="eastAsia" w:ascii="宋体" w:hAnsi="宋体" w:cs="宋体"/>
          <w:b/>
          <w:color w:val="auto"/>
          <w:szCs w:val="21"/>
          <w:u w:val="single"/>
          <w:lang w:eastAsia="zh-CN"/>
        </w:rPr>
        <w:t>重庆市铜梁区福果镇人民政府</w:t>
      </w:r>
      <w:r>
        <w:rPr>
          <w:rFonts w:hint="eastAsia" w:ascii="宋体" w:hAnsi="宋体" w:cs="宋体"/>
          <w:bCs/>
          <w:snapToGrid w:val="0"/>
          <w:color w:val="auto"/>
          <w:kern w:val="0"/>
          <w:szCs w:val="21"/>
        </w:rPr>
        <w:t>（发包人名称，以下简称“发包人”）为实施</w:t>
      </w:r>
      <w:r>
        <w:rPr>
          <w:rFonts w:hint="eastAsia" w:ascii="宋体" w:hAnsi="宋体" w:cs="MingLiU"/>
          <w:b/>
          <w:bCs/>
          <w:snapToGrid w:val="0"/>
          <w:color w:val="auto"/>
          <w:kern w:val="0"/>
          <w:szCs w:val="21"/>
          <w:u w:val="single"/>
          <w:lang w:eastAsia="zh-CN"/>
        </w:rPr>
        <w:t>2025年度福果镇农村公路护栏建设项目（第二次）</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w:t>
      </w:r>
      <w:r>
        <w:rPr>
          <w:rFonts w:hint="eastAsia" w:ascii="宋体" w:hAnsi="宋体" w:cs="宋体"/>
          <w:bCs/>
          <w:snapToGrid w:val="0"/>
          <w:color w:val="auto"/>
          <w:kern w:val="0"/>
          <w:szCs w:val="21"/>
        </w:rPr>
        <w:t>项目名称）已接受</w:t>
      </w:r>
      <w:r>
        <w:rPr>
          <w:rFonts w:hint="eastAsia" w:ascii="宋体" w:hAnsi="宋体" w:cs="宋体"/>
          <w:bCs/>
          <w:snapToGrid w:val="0"/>
          <w:color w:val="auto"/>
          <w:w w:val="200"/>
          <w:kern w:val="0"/>
          <w:szCs w:val="21"/>
          <w:u w:val="single"/>
        </w:rPr>
        <w:t xml:space="preserve">           </w:t>
      </w:r>
      <w:r>
        <w:rPr>
          <w:rFonts w:hint="eastAsia" w:ascii="宋体" w:hAnsi="宋体" w:cs="宋体"/>
          <w:bCs/>
          <w:snapToGrid w:val="0"/>
          <w:color w:val="auto"/>
          <w:kern w:val="0"/>
          <w:szCs w:val="21"/>
        </w:rPr>
        <w:t>（承包人名称，以下简称“承包人”）对该项目</w:t>
      </w:r>
      <w:r>
        <w:rPr>
          <w:rFonts w:hint="eastAsia" w:ascii="宋体" w:hAnsi="宋体" w:cs="宋体"/>
          <w:snapToGrid w:val="0"/>
          <w:color w:val="auto"/>
          <w:kern w:val="0"/>
          <w:szCs w:val="21"/>
        </w:rPr>
        <w:t>施工的参选。 发包人和承包人共同达成如下协议。</w:t>
      </w:r>
    </w:p>
    <w:p w14:paraId="6F8A7B5C">
      <w:pPr>
        <w:spacing w:line="500" w:lineRule="exact"/>
        <w:ind w:firstLine="420" w:firstLineChars="200"/>
        <w:rPr>
          <w:rFonts w:hint="eastAsia" w:ascii="宋体" w:hAnsi="宋体" w:eastAsia="宋体" w:cs="宋体"/>
          <w:color w:val="auto"/>
          <w:szCs w:val="21"/>
          <w:u w:val="single"/>
          <w:lang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eastAsia="zh-CN"/>
        </w:rPr>
        <w:t>2025年度福果镇农村公路护栏建设项目（第二次）</w:t>
      </w:r>
      <w:r>
        <w:rPr>
          <w:rFonts w:hint="eastAsia" w:ascii="宋体" w:hAnsi="宋体" w:cs="宋体"/>
          <w:color w:val="auto"/>
          <w:szCs w:val="21"/>
        </w:rPr>
        <w:t>：主要内容包括新建公路护栏工程等内容</w:t>
      </w:r>
      <w:r>
        <w:rPr>
          <w:rFonts w:hint="eastAsia" w:ascii="宋体" w:hAnsi="宋体" w:cs="宋体"/>
          <w:color w:val="auto"/>
          <w:szCs w:val="21"/>
          <w:lang w:eastAsia="zh-CN"/>
        </w:rPr>
        <w:t>，工程地址位于重庆市铜梁区福果镇，本次发包的范围为项目的施工，具体内容以发包人发布的施工图和工程量清单为准</w:t>
      </w:r>
    </w:p>
    <w:p w14:paraId="129BB7D3">
      <w:pPr>
        <w:spacing w:line="420" w:lineRule="exact"/>
        <w:ind w:firstLine="420" w:firstLineChars="200"/>
        <w:rPr>
          <w:rFonts w:hint="eastAsia" w:ascii="宋体" w:hAnsi="宋体" w:cs="宋体"/>
          <w:color w:val="auto"/>
          <w:szCs w:val="21"/>
          <w:u w:val="single"/>
        </w:rPr>
      </w:pPr>
      <w:r>
        <w:rPr>
          <w:rFonts w:hint="eastAsia" w:ascii="宋体" w:hAnsi="宋体" w:cs="宋体"/>
          <w:color w:val="auto"/>
          <w:szCs w:val="21"/>
          <w:u w:val="single"/>
        </w:rPr>
        <w:t>2. 本协议书与下列文件一起构成合同文件：</w:t>
      </w:r>
    </w:p>
    <w:p w14:paraId="3F83B84A">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14:paraId="6681BFA1">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w:t>
      </w:r>
      <w:r>
        <w:rPr>
          <w:rFonts w:hint="eastAsia" w:ascii="宋体" w:hAnsi="宋体" w:cs="宋体"/>
          <w:color w:val="auto"/>
          <w:szCs w:val="21"/>
          <w:u w:val="single"/>
          <w:lang w:val="en-US" w:eastAsia="zh-CN"/>
        </w:rPr>
        <w:t>标</w:t>
      </w:r>
      <w:r>
        <w:rPr>
          <w:rFonts w:hint="eastAsia" w:ascii="宋体" w:hAnsi="宋体" w:cs="宋体"/>
          <w:color w:val="auto"/>
          <w:szCs w:val="21"/>
          <w:u w:val="single"/>
        </w:rPr>
        <w:t>通知书；</w:t>
      </w:r>
    </w:p>
    <w:p w14:paraId="1C81F2FB">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14:paraId="18F75E9C">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14:paraId="577B2C2B">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14:paraId="00872261">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14:paraId="0274F71A">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14:paraId="36C69D66">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14:paraId="6D6F76C0">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14:paraId="0162AC7E">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14:paraId="12BE52B3">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14:paraId="479172D4">
      <w:pPr>
        <w:tabs>
          <w:tab w:val="left" w:pos="4520"/>
          <w:tab w:val="left" w:pos="5980"/>
        </w:tabs>
        <w:autoSpaceDE w:val="0"/>
        <w:autoSpaceDN w:val="0"/>
        <w:adjustRightInd w:val="0"/>
        <w:snapToGrid w:val="0"/>
        <w:spacing w:line="460" w:lineRule="exact"/>
        <w:ind w:right="-23"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上述文件互相补充和解释，如有不明确或不一致之处，以合同约定次序在先者为准。</w:t>
      </w:r>
    </w:p>
    <w:p w14:paraId="6585F8CD">
      <w:pPr>
        <w:spacing w:line="500" w:lineRule="exact"/>
        <w:ind w:firstLine="411" w:firstLineChars="196"/>
        <w:rPr>
          <w:rFonts w:hint="eastAsia" w:ascii="宋体" w:hAnsi="宋体" w:cs="宋体"/>
          <w:bCs/>
          <w:snapToGrid w:val="0"/>
          <w:color w:val="auto"/>
          <w:kern w:val="0"/>
          <w:szCs w:val="21"/>
          <w:u w:val="single"/>
        </w:rPr>
      </w:pPr>
      <w:r>
        <w:rPr>
          <w:rFonts w:hint="eastAsia" w:ascii="宋体" w:hAnsi="宋体" w:cs="宋体"/>
          <w:snapToGrid w:val="0"/>
          <w:color w:val="auto"/>
          <w:kern w:val="0"/>
          <w:szCs w:val="21"/>
        </w:rPr>
        <w:t>3. 根据工程量清单所列承担的预计工程数量和</w:t>
      </w:r>
      <w:r>
        <w:rPr>
          <w:rFonts w:hint="eastAsia" w:ascii="宋体" w:hAnsi="宋体" w:cs="宋体"/>
          <w:snapToGrid w:val="0"/>
          <w:color w:val="auto"/>
          <w:kern w:val="0"/>
          <w:szCs w:val="21"/>
          <w:lang w:eastAsia="zh-CN"/>
        </w:rPr>
        <w:t>总</w:t>
      </w:r>
      <w:r>
        <w:rPr>
          <w:rFonts w:hint="eastAsia" w:ascii="宋体" w:hAnsi="宋体" w:cs="宋体"/>
          <w:snapToGrid w:val="0"/>
          <w:color w:val="auto"/>
          <w:kern w:val="0"/>
          <w:szCs w:val="21"/>
        </w:rPr>
        <w:t>价计算的签约合同价：人民币（大写）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元（¥</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）。承包范围：</w:t>
      </w:r>
      <w:r>
        <w:rPr>
          <w:rFonts w:hint="eastAsia" w:ascii="宋体" w:hAnsi="宋体" w:cs="宋体"/>
          <w:color w:val="auto"/>
          <w:szCs w:val="21"/>
          <w:u w:val="single"/>
        </w:rPr>
        <w:t>施工图所示的全部工程内容，具体以抽选人发出的工程量清单为准</w:t>
      </w:r>
      <w:r>
        <w:rPr>
          <w:rFonts w:hint="eastAsia" w:ascii="宋体" w:hAnsi="宋体" w:cs="宋体"/>
          <w:color w:val="auto"/>
          <w:szCs w:val="21"/>
        </w:rPr>
        <w:t>。</w:t>
      </w:r>
    </w:p>
    <w:p w14:paraId="34484CD0">
      <w:pPr>
        <w:tabs>
          <w:tab w:val="left" w:pos="4520"/>
          <w:tab w:val="left" w:pos="5980"/>
        </w:tabs>
        <w:autoSpaceDE w:val="0"/>
        <w:autoSpaceDN w:val="0"/>
        <w:adjustRightInd w:val="0"/>
        <w:snapToGrid w:val="0"/>
        <w:spacing w:line="460" w:lineRule="exact"/>
        <w:ind w:right="-23" w:firstLine="478" w:firstLineChars="228"/>
        <w:jc w:val="left"/>
        <w:rPr>
          <w:rFonts w:hint="eastAsia" w:ascii="宋体" w:hAnsi="宋体" w:cs="宋体"/>
          <w:snapToGrid w:val="0"/>
          <w:color w:val="auto"/>
          <w:kern w:val="0"/>
          <w:szCs w:val="21"/>
        </w:rPr>
      </w:pPr>
      <w:r>
        <w:rPr>
          <w:rFonts w:hint="eastAsia" w:ascii="宋体" w:hAnsi="宋体" w:cs="宋体"/>
          <w:snapToGrid w:val="0"/>
          <w:color w:val="auto"/>
          <w:kern w:val="0"/>
          <w:szCs w:val="21"/>
        </w:rPr>
        <w:t>4.  承包人项目经理：</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p>
    <w:p w14:paraId="7F662DD4">
      <w:pPr>
        <w:tabs>
          <w:tab w:val="left" w:pos="336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5.  工程质量符合</w:t>
      </w:r>
      <w:r>
        <w:rPr>
          <w:rFonts w:hint="eastAsia" w:ascii="宋体" w:hAnsi="宋体" w:cs="宋体"/>
          <w:snapToGrid w:val="0"/>
          <w:color w:val="auto"/>
          <w:kern w:val="0"/>
          <w:szCs w:val="21"/>
          <w:u w:val="single"/>
        </w:rPr>
        <w:t>国家现行有关施工质量验收规范要求，并达到合格</w:t>
      </w:r>
      <w:r>
        <w:rPr>
          <w:rFonts w:hint="eastAsia" w:ascii="宋体" w:hAnsi="宋体" w:cs="宋体"/>
          <w:snapToGrid w:val="0"/>
          <w:color w:val="auto"/>
          <w:kern w:val="0"/>
          <w:szCs w:val="21"/>
        </w:rPr>
        <w:t>标准。</w:t>
      </w:r>
    </w:p>
    <w:p w14:paraId="1D7B9FFC">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6.  承包人承诺按合同约定承担工程的实施、完成及缺陷修复。</w:t>
      </w:r>
    </w:p>
    <w:p w14:paraId="49D276D0">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7.  发包人承诺按合同约定的条件、时间和方式向承包人支付合同价款。</w:t>
      </w:r>
    </w:p>
    <w:p w14:paraId="3A63F67A">
      <w:pPr>
        <w:autoSpaceDE w:val="0"/>
        <w:autoSpaceDN w:val="0"/>
        <w:adjustRightInd w:val="0"/>
        <w:snapToGrid w:val="0"/>
        <w:spacing w:line="460" w:lineRule="exact"/>
        <w:ind w:left="479"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8.  承包人应按照监理人指示开工，工期</w:t>
      </w:r>
      <w:r>
        <w:rPr>
          <w:rFonts w:hint="eastAsia" w:ascii="宋体" w:hAnsi="宋体" w:cs="宋体"/>
          <w:snapToGrid w:val="0"/>
          <w:color w:val="auto"/>
          <w:kern w:val="0"/>
          <w:szCs w:val="21"/>
          <w:highlight w:val="none"/>
        </w:rPr>
        <w:t>为</w:t>
      </w:r>
      <w:r>
        <w:rPr>
          <w:rFonts w:hint="eastAsia" w:ascii="宋体" w:hAnsi="宋体" w:cs="宋体"/>
          <w:snapToGrid w:val="0"/>
          <w:color w:val="auto"/>
          <w:kern w:val="0"/>
          <w:szCs w:val="21"/>
          <w:highlight w:val="none"/>
          <w:u w:val="single"/>
          <w:lang w:val="en-US" w:eastAsia="zh-CN"/>
        </w:rPr>
        <w:t>30日历天</w:t>
      </w:r>
      <w:r>
        <w:rPr>
          <w:rFonts w:hint="eastAsia" w:ascii="宋体" w:hAnsi="宋体" w:cs="宋体"/>
          <w:snapToGrid w:val="0"/>
          <w:color w:val="auto"/>
          <w:kern w:val="0"/>
          <w:szCs w:val="21"/>
          <w:highlight w:val="none"/>
        </w:rPr>
        <w:t>。</w:t>
      </w:r>
    </w:p>
    <w:p w14:paraId="7B1BB940">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highlight w:val="none"/>
        </w:rPr>
        <w:t>9. 本协议书在承包人提供履约担保后，由双方法定代表人</w:t>
      </w:r>
      <w:r>
        <w:rPr>
          <w:rFonts w:hint="eastAsia" w:ascii="宋体" w:hAnsi="宋体" w:cs="宋体"/>
          <w:snapToGrid w:val="0"/>
          <w:color w:val="auto"/>
          <w:kern w:val="0"/>
          <w:szCs w:val="21"/>
        </w:rPr>
        <w:t>或其委托代理人签署并加盖单位章后生效。全部工程完工后经</w:t>
      </w:r>
      <w:r>
        <w:rPr>
          <w:rFonts w:hint="eastAsia" w:hAnsi="宋体"/>
          <w:color w:val="auto"/>
          <w:sz w:val="20"/>
        </w:rPr>
        <w:t>竣（交）工</w:t>
      </w:r>
      <w:r>
        <w:rPr>
          <w:rFonts w:hint="eastAsia" w:ascii="宋体" w:hAnsi="宋体" w:cs="宋体"/>
          <w:snapToGrid w:val="0"/>
          <w:color w:val="auto"/>
          <w:kern w:val="0"/>
          <w:szCs w:val="21"/>
        </w:rPr>
        <w:t>验收合格、缺陷责任期满签发缺陷责任终止证书后失效。</w:t>
      </w:r>
    </w:p>
    <w:p w14:paraId="338DC99E">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10.  本协议书一式</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份，合同双方各执</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份。</w:t>
      </w:r>
    </w:p>
    <w:p w14:paraId="5516BE15">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u w:val="single"/>
        </w:rPr>
      </w:pPr>
      <w:r>
        <w:rPr>
          <w:rFonts w:hint="eastAsia" w:ascii="宋体" w:hAnsi="宋体" w:cs="宋体"/>
          <w:snapToGrid w:val="0"/>
          <w:color w:val="auto"/>
          <w:kern w:val="0"/>
          <w:szCs w:val="21"/>
        </w:rPr>
        <w:t>11.  签约地点：</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p>
    <w:p w14:paraId="0760C884">
      <w:pPr>
        <w:spacing w:line="460" w:lineRule="exact"/>
        <w:ind w:firstLine="482"/>
        <w:rPr>
          <w:rFonts w:hint="eastAsia" w:ascii="宋体" w:hAnsi="宋体" w:cs="宋体"/>
          <w:color w:val="auto"/>
          <w:szCs w:val="21"/>
        </w:rPr>
      </w:pPr>
      <w:r>
        <w:rPr>
          <w:rFonts w:hint="eastAsia" w:ascii="宋体" w:hAnsi="宋体" w:cs="宋体"/>
          <w:snapToGrid w:val="0"/>
          <w:color w:val="auto"/>
          <w:kern w:val="0"/>
          <w:szCs w:val="21"/>
        </w:rPr>
        <w:t>12.  合同未尽事宜，双方另行签订补充协议。补充协议是合同的组成部分，</w:t>
      </w:r>
      <w:r>
        <w:rPr>
          <w:rFonts w:hint="eastAsia" w:ascii="宋体" w:hAnsi="宋体" w:cs="宋体"/>
          <w:color w:val="auto"/>
          <w:szCs w:val="21"/>
        </w:rPr>
        <w:t>具有同等法律效力。</w:t>
      </w:r>
    </w:p>
    <w:p w14:paraId="77693675">
      <w:pPr>
        <w:tabs>
          <w:tab w:val="left" w:pos="2820"/>
          <w:tab w:val="left" w:pos="4480"/>
          <w:tab w:val="left" w:pos="7140"/>
          <w:tab w:val="left" w:pos="7680"/>
        </w:tabs>
        <w:autoSpaceDE w:val="0"/>
        <w:autoSpaceDN w:val="0"/>
        <w:adjustRightInd w:val="0"/>
        <w:snapToGrid w:val="0"/>
        <w:spacing w:line="460" w:lineRule="exact"/>
        <w:ind w:right="-223"/>
        <w:jc w:val="left"/>
        <w:rPr>
          <w:rFonts w:hint="eastAsia" w:ascii="宋体" w:hAnsi="宋体" w:cs="宋体"/>
          <w:snapToGrid w:val="0"/>
          <w:color w:val="auto"/>
          <w:kern w:val="0"/>
          <w:szCs w:val="21"/>
        </w:rPr>
      </w:pPr>
    </w:p>
    <w:p w14:paraId="0F216189">
      <w:pPr>
        <w:spacing w:line="460" w:lineRule="exact"/>
        <w:ind w:firstLine="630" w:firstLineChars="300"/>
        <w:rPr>
          <w:rFonts w:hint="eastAsia" w:ascii="宋体" w:hAnsi="宋体" w:cs="宋体"/>
          <w:color w:val="auto"/>
        </w:rPr>
      </w:pPr>
      <w:r>
        <w:rPr>
          <w:rFonts w:hint="eastAsia" w:ascii="宋体" w:hAnsi="宋体" w:cs="宋体"/>
          <w:color w:val="auto"/>
        </w:rPr>
        <w:t>发包人：</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14:paraId="2809FBFD">
      <w:pPr>
        <w:spacing w:line="460" w:lineRule="exact"/>
        <w:ind w:firstLine="630" w:firstLineChars="300"/>
        <w:rPr>
          <w:rFonts w:hint="eastAsia" w:ascii="宋体" w:hAnsi="宋体" w:cs="宋体"/>
          <w:color w:val="auto"/>
          <w:u w:val="single"/>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xml:space="preserve">                             </w:t>
      </w:r>
    </w:p>
    <w:p w14:paraId="7AD25F5E">
      <w:pPr>
        <w:spacing w:line="460" w:lineRule="exact"/>
        <w:ind w:firstLine="630" w:firstLineChars="300"/>
        <w:rPr>
          <w:rFonts w:hint="eastAsia" w:ascii="宋体" w:hAnsi="宋体" w:cs="宋体"/>
          <w:color w:val="auto"/>
        </w:rPr>
      </w:pPr>
      <w:r>
        <w:rPr>
          <w:rFonts w:hint="eastAsia" w:ascii="宋体" w:hAnsi="宋体" w:cs="宋体"/>
          <w:color w:val="auto"/>
        </w:rPr>
        <w:t>法定代表人或其　　　　　　　　　　　　　        法定代表人或其</w:t>
      </w:r>
    </w:p>
    <w:p w14:paraId="3E27AE9F">
      <w:pPr>
        <w:spacing w:line="460" w:lineRule="exact"/>
        <w:ind w:firstLine="630" w:firstLineChars="3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14:paraId="47E8FF86">
      <w:pPr>
        <w:spacing w:line="460" w:lineRule="exact"/>
        <w:ind w:firstLine="630" w:firstLineChars="300"/>
        <w:rPr>
          <w:rFonts w:hint="eastAsia" w:ascii="宋体" w:hAnsi="宋体" w:cs="宋体"/>
          <w:color w:val="auto"/>
          <w:u w:val="single"/>
        </w:rPr>
      </w:pPr>
      <w:r>
        <w:rPr>
          <w:rFonts w:hint="eastAsia" w:ascii="宋体" w:hAnsi="宋体" w:cs="宋体"/>
          <w:color w:val="auto"/>
        </w:rPr>
        <w:t>电话：</w:t>
      </w:r>
      <w:r>
        <w:rPr>
          <w:rFonts w:hint="eastAsia" w:ascii="宋体" w:hAnsi="宋体" w:cs="宋体"/>
          <w:snapToGrid w:val="0"/>
          <w:color w:val="auto"/>
          <w:kern w:val="0"/>
          <w:szCs w:val="21"/>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14:paraId="421AF0EC">
      <w:pPr>
        <w:spacing w:line="460" w:lineRule="exact"/>
        <w:ind w:firstLine="630" w:firstLineChars="3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w:t>
      </w:r>
      <w:r>
        <w:rPr>
          <w:rFonts w:hint="eastAsia" w:ascii="宋体" w:hAnsi="宋体" w:cs="宋体"/>
          <w:color w:val="auto"/>
          <w:u w:val="single"/>
        </w:rPr>
        <w:t xml:space="preserve">                             </w:t>
      </w:r>
    </w:p>
    <w:p w14:paraId="5BF222AC">
      <w:pPr>
        <w:spacing w:line="460" w:lineRule="exact"/>
        <w:ind w:firstLine="630" w:firstLineChars="300"/>
        <w:rPr>
          <w:rFonts w:hint="eastAsia" w:ascii="宋体" w:hAnsi="宋体" w:cs="宋体"/>
          <w:color w:val="auto"/>
        </w:rPr>
      </w:pPr>
      <w:r>
        <w:rPr>
          <w:rFonts w:hint="eastAsia" w:ascii="宋体" w:hAnsi="宋体" w:cs="宋体"/>
          <w:color w:val="auto"/>
        </w:rPr>
        <w:t>电子邮箱：</w:t>
      </w:r>
      <w:r>
        <w:rPr>
          <w:rFonts w:hint="eastAsia" w:ascii="宋体" w:hAnsi="宋体" w:cs="宋体"/>
          <w:color w:val="auto"/>
          <w:u w:val="single"/>
        </w:rPr>
        <w:t>　　　　　　　　　　　</w:t>
      </w:r>
      <w:r>
        <w:rPr>
          <w:rFonts w:hint="eastAsia" w:ascii="宋体" w:hAnsi="宋体" w:cs="宋体"/>
          <w:color w:val="auto"/>
        </w:rPr>
        <w:t>　　　　         电子邮箱：</w:t>
      </w:r>
      <w:r>
        <w:rPr>
          <w:rFonts w:hint="eastAsia" w:ascii="宋体" w:hAnsi="宋体" w:cs="宋体"/>
          <w:color w:val="auto"/>
          <w:u w:val="single"/>
        </w:rPr>
        <w:t xml:space="preserve">                        </w:t>
      </w:r>
    </w:p>
    <w:p w14:paraId="6D635B0F">
      <w:pPr>
        <w:spacing w:line="460" w:lineRule="exact"/>
        <w:ind w:firstLine="630" w:firstLineChars="3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w:t>
      </w:r>
    </w:p>
    <w:p w14:paraId="4ABB50E7">
      <w:pPr>
        <w:spacing w:line="460" w:lineRule="exact"/>
        <w:ind w:firstLine="630" w:firstLineChars="3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14:paraId="1480C2C1">
      <w:pPr>
        <w:spacing w:line="460" w:lineRule="exact"/>
        <w:ind w:firstLine="630" w:firstLineChars="3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xml:space="preserve">           　　　　　</w:t>
      </w:r>
      <w:r>
        <w:rPr>
          <w:rFonts w:hint="eastAsia" w:ascii="宋体" w:hAnsi="宋体" w:cs="宋体"/>
          <w:color w:val="auto"/>
        </w:rPr>
        <w:t>　　　     　     邮政编码：________________________</w:t>
      </w:r>
    </w:p>
    <w:p w14:paraId="7FD8C442">
      <w:pPr>
        <w:spacing w:line="460" w:lineRule="exact"/>
        <w:ind w:firstLine="420"/>
        <w:rPr>
          <w:rFonts w:hint="eastAsia" w:ascii="宋体" w:hAnsi="宋体" w:cs="宋体"/>
          <w:color w:val="auto"/>
        </w:rPr>
      </w:pPr>
    </w:p>
    <w:p w14:paraId="1D26E6F7">
      <w:pPr>
        <w:spacing w:line="460" w:lineRule="exact"/>
        <w:ind w:firstLine="6720" w:firstLineChars="3200"/>
        <w:rPr>
          <w:rFonts w:hint="eastAsia" w:ascii="宋体" w:hAnsi="宋体" w:cs="宋体"/>
          <w:color w:val="auto"/>
        </w:rPr>
      </w:pPr>
      <w:r>
        <w:rPr>
          <w:rFonts w:hint="eastAsia" w:ascii="宋体" w:hAnsi="宋体" w:cs="宋体"/>
          <w:color w:val="auto"/>
        </w:rPr>
        <w:t xml:space="preserve">   年   月   日</w:t>
      </w:r>
    </w:p>
    <w:p w14:paraId="0C7A6DA4">
      <w:pPr>
        <w:spacing w:line="460" w:lineRule="exact"/>
        <w:rPr>
          <w:rFonts w:hint="eastAsia" w:ascii="宋体" w:hAnsi="宋体" w:cs="宋体"/>
          <w:color w:val="auto"/>
        </w:rPr>
      </w:pPr>
    </w:p>
    <w:p w14:paraId="31F5653E">
      <w:pPr>
        <w:spacing w:line="400" w:lineRule="exact"/>
        <w:rPr>
          <w:rFonts w:hint="eastAsia" w:ascii="宋体" w:hAnsi="宋体" w:cs="宋体"/>
          <w:color w:val="auto"/>
        </w:rPr>
      </w:pPr>
    </w:p>
    <w:p w14:paraId="0D37F8E7">
      <w:pPr>
        <w:pStyle w:val="2"/>
        <w:rPr>
          <w:rFonts w:hint="eastAsia" w:ascii="宋体" w:hAnsi="宋体" w:cs="宋体"/>
          <w:color w:val="auto"/>
        </w:rPr>
      </w:pPr>
    </w:p>
    <w:p w14:paraId="0687F1BE">
      <w:pPr>
        <w:rPr>
          <w:rFonts w:hint="eastAsia" w:ascii="宋体" w:hAnsi="宋体" w:cs="宋体"/>
          <w:color w:val="auto"/>
        </w:rPr>
      </w:pPr>
    </w:p>
    <w:p w14:paraId="16D4CB47">
      <w:pPr>
        <w:pStyle w:val="2"/>
        <w:rPr>
          <w:rFonts w:hint="eastAsia"/>
          <w:color w:val="auto"/>
        </w:rPr>
      </w:pPr>
    </w:p>
    <w:p w14:paraId="195E044E">
      <w:pPr>
        <w:autoSpaceDE w:val="0"/>
        <w:autoSpaceDN w:val="0"/>
        <w:adjustRightInd w:val="0"/>
        <w:snapToGrid w:val="0"/>
        <w:spacing w:line="400" w:lineRule="exact"/>
        <w:rPr>
          <w:rFonts w:hint="eastAsia" w:ascii="宋体" w:hAnsi="宋体" w:cs="宋体"/>
          <w:color w:val="auto"/>
          <w:kern w:val="0"/>
          <w:szCs w:val="21"/>
        </w:rPr>
      </w:pPr>
    </w:p>
    <w:p w14:paraId="7EA2EB92">
      <w:pPr>
        <w:autoSpaceDE w:val="0"/>
        <w:autoSpaceDN w:val="0"/>
        <w:adjustRightInd w:val="0"/>
        <w:snapToGrid w:val="0"/>
        <w:spacing w:line="480" w:lineRule="auto"/>
        <w:rPr>
          <w:rFonts w:ascii="宋体" w:cs="MingLiU"/>
          <w:color w:val="auto"/>
          <w:kern w:val="0"/>
          <w:szCs w:val="21"/>
        </w:rPr>
      </w:pPr>
    </w:p>
    <w:p w14:paraId="3E55C650">
      <w:pPr>
        <w:pStyle w:val="2"/>
        <w:rPr>
          <w:rFonts w:ascii="宋体" w:cs="MingLiU"/>
          <w:color w:val="auto"/>
          <w:kern w:val="0"/>
          <w:szCs w:val="21"/>
        </w:rPr>
      </w:pPr>
    </w:p>
    <w:p w14:paraId="1E734F8D">
      <w:pPr>
        <w:rPr>
          <w:rFonts w:ascii="宋体" w:cs="MingLiU"/>
          <w:color w:val="auto"/>
          <w:kern w:val="0"/>
          <w:szCs w:val="21"/>
        </w:rPr>
      </w:pPr>
    </w:p>
    <w:p w14:paraId="313FD7E9">
      <w:pPr>
        <w:pStyle w:val="2"/>
        <w:rPr>
          <w:color w:val="auto"/>
        </w:rPr>
      </w:pPr>
    </w:p>
    <w:p w14:paraId="5297CB36">
      <w:pPr>
        <w:pStyle w:val="2"/>
        <w:rPr>
          <w:rFonts w:ascii="宋体" w:cs="MingLiU"/>
          <w:color w:val="auto"/>
          <w:kern w:val="0"/>
          <w:szCs w:val="21"/>
        </w:rPr>
      </w:pPr>
    </w:p>
    <w:p w14:paraId="7FFDAE09">
      <w:pPr>
        <w:rPr>
          <w:rFonts w:ascii="宋体" w:cs="MingLiU"/>
          <w:color w:val="auto"/>
          <w:kern w:val="0"/>
          <w:szCs w:val="21"/>
        </w:rPr>
      </w:pPr>
    </w:p>
    <w:p w14:paraId="7A95C157">
      <w:pPr>
        <w:pStyle w:val="2"/>
        <w:rPr>
          <w:color w:val="auto"/>
        </w:rPr>
      </w:pPr>
    </w:p>
    <w:p w14:paraId="3502FAE9">
      <w:pPr>
        <w:rPr>
          <w:color w:val="auto"/>
        </w:rPr>
      </w:pPr>
    </w:p>
    <w:p w14:paraId="05B6082B">
      <w:pPr>
        <w:spacing w:line="400" w:lineRule="exact"/>
        <w:rPr>
          <w:rFonts w:hint="eastAsia"/>
          <w:color w:val="auto"/>
          <w:szCs w:val="20"/>
        </w:rPr>
      </w:pPr>
    </w:p>
    <w:p w14:paraId="0D27E54C">
      <w:pPr>
        <w:pStyle w:val="4"/>
        <w:keepNext w:val="0"/>
        <w:keepLines w:val="0"/>
        <w:autoSpaceDE w:val="0"/>
        <w:autoSpaceDN w:val="0"/>
        <w:adjustRightInd w:val="0"/>
        <w:snapToGrid w:val="0"/>
        <w:spacing w:before="0" w:after="240" w:line="600" w:lineRule="exact"/>
        <w:jc w:val="center"/>
        <w:rPr>
          <w:rFonts w:hint="eastAsia" w:ascii="宋体" w:hAnsi="宋体" w:eastAsia="宋体"/>
          <w:color w:val="auto"/>
        </w:rPr>
      </w:pPr>
      <w:r>
        <w:rPr>
          <w:rFonts w:hint="eastAsia" w:ascii="宋体" w:hAnsi="宋体" w:eastAsia="宋体"/>
          <w:color w:val="auto"/>
        </w:rPr>
        <w:t>第二部分    通用合同条款</w:t>
      </w:r>
      <w:bookmarkEnd w:id="128"/>
      <w:bookmarkEnd w:id="129"/>
      <w:bookmarkEnd w:id="130"/>
      <w:bookmarkEnd w:id="131"/>
      <w:bookmarkEnd w:id="132"/>
      <w:bookmarkEnd w:id="133"/>
    </w:p>
    <w:p w14:paraId="1942DCAD">
      <w:pPr>
        <w:pStyle w:val="224"/>
        <w:rPr>
          <w:rFonts w:hint="eastAsia"/>
          <w:color w:val="auto"/>
        </w:rPr>
      </w:pPr>
      <w:bookmarkStart w:id="146" w:name="_Toc144974579"/>
      <w:bookmarkStart w:id="147" w:name="_Toc152042389"/>
      <w:bookmarkStart w:id="148" w:name="_Toc179632629"/>
      <w:bookmarkStart w:id="149" w:name="_Toc152045611"/>
      <w:r>
        <w:rPr>
          <w:rFonts w:hint="eastAsia"/>
          <w:color w:val="auto"/>
        </w:rPr>
        <w:t>1. 一般约定</w:t>
      </w:r>
      <w:bookmarkEnd w:id="146"/>
      <w:bookmarkEnd w:id="147"/>
      <w:bookmarkEnd w:id="148"/>
      <w:bookmarkEnd w:id="149"/>
    </w:p>
    <w:p w14:paraId="339E6ACF">
      <w:pPr>
        <w:pStyle w:val="231"/>
        <w:rPr>
          <w:rFonts w:hint="eastAsia"/>
          <w:color w:val="auto"/>
        </w:rPr>
      </w:pPr>
      <w:bookmarkStart w:id="150" w:name="_Toc144974580"/>
      <w:bookmarkStart w:id="151" w:name="_Toc152042390"/>
      <w:bookmarkStart w:id="152" w:name="_Toc179632630"/>
      <w:bookmarkStart w:id="153" w:name="_Toc152045612"/>
      <w:r>
        <w:rPr>
          <w:rFonts w:hint="eastAsia"/>
          <w:color w:val="auto"/>
        </w:rPr>
        <w:t>1.1 词语定义</w:t>
      </w:r>
      <w:bookmarkEnd w:id="150"/>
      <w:bookmarkEnd w:id="151"/>
      <w:bookmarkEnd w:id="152"/>
      <w:bookmarkEnd w:id="153"/>
    </w:p>
    <w:p w14:paraId="059FA4E2">
      <w:pPr>
        <w:spacing w:line="400" w:lineRule="exact"/>
        <w:ind w:firstLine="420" w:firstLineChars="200"/>
        <w:rPr>
          <w:rFonts w:hint="eastAsia"/>
          <w:color w:val="auto"/>
        </w:rPr>
      </w:pPr>
      <w:r>
        <w:rPr>
          <w:rFonts w:hint="eastAsia"/>
          <w:color w:val="auto"/>
        </w:rPr>
        <w:t>通用合同条款、专用合同条款中的下列词语应具有本款所赋予的含义。</w:t>
      </w:r>
    </w:p>
    <w:p w14:paraId="789CC4CC">
      <w:pPr>
        <w:spacing w:line="400" w:lineRule="exact"/>
        <w:ind w:firstLine="420" w:firstLineChars="200"/>
        <w:rPr>
          <w:rFonts w:hint="eastAsia"/>
          <w:color w:val="auto"/>
        </w:rPr>
      </w:pPr>
      <w:r>
        <w:rPr>
          <w:rFonts w:hint="eastAsia"/>
          <w:color w:val="auto"/>
        </w:rPr>
        <w:t xml:space="preserve">1.1.1 </w:t>
      </w:r>
      <w:r>
        <w:rPr>
          <w:rFonts w:hint="eastAsia" w:ascii="黑体" w:eastAsia="黑体"/>
          <w:color w:val="auto"/>
        </w:rPr>
        <w:t>合同</w:t>
      </w:r>
    </w:p>
    <w:p w14:paraId="5BDAB6DC">
      <w:pPr>
        <w:spacing w:line="400" w:lineRule="exact"/>
        <w:ind w:firstLine="718" w:firstLineChars="342"/>
        <w:rPr>
          <w:rFonts w:hint="eastAsia"/>
          <w:color w:val="auto"/>
        </w:rPr>
      </w:pPr>
      <w:r>
        <w:rPr>
          <w:rFonts w:hint="eastAsia"/>
          <w:color w:val="auto"/>
        </w:rPr>
        <w:t>1.1.1.1 合同文件（或称合同）：指合同协议书、中标通知书、投标函及投标函附录、专用合同条款、通用合同条款、技术标准和要求、图纸、已标价工程量清单，以及其他合同文件。</w:t>
      </w:r>
    </w:p>
    <w:p w14:paraId="40774AC1">
      <w:pPr>
        <w:spacing w:line="400" w:lineRule="exact"/>
        <w:ind w:firstLine="718" w:firstLineChars="342"/>
        <w:rPr>
          <w:rFonts w:hint="eastAsia"/>
          <w:color w:val="auto"/>
        </w:rPr>
      </w:pPr>
      <w:r>
        <w:rPr>
          <w:rFonts w:hint="eastAsia"/>
          <w:color w:val="auto"/>
        </w:rPr>
        <w:t>1.1.1.2 合同协议书：指第1.5款所指的合同协议书。</w:t>
      </w:r>
    </w:p>
    <w:p w14:paraId="3C8116AE">
      <w:pPr>
        <w:spacing w:line="400" w:lineRule="exact"/>
        <w:ind w:firstLine="718" w:firstLineChars="342"/>
        <w:rPr>
          <w:rFonts w:hint="eastAsia"/>
          <w:color w:val="auto"/>
        </w:rPr>
      </w:pPr>
      <w:r>
        <w:rPr>
          <w:rFonts w:hint="eastAsia"/>
          <w:color w:val="auto"/>
        </w:rPr>
        <w:t>1.1.1.3 中标通知书：指发包人通知承包人中标的函件。</w:t>
      </w:r>
    </w:p>
    <w:p w14:paraId="6AE75FF3">
      <w:pPr>
        <w:spacing w:line="400" w:lineRule="exact"/>
        <w:ind w:firstLine="718" w:firstLineChars="342"/>
        <w:rPr>
          <w:rFonts w:hint="eastAsia"/>
          <w:dstrike/>
          <w:color w:val="auto"/>
          <w:szCs w:val="21"/>
        </w:rPr>
      </w:pPr>
      <w:r>
        <w:rPr>
          <w:rFonts w:hint="eastAsia"/>
          <w:color w:val="auto"/>
        </w:rPr>
        <w:t>1.1.1.4 投标函：指构成合同文件组成部分的由承包人填写并签署的投标函。</w:t>
      </w:r>
    </w:p>
    <w:p w14:paraId="08B39D55">
      <w:pPr>
        <w:spacing w:line="400" w:lineRule="exact"/>
        <w:ind w:firstLine="718" w:firstLineChars="342"/>
        <w:rPr>
          <w:rFonts w:hint="eastAsia"/>
          <w:color w:val="auto"/>
        </w:rPr>
      </w:pPr>
      <w:r>
        <w:rPr>
          <w:rFonts w:hint="eastAsia"/>
          <w:color w:val="auto"/>
        </w:rPr>
        <w:t>1.1.1.5 投标函附录：指附在投标函后构成合同文件的投标函附录。</w:t>
      </w:r>
    </w:p>
    <w:p w14:paraId="6D246E99">
      <w:pPr>
        <w:spacing w:line="400" w:lineRule="exact"/>
        <w:ind w:firstLine="718" w:firstLineChars="342"/>
        <w:rPr>
          <w:rFonts w:hint="eastAsia"/>
          <w:color w:val="auto"/>
        </w:rPr>
      </w:pPr>
      <w:r>
        <w:rPr>
          <w:rFonts w:hint="eastAsia"/>
          <w:color w:val="auto"/>
        </w:rPr>
        <w:t>1.1.1.6 技术标准和要求：指构成合同文件组成部分的名为技术标准和要求的文件，包括合同双方当事人约定对其所作的修改或补充。</w:t>
      </w:r>
    </w:p>
    <w:p w14:paraId="28386ACD">
      <w:pPr>
        <w:spacing w:line="400" w:lineRule="exact"/>
        <w:ind w:firstLine="718" w:firstLineChars="342"/>
        <w:rPr>
          <w:rFonts w:hint="eastAsia"/>
          <w:color w:val="auto"/>
        </w:rPr>
      </w:pPr>
      <w:r>
        <w:rPr>
          <w:rFonts w:hint="eastAsia"/>
          <w:color w:val="auto"/>
        </w:rPr>
        <w:t>1.1.1.7图纸：指包含在合同中的工程图纸，以及由发包人按合同约定提供的任何补充和修改的图纸，包括配套的说明。</w:t>
      </w:r>
    </w:p>
    <w:p w14:paraId="66B74708">
      <w:pPr>
        <w:spacing w:line="400" w:lineRule="exact"/>
        <w:ind w:firstLine="718" w:firstLineChars="342"/>
        <w:rPr>
          <w:rFonts w:hint="eastAsia"/>
          <w:color w:val="auto"/>
        </w:rPr>
      </w:pPr>
      <w:r>
        <w:rPr>
          <w:rFonts w:hint="eastAsia"/>
          <w:color w:val="auto"/>
        </w:rPr>
        <w:t>1.1.1.8 已标价工程量清单：指构成合同文件组成部分的由承包人按照规定的格式和要求填写并标明价格的工程量清单。</w:t>
      </w:r>
    </w:p>
    <w:p w14:paraId="0B0C6AB8">
      <w:pPr>
        <w:spacing w:line="400" w:lineRule="exact"/>
        <w:ind w:firstLine="718" w:firstLineChars="342"/>
        <w:rPr>
          <w:rFonts w:hint="eastAsia"/>
          <w:color w:val="auto"/>
        </w:rPr>
      </w:pPr>
      <w:r>
        <w:rPr>
          <w:rFonts w:hint="eastAsia"/>
          <w:color w:val="auto"/>
        </w:rPr>
        <w:t>1.1.1.9 其他合同文件：指经合同双方当事人确认构成合同文件的其他文件。</w:t>
      </w:r>
    </w:p>
    <w:p w14:paraId="15C19C17">
      <w:pPr>
        <w:spacing w:line="400" w:lineRule="exact"/>
        <w:ind w:firstLine="420" w:firstLineChars="200"/>
        <w:rPr>
          <w:rFonts w:hint="eastAsia"/>
          <w:color w:val="auto"/>
        </w:rPr>
      </w:pPr>
      <w:r>
        <w:rPr>
          <w:rFonts w:hint="eastAsia"/>
          <w:color w:val="auto"/>
        </w:rPr>
        <w:t xml:space="preserve">1.1.2 </w:t>
      </w:r>
      <w:r>
        <w:rPr>
          <w:rFonts w:hint="eastAsia" w:ascii="黑体" w:eastAsia="黑体"/>
          <w:color w:val="auto"/>
        </w:rPr>
        <w:t>合同当事人和人员</w:t>
      </w:r>
    </w:p>
    <w:p w14:paraId="0AF4945A">
      <w:pPr>
        <w:spacing w:line="400" w:lineRule="exact"/>
        <w:ind w:firstLine="718" w:firstLineChars="342"/>
        <w:rPr>
          <w:rFonts w:hint="eastAsia"/>
          <w:color w:val="auto"/>
        </w:rPr>
      </w:pPr>
      <w:r>
        <w:rPr>
          <w:rFonts w:hint="eastAsia"/>
          <w:color w:val="auto"/>
        </w:rPr>
        <w:t>1.1.2.1 合同当事人：指发包人和（或）承包人。</w:t>
      </w:r>
    </w:p>
    <w:p w14:paraId="65618230">
      <w:pPr>
        <w:spacing w:line="400" w:lineRule="exact"/>
        <w:ind w:firstLine="718" w:firstLineChars="342"/>
        <w:rPr>
          <w:rFonts w:hint="eastAsia"/>
          <w:color w:val="auto"/>
        </w:rPr>
      </w:pPr>
      <w:r>
        <w:rPr>
          <w:rFonts w:hint="eastAsia"/>
          <w:color w:val="auto"/>
        </w:rPr>
        <w:t>1.1.2.2 发包人：指专用合同条款中指明并与承包人在合同协议书中签字的当事人。</w:t>
      </w:r>
    </w:p>
    <w:p w14:paraId="5B32324E">
      <w:pPr>
        <w:spacing w:line="400" w:lineRule="exact"/>
        <w:ind w:firstLine="718" w:firstLineChars="342"/>
        <w:rPr>
          <w:rFonts w:hint="eastAsia"/>
          <w:color w:val="auto"/>
        </w:rPr>
      </w:pPr>
      <w:r>
        <w:rPr>
          <w:rFonts w:hint="eastAsia"/>
          <w:color w:val="auto"/>
        </w:rPr>
        <w:t>1.1.2.3 承包人：指与发包人签订合同协议书的当事人。</w:t>
      </w:r>
    </w:p>
    <w:p w14:paraId="5D938301">
      <w:pPr>
        <w:spacing w:line="400" w:lineRule="exact"/>
        <w:ind w:firstLine="718" w:firstLineChars="342"/>
        <w:rPr>
          <w:rFonts w:hint="eastAsia"/>
          <w:color w:val="auto"/>
        </w:rPr>
      </w:pPr>
      <w:r>
        <w:rPr>
          <w:rFonts w:hint="eastAsia"/>
          <w:color w:val="auto"/>
        </w:rPr>
        <w:t>1.1.2.4 承包人项目经理：指承包人派驻施工场地的全权负责人。</w:t>
      </w:r>
    </w:p>
    <w:p w14:paraId="7FF5C7B7">
      <w:pPr>
        <w:spacing w:line="400" w:lineRule="exact"/>
        <w:ind w:firstLine="718" w:firstLineChars="342"/>
        <w:rPr>
          <w:rFonts w:hint="eastAsia"/>
          <w:color w:val="auto"/>
        </w:rPr>
      </w:pPr>
      <w:r>
        <w:rPr>
          <w:rFonts w:hint="eastAsia"/>
          <w:color w:val="auto"/>
        </w:rPr>
        <w:t>1.1.2.5 分包人：指从承包人处分包合同中某一部分工程，并与其签订分包合同的分包人。</w:t>
      </w:r>
    </w:p>
    <w:p w14:paraId="6E3215DF">
      <w:pPr>
        <w:spacing w:line="400" w:lineRule="exact"/>
        <w:ind w:firstLine="718" w:firstLineChars="342"/>
        <w:rPr>
          <w:rFonts w:hint="eastAsia"/>
          <w:color w:val="auto"/>
        </w:rPr>
      </w:pPr>
      <w:r>
        <w:rPr>
          <w:rFonts w:hint="eastAsia"/>
          <w:color w:val="auto"/>
        </w:rPr>
        <w:t>1.1.2.6 监理人：指在专用合同条款中指明的，受发包人委托对合同履行实施管理的法人或其他组织。</w:t>
      </w:r>
    </w:p>
    <w:p w14:paraId="65086A0C">
      <w:pPr>
        <w:spacing w:line="400" w:lineRule="exact"/>
        <w:ind w:firstLine="718" w:firstLineChars="342"/>
        <w:rPr>
          <w:rFonts w:hint="eastAsia"/>
          <w:color w:val="auto"/>
        </w:rPr>
      </w:pPr>
      <w:r>
        <w:rPr>
          <w:rFonts w:hint="eastAsia"/>
          <w:color w:val="auto"/>
        </w:rPr>
        <w:t>1.1.2.7 总监理工程师（总监）：指由监理人委派常驻施工场地对合同履行实施管理的全权负责人。</w:t>
      </w:r>
    </w:p>
    <w:p w14:paraId="723E94BB">
      <w:pPr>
        <w:spacing w:line="400" w:lineRule="exact"/>
        <w:ind w:firstLine="420" w:firstLineChars="200"/>
        <w:rPr>
          <w:rFonts w:hint="eastAsia"/>
          <w:color w:val="auto"/>
        </w:rPr>
      </w:pPr>
      <w:r>
        <w:rPr>
          <w:rFonts w:hint="eastAsia"/>
          <w:color w:val="auto"/>
        </w:rPr>
        <w:t xml:space="preserve">1.1.3 </w:t>
      </w:r>
      <w:r>
        <w:rPr>
          <w:rFonts w:hint="eastAsia" w:ascii="黑体" w:eastAsia="黑体"/>
          <w:color w:val="auto"/>
        </w:rPr>
        <w:t>工程和设备</w:t>
      </w:r>
    </w:p>
    <w:p w14:paraId="51D7B8A6">
      <w:pPr>
        <w:spacing w:line="400" w:lineRule="exact"/>
        <w:ind w:firstLine="718" w:firstLineChars="342"/>
        <w:rPr>
          <w:rFonts w:hint="eastAsia"/>
          <w:color w:val="auto"/>
        </w:rPr>
      </w:pPr>
      <w:r>
        <w:rPr>
          <w:rFonts w:hint="eastAsia"/>
          <w:color w:val="auto"/>
        </w:rPr>
        <w:t>1.1.3.1 工程：指永久工程和（或）临时工程。</w:t>
      </w:r>
    </w:p>
    <w:p w14:paraId="017A798B">
      <w:pPr>
        <w:spacing w:line="400" w:lineRule="exact"/>
        <w:ind w:firstLine="718" w:firstLineChars="342"/>
        <w:rPr>
          <w:rFonts w:hint="eastAsia"/>
          <w:color w:val="auto"/>
        </w:rPr>
      </w:pPr>
      <w:r>
        <w:rPr>
          <w:rFonts w:hint="eastAsia"/>
          <w:color w:val="auto"/>
        </w:rPr>
        <w:t>1.1.3.2 永久工程：指按合同约定建造并移交给发包人的工程，包括工程设备。</w:t>
      </w:r>
    </w:p>
    <w:p w14:paraId="473533F5">
      <w:pPr>
        <w:spacing w:line="400" w:lineRule="exact"/>
        <w:ind w:firstLine="718" w:firstLineChars="342"/>
        <w:rPr>
          <w:rFonts w:hint="eastAsia"/>
          <w:color w:val="auto"/>
        </w:rPr>
      </w:pPr>
      <w:r>
        <w:rPr>
          <w:rFonts w:hint="eastAsia"/>
          <w:color w:val="auto"/>
        </w:rPr>
        <w:t>1.1.3.3 临时工程：指为完成合同约定的永久工程所修建的各类临时性工程，不包括施工设备。</w:t>
      </w:r>
    </w:p>
    <w:p w14:paraId="0231205A">
      <w:pPr>
        <w:spacing w:line="400" w:lineRule="exact"/>
        <w:ind w:firstLine="718" w:firstLineChars="342"/>
        <w:rPr>
          <w:rFonts w:hint="eastAsia"/>
          <w:color w:val="auto"/>
        </w:rPr>
      </w:pPr>
      <w:r>
        <w:rPr>
          <w:rFonts w:hint="eastAsia"/>
          <w:color w:val="auto"/>
        </w:rPr>
        <w:t>1.1.3.4 单位工程：指专用合同条款中指明特定范围的永久工程。</w:t>
      </w:r>
    </w:p>
    <w:p w14:paraId="14203BB8">
      <w:pPr>
        <w:spacing w:line="400" w:lineRule="exact"/>
        <w:ind w:firstLine="718" w:firstLineChars="342"/>
        <w:rPr>
          <w:rFonts w:hint="eastAsia"/>
          <w:color w:val="auto"/>
        </w:rPr>
      </w:pPr>
      <w:r>
        <w:rPr>
          <w:rFonts w:hint="eastAsia"/>
          <w:color w:val="auto"/>
        </w:rPr>
        <w:t>1.1.3.5 工程设备：指构成或计划构成永久工程一部分的机电设备、金属结构设备、仪器装置及其他类似的设备和装置。</w:t>
      </w:r>
    </w:p>
    <w:p w14:paraId="61473599">
      <w:pPr>
        <w:spacing w:line="400" w:lineRule="exact"/>
        <w:ind w:firstLine="718" w:firstLineChars="342"/>
        <w:rPr>
          <w:rFonts w:hint="eastAsia"/>
          <w:color w:val="auto"/>
        </w:rPr>
      </w:pPr>
      <w:r>
        <w:rPr>
          <w:rFonts w:hint="eastAsia"/>
          <w:color w:val="auto"/>
        </w:rPr>
        <w:t>1.1.3.6 施工设备：指为完成合同约定的各项工作所需的设备、器具和其他物品，不包括临时工程和材料。</w:t>
      </w:r>
    </w:p>
    <w:p w14:paraId="3396902D">
      <w:pPr>
        <w:spacing w:line="400" w:lineRule="exact"/>
        <w:ind w:firstLine="718" w:firstLineChars="342"/>
        <w:rPr>
          <w:rFonts w:hint="eastAsia"/>
          <w:color w:val="auto"/>
        </w:rPr>
      </w:pPr>
      <w:r>
        <w:rPr>
          <w:rFonts w:hint="eastAsia"/>
          <w:color w:val="auto"/>
        </w:rPr>
        <w:t>1.1.3.7 临时设施：指为完成合同约定的各项工作所服务的临时性生产和生活设施。</w:t>
      </w:r>
    </w:p>
    <w:p w14:paraId="4E8BC98A">
      <w:pPr>
        <w:spacing w:line="400" w:lineRule="exact"/>
        <w:ind w:firstLine="718" w:firstLineChars="342"/>
        <w:rPr>
          <w:rFonts w:hint="eastAsia"/>
          <w:color w:val="auto"/>
        </w:rPr>
      </w:pPr>
      <w:r>
        <w:rPr>
          <w:rFonts w:hint="eastAsia"/>
          <w:color w:val="auto"/>
        </w:rPr>
        <w:t>1.1.3.8 承包人设备：指承包人自带的施工设备。</w:t>
      </w:r>
    </w:p>
    <w:p w14:paraId="004E66D5">
      <w:pPr>
        <w:spacing w:line="400" w:lineRule="exact"/>
        <w:ind w:firstLine="718" w:firstLineChars="342"/>
        <w:rPr>
          <w:rFonts w:hint="eastAsia"/>
          <w:color w:val="auto"/>
        </w:rPr>
      </w:pPr>
      <w:r>
        <w:rPr>
          <w:rFonts w:hint="eastAsia"/>
          <w:color w:val="auto"/>
        </w:rPr>
        <w:t>1.1.3.9 施工场地（或称工地、现场）：指用于合同工程施工的场所，以及在合同中指定作为施工场地组成部分的其他场所，包括永久占地和临时占地。</w:t>
      </w:r>
    </w:p>
    <w:p w14:paraId="2360835A">
      <w:pPr>
        <w:spacing w:line="400" w:lineRule="exact"/>
        <w:ind w:firstLine="718" w:firstLineChars="342"/>
        <w:rPr>
          <w:rFonts w:hint="eastAsia"/>
          <w:color w:val="auto"/>
        </w:rPr>
      </w:pPr>
      <w:r>
        <w:rPr>
          <w:rFonts w:hint="eastAsia"/>
          <w:color w:val="auto"/>
        </w:rPr>
        <w:t>1.1.3.10 永久占地：指专用合同条款中指明为实施合同工程需永久占用的土地。</w:t>
      </w:r>
    </w:p>
    <w:p w14:paraId="7DE4BCD8">
      <w:pPr>
        <w:spacing w:line="400" w:lineRule="exact"/>
        <w:ind w:firstLine="718" w:firstLineChars="342"/>
        <w:rPr>
          <w:rFonts w:hint="eastAsia"/>
          <w:color w:val="auto"/>
        </w:rPr>
      </w:pPr>
      <w:r>
        <w:rPr>
          <w:rFonts w:hint="eastAsia"/>
          <w:color w:val="auto"/>
        </w:rPr>
        <w:t>1.1.3.11 临时占地：指专用合同条款中指明为实施合同工程需临时占用的土地。</w:t>
      </w:r>
    </w:p>
    <w:p w14:paraId="5F0375EC">
      <w:pPr>
        <w:spacing w:line="400" w:lineRule="exact"/>
        <w:ind w:firstLine="420" w:firstLineChars="200"/>
        <w:rPr>
          <w:rFonts w:hint="eastAsia"/>
          <w:color w:val="auto"/>
        </w:rPr>
      </w:pPr>
      <w:r>
        <w:rPr>
          <w:rFonts w:hint="eastAsia"/>
          <w:color w:val="auto"/>
        </w:rPr>
        <w:t xml:space="preserve">1.1.4 </w:t>
      </w:r>
      <w:r>
        <w:rPr>
          <w:rFonts w:hint="eastAsia" w:ascii="黑体" w:eastAsia="黑体"/>
          <w:color w:val="auto"/>
        </w:rPr>
        <w:t>日期</w:t>
      </w:r>
    </w:p>
    <w:p w14:paraId="7FD9F4A8">
      <w:pPr>
        <w:spacing w:line="400" w:lineRule="exact"/>
        <w:ind w:firstLine="718" w:firstLineChars="342"/>
        <w:rPr>
          <w:rFonts w:hint="eastAsia"/>
          <w:color w:val="auto"/>
        </w:rPr>
      </w:pPr>
      <w:r>
        <w:rPr>
          <w:rFonts w:hint="eastAsia"/>
          <w:color w:val="auto"/>
        </w:rPr>
        <w:t>1.1.4.1 开工通知：指监理人按第11.1款通知承包人开工的函件。</w:t>
      </w:r>
    </w:p>
    <w:p w14:paraId="05825673">
      <w:pPr>
        <w:spacing w:line="400" w:lineRule="exact"/>
        <w:ind w:firstLine="718" w:firstLineChars="342"/>
        <w:rPr>
          <w:rFonts w:hint="eastAsia"/>
          <w:color w:val="auto"/>
        </w:rPr>
      </w:pPr>
      <w:r>
        <w:rPr>
          <w:rFonts w:hint="eastAsia"/>
          <w:color w:val="auto"/>
        </w:rPr>
        <w:t>1.1.4.2 开工日期：指监理人按第11.1款发出的开工通知中写明的开工日期。</w:t>
      </w:r>
    </w:p>
    <w:p w14:paraId="46EF0B8A">
      <w:pPr>
        <w:spacing w:line="400" w:lineRule="exact"/>
        <w:ind w:firstLine="718" w:firstLineChars="342"/>
        <w:rPr>
          <w:rFonts w:hint="eastAsia"/>
          <w:color w:val="auto"/>
        </w:rPr>
      </w:pPr>
      <w:r>
        <w:rPr>
          <w:rFonts w:hint="eastAsia"/>
          <w:color w:val="auto"/>
        </w:rPr>
        <w:t>1.1.4.3工期：指承包人在投标函中承诺的完成合同工程所需的期限，包括按第11.3款、第11.4款和第11.6款约定所作的变更。</w:t>
      </w:r>
    </w:p>
    <w:p w14:paraId="69DE1B94">
      <w:pPr>
        <w:spacing w:line="400" w:lineRule="exact"/>
        <w:ind w:firstLine="718" w:firstLineChars="342"/>
        <w:rPr>
          <w:rFonts w:hint="eastAsia"/>
          <w:color w:val="auto"/>
        </w:rPr>
      </w:pPr>
      <w:r>
        <w:rPr>
          <w:rFonts w:hint="eastAsia"/>
          <w:color w:val="auto"/>
        </w:rPr>
        <w:t>1.1.4.4 竣工日期：指第1.1.4.3目约定工期届满时的日期。实际竣工日期以</w:t>
      </w:r>
      <w:r>
        <w:rPr>
          <w:rFonts w:hint="eastAsia"/>
          <w:color w:val="auto"/>
          <w:lang w:eastAsia="zh-CN"/>
        </w:rPr>
        <w:t>工程验收</w:t>
      </w:r>
      <w:r>
        <w:rPr>
          <w:rFonts w:hint="eastAsia"/>
          <w:color w:val="auto"/>
        </w:rPr>
        <w:t>证书中写明的日期为准。</w:t>
      </w:r>
    </w:p>
    <w:p w14:paraId="06495759">
      <w:pPr>
        <w:spacing w:line="400" w:lineRule="exact"/>
        <w:ind w:firstLine="718" w:firstLineChars="342"/>
        <w:rPr>
          <w:rFonts w:hint="eastAsia"/>
          <w:color w:val="auto"/>
        </w:rPr>
      </w:pPr>
      <w:r>
        <w:rPr>
          <w:rFonts w:hint="eastAsia"/>
          <w:color w:val="auto"/>
        </w:rPr>
        <w:t>1.1.4.5 缺陷责任期：指履行第19.2款约定的缺陷责任的期限，具体期限由专用合同条款约定，包括根据第19.3款约定所作的延长。</w:t>
      </w:r>
    </w:p>
    <w:p w14:paraId="20B5DE64">
      <w:pPr>
        <w:spacing w:line="400" w:lineRule="exact"/>
        <w:ind w:firstLine="718" w:firstLineChars="342"/>
        <w:rPr>
          <w:rFonts w:hint="eastAsia"/>
          <w:color w:val="auto"/>
        </w:rPr>
      </w:pPr>
      <w:r>
        <w:rPr>
          <w:rFonts w:hint="eastAsia"/>
          <w:color w:val="auto"/>
        </w:rPr>
        <w:t>1.1.4.6 基准日期：指投标截止时间前28天的日期。</w:t>
      </w:r>
    </w:p>
    <w:p w14:paraId="29773B9B">
      <w:pPr>
        <w:spacing w:line="400" w:lineRule="exact"/>
        <w:ind w:firstLine="718" w:firstLineChars="342"/>
        <w:rPr>
          <w:rFonts w:hint="eastAsia"/>
          <w:color w:val="auto"/>
        </w:rPr>
      </w:pPr>
      <w:r>
        <w:rPr>
          <w:rFonts w:hint="eastAsia"/>
          <w:color w:val="auto"/>
        </w:rPr>
        <w:t>1.1.4.7 天：除特别指明外，指日历天。合同中按天计算时间的，开始当天不计入，从次日开始计算。期限最后一天的截止时间为当天24:00。</w:t>
      </w:r>
    </w:p>
    <w:p w14:paraId="25C0FC86">
      <w:pPr>
        <w:spacing w:line="400" w:lineRule="exact"/>
        <w:ind w:firstLine="420" w:firstLineChars="200"/>
        <w:rPr>
          <w:rFonts w:hint="eastAsia"/>
          <w:color w:val="auto"/>
        </w:rPr>
      </w:pPr>
      <w:r>
        <w:rPr>
          <w:rFonts w:hint="eastAsia"/>
          <w:color w:val="auto"/>
        </w:rPr>
        <w:t xml:space="preserve">1.1.5 </w:t>
      </w:r>
      <w:r>
        <w:rPr>
          <w:rFonts w:hint="eastAsia" w:ascii="黑体" w:eastAsia="黑体"/>
          <w:color w:val="auto"/>
        </w:rPr>
        <w:t>合同价格和费用</w:t>
      </w:r>
    </w:p>
    <w:p w14:paraId="0202297A">
      <w:pPr>
        <w:spacing w:line="400" w:lineRule="exact"/>
        <w:ind w:firstLine="718" w:firstLineChars="342"/>
        <w:rPr>
          <w:rFonts w:hint="eastAsia"/>
          <w:color w:val="auto"/>
        </w:rPr>
      </w:pPr>
      <w:r>
        <w:rPr>
          <w:rFonts w:hint="eastAsia"/>
          <w:color w:val="auto"/>
        </w:rPr>
        <w:t>1.1.5.1 签约合同价：指签订合同时合同协议书中写明的，包括了暂列金额、暂估价的合同总金额。</w:t>
      </w:r>
    </w:p>
    <w:p w14:paraId="58C82DAF">
      <w:pPr>
        <w:spacing w:line="400" w:lineRule="exact"/>
        <w:ind w:firstLine="718" w:firstLineChars="342"/>
        <w:rPr>
          <w:rFonts w:hint="eastAsia"/>
          <w:color w:val="auto"/>
        </w:rPr>
      </w:pPr>
      <w:r>
        <w:rPr>
          <w:rFonts w:hint="eastAsia"/>
          <w:color w:val="auto"/>
        </w:rPr>
        <w:t>1.1.5.2 合同价格：指承包人按合同约定完成了包括缺陷责任期内的全部承包工作后，发包人应付给承包人的金额，包括在履行合同过程中按合同约定进行的变更和调整。</w:t>
      </w:r>
    </w:p>
    <w:p w14:paraId="233B60B4">
      <w:pPr>
        <w:spacing w:line="400" w:lineRule="exact"/>
        <w:ind w:firstLine="718" w:firstLineChars="342"/>
        <w:rPr>
          <w:rFonts w:hint="eastAsia"/>
          <w:color w:val="auto"/>
        </w:rPr>
      </w:pPr>
      <w:r>
        <w:rPr>
          <w:rFonts w:hint="eastAsia"/>
          <w:color w:val="auto"/>
        </w:rPr>
        <w:t>1.1.5.3 费用：指为履行合同所发生的或将要发生的所有合理开支，包括管理费和应分摊的其他费用，但不包括利润。</w:t>
      </w:r>
    </w:p>
    <w:p w14:paraId="7A14E648">
      <w:pPr>
        <w:spacing w:line="400" w:lineRule="exact"/>
        <w:ind w:firstLine="718" w:firstLineChars="342"/>
        <w:rPr>
          <w:rFonts w:hint="eastAsia"/>
          <w:color w:val="auto"/>
        </w:rPr>
      </w:pPr>
      <w:r>
        <w:rPr>
          <w:rFonts w:hint="eastAsia"/>
          <w:color w:val="auto"/>
        </w:rPr>
        <w:t>1.1.5.4 暂列金额：指已标价工程量清单中所列的暂列金额，用于在签订协议书时尚未确定或不可预见变更的施工及其所需材料、工程设备、服务等的金额，包括以计日工方式支付的金额。</w:t>
      </w:r>
    </w:p>
    <w:p w14:paraId="7EEAA932">
      <w:pPr>
        <w:spacing w:line="400" w:lineRule="exact"/>
        <w:ind w:firstLine="718" w:firstLineChars="342"/>
        <w:rPr>
          <w:rFonts w:hint="eastAsia"/>
          <w:color w:val="auto"/>
        </w:rPr>
      </w:pPr>
      <w:r>
        <w:rPr>
          <w:rFonts w:hint="eastAsia"/>
          <w:color w:val="auto"/>
        </w:rPr>
        <w:t>1.1.5.5暂估价：指发包人在工程量清单中给定的用于支付必然发生但暂时不能确定价格的材料、设备以及专业工程的金额。</w:t>
      </w:r>
    </w:p>
    <w:p w14:paraId="7894F939">
      <w:pPr>
        <w:spacing w:line="400" w:lineRule="exact"/>
        <w:ind w:firstLine="718" w:firstLineChars="342"/>
        <w:rPr>
          <w:rFonts w:hint="eastAsia"/>
          <w:color w:val="auto"/>
        </w:rPr>
      </w:pPr>
      <w:r>
        <w:rPr>
          <w:rFonts w:hint="eastAsia"/>
          <w:color w:val="auto"/>
        </w:rPr>
        <w:t>1.1.5.6 计日工：指对零星工作采取的一种计价方式，按合同中的计日工子目及其单价计价付款。</w:t>
      </w:r>
    </w:p>
    <w:p w14:paraId="59F09319">
      <w:pPr>
        <w:spacing w:line="400" w:lineRule="exact"/>
        <w:ind w:firstLine="718" w:firstLineChars="342"/>
        <w:rPr>
          <w:rFonts w:hint="eastAsia"/>
          <w:color w:val="auto"/>
        </w:rPr>
      </w:pPr>
      <w:r>
        <w:rPr>
          <w:rFonts w:hint="eastAsia"/>
          <w:color w:val="auto"/>
        </w:rPr>
        <w:t>1.1.5.7 质量保证金（或称保留金）：指按第17.4.1项约定用于保证在缺陷责任期内履行缺陷修复义务的金额。</w:t>
      </w:r>
    </w:p>
    <w:p w14:paraId="4EDF8CFD">
      <w:pPr>
        <w:spacing w:line="400" w:lineRule="exact"/>
        <w:ind w:firstLine="420" w:firstLineChars="200"/>
        <w:rPr>
          <w:rFonts w:hint="eastAsia"/>
          <w:color w:val="auto"/>
        </w:rPr>
      </w:pPr>
      <w:r>
        <w:rPr>
          <w:rFonts w:hint="eastAsia"/>
          <w:color w:val="auto"/>
        </w:rPr>
        <w:t xml:space="preserve">1.1.6 </w:t>
      </w:r>
      <w:r>
        <w:rPr>
          <w:rFonts w:hint="eastAsia" w:ascii="黑体" w:eastAsia="黑体"/>
          <w:color w:val="auto"/>
        </w:rPr>
        <w:t>其他</w:t>
      </w:r>
    </w:p>
    <w:p w14:paraId="4EB6E834">
      <w:pPr>
        <w:spacing w:line="400" w:lineRule="exact"/>
        <w:ind w:firstLine="718" w:firstLineChars="342"/>
        <w:rPr>
          <w:rFonts w:hint="eastAsia"/>
          <w:color w:val="auto"/>
        </w:rPr>
      </w:pPr>
      <w:r>
        <w:rPr>
          <w:rFonts w:hint="eastAsia"/>
          <w:color w:val="auto"/>
        </w:rPr>
        <w:t>1.1.6.1 书面形式：指合同文件、信函、电报、传真等可以有形地表现所载内容的形式。</w:t>
      </w:r>
    </w:p>
    <w:p w14:paraId="50252D12">
      <w:pPr>
        <w:pStyle w:val="231"/>
        <w:rPr>
          <w:rFonts w:hint="eastAsia"/>
          <w:color w:val="auto"/>
        </w:rPr>
      </w:pPr>
      <w:bookmarkStart w:id="154" w:name="_Toc152045613"/>
      <w:bookmarkStart w:id="155" w:name="_Toc152042391"/>
      <w:bookmarkStart w:id="156" w:name="_Toc144974581"/>
      <w:bookmarkStart w:id="157" w:name="_Toc179632631"/>
      <w:r>
        <w:rPr>
          <w:rFonts w:hint="eastAsia"/>
          <w:color w:val="auto"/>
        </w:rPr>
        <w:t>1.2 语言文字</w:t>
      </w:r>
      <w:bookmarkEnd w:id="154"/>
      <w:bookmarkEnd w:id="155"/>
      <w:bookmarkEnd w:id="156"/>
      <w:bookmarkEnd w:id="157"/>
    </w:p>
    <w:p w14:paraId="3B41A176">
      <w:pPr>
        <w:spacing w:line="400" w:lineRule="exact"/>
        <w:ind w:firstLine="420" w:firstLineChars="200"/>
        <w:rPr>
          <w:rFonts w:hint="eastAsia"/>
          <w:color w:val="auto"/>
        </w:rPr>
      </w:pPr>
      <w:r>
        <w:rPr>
          <w:rFonts w:hint="eastAsia"/>
          <w:color w:val="auto"/>
        </w:rPr>
        <w:t>除专用术语外，合同使用的语言文字为中文。必要时专用术语应附有中文注释。</w:t>
      </w:r>
    </w:p>
    <w:p w14:paraId="44DB65EE">
      <w:pPr>
        <w:pStyle w:val="231"/>
        <w:rPr>
          <w:rFonts w:hint="eastAsia"/>
          <w:color w:val="auto"/>
        </w:rPr>
      </w:pPr>
      <w:bookmarkStart w:id="158" w:name="_Toc179632632"/>
      <w:bookmarkStart w:id="159" w:name="_Toc144974582"/>
      <w:bookmarkStart w:id="160" w:name="_Toc152045614"/>
      <w:bookmarkStart w:id="161" w:name="_Toc152042392"/>
      <w:r>
        <w:rPr>
          <w:rFonts w:hint="eastAsia"/>
          <w:color w:val="auto"/>
        </w:rPr>
        <w:t>1.3 法律</w:t>
      </w:r>
      <w:bookmarkEnd w:id="158"/>
      <w:bookmarkEnd w:id="159"/>
      <w:bookmarkEnd w:id="160"/>
      <w:bookmarkEnd w:id="161"/>
    </w:p>
    <w:p w14:paraId="73E91A3E">
      <w:pPr>
        <w:spacing w:line="400" w:lineRule="exact"/>
        <w:ind w:firstLine="420" w:firstLineChars="200"/>
        <w:rPr>
          <w:rFonts w:hint="eastAsia"/>
          <w:color w:val="auto"/>
        </w:rPr>
      </w:pPr>
      <w:r>
        <w:rPr>
          <w:rFonts w:hint="eastAsia"/>
          <w:color w:val="auto"/>
        </w:rPr>
        <w:t>适用于合同的法律包括中华人民共和国法律、行政法规、部门规章，以及工程所在地的地方性法规、自治条例、单行条例和地方政府规章。</w:t>
      </w:r>
    </w:p>
    <w:p w14:paraId="42D60397">
      <w:pPr>
        <w:pStyle w:val="231"/>
        <w:rPr>
          <w:rFonts w:hint="eastAsia"/>
          <w:color w:val="auto"/>
        </w:rPr>
      </w:pPr>
      <w:bookmarkStart w:id="162" w:name="_Toc152042393"/>
      <w:bookmarkStart w:id="163" w:name="_Toc152045615"/>
      <w:bookmarkStart w:id="164" w:name="_Toc179632633"/>
      <w:bookmarkStart w:id="165" w:name="_Toc144974583"/>
      <w:r>
        <w:rPr>
          <w:rFonts w:hint="eastAsia"/>
          <w:color w:val="auto"/>
        </w:rPr>
        <w:t>1.4 合同文件的优先顺序</w:t>
      </w:r>
      <w:bookmarkEnd w:id="162"/>
      <w:bookmarkEnd w:id="163"/>
      <w:bookmarkEnd w:id="164"/>
      <w:bookmarkEnd w:id="165"/>
    </w:p>
    <w:p w14:paraId="461A02FB">
      <w:pPr>
        <w:spacing w:line="400" w:lineRule="exact"/>
        <w:ind w:firstLine="420" w:firstLineChars="200"/>
        <w:rPr>
          <w:rFonts w:hint="eastAsia"/>
          <w:color w:val="auto"/>
        </w:rPr>
      </w:pPr>
      <w:r>
        <w:rPr>
          <w:rFonts w:hint="eastAsia"/>
          <w:color w:val="auto"/>
        </w:rPr>
        <w:t>组成合同的各项文件应互相解释，互为说明。除专用合同条款另有约定外，解释合同文件的优先顺序如下：</w:t>
      </w:r>
    </w:p>
    <w:p w14:paraId="32080308">
      <w:pPr>
        <w:spacing w:line="400" w:lineRule="exact"/>
        <w:ind w:firstLine="359" w:firstLineChars="171"/>
        <w:rPr>
          <w:rFonts w:hint="eastAsia"/>
          <w:color w:val="auto"/>
        </w:rPr>
      </w:pPr>
      <w:r>
        <w:rPr>
          <w:rFonts w:hint="eastAsia"/>
          <w:color w:val="auto"/>
        </w:rPr>
        <w:t>（1）合同协议书；</w:t>
      </w:r>
    </w:p>
    <w:p w14:paraId="0216FE99">
      <w:pPr>
        <w:spacing w:line="400" w:lineRule="exact"/>
        <w:ind w:firstLine="359" w:firstLineChars="171"/>
        <w:rPr>
          <w:rFonts w:hint="eastAsia"/>
          <w:color w:val="auto"/>
        </w:rPr>
      </w:pPr>
      <w:r>
        <w:rPr>
          <w:rFonts w:hint="eastAsia"/>
          <w:color w:val="auto"/>
        </w:rPr>
        <w:t>（2）中标通知书；</w:t>
      </w:r>
    </w:p>
    <w:p w14:paraId="13EAA390">
      <w:pPr>
        <w:spacing w:line="400" w:lineRule="exact"/>
        <w:ind w:firstLine="359" w:firstLineChars="171"/>
        <w:rPr>
          <w:rFonts w:hint="eastAsia"/>
          <w:color w:val="auto"/>
        </w:rPr>
      </w:pPr>
      <w:r>
        <w:rPr>
          <w:rFonts w:hint="eastAsia"/>
          <w:color w:val="auto"/>
        </w:rPr>
        <w:t>（3）投标函及投标函附录；</w:t>
      </w:r>
    </w:p>
    <w:p w14:paraId="7F1B158E">
      <w:pPr>
        <w:spacing w:line="400" w:lineRule="exact"/>
        <w:ind w:firstLine="359" w:firstLineChars="171"/>
        <w:rPr>
          <w:rFonts w:hint="eastAsia"/>
          <w:color w:val="auto"/>
        </w:rPr>
      </w:pPr>
      <w:r>
        <w:rPr>
          <w:rFonts w:hint="eastAsia"/>
          <w:color w:val="auto"/>
        </w:rPr>
        <w:t>（4）专用合同条款；</w:t>
      </w:r>
    </w:p>
    <w:p w14:paraId="752FD86D">
      <w:pPr>
        <w:spacing w:line="400" w:lineRule="exact"/>
        <w:ind w:firstLine="359" w:firstLineChars="171"/>
        <w:rPr>
          <w:rFonts w:hint="eastAsia"/>
          <w:color w:val="auto"/>
        </w:rPr>
      </w:pPr>
      <w:r>
        <w:rPr>
          <w:rFonts w:hint="eastAsia"/>
          <w:color w:val="auto"/>
        </w:rPr>
        <w:t>（5）通用合同条款；</w:t>
      </w:r>
    </w:p>
    <w:p w14:paraId="6C2A6DD7">
      <w:pPr>
        <w:spacing w:line="400" w:lineRule="exact"/>
        <w:ind w:firstLine="359" w:firstLineChars="171"/>
        <w:rPr>
          <w:rFonts w:hint="eastAsia"/>
          <w:color w:val="auto"/>
        </w:rPr>
      </w:pPr>
      <w:r>
        <w:rPr>
          <w:rFonts w:hint="eastAsia"/>
          <w:color w:val="auto"/>
        </w:rPr>
        <w:t>（6）技术标准和要求；</w:t>
      </w:r>
    </w:p>
    <w:p w14:paraId="16C9C247">
      <w:pPr>
        <w:spacing w:line="400" w:lineRule="exact"/>
        <w:ind w:firstLine="359" w:firstLineChars="171"/>
        <w:rPr>
          <w:rFonts w:hint="eastAsia"/>
          <w:color w:val="auto"/>
        </w:rPr>
      </w:pPr>
      <w:r>
        <w:rPr>
          <w:rFonts w:hint="eastAsia"/>
          <w:color w:val="auto"/>
        </w:rPr>
        <w:t>（7）图纸；</w:t>
      </w:r>
    </w:p>
    <w:p w14:paraId="3AD13EAF">
      <w:pPr>
        <w:spacing w:line="400" w:lineRule="exact"/>
        <w:ind w:firstLine="359" w:firstLineChars="171"/>
        <w:rPr>
          <w:rFonts w:hint="eastAsia"/>
          <w:color w:val="auto"/>
        </w:rPr>
      </w:pPr>
      <w:r>
        <w:rPr>
          <w:rFonts w:hint="eastAsia"/>
          <w:color w:val="auto"/>
        </w:rPr>
        <w:t>（8）已标价工程量清单；</w:t>
      </w:r>
    </w:p>
    <w:p w14:paraId="75E2CE91">
      <w:pPr>
        <w:spacing w:line="400" w:lineRule="exact"/>
        <w:ind w:firstLine="359" w:firstLineChars="171"/>
        <w:rPr>
          <w:rFonts w:hint="eastAsia"/>
          <w:color w:val="auto"/>
        </w:rPr>
      </w:pPr>
      <w:r>
        <w:rPr>
          <w:rFonts w:hint="eastAsia"/>
          <w:color w:val="auto"/>
        </w:rPr>
        <w:t>（9）其他合同文件。</w:t>
      </w:r>
    </w:p>
    <w:p w14:paraId="3E0DD585">
      <w:pPr>
        <w:pStyle w:val="231"/>
        <w:rPr>
          <w:rFonts w:hint="eastAsia"/>
          <w:color w:val="auto"/>
        </w:rPr>
      </w:pPr>
      <w:bookmarkStart w:id="166" w:name="_Toc179632634"/>
      <w:bookmarkStart w:id="167" w:name="_Toc152045616"/>
      <w:bookmarkStart w:id="168" w:name="_Toc152042394"/>
      <w:bookmarkStart w:id="169" w:name="_Toc144974584"/>
      <w:r>
        <w:rPr>
          <w:rFonts w:hint="eastAsia"/>
          <w:color w:val="auto"/>
        </w:rPr>
        <w:t>1.5 合同协议书</w:t>
      </w:r>
      <w:bookmarkEnd w:id="166"/>
      <w:bookmarkEnd w:id="167"/>
      <w:bookmarkEnd w:id="168"/>
      <w:bookmarkEnd w:id="169"/>
    </w:p>
    <w:p w14:paraId="1ACB1977">
      <w:pPr>
        <w:spacing w:line="400" w:lineRule="exact"/>
        <w:ind w:firstLine="420" w:firstLineChars="200"/>
        <w:rPr>
          <w:rFonts w:hint="eastAsia"/>
          <w:color w:val="auto"/>
        </w:rPr>
      </w:pPr>
      <w:r>
        <w:rPr>
          <w:rFonts w:hint="eastAsia"/>
          <w:color w:val="auto"/>
        </w:rPr>
        <w:t>承包人按中标通知书规定的时间与发包人签订合同协议书。除法律另有规定或合同另有约定外，发包人和承包人的法定代表人或其委托代理人在合同协议书上签字并盖单位章后，合同生效。</w:t>
      </w:r>
    </w:p>
    <w:p w14:paraId="1CFDBC9E">
      <w:pPr>
        <w:pStyle w:val="231"/>
        <w:rPr>
          <w:rFonts w:hint="eastAsia"/>
          <w:color w:val="auto"/>
        </w:rPr>
      </w:pPr>
      <w:bookmarkStart w:id="170" w:name="_Toc144974585"/>
      <w:bookmarkStart w:id="171" w:name="_Toc152042395"/>
      <w:bookmarkStart w:id="172" w:name="_Toc152045617"/>
      <w:bookmarkStart w:id="173" w:name="_Toc179632635"/>
      <w:r>
        <w:rPr>
          <w:rFonts w:hint="eastAsia"/>
          <w:color w:val="auto"/>
        </w:rPr>
        <w:t>1.6 图纸和承包人文件</w:t>
      </w:r>
      <w:bookmarkEnd w:id="170"/>
      <w:bookmarkEnd w:id="171"/>
      <w:bookmarkEnd w:id="172"/>
      <w:bookmarkEnd w:id="173"/>
    </w:p>
    <w:p w14:paraId="7A2C6506">
      <w:pPr>
        <w:spacing w:line="400" w:lineRule="exact"/>
        <w:ind w:firstLine="420" w:firstLineChars="200"/>
        <w:rPr>
          <w:rFonts w:hint="eastAsia"/>
          <w:color w:val="auto"/>
        </w:rPr>
      </w:pPr>
      <w:r>
        <w:rPr>
          <w:rFonts w:hint="eastAsia"/>
          <w:color w:val="auto"/>
        </w:rPr>
        <w:t>1.6.1</w:t>
      </w:r>
      <w:r>
        <w:rPr>
          <w:rFonts w:hint="eastAsia" w:ascii="黑体" w:eastAsia="黑体"/>
          <w:color w:val="auto"/>
        </w:rPr>
        <w:t>图纸的提供</w:t>
      </w:r>
    </w:p>
    <w:p w14:paraId="581225BB">
      <w:pPr>
        <w:spacing w:line="400" w:lineRule="exact"/>
        <w:ind w:firstLine="420" w:firstLineChars="200"/>
        <w:rPr>
          <w:rFonts w:hint="eastAsia"/>
          <w:color w:val="auto"/>
        </w:rPr>
      </w:pPr>
      <w:r>
        <w:rPr>
          <w:rFonts w:hint="eastAsia"/>
          <w:color w:val="auto"/>
        </w:rPr>
        <w:t>除专用合同条款另有约定外，图纸应在合理的期限内按照合同约定的数量提供给承包人。由于发包人未按时提供图纸造成工期延误的，按第11.3款的约定办理。</w:t>
      </w:r>
    </w:p>
    <w:p w14:paraId="0AB2FD85">
      <w:pPr>
        <w:spacing w:line="400" w:lineRule="exact"/>
        <w:ind w:firstLine="420" w:firstLineChars="200"/>
        <w:rPr>
          <w:rFonts w:hint="eastAsia"/>
          <w:color w:val="auto"/>
        </w:rPr>
      </w:pPr>
      <w:r>
        <w:rPr>
          <w:rFonts w:hint="eastAsia"/>
          <w:color w:val="auto"/>
        </w:rPr>
        <w:t xml:space="preserve">1.6.2 </w:t>
      </w:r>
      <w:r>
        <w:rPr>
          <w:rFonts w:hint="eastAsia" w:ascii="黑体" w:eastAsia="黑体"/>
          <w:color w:val="auto"/>
        </w:rPr>
        <w:t>承包人提供的文件</w:t>
      </w:r>
    </w:p>
    <w:p w14:paraId="31847D25">
      <w:pPr>
        <w:spacing w:line="400" w:lineRule="exact"/>
        <w:rPr>
          <w:rFonts w:hint="eastAsia"/>
          <w:color w:val="auto"/>
        </w:rPr>
      </w:pPr>
      <w:r>
        <w:rPr>
          <w:rFonts w:hint="eastAsia"/>
          <w:color w:val="auto"/>
        </w:rPr>
        <w:t>　　按专用合同条款约定由承包人提供的文件，包括部分工程的大样图、加工图等，承包人应按约定的数量和期限报送监理人。监理人应在专用合同条款约定的期限内批复。</w:t>
      </w:r>
    </w:p>
    <w:p w14:paraId="581504D6">
      <w:pPr>
        <w:spacing w:line="400" w:lineRule="exact"/>
        <w:ind w:firstLine="420" w:firstLineChars="200"/>
        <w:rPr>
          <w:rFonts w:hint="eastAsia"/>
          <w:color w:val="auto"/>
        </w:rPr>
      </w:pPr>
      <w:r>
        <w:rPr>
          <w:rFonts w:hint="eastAsia"/>
          <w:color w:val="auto"/>
        </w:rPr>
        <w:t xml:space="preserve">1.6.3 </w:t>
      </w:r>
      <w:r>
        <w:rPr>
          <w:rFonts w:hint="eastAsia" w:ascii="黑体" w:eastAsia="黑体"/>
          <w:color w:val="auto"/>
        </w:rPr>
        <w:t>图纸的修改</w:t>
      </w:r>
    </w:p>
    <w:p w14:paraId="5E140821">
      <w:pPr>
        <w:spacing w:line="400" w:lineRule="exact"/>
        <w:ind w:firstLine="420" w:firstLineChars="200"/>
        <w:rPr>
          <w:rFonts w:hint="eastAsia"/>
          <w:color w:val="auto"/>
        </w:rPr>
      </w:pPr>
      <w:r>
        <w:rPr>
          <w:rFonts w:hint="eastAsia"/>
          <w:color w:val="auto"/>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1563435">
      <w:pPr>
        <w:spacing w:line="400" w:lineRule="exact"/>
        <w:ind w:firstLine="420" w:firstLineChars="200"/>
        <w:rPr>
          <w:rFonts w:hint="eastAsia"/>
          <w:color w:val="auto"/>
        </w:rPr>
      </w:pPr>
      <w:r>
        <w:rPr>
          <w:rFonts w:hint="eastAsia"/>
          <w:color w:val="auto"/>
        </w:rPr>
        <w:t xml:space="preserve">1.6.4 </w:t>
      </w:r>
      <w:r>
        <w:rPr>
          <w:rFonts w:hint="eastAsia" w:ascii="黑体" w:eastAsia="黑体"/>
          <w:color w:val="auto"/>
        </w:rPr>
        <w:t>图纸的错误</w:t>
      </w:r>
    </w:p>
    <w:p w14:paraId="0B71C3C4">
      <w:pPr>
        <w:spacing w:line="400" w:lineRule="exact"/>
        <w:ind w:firstLine="420" w:firstLineChars="200"/>
        <w:rPr>
          <w:rFonts w:hint="eastAsia"/>
          <w:color w:val="auto"/>
        </w:rPr>
      </w:pPr>
      <w:r>
        <w:rPr>
          <w:rFonts w:hint="eastAsia"/>
          <w:color w:val="auto"/>
        </w:rPr>
        <w:t>承包人发现发包人提供的图纸存在明显错误或疏忽，应及时通知监理人。</w:t>
      </w:r>
    </w:p>
    <w:p w14:paraId="3A26E14C">
      <w:pPr>
        <w:spacing w:line="400" w:lineRule="exact"/>
        <w:ind w:firstLine="420" w:firstLineChars="200"/>
        <w:rPr>
          <w:rFonts w:hint="eastAsia"/>
          <w:color w:val="auto"/>
        </w:rPr>
      </w:pPr>
      <w:r>
        <w:rPr>
          <w:rFonts w:hint="eastAsia"/>
          <w:color w:val="auto"/>
        </w:rPr>
        <w:t xml:space="preserve">1.6.5 </w:t>
      </w:r>
      <w:r>
        <w:rPr>
          <w:rFonts w:hint="eastAsia" w:ascii="黑体" w:eastAsia="黑体"/>
          <w:color w:val="auto"/>
        </w:rPr>
        <w:t>图纸和承包人文件的保管</w:t>
      </w:r>
    </w:p>
    <w:p w14:paraId="6A46FCF1">
      <w:pPr>
        <w:spacing w:line="400" w:lineRule="exact"/>
        <w:ind w:firstLine="420" w:firstLineChars="200"/>
        <w:rPr>
          <w:rFonts w:hint="eastAsia"/>
          <w:color w:val="auto"/>
        </w:rPr>
      </w:pPr>
      <w:r>
        <w:rPr>
          <w:rFonts w:hint="eastAsia"/>
          <w:color w:val="auto"/>
        </w:rPr>
        <w:t>监理人和承包人均应在施工场地各保存一套完整的包含第1.6.1项、第1.6.2项、第1.6.3项约定内容的图纸和承包人文件。</w:t>
      </w:r>
    </w:p>
    <w:p w14:paraId="157B5753">
      <w:pPr>
        <w:pStyle w:val="231"/>
        <w:rPr>
          <w:rFonts w:hint="eastAsia"/>
          <w:color w:val="auto"/>
        </w:rPr>
      </w:pPr>
      <w:bookmarkStart w:id="174" w:name="_Toc152042396"/>
      <w:bookmarkStart w:id="175" w:name="_Toc152045618"/>
      <w:bookmarkStart w:id="176" w:name="_Toc144974586"/>
      <w:bookmarkStart w:id="177" w:name="_Toc179632636"/>
      <w:r>
        <w:rPr>
          <w:rFonts w:hint="eastAsia"/>
          <w:color w:val="auto"/>
        </w:rPr>
        <w:t>1.7 联络</w:t>
      </w:r>
      <w:bookmarkEnd w:id="174"/>
      <w:bookmarkEnd w:id="175"/>
      <w:bookmarkEnd w:id="176"/>
      <w:bookmarkEnd w:id="177"/>
    </w:p>
    <w:p w14:paraId="7180FF44">
      <w:pPr>
        <w:spacing w:line="400" w:lineRule="exact"/>
        <w:ind w:firstLine="420" w:firstLineChars="200"/>
        <w:rPr>
          <w:rFonts w:hint="eastAsia"/>
          <w:color w:val="auto"/>
        </w:rPr>
      </w:pPr>
      <w:r>
        <w:rPr>
          <w:rFonts w:hint="eastAsia"/>
          <w:color w:val="auto"/>
        </w:rPr>
        <w:t>1.7.1 与合同有关的通知、批准、证明、证书、指示、要求、请求、同意、意见、确定和决定等，均应采用书面形式。</w:t>
      </w:r>
    </w:p>
    <w:p w14:paraId="40BE0252">
      <w:pPr>
        <w:spacing w:line="400" w:lineRule="exact"/>
        <w:ind w:firstLine="420" w:firstLineChars="200"/>
        <w:rPr>
          <w:rFonts w:hint="eastAsia"/>
          <w:color w:val="auto"/>
        </w:rPr>
      </w:pPr>
      <w:r>
        <w:rPr>
          <w:rFonts w:hint="eastAsia"/>
          <w:color w:val="auto"/>
        </w:rPr>
        <w:t>1.7.2 第1.7.1项中的通知、批准、证明、证书、指示、要求、请求、同意、意见、确定和决定等来往函件，均应在合同约定的期限内送达指定地点和接收人，并办理签收手续。</w:t>
      </w:r>
    </w:p>
    <w:p w14:paraId="7AC00EBA">
      <w:pPr>
        <w:pStyle w:val="231"/>
        <w:rPr>
          <w:rFonts w:hint="eastAsia"/>
          <w:color w:val="auto"/>
        </w:rPr>
      </w:pPr>
      <w:bookmarkStart w:id="178" w:name="_Toc144974587"/>
      <w:bookmarkStart w:id="179" w:name="_Toc152045619"/>
      <w:bookmarkStart w:id="180" w:name="_Toc179632637"/>
      <w:bookmarkStart w:id="181" w:name="_Toc152042397"/>
      <w:r>
        <w:rPr>
          <w:rFonts w:hint="eastAsia"/>
          <w:color w:val="auto"/>
        </w:rPr>
        <w:t>1.8 转让</w:t>
      </w:r>
      <w:bookmarkEnd w:id="178"/>
      <w:bookmarkEnd w:id="179"/>
      <w:bookmarkEnd w:id="180"/>
      <w:bookmarkEnd w:id="181"/>
    </w:p>
    <w:p w14:paraId="4D221619">
      <w:pPr>
        <w:spacing w:line="400" w:lineRule="exact"/>
        <w:ind w:firstLine="420" w:firstLineChars="200"/>
        <w:rPr>
          <w:rFonts w:hint="eastAsia"/>
          <w:color w:val="auto"/>
        </w:rPr>
      </w:pPr>
      <w:r>
        <w:rPr>
          <w:rFonts w:hint="eastAsia"/>
          <w:color w:val="auto"/>
        </w:rPr>
        <w:t>除合同另有约定外，未经对方当事人同意，一方当事人不得将合同权利全部或部分转让给第三人，也不得全部或部分转移合同义务。</w:t>
      </w:r>
    </w:p>
    <w:p w14:paraId="45E27FDA">
      <w:pPr>
        <w:pStyle w:val="231"/>
        <w:rPr>
          <w:rFonts w:hint="eastAsia"/>
          <w:color w:val="auto"/>
        </w:rPr>
      </w:pPr>
      <w:bookmarkStart w:id="182" w:name="_Toc179632638"/>
      <w:bookmarkStart w:id="183" w:name="_Toc152045620"/>
      <w:bookmarkStart w:id="184" w:name="_Toc152042398"/>
      <w:bookmarkStart w:id="185" w:name="_Toc144974588"/>
      <w:r>
        <w:rPr>
          <w:rFonts w:hint="eastAsia"/>
          <w:color w:val="auto"/>
        </w:rPr>
        <w:t>1.9 严禁贿赂</w:t>
      </w:r>
      <w:bookmarkEnd w:id="182"/>
      <w:bookmarkEnd w:id="183"/>
      <w:bookmarkEnd w:id="184"/>
      <w:bookmarkEnd w:id="185"/>
    </w:p>
    <w:p w14:paraId="2FA56469">
      <w:pPr>
        <w:spacing w:line="400" w:lineRule="exact"/>
        <w:ind w:firstLine="420" w:firstLineChars="200"/>
        <w:rPr>
          <w:rFonts w:hint="eastAsia"/>
          <w:color w:val="auto"/>
        </w:rPr>
      </w:pPr>
      <w:r>
        <w:rPr>
          <w:rFonts w:hint="eastAsia"/>
          <w:color w:val="auto"/>
        </w:rPr>
        <w:t>合同双方当事人不得以贿赂或变相贿赂的方式，谋取不当利益或损害对方权益。因贿赂造成对方损失的，行为人应赔偿损失，并承担相应的法律责任。</w:t>
      </w:r>
    </w:p>
    <w:p w14:paraId="12229561">
      <w:pPr>
        <w:pStyle w:val="231"/>
        <w:rPr>
          <w:rFonts w:hint="eastAsia"/>
          <w:color w:val="auto"/>
        </w:rPr>
      </w:pPr>
      <w:bookmarkStart w:id="186" w:name="_Toc144974589"/>
      <w:bookmarkStart w:id="187" w:name="_Toc152042399"/>
      <w:bookmarkStart w:id="188" w:name="_Toc179632639"/>
      <w:bookmarkStart w:id="189" w:name="_Toc152045621"/>
      <w:r>
        <w:rPr>
          <w:rFonts w:hint="eastAsia"/>
          <w:color w:val="auto"/>
        </w:rPr>
        <w:t>1.10 化石、文物</w:t>
      </w:r>
      <w:bookmarkEnd w:id="186"/>
      <w:bookmarkEnd w:id="187"/>
      <w:bookmarkEnd w:id="188"/>
      <w:bookmarkEnd w:id="189"/>
    </w:p>
    <w:p w14:paraId="5399A83D">
      <w:pPr>
        <w:spacing w:line="400" w:lineRule="exact"/>
        <w:ind w:firstLine="420" w:firstLineChars="200"/>
        <w:rPr>
          <w:rFonts w:hint="eastAsia"/>
          <w:color w:val="auto"/>
        </w:rPr>
      </w:pPr>
      <w:r>
        <w:rPr>
          <w:rFonts w:hint="eastAsia"/>
          <w:color w:va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69EAA42">
      <w:pPr>
        <w:spacing w:line="400" w:lineRule="exact"/>
        <w:ind w:firstLine="420" w:firstLineChars="200"/>
        <w:rPr>
          <w:rFonts w:hint="eastAsia"/>
          <w:color w:val="auto"/>
        </w:rPr>
      </w:pPr>
      <w:r>
        <w:rPr>
          <w:rFonts w:hint="eastAsia"/>
          <w:color w:val="auto"/>
        </w:rPr>
        <w:t>1.10.2 承包人发现文物后不及时报告或隐瞒不报，致使文物丢失或损坏的，应赔偿损失，并承担相应的法律责任。</w:t>
      </w:r>
    </w:p>
    <w:p w14:paraId="7EA648BF">
      <w:pPr>
        <w:pStyle w:val="231"/>
        <w:rPr>
          <w:rFonts w:hint="eastAsia"/>
          <w:color w:val="auto"/>
        </w:rPr>
      </w:pPr>
      <w:bookmarkStart w:id="190" w:name="_Toc144974590"/>
      <w:bookmarkStart w:id="191" w:name="_Toc152045622"/>
      <w:bookmarkStart w:id="192" w:name="_Toc152042400"/>
      <w:bookmarkStart w:id="193" w:name="_Toc179632640"/>
      <w:r>
        <w:rPr>
          <w:rFonts w:hint="eastAsia"/>
          <w:color w:val="auto"/>
        </w:rPr>
        <w:t>1.11 专利技术</w:t>
      </w:r>
      <w:bookmarkEnd w:id="190"/>
      <w:bookmarkEnd w:id="191"/>
      <w:bookmarkEnd w:id="192"/>
      <w:bookmarkEnd w:id="193"/>
    </w:p>
    <w:p w14:paraId="5A931E16">
      <w:pPr>
        <w:spacing w:line="400" w:lineRule="exact"/>
        <w:ind w:firstLine="420" w:firstLineChars="200"/>
        <w:rPr>
          <w:rFonts w:hint="eastAsia"/>
          <w:color w:val="auto"/>
        </w:rPr>
      </w:pPr>
      <w:r>
        <w:rPr>
          <w:rFonts w:hint="eastAsia"/>
          <w:color w:val="auto"/>
        </w:rPr>
        <w:t>1.11.1 承包人在使用任何材料、承包人设备、工程设备或采用施工工艺时，因侵犯专利权或其他知识产权所引起的责任，由承包人承担，但由于遵照发包人提供的设计或技术标准和要求引起的除外。</w:t>
      </w:r>
    </w:p>
    <w:p w14:paraId="25DC8BFB">
      <w:pPr>
        <w:spacing w:line="400" w:lineRule="exact"/>
        <w:ind w:firstLine="420" w:firstLineChars="200"/>
        <w:rPr>
          <w:rFonts w:hint="eastAsia"/>
          <w:color w:val="auto"/>
        </w:rPr>
      </w:pPr>
      <w:r>
        <w:rPr>
          <w:rFonts w:hint="eastAsia"/>
          <w:color w:val="auto"/>
        </w:rPr>
        <w:t>1.11.2 承包人在投标文件中采用专利技术的，专利技术的使用费包含在投标报价内。</w:t>
      </w:r>
    </w:p>
    <w:p w14:paraId="71067431">
      <w:pPr>
        <w:spacing w:line="400" w:lineRule="exact"/>
        <w:ind w:firstLine="420" w:firstLineChars="200"/>
        <w:rPr>
          <w:rFonts w:hint="eastAsia"/>
          <w:color w:val="auto"/>
        </w:rPr>
      </w:pPr>
      <w:r>
        <w:rPr>
          <w:rFonts w:hint="eastAsia"/>
          <w:color w:val="auto"/>
        </w:rPr>
        <w:t>1.11.3 承包人的技术秘密和声明需要保密的资料和信息，发包人和监理人不得为合同以外的目的泄露给他人。</w:t>
      </w:r>
    </w:p>
    <w:p w14:paraId="3882659B">
      <w:pPr>
        <w:pStyle w:val="231"/>
        <w:rPr>
          <w:rFonts w:hint="eastAsia"/>
          <w:color w:val="auto"/>
        </w:rPr>
      </w:pPr>
      <w:bookmarkStart w:id="194" w:name="_Toc152042401"/>
      <w:bookmarkStart w:id="195" w:name="_Toc152045623"/>
      <w:bookmarkStart w:id="196" w:name="_Toc179632641"/>
      <w:bookmarkStart w:id="197" w:name="_Toc144974591"/>
      <w:r>
        <w:rPr>
          <w:rFonts w:hint="eastAsia"/>
          <w:color w:val="auto"/>
        </w:rPr>
        <w:t>1.12 图纸和文件的保密</w:t>
      </w:r>
      <w:bookmarkEnd w:id="194"/>
      <w:bookmarkEnd w:id="195"/>
      <w:bookmarkEnd w:id="196"/>
      <w:bookmarkEnd w:id="197"/>
    </w:p>
    <w:p w14:paraId="4922DFD6">
      <w:pPr>
        <w:spacing w:line="400" w:lineRule="exact"/>
        <w:ind w:firstLine="420" w:firstLineChars="200"/>
        <w:rPr>
          <w:rFonts w:hint="eastAsia"/>
          <w:color w:val="auto"/>
        </w:rPr>
      </w:pPr>
      <w:r>
        <w:rPr>
          <w:rFonts w:hint="eastAsia"/>
          <w:color w:val="auto"/>
        </w:rPr>
        <w:t>1.12.1 发包人提供的图纸和文件，未经发包人同意，承包人不得为合同以外的目的泄露给他人或公开发表与引用。</w:t>
      </w:r>
    </w:p>
    <w:p w14:paraId="408A4DD3">
      <w:pPr>
        <w:spacing w:line="400" w:lineRule="exact"/>
        <w:ind w:firstLine="420" w:firstLineChars="200"/>
        <w:rPr>
          <w:rFonts w:hint="eastAsia"/>
          <w:color w:val="auto"/>
        </w:rPr>
      </w:pPr>
      <w:r>
        <w:rPr>
          <w:rFonts w:hint="eastAsia"/>
          <w:color w:val="auto"/>
        </w:rPr>
        <w:t>1.12.2 承包人提供的文件，未经承包人同意，发包人和监理人不得为合同以外的目的泄露给他人或公开发表与引用。</w:t>
      </w:r>
    </w:p>
    <w:p w14:paraId="2C5DE258">
      <w:pPr>
        <w:pStyle w:val="224"/>
        <w:rPr>
          <w:rFonts w:hint="eastAsia"/>
          <w:color w:val="auto"/>
        </w:rPr>
      </w:pPr>
      <w:bookmarkStart w:id="198" w:name="_Toc144974592"/>
      <w:bookmarkStart w:id="199" w:name="_Toc152042402"/>
      <w:bookmarkStart w:id="200" w:name="_Toc152045624"/>
      <w:bookmarkStart w:id="201" w:name="_Toc179632642"/>
      <w:r>
        <w:rPr>
          <w:rFonts w:hint="eastAsia"/>
          <w:color w:val="auto"/>
        </w:rPr>
        <w:t>2. 发包人义务</w:t>
      </w:r>
      <w:bookmarkEnd w:id="198"/>
      <w:bookmarkEnd w:id="199"/>
      <w:bookmarkEnd w:id="200"/>
      <w:bookmarkEnd w:id="201"/>
    </w:p>
    <w:p w14:paraId="674CC37D">
      <w:pPr>
        <w:pStyle w:val="231"/>
        <w:rPr>
          <w:rFonts w:hint="eastAsia"/>
          <w:color w:val="auto"/>
        </w:rPr>
      </w:pPr>
      <w:bookmarkStart w:id="202" w:name="_Toc179632643"/>
      <w:bookmarkStart w:id="203" w:name="_Toc152042403"/>
      <w:bookmarkStart w:id="204" w:name="_Toc152045625"/>
      <w:bookmarkStart w:id="205" w:name="_Toc144974593"/>
      <w:r>
        <w:rPr>
          <w:rFonts w:hint="eastAsia"/>
          <w:color w:val="auto"/>
        </w:rPr>
        <w:t>2.1 遵守法律</w:t>
      </w:r>
      <w:bookmarkEnd w:id="202"/>
      <w:bookmarkEnd w:id="203"/>
      <w:bookmarkEnd w:id="204"/>
      <w:bookmarkEnd w:id="205"/>
    </w:p>
    <w:p w14:paraId="30107419">
      <w:pPr>
        <w:spacing w:line="400" w:lineRule="exact"/>
        <w:ind w:firstLine="420" w:firstLineChars="200"/>
        <w:rPr>
          <w:rFonts w:hint="eastAsia"/>
          <w:color w:val="auto"/>
        </w:rPr>
      </w:pPr>
      <w:r>
        <w:rPr>
          <w:rFonts w:hint="eastAsia"/>
          <w:color w:val="auto"/>
        </w:rPr>
        <w:t>发包人在履行合同过程中应遵守法律，并保证承包人免于承担因发包人违反法律而引起的任何责任。</w:t>
      </w:r>
    </w:p>
    <w:p w14:paraId="0DD3BFD6">
      <w:pPr>
        <w:pStyle w:val="231"/>
        <w:rPr>
          <w:rFonts w:hint="eastAsia"/>
          <w:color w:val="auto"/>
        </w:rPr>
      </w:pPr>
      <w:bookmarkStart w:id="206" w:name="_Toc152042404"/>
      <w:bookmarkStart w:id="207" w:name="_Toc144974594"/>
      <w:bookmarkStart w:id="208" w:name="_Toc152045626"/>
      <w:bookmarkStart w:id="209" w:name="_Toc179632644"/>
      <w:r>
        <w:rPr>
          <w:rFonts w:hint="eastAsia"/>
          <w:color w:val="auto"/>
        </w:rPr>
        <w:t>2.2 发出开工通知</w:t>
      </w:r>
      <w:bookmarkEnd w:id="206"/>
      <w:bookmarkEnd w:id="207"/>
      <w:bookmarkEnd w:id="208"/>
      <w:bookmarkEnd w:id="209"/>
    </w:p>
    <w:p w14:paraId="132B7616">
      <w:pPr>
        <w:spacing w:line="400" w:lineRule="exact"/>
        <w:ind w:firstLine="420" w:firstLineChars="200"/>
        <w:rPr>
          <w:rFonts w:hint="eastAsia"/>
          <w:color w:val="auto"/>
        </w:rPr>
      </w:pPr>
      <w:r>
        <w:rPr>
          <w:rFonts w:hint="eastAsia"/>
          <w:color w:val="auto"/>
        </w:rPr>
        <w:t>发包人应委托监理人按第11.1款的约定向承包人发出开工通知。</w:t>
      </w:r>
    </w:p>
    <w:p w14:paraId="6727E399">
      <w:pPr>
        <w:pStyle w:val="231"/>
        <w:rPr>
          <w:rFonts w:hint="eastAsia"/>
          <w:color w:val="auto"/>
        </w:rPr>
      </w:pPr>
      <w:bookmarkStart w:id="210" w:name="_Toc179632645"/>
      <w:bookmarkStart w:id="211" w:name="_Toc144974595"/>
      <w:bookmarkStart w:id="212" w:name="_Toc152042405"/>
      <w:bookmarkStart w:id="213" w:name="_Toc152045627"/>
      <w:r>
        <w:rPr>
          <w:rFonts w:hint="eastAsia"/>
          <w:color w:val="auto"/>
        </w:rPr>
        <w:t>2.3 提供施工场地</w:t>
      </w:r>
      <w:bookmarkEnd w:id="210"/>
      <w:bookmarkEnd w:id="211"/>
      <w:bookmarkEnd w:id="212"/>
      <w:bookmarkEnd w:id="213"/>
    </w:p>
    <w:p w14:paraId="380AC55E">
      <w:pPr>
        <w:spacing w:line="400" w:lineRule="exact"/>
        <w:ind w:firstLine="420" w:firstLineChars="200"/>
        <w:rPr>
          <w:rFonts w:hint="eastAsia"/>
          <w:color w:val="auto"/>
        </w:rPr>
      </w:pPr>
      <w:r>
        <w:rPr>
          <w:rFonts w:hint="eastAsia"/>
          <w:color w:val="auto"/>
        </w:rPr>
        <w:t>发包人应按专用合同条款约定向承包人提供施工场地，以及施工场地内地下管线和地下设施等有关资料，并保证资料的真实、准确、完整。</w:t>
      </w:r>
    </w:p>
    <w:p w14:paraId="7F6CDB0C">
      <w:pPr>
        <w:pStyle w:val="231"/>
        <w:rPr>
          <w:rFonts w:hint="eastAsia"/>
          <w:color w:val="auto"/>
        </w:rPr>
      </w:pPr>
      <w:bookmarkStart w:id="214" w:name="_Toc144974596"/>
      <w:bookmarkStart w:id="215" w:name="_Toc152042406"/>
      <w:bookmarkStart w:id="216" w:name="_Toc179632646"/>
      <w:bookmarkStart w:id="217" w:name="_Toc152045628"/>
      <w:r>
        <w:rPr>
          <w:rFonts w:hint="eastAsia"/>
          <w:color w:val="auto"/>
        </w:rPr>
        <w:t>2.4 协助承包人办理证件和批件</w:t>
      </w:r>
      <w:bookmarkEnd w:id="214"/>
      <w:bookmarkEnd w:id="215"/>
      <w:bookmarkEnd w:id="216"/>
      <w:bookmarkEnd w:id="217"/>
    </w:p>
    <w:p w14:paraId="7585D65C">
      <w:pPr>
        <w:spacing w:line="400" w:lineRule="exact"/>
        <w:ind w:firstLine="420" w:firstLineChars="200"/>
        <w:rPr>
          <w:rFonts w:hint="eastAsia"/>
          <w:color w:val="auto"/>
        </w:rPr>
      </w:pPr>
      <w:r>
        <w:rPr>
          <w:rFonts w:hint="eastAsia"/>
          <w:color w:val="auto"/>
        </w:rPr>
        <w:t>发包人应协助承包人办理法律规定的有关施工证件和批件。</w:t>
      </w:r>
    </w:p>
    <w:p w14:paraId="781C72BF">
      <w:pPr>
        <w:pStyle w:val="231"/>
        <w:rPr>
          <w:rFonts w:hint="eastAsia"/>
          <w:color w:val="auto"/>
        </w:rPr>
      </w:pPr>
      <w:bookmarkStart w:id="218" w:name="_Toc152042407"/>
      <w:bookmarkStart w:id="219" w:name="_Toc144974597"/>
      <w:bookmarkStart w:id="220" w:name="_Toc152045629"/>
      <w:bookmarkStart w:id="221" w:name="_Toc179632647"/>
      <w:r>
        <w:rPr>
          <w:rFonts w:hint="eastAsia"/>
          <w:color w:val="auto"/>
        </w:rPr>
        <w:t>2.5 组织设计交底</w:t>
      </w:r>
      <w:bookmarkEnd w:id="218"/>
      <w:bookmarkEnd w:id="219"/>
      <w:bookmarkEnd w:id="220"/>
      <w:bookmarkEnd w:id="221"/>
    </w:p>
    <w:p w14:paraId="059444B7">
      <w:pPr>
        <w:spacing w:line="400" w:lineRule="exact"/>
        <w:ind w:firstLine="420" w:firstLineChars="200"/>
        <w:rPr>
          <w:rFonts w:hint="eastAsia"/>
          <w:color w:val="auto"/>
        </w:rPr>
      </w:pPr>
      <w:r>
        <w:rPr>
          <w:rFonts w:hint="eastAsia"/>
          <w:color w:val="auto"/>
        </w:rPr>
        <w:t>发包人应根据合同进度计划，组织设计单位向承包人进行设计交底。</w:t>
      </w:r>
    </w:p>
    <w:p w14:paraId="3CFCEA2C">
      <w:pPr>
        <w:pStyle w:val="231"/>
        <w:rPr>
          <w:rFonts w:hint="eastAsia"/>
          <w:color w:val="auto"/>
        </w:rPr>
      </w:pPr>
      <w:bookmarkStart w:id="222" w:name="_Toc144974598"/>
      <w:bookmarkStart w:id="223" w:name="_Toc179632648"/>
      <w:bookmarkStart w:id="224" w:name="_Toc152045630"/>
      <w:bookmarkStart w:id="225" w:name="_Toc152042408"/>
      <w:r>
        <w:rPr>
          <w:rFonts w:hint="eastAsia"/>
          <w:color w:val="auto"/>
        </w:rPr>
        <w:t>2.6 支付合同价款</w:t>
      </w:r>
      <w:bookmarkEnd w:id="222"/>
      <w:bookmarkEnd w:id="223"/>
      <w:bookmarkEnd w:id="224"/>
      <w:bookmarkEnd w:id="225"/>
    </w:p>
    <w:p w14:paraId="7896CD2F">
      <w:pPr>
        <w:spacing w:line="400" w:lineRule="exact"/>
        <w:ind w:firstLine="420" w:firstLineChars="200"/>
        <w:rPr>
          <w:rFonts w:hint="eastAsia"/>
          <w:color w:val="auto"/>
        </w:rPr>
      </w:pPr>
      <w:r>
        <w:rPr>
          <w:rFonts w:hint="eastAsia"/>
          <w:color w:val="auto"/>
        </w:rPr>
        <w:t>发包人应按合同约定向承包人及时支付合同价款。</w:t>
      </w:r>
    </w:p>
    <w:p w14:paraId="17F2D02A">
      <w:pPr>
        <w:pStyle w:val="231"/>
        <w:rPr>
          <w:rFonts w:hint="eastAsia"/>
          <w:color w:val="auto"/>
        </w:rPr>
      </w:pPr>
      <w:bookmarkStart w:id="226" w:name="_Toc152045631"/>
      <w:bookmarkStart w:id="227" w:name="_Toc152042409"/>
      <w:bookmarkStart w:id="228" w:name="_Toc144974599"/>
      <w:bookmarkStart w:id="229" w:name="_Toc179632649"/>
      <w:r>
        <w:rPr>
          <w:rFonts w:hint="eastAsia"/>
          <w:color w:val="auto"/>
        </w:rPr>
        <w:t>2.7 组织竣工验收</w:t>
      </w:r>
      <w:bookmarkEnd w:id="226"/>
      <w:bookmarkEnd w:id="227"/>
      <w:bookmarkEnd w:id="228"/>
      <w:bookmarkEnd w:id="229"/>
    </w:p>
    <w:p w14:paraId="05531398">
      <w:pPr>
        <w:spacing w:line="400" w:lineRule="exact"/>
        <w:ind w:firstLine="420" w:firstLineChars="200"/>
        <w:rPr>
          <w:rFonts w:hint="eastAsia"/>
          <w:color w:val="auto"/>
        </w:rPr>
      </w:pPr>
      <w:r>
        <w:rPr>
          <w:rFonts w:hint="eastAsia"/>
          <w:color w:val="auto"/>
        </w:rPr>
        <w:t>发包人应按合同约定及时组织竣工验收。</w:t>
      </w:r>
    </w:p>
    <w:p w14:paraId="0C4BD592">
      <w:pPr>
        <w:pStyle w:val="231"/>
        <w:rPr>
          <w:rFonts w:hint="eastAsia"/>
          <w:color w:val="auto"/>
        </w:rPr>
      </w:pPr>
      <w:bookmarkStart w:id="230" w:name="_Toc152045632"/>
      <w:bookmarkStart w:id="231" w:name="_Toc179632650"/>
      <w:bookmarkStart w:id="232" w:name="_Toc152042410"/>
      <w:bookmarkStart w:id="233" w:name="_Toc144974600"/>
      <w:r>
        <w:rPr>
          <w:rFonts w:hint="eastAsia"/>
          <w:color w:val="auto"/>
        </w:rPr>
        <w:t>2.8 其他义务</w:t>
      </w:r>
      <w:bookmarkEnd w:id="230"/>
      <w:bookmarkEnd w:id="231"/>
      <w:bookmarkEnd w:id="232"/>
      <w:bookmarkEnd w:id="233"/>
    </w:p>
    <w:p w14:paraId="40D11F49">
      <w:pPr>
        <w:spacing w:line="400" w:lineRule="exact"/>
        <w:ind w:firstLine="420" w:firstLineChars="200"/>
        <w:rPr>
          <w:rFonts w:hint="eastAsia"/>
          <w:color w:val="auto"/>
        </w:rPr>
      </w:pPr>
      <w:r>
        <w:rPr>
          <w:rFonts w:hint="eastAsia"/>
          <w:color w:val="auto"/>
        </w:rPr>
        <w:t>发包人应履行合同约定的其他义务。</w:t>
      </w:r>
    </w:p>
    <w:p w14:paraId="4726F09D">
      <w:pPr>
        <w:pStyle w:val="224"/>
        <w:rPr>
          <w:rFonts w:hint="eastAsia"/>
          <w:color w:val="auto"/>
        </w:rPr>
      </w:pPr>
      <w:bookmarkStart w:id="234" w:name="_Toc179632651"/>
      <w:bookmarkStart w:id="235" w:name="_Toc152042411"/>
      <w:bookmarkStart w:id="236" w:name="_Toc152045633"/>
      <w:bookmarkStart w:id="237" w:name="_Toc144974601"/>
      <w:r>
        <w:rPr>
          <w:rFonts w:hint="eastAsia"/>
          <w:color w:val="auto"/>
        </w:rPr>
        <w:t>3. 监理人</w:t>
      </w:r>
      <w:bookmarkEnd w:id="234"/>
      <w:bookmarkEnd w:id="235"/>
      <w:bookmarkEnd w:id="236"/>
      <w:bookmarkEnd w:id="237"/>
    </w:p>
    <w:p w14:paraId="083B897E">
      <w:pPr>
        <w:pStyle w:val="231"/>
        <w:rPr>
          <w:rFonts w:hint="eastAsia"/>
          <w:color w:val="auto"/>
        </w:rPr>
      </w:pPr>
      <w:bookmarkStart w:id="238" w:name="_Toc152045634"/>
      <w:bookmarkStart w:id="239" w:name="_Toc152042412"/>
      <w:bookmarkStart w:id="240" w:name="_Toc144974602"/>
      <w:bookmarkStart w:id="241" w:name="_Toc179632652"/>
      <w:r>
        <w:rPr>
          <w:rFonts w:hint="eastAsia"/>
          <w:color w:val="auto"/>
        </w:rPr>
        <w:t>3.1 监理人的职责和权力</w:t>
      </w:r>
      <w:bookmarkEnd w:id="238"/>
      <w:bookmarkEnd w:id="239"/>
      <w:bookmarkEnd w:id="240"/>
      <w:bookmarkEnd w:id="241"/>
    </w:p>
    <w:p w14:paraId="3C7DBE11">
      <w:pPr>
        <w:spacing w:line="400" w:lineRule="exact"/>
        <w:ind w:firstLine="420" w:firstLineChars="200"/>
        <w:rPr>
          <w:rFonts w:hint="eastAsia"/>
          <w:color w:val="auto"/>
        </w:rPr>
      </w:pPr>
      <w:r>
        <w:rPr>
          <w:rFonts w:hint="eastAsia"/>
          <w:color w:val="auto"/>
        </w:rPr>
        <w:t>3.1.1 监理人受发包人委托，享有合同约定的权力。监理人在行使某项权力前需要经发包人事先批准而通用合同条款没有指明的，应在专用合同条款中指明。</w:t>
      </w:r>
    </w:p>
    <w:p w14:paraId="6BAC49FB">
      <w:pPr>
        <w:spacing w:line="400" w:lineRule="exact"/>
        <w:ind w:firstLine="420" w:firstLineChars="200"/>
        <w:rPr>
          <w:rFonts w:hint="eastAsia"/>
          <w:color w:val="auto"/>
        </w:rPr>
      </w:pPr>
      <w:r>
        <w:rPr>
          <w:rFonts w:hint="eastAsia"/>
          <w:color w:val="auto"/>
        </w:rPr>
        <w:t>3.1.2 监理人发出的任何指示应视为已得到发包人的批准，但监理人无权免除或变更合同约定的发包人和承包人的权利、义务和责任。</w:t>
      </w:r>
    </w:p>
    <w:p w14:paraId="7BE92C11">
      <w:pPr>
        <w:spacing w:line="400" w:lineRule="exact"/>
        <w:ind w:firstLine="420" w:firstLineChars="200"/>
        <w:rPr>
          <w:rFonts w:hint="eastAsia"/>
          <w:color w:val="auto"/>
        </w:rPr>
      </w:pPr>
      <w:r>
        <w:rPr>
          <w:rFonts w:hint="eastAsia"/>
          <w:color w:val="auto"/>
        </w:rPr>
        <w:t>3.1.3 合同约定应由承包人承担的义务和责任，不因监理人对承包人提交文件的审查或批准，对工程、材料和设备的检查和检验，以及为实施监理作出的指示等职务行为而减轻或解除。</w:t>
      </w:r>
    </w:p>
    <w:p w14:paraId="16E7FC91">
      <w:pPr>
        <w:pStyle w:val="231"/>
        <w:rPr>
          <w:rFonts w:hint="eastAsia"/>
          <w:color w:val="auto"/>
        </w:rPr>
      </w:pPr>
      <w:bookmarkStart w:id="242" w:name="_Toc144974603"/>
      <w:bookmarkStart w:id="243" w:name="_Toc152042413"/>
      <w:bookmarkStart w:id="244" w:name="_Toc179632653"/>
      <w:bookmarkStart w:id="245" w:name="_Toc152045635"/>
      <w:r>
        <w:rPr>
          <w:rFonts w:hint="eastAsia"/>
          <w:color w:val="auto"/>
        </w:rPr>
        <w:t>3.2 总监理工程师</w:t>
      </w:r>
      <w:bookmarkEnd w:id="242"/>
      <w:bookmarkEnd w:id="243"/>
      <w:bookmarkEnd w:id="244"/>
      <w:bookmarkEnd w:id="245"/>
    </w:p>
    <w:p w14:paraId="4EBC9952">
      <w:pPr>
        <w:spacing w:line="400" w:lineRule="exact"/>
        <w:ind w:firstLine="420" w:firstLineChars="200"/>
        <w:rPr>
          <w:rFonts w:hint="eastAsia"/>
          <w:color w:val="auto"/>
        </w:rPr>
      </w:pPr>
      <w:r>
        <w:rPr>
          <w:rFonts w:hint="eastAsia"/>
          <w:color w:val="auto"/>
        </w:rPr>
        <w:t>发包人应在发出开工通知前将总监理工程师的任命通知承包人。总监理工程师更换时，应在调离14天前通知承包人。总监理工程师短期离开施工场地的，应委派代表代行其职责，并通知承包人。</w:t>
      </w:r>
    </w:p>
    <w:p w14:paraId="380D4860">
      <w:pPr>
        <w:pStyle w:val="231"/>
        <w:rPr>
          <w:rFonts w:hint="eastAsia"/>
          <w:color w:val="auto"/>
        </w:rPr>
      </w:pPr>
      <w:bookmarkStart w:id="246" w:name="_Toc152045636"/>
      <w:bookmarkStart w:id="247" w:name="_Toc152042414"/>
      <w:bookmarkStart w:id="248" w:name="_Toc144974604"/>
      <w:bookmarkStart w:id="249" w:name="_Toc179632654"/>
      <w:r>
        <w:rPr>
          <w:rFonts w:hint="eastAsia"/>
          <w:color w:val="auto"/>
        </w:rPr>
        <w:t>3.3 监理人员</w:t>
      </w:r>
      <w:bookmarkEnd w:id="246"/>
      <w:bookmarkEnd w:id="247"/>
      <w:bookmarkEnd w:id="248"/>
      <w:bookmarkEnd w:id="249"/>
    </w:p>
    <w:p w14:paraId="4AA32EA3">
      <w:pPr>
        <w:spacing w:line="400" w:lineRule="exact"/>
        <w:ind w:firstLine="420" w:firstLineChars="200"/>
        <w:rPr>
          <w:rFonts w:hint="eastAsia"/>
          <w:color w:val="auto"/>
        </w:rPr>
      </w:pPr>
      <w:r>
        <w:rPr>
          <w:rFonts w:hint="eastAsia"/>
          <w:color w:va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405B8670">
      <w:pPr>
        <w:spacing w:line="400" w:lineRule="exact"/>
        <w:ind w:firstLine="420" w:firstLineChars="200"/>
        <w:rPr>
          <w:rFonts w:hint="eastAsia"/>
          <w:color w:val="auto"/>
        </w:rPr>
      </w:pPr>
      <w:r>
        <w:rPr>
          <w:rFonts w:hint="eastAsia"/>
          <w:color w:val="auto"/>
        </w:rPr>
        <w:t>3.3.2 监理人员对承包人的任何工作、工程或其采用的材料和工程设备未在约定的或合理的期限内提出否定意见的，视为已获批准，但不影响监理人在以后拒绝该项工作、工程、材料或工程设备的权利。</w:t>
      </w:r>
    </w:p>
    <w:p w14:paraId="22230E65">
      <w:pPr>
        <w:spacing w:line="400" w:lineRule="exact"/>
        <w:ind w:firstLine="420" w:firstLineChars="200"/>
        <w:rPr>
          <w:rFonts w:hint="eastAsia"/>
          <w:color w:val="auto"/>
        </w:rPr>
      </w:pPr>
      <w:r>
        <w:rPr>
          <w:rFonts w:hint="eastAsia"/>
          <w:color w:val="auto"/>
        </w:rPr>
        <w:t>3.3.3 承包人对总监理工程师授权的监理人员发出的指示有疑问的，可向总监理工程师提出书面异议，总监理工程师应在48小时内对该指示予以确认、更改或撤销。</w:t>
      </w:r>
    </w:p>
    <w:p w14:paraId="1521D276">
      <w:pPr>
        <w:spacing w:line="400" w:lineRule="exact"/>
        <w:ind w:firstLine="420" w:firstLineChars="200"/>
        <w:rPr>
          <w:rFonts w:hint="eastAsia"/>
          <w:color w:val="auto"/>
        </w:rPr>
      </w:pPr>
      <w:r>
        <w:rPr>
          <w:rFonts w:hint="eastAsia"/>
          <w:color w:val="auto"/>
        </w:rPr>
        <w:t>3.3.4 除专用合同条款另有约定外，总监理工程师不应将第3.5款约定应由总监理工程师作出确定的权力授权或委托给其他监理人员。</w:t>
      </w:r>
    </w:p>
    <w:p w14:paraId="72B28EF7">
      <w:pPr>
        <w:pStyle w:val="231"/>
        <w:rPr>
          <w:rFonts w:hint="eastAsia"/>
          <w:color w:val="auto"/>
        </w:rPr>
      </w:pPr>
      <w:bookmarkStart w:id="250" w:name="_Toc152042415"/>
      <w:bookmarkStart w:id="251" w:name="_Toc144974605"/>
      <w:bookmarkStart w:id="252" w:name="_Toc152045637"/>
      <w:bookmarkStart w:id="253" w:name="_Toc179632655"/>
      <w:r>
        <w:rPr>
          <w:rFonts w:hint="eastAsia"/>
          <w:color w:val="auto"/>
        </w:rPr>
        <w:t>3.4 监理人的指示</w:t>
      </w:r>
      <w:bookmarkEnd w:id="250"/>
      <w:bookmarkEnd w:id="251"/>
      <w:bookmarkEnd w:id="252"/>
      <w:bookmarkEnd w:id="253"/>
    </w:p>
    <w:p w14:paraId="438FF298">
      <w:pPr>
        <w:spacing w:line="400" w:lineRule="exact"/>
        <w:ind w:firstLine="420" w:firstLineChars="200"/>
        <w:rPr>
          <w:rFonts w:hint="eastAsia"/>
          <w:color w:val="auto"/>
        </w:rPr>
      </w:pPr>
      <w:r>
        <w:rPr>
          <w:rFonts w:hint="eastAsia"/>
          <w:color w:val="auto"/>
        </w:rPr>
        <w:t>3.4.1 监理人应按第3.1款的约定向承包人发出指示，监理人的指示应盖有监理人授权的施工场地机构章，并由总监理工程师或总监理工程师按第3.3.1项约定授权的监理人员签字。</w:t>
      </w:r>
    </w:p>
    <w:p w14:paraId="619DC8A9">
      <w:pPr>
        <w:spacing w:line="400" w:lineRule="exact"/>
        <w:ind w:firstLine="420" w:firstLineChars="200"/>
        <w:rPr>
          <w:rFonts w:hint="eastAsia"/>
          <w:color w:val="auto"/>
        </w:rPr>
      </w:pPr>
      <w:r>
        <w:rPr>
          <w:rFonts w:hint="eastAsia"/>
          <w:color w:val="auto"/>
        </w:rPr>
        <w:t>3.4.2 承包人收到监理人按第3.4.1项作出的指示后应遵照执行。指示构成变更的，应按第15条处理。</w:t>
      </w:r>
    </w:p>
    <w:p w14:paraId="2E909A35">
      <w:pPr>
        <w:spacing w:line="400" w:lineRule="exact"/>
        <w:ind w:firstLine="420" w:firstLineChars="200"/>
        <w:rPr>
          <w:rFonts w:hint="eastAsia"/>
          <w:color w:val="auto"/>
        </w:rPr>
      </w:pPr>
      <w:r>
        <w:rPr>
          <w:rFonts w:hint="eastAsia"/>
          <w:color w:va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078A9C04">
      <w:pPr>
        <w:spacing w:line="400" w:lineRule="exact"/>
        <w:ind w:firstLine="420" w:firstLineChars="200"/>
        <w:rPr>
          <w:rFonts w:hint="eastAsia"/>
          <w:color w:val="auto"/>
        </w:rPr>
      </w:pPr>
      <w:r>
        <w:rPr>
          <w:rFonts w:hint="eastAsia"/>
          <w:color w:val="auto"/>
        </w:rPr>
        <w:t>3.4.4 除合同另有约定外，承包人只从总监理工程师或按第3.3.1项被授权的监理人员处取得指示。</w:t>
      </w:r>
    </w:p>
    <w:p w14:paraId="3C386378">
      <w:pPr>
        <w:spacing w:line="400" w:lineRule="exact"/>
        <w:ind w:firstLine="420" w:firstLineChars="200"/>
        <w:rPr>
          <w:rFonts w:hint="eastAsia"/>
          <w:color w:val="auto"/>
        </w:rPr>
      </w:pPr>
      <w:r>
        <w:rPr>
          <w:rFonts w:hint="eastAsia"/>
          <w:color w:val="auto"/>
        </w:rPr>
        <w:t xml:space="preserve">3.4.5 由于监理人未能按合同约定发出指示、指示延误或指示错误而导致承包人费用增加和（或）工期延误的，由发包人承担赔偿责任。 </w:t>
      </w:r>
    </w:p>
    <w:p w14:paraId="20676633">
      <w:pPr>
        <w:pStyle w:val="231"/>
        <w:rPr>
          <w:rFonts w:hint="eastAsia"/>
          <w:color w:val="auto"/>
        </w:rPr>
      </w:pPr>
      <w:bookmarkStart w:id="254" w:name="_Toc152042416"/>
      <w:bookmarkStart w:id="255" w:name="_Toc144974606"/>
      <w:bookmarkStart w:id="256" w:name="_Toc179632656"/>
      <w:bookmarkStart w:id="257" w:name="_Toc152045638"/>
      <w:r>
        <w:rPr>
          <w:rFonts w:hint="eastAsia"/>
          <w:color w:val="auto"/>
        </w:rPr>
        <w:t>3.5 商定或确定</w:t>
      </w:r>
      <w:bookmarkEnd w:id="254"/>
      <w:bookmarkEnd w:id="255"/>
      <w:bookmarkEnd w:id="256"/>
      <w:bookmarkEnd w:id="257"/>
    </w:p>
    <w:p w14:paraId="23174F67">
      <w:pPr>
        <w:spacing w:line="400" w:lineRule="exact"/>
        <w:ind w:firstLine="420" w:firstLineChars="200"/>
        <w:rPr>
          <w:rFonts w:hint="eastAsia"/>
          <w:color w:val="auto"/>
        </w:rPr>
      </w:pPr>
      <w:r>
        <w:rPr>
          <w:rFonts w:hint="eastAsia"/>
          <w:color w:val="auto"/>
        </w:rPr>
        <w:t>3.5.1合同约定总监理工程师应按照本款对任何事项进行商定或确定时，总监理工程师应与合同当事人协商，尽量达成一致。不能达成一致的，总监理工程师应认真研究后审慎确定。</w:t>
      </w:r>
    </w:p>
    <w:p w14:paraId="38D53E0E">
      <w:pPr>
        <w:spacing w:line="400" w:lineRule="exact"/>
        <w:ind w:firstLine="420" w:firstLineChars="200"/>
        <w:rPr>
          <w:rFonts w:hint="eastAsia"/>
          <w:color w:val="auto"/>
        </w:rPr>
      </w:pPr>
      <w:r>
        <w:rPr>
          <w:rFonts w:hint="eastAsia"/>
          <w:color w:va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1999E196">
      <w:pPr>
        <w:pStyle w:val="224"/>
        <w:rPr>
          <w:rFonts w:hint="eastAsia"/>
          <w:color w:val="auto"/>
        </w:rPr>
      </w:pPr>
      <w:bookmarkStart w:id="258" w:name="_Toc144974607"/>
      <w:bookmarkStart w:id="259" w:name="_Toc152045639"/>
      <w:bookmarkStart w:id="260" w:name="_Toc179632657"/>
      <w:bookmarkStart w:id="261" w:name="_Toc152042417"/>
      <w:r>
        <w:rPr>
          <w:rFonts w:hint="eastAsia"/>
          <w:color w:val="auto"/>
        </w:rPr>
        <w:t>4. 承包人</w:t>
      </w:r>
      <w:bookmarkEnd w:id="258"/>
      <w:bookmarkEnd w:id="259"/>
      <w:bookmarkEnd w:id="260"/>
      <w:bookmarkEnd w:id="261"/>
    </w:p>
    <w:p w14:paraId="289121CA">
      <w:pPr>
        <w:pStyle w:val="231"/>
        <w:rPr>
          <w:rFonts w:hint="eastAsia"/>
          <w:color w:val="auto"/>
        </w:rPr>
      </w:pPr>
      <w:bookmarkStart w:id="262" w:name="_Toc179632658"/>
      <w:bookmarkStart w:id="263" w:name="_Toc152045640"/>
      <w:bookmarkStart w:id="264" w:name="_Toc152042418"/>
      <w:bookmarkStart w:id="265" w:name="_Toc144974608"/>
      <w:r>
        <w:rPr>
          <w:rFonts w:hint="eastAsia"/>
          <w:color w:val="auto"/>
        </w:rPr>
        <w:t>4.1 承包人的一般义务</w:t>
      </w:r>
      <w:bookmarkEnd w:id="262"/>
      <w:bookmarkEnd w:id="263"/>
      <w:bookmarkEnd w:id="264"/>
      <w:bookmarkEnd w:id="265"/>
    </w:p>
    <w:p w14:paraId="0BF9E9D6">
      <w:pPr>
        <w:spacing w:line="400" w:lineRule="exact"/>
        <w:ind w:firstLine="420" w:firstLineChars="200"/>
        <w:rPr>
          <w:rFonts w:hint="eastAsia"/>
          <w:color w:val="auto"/>
        </w:rPr>
      </w:pPr>
      <w:r>
        <w:rPr>
          <w:rFonts w:hint="eastAsia"/>
          <w:color w:val="auto"/>
        </w:rPr>
        <w:t xml:space="preserve">4.1.1 </w:t>
      </w:r>
      <w:r>
        <w:rPr>
          <w:rFonts w:hint="eastAsia" w:ascii="黑体" w:eastAsia="黑体"/>
          <w:color w:val="auto"/>
        </w:rPr>
        <w:t>遵守法律</w:t>
      </w:r>
    </w:p>
    <w:p w14:paraId="7D717DDA">
      <w:pPr>
        <w:spacing w:line="400" w:lineRule="exact"/>
        <w:ind w:firstLine="420" w:firstLineChars="200"/>
        <w:rPr>
          <w:rFonts w:hint="eastAsia"/>
          <w:color w:val="auto"/>
        </w:rPr>
      </w:pPr>
      <w:r>
        <w:rPr>
          <w:rFonts w:hint="eastAsia"/>
          <w:color w:val="auto"/>
        </w:rPr>
        <w:t>承包人在履行合同过程中应遵守法律，并保证发包人免于承担因承包人违反法律而引起的任何责任。</w:t>
      </w:r>
    </w:p>
    <w:p w14:paraId="278F234D">
      <w:pPr>
        <w:spacing w:line="400" w:lineRule="exact"/>
        <w:ind w:firstLine="420" w:firstLineChars="200"/>
        <w:rPr>
          <w:rFonts w:hint="eastAsia"/>
          <w:color w:val="auto"/>
        </w:rPr>
      </w:pPr>
      <w:r>
        <w:rPr>
          <w:rFonts w:hint="eastAsia"/>
          <w:color w:val="auto"/>
        </w:rPr>
        <w:t xml:space="preserve">4.1.2 </w:t>
      </w:r>
      <w:r>
        <w:rPr>
          <w:rFonts w:hint="eastAsia" w:ascii="黑体" w:eastAsia="黑体"/>
          <w:color w:val="auto"/>
        </w:rPr>
        <w:t>依法纳税</w:t>
      </w:r>
    </w:p>
    <w:p w14:paraId="5C0AE43B">
      <w:pPr>
        <w:spacing w:line="400" w:lineRule="exact"/>
        <w:ind w:firstLine="420" w:firstLineChars="200"/>
        <w:rPr>
          <w:rFonts w:hint="eastAsia"/>
          <w:color w:val="auto"/>
        </w:rPr>
      </w:pPr>
      <w:r>
        <w:rPr>
          <w:rFonts w:hint="eastAsia"/>
          <w:color w:val="auto"/>
        </w:rPr>
        <w:t>承包人应按有关法律规定纳税，应缴纳的税金包括在合同价格内。</w:t>
      </w:r>
    </w:p>
    <w:p w14:paraId="316052C8">
      <w:pPr>
        <w:spacing w:line="400" w:lineRule="exact"/>
        <w:ind w:firstLine="420" w:firstLineChars="200"/>
        <w:rPr>
          <w:rFonts w:hint="eastAsia"/>
          <w:color w:val="auto"/>
        </w:rPr>
      </w:pPr>
      <w:r>
        <w:rPr>
          <w:rFonts w:hint="eastAsia"/>
          <w:color w:val="auto"/>
        </w:rPr>
        <w:t xml:space="preserve">4.1.3 </w:t>
      </w:r>
      <w:r>
        <w:rPr>
          <w:rFonts w:hint="eastAsia" w:ascii="黑体" w:eastAsia="黑体"/>
          <w:color w:val="auto"/>
        </w:rPr>
        <w:t>完成各项承包工作</w:t>
      </w:r>
    </w:p>
    <w:p w14:paraId="1D69D6CC">
      <w:pPr>
        <w:spacing w:line="400" w:lineRule="exact"/>
        <w:ind w:firstLine="420" w:firstLineChars="200"/>
        <w:rPr>
          <w:rFonts w:hint="eastAsia"/>
          <w:color w:val="auto"/>
        </w:rPr>
      </w:pPr>
      <w:r>
        <w:rPr>
          <w:rFonts w:hint="eastAsia"/>
          <w:color w:val="auto"/>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0584BD2">
      <w:pPr>
        <w:spacing w:line="400" w:lineRule="exact"/>
        <w:ind w:firstLine="420" w:firstLineChars="200"/>
        <w:rPr>
          <w:rFonts w:hint="eastAsia"/>
          <w:color w:val="auto"/>
        </w:rPr>
      </w:pPr>
      <w:r>
        <w:rPr>
          <w:rFonts w:hint="eastAsia"/>
          <w:color w:val="auto"/>
        </w:rPr>
        <w:t xml:space="preserve">4.1.4 </w:t>
      </w:r>
      <w:r>
        <w:rPr>
          <w:rFonts w:hint="eastAsia" w:ascii="黑体" w:eastAsia="黑体"/>
          <w:color w:val="auto"/>
        </w:rPr>
        <w:t>对施工作业和施工方法的完备性负责</w:t>
      </w:r>
    </w:p>
    <w:p w14:paraId="548A6F6C">
      <w:pPr>
        <w:spacing w:line="400" w:lineRule="exact"/>
        <w:ind w:firstLine="420" w:firstLineChars="200"/>
        <w:rPr>
          <w:rFonts w:hint="eastAsia"/>
          <w:color w:val="auto"/>
        </w:rPr>
      </w:pPr>
      <w:r>
        <w:rPr>
          <w:rFonts w:hint="eastAsia"/>
          <w:color w:val="auto"/>
        </w:rPr>
        <w:t>承包人应按合同约定的工作内容和施工进度要求，编制施工组织设计和施工措施计划，并对所有施工作业和施工方法的完备性和安全可靠性负责。</w:t>
      </w:r>
    </w:p>
    <w:p w14:paraId="03EB0102">
      <w:pPr>
        <w:spacing w:line="400" w:lineRule="exact"/>
        <w:ind w:firstLine="420" w:firstLineChars="200"/>
        <w:rPr>
          <w:rFonts w:hint="eastAsia"/>
          <w:color w:val="auto"/>
        </w:rPr>
      </w:pPr>
      <w:r>
        <w:rPr>
          <w:rFonts w:hint="eastAsia"/>
          <w:color w:val="auto"/>
        </w:rPr>
        <w:t xml:space="preserve">4.1.5 </w:t>
      </w:r>
      <w:r>
        <w:rPr>
          <w:rFonts w:hint="eastAsia" w:ascii="黑体" w:eastAsia="黑体"/>
          <w:color w:val="auto"/>
        </w:rPr>
        <w:t>保证工程施工和人员的安全</w:t>
      </w:r>
    </w:p>
    <w:p w14:paraId="2D2FE7BA">
      <w:pPr>
        <w:spacing w:line="400" w:lineRule="exact"/>
        <w:ind w:firstLine="420" w:firstLineChars="200"/>
        <w:rPr>
          <w:rFonts w:hint="eastAsia"/>
          <w:color w:val="auto"/>
        </w:rPr>
      </w:pPr>
      <w:r>
        <w:rPr>
          <w:rFonts w:hint="eastAsia"/>
          <w:color w:val="auto"/>
        </w:rPr>
        <w:t>承包人应按第9.2款约定采取施工安全措施，确保工程及其人员、材料、设备和设施的安全，防止因工程施工造成的人身伤害和财产损失。</w:t>
      </w:r>
    </w:p>
    <w:p w14:paraId="548DDAF2">
      <w:pPr>
        <w:spacing w:line="400" w:lineRule="exact"/>
        <w:ind w:firstLine="420" w:firstLineChars="200"/>
        <w:rPr>
          <w:rFonts w:hint="eastAsia"/>
          <w:color w:val="auto"/>
        </w:rPr>
      </w:pPr>
      <w:r>
        <w:rPr>
          <w:rFonts w:hint="eastAsia"/>
          <w:color w:val="auto"/>
        </w:rPr>
        <w:t xml:space="preserve">4.1.6 </w:t>
      </w:r>
      <w:r>
        <w:rPr>
          <w:rFonts w:hint="eastAsia" w:ascii="黑体" w:eastAsia="黑体"/>
          <w:color w:val="auto"/>
        </w:rPr>
        <w:t>负责施工场地及其周边环境与生态的保护工作</w:t>
      </w:r>
    </w:p>
    <w:p w14:paraId="028BC88F">
      <w:pPr>
        <w:spacing w:line="400" w:lineRule="exact"/>
        <w:ind w:firstLine="420" w:firstLineChars="200"/>
        <w:rPr>
          <w:rFonts w:hint="eastAsia"/>
          <w:color w:val="auto"/>
        </w:rPr>
      </w:pPr>
      <w:r>
        <w:rPr>
          <w:rFonts w:hint="eastAsia"/>
          <w:color w:val="auto"/>
        </w:rPr>
        <w:t>承包人应按照第9.4款约定负责施工场地及其周边环境与生态的保护工作。</w:t>
      </w:r>
    </w:p>
    <w:p w14:paraId="3ADB5003">
      <w:pPr>
        <w:spacing w:line="400" w:lineRule="exact"/>
        <w:ind w:firstLine="420" w:firstLineChars="200"/>
        <w:rPr>
          <w:rFonts w:hint="eastAsia"/>
          <w:color w:val="auto"/>
        </w:rPr>
      </w:pPr>
      <w:r>
        <w:rPr>
          <w:rFonts w:hint="eastAsia"/>
          <w:color w:val="auto"/>
        </w:rPr>
        <w:t xml:space="preserve">4.1.7 </w:t>
      </w:r>
      <w:r>
        <w:rPr>
          <w:rFonts w:hint="eastAsia" w:ascii="黑体" w:eastAsia="黑体"/>
          <w:color w:val="auto"/>
        </w:rPr>
        <w:t>避免施工对公众与他人的利益造成损害</w:t>
      </w:r>
    </w:p>
    <w:p w14:paraId="674D50DE">
      <w:pPr>
        <w:spacing w:line="400" w:lineRule="exact"/>
        <w:ind w:firstLine="420" w:firstLineChars="200"/>
        <w:rPr>
          <w:rFonts w:hint="eastAsia"/>
          <w:color w:val="auto"/>
        </w:rPr>
      </w:pPr>
      <w:r>
        <w:rPr>
          <w:rFonts w:hint="eastAsia"/>
          <w:color w:va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BE3AA8E">
      <w:pPr>
        <w:spacing w:line="400" w:lineRule="exact"/>
        <w:ind w:firstLine="420" w:firstLineChars="200"/>
        <w:rPr>
          <w:rFonts w:hint="eastAsia"/>
          <w:color w:val="auto"/>
        </w:rPr>
      </w:pPr>
      <w:r>
        <w:rPr>
          <w:rFonts w:hint="eastAsia"/>
          <w:color w:val="auto"/>
        </w:rPr>
        <w:t xml:space="preserve">4.1.8 </w:t>
      </w:r>
      <w:r>
        <w:rPr>
          <w:rFonts w:hint="eastAsia" w:ascii="黑体" w:eastAsia="黑体"/>
          <w:color w:val="auto"/>
        </w:rPr>
        <w:t>为他人提供方便</w:t>
      </w:r>
    </w:p>
    <w:p w14:paraId="0D379164">
      <w:pPr>
        <w:spacing w:line="400" w:lineRule="exact"/>
        <w:ind w:firstLine="420" w:firstLineChars="200"/>
        <w:rPr>
          <w:rFonts w:hint="eastAsia"/>
          <w:color w:val="auto"/>
        </w:rPr>
      </w:pPr>
      <w:r>
        <w:rPr>
          <w:rFonts w:hint="eastAsia"/>
          <w:color w:val="auto"/>
        </w:rPr>
        <w:t>承包人应按监理人的指示为他人在施工场地或附近实施与工程有关的其他各项工作提供可能的条件。除合同另有约定外，提供有关条件的内容和可能发生的费用，由监理人按第3.5款商定或确定。</w:t>
      </w:r>
    </w:p>
    <w:p w14:paraId="2264422E">
      <w:pPr>
        <w:spacing w:line="400" w:lineRule="exact"/>
        <w:ind w:firstLine="420" w:firstLineChars="200"/>
        <w:rPr>
          <w:rFonts w:hint="eastAsia"/>
          <w:color w:val="auto"/>
        </w:rPr>
      </w:pPr>
      <w:r>
        <w:rPr>
          <w:rFonts w:hint="eastAsia"/>
          <w:color w:val="auto"/>
        </w:rPr>
        <w:t xml:space="preserve">4.1.9 </w:t>
      </w:r>
      <w:r>
        <w:rPr>
          <w:rFonts w:hint="eastAsia" w:ascii="黑体" w:eastAsia="黑体"/>
          <w:color w:val="auto"/>
        </w:rPr>
        <w:t>工程的维护和照管</w:t>
      </w:r>
    </w:p>
    <w:p w14:paraId="2EBBF82A">
      <w:pPr>
        <w:spacing w:line="400" w:lineRule="exact"/>
        <w:ind w:firstLine="420" w:firstLineChars="200"/>
        <w:rPr>
          <w:rFonts w:hint="eastAsia"/>
          <w:color w:val="auto"/>
        </w:rPr>
      </w:pPr>
      <w:r>
        <w:rPr>
          <w:rFonts w:hint="eastAsia"/>
          <w:color w:val="auto"/>
        </w:rPr>
        <w:t>工程接收证书颁发前，承包人应负责照管和维护工程。工程接收证书颁发时尚有部分未竣工工程的，承包人还应负责该未竣工工程的照管和维护工作，直至竣工后移交给发包人为止。</w:t>
      </w:r>
    </w:p>
    <w:p w14:paraId="1F810520">
      <w:pPr>
        <w:spacing w:line="400" w:lineRule="exact"/>
        <w:ind w:firstLine="420" w:firstLineChars="200"/>
        <w:rPr>
          <w:rFonts w:hint="eastAsia"/>
          <w:color w:val="auto"/>
        </w:rPr>
      </w:pPr>
      <w:r>
        <w:rPr>
          <w:rFonts w:hint="eastAsia"/>
          <w:color w:val="auto"/>
        </w:rPr>
        <w:t xml:space="preserve">4.1.10 </w:t>
      </w:r>
      <w:r>
        <w:rPr>
          <w:rFonts w:hint="eastAsia" w:ascii="黑体" w:eastAsia="黑体"/>
          <w:color w:val="auto"/>
        </w:rPr>
        <w:t>其他义务</w:t>
      </w:r>
    </w:p>
    <w:p w14:paraId="0852BA34">
      <w:pPr>
        <w:spacing w:line="400" w:lineRule="exact"/>
        <w:ind w:firstLine="420" w:firstLineChars="200"/>
        <w:rPr>
          <w:rFonts w:hint="eastAsia"/>
          <w:color w:val="auto"/>
        </w:rPr>
      </w:pPr>
      <w:r>
        <w:rPr>
          <w:rFonts w:hint="eastAsia"/>
          <w:color w:val="auto"/>
        </w:rPr>
        <w:t>承包人应履行合同约定的其他义务。</w:t>
      </w:r>
    </w:p>
    <w:p w14:paraId="69978833">
      <w:pPr>
        <w:pStyle w:val="231"/>
        <w:rPr>
          <w:rFonts w:hint="eastAsia"/>
          <w:color w:val="auto"/>
        </w:rPr>
      </w:pPr>
      <w:bookmarkStart w:id="266" w:name="_Toc152045641"/>
      <w:bookmarkStart w:id="267" w:name="_Toc152042419"/>
      <w:bookmarkStart w:id="268" w:name="_Toc179632659"/>
      <w:bookmarkStart w:id="269" w:name="_Toc144974609"/>
      <w:r>
        <w:rPr>
          <w:rFonts w:hint="eastAsia"/>
          <w:color w:val="auto"/>
        </w:rPr>
        <w:t>4.2 履约担保</w:t>
      </w:r>
      <w:bookmarkEnd w:id="266"/>
      <w:bookmarkEnd w:id="267"/>
      <w:bookmarkEnd w:id="268"/>
      <w:bookmarkEnd w:id="269"/>
    </w:p>
    <w:p w14:paraId="1D67F083">
      <w:pPr>
        <w:spacing w:line="400" w:lineRule="exact"/>
        <w:ind w:firstLine="420" w:firstLineChars="200"/>
        <w:rPr>
          <w:rFonts w:hint="eastAsia"/>
          <w:color w:val="auto"/>
        </w:rPr>
      </w:pPr>
      <w:r>
        <w:rPr>
          <w:rFonts w:hint="eastAsia"/>
          <w:color w:val="auto"/>
        </w:rPr>
        <w:t>承包人应保证其履约担保在发包人颁发工程接收证书前一直有效。发包人应在工程接收证书颁发后28天内把履约担保退还给承包人。</w:t>
      </w:r>
    </w:p>
    <w:p w14:paraId="63719E07">
      <w:pPr>
        <w:pStyle w:val="231"/>
        <w:rPr>
          <w:rFonts w:hint="eastAsia"/>
          <w:color w:val="auto"/>
        </w:rPr>
      </w:pPr>
      <w:bookmarkStart w:id="270" w:name="_Toc152045642"/>
      <w:bookmarkStart w:id="271" w:name="_Toc152042420"/>
      <w:bookmarkStart w:id="272" w:name="_Toc179632660"/>
      <w:bookmarkStart w:id="273" w:name="_Toc144974610"/>
      <w:r>
        <w:rPr>
          <w:rFonts w:hint="eastAsia"/>
          <w:color w:val="auto"/>
        </w:rPr>
        <w:t>4.3 分包</w:t>
      </w:r>
      <w:bookmarkEnd w:id="270"/>
      <w:bookmarkEnd w:id="271"/>
      <w:bookmarkEnd w:id="272"/>
      <w:bookmarkEnd w:id="273"/>
    </w:p>
    <w:p w14:paraId="0CEB5271">
      <w:pPr>
        <w:spacing w:line="400" w:lineRule="exact"/>
        <w:ind w:firstLine="420" w:firstLineChars="200"/>
        <w:rPr>
          <w:rFonts w:hint="eastAsia"/>
          <w:color w:val="auto"/>
        </w:rPr>
      </w:pPr>
      <w:r>
        <w:rPr>
          <w:rFonts w:hint="eastAsia"/>
          <w:color w:val="auto"/>
        </w:rPr>
        <w:t>4.3.1 承包人不得将其承包的全部工程转包给第三人，或将其承包的全部工程肢解后以分包的名义转包给第三人。</w:t>
      </w:r>
    </w:p>
    <w:p w14:paraId="251DD3EE">
      <w:pPr>
        <w:spacing w:line="400" w:lineRule="exact"/>
        <w:ind w:firstLine="420" w:firstLineChars="200"/>
        <w:rPr>
          <w:rFonts w:hint="eastAsia"/>
          <w:color w:val="auto"/>
        </w:rPr>
      </w:pPr>
      <w:r>
        <w:rPr>
          <w:rFonts w:hint="eastAsia"/>
          <w:color w:val="auto"/>
        </w:rPr>
        <w:t>4.3.2 承包人不得将工程主体、关键性工作分包给第三人。除专用合同条款另有约定外，未经发包人同意，承包人不得将工程的其他部分或工作分包给第三人。</w:t>
      </w:r>
    </w:p>
    <w:p w14:paraId="2A76B90C">
      <w:pPr>
        <w:spacing w:line="400" w:lineRule="exact"/>
        <w:ind w:firstLine="420" w:firstLineChars="200"/>
        <w:rPr>
          <w:rFonts w:hint="eastAsia"/>
          <w:color w:val="auto"/>
        </w:rPr>
      </w:pPr>
      <w:r>
        <w:rPr>
          <w:rFonts w:hint="eastAsia"/>
          <w:color w:val="auto"/>
        </w:rPr>
        <w:t>4.3.3 分包人的资格能力应与其分包工程的标准和规模相适应。</w:t>
      </w:r>
    </w:p>
    <w:p w14:paraId="621B4981">
      <w:pPr>
        <w:spacing w:line="400" w:lineRule="exact"/>
        <w:ind w:firstLine="420" w:firstLineChars="200"/>
        <w:rPr>
          <w:rFonts w:hint="eastAsia"/>
          <w:color w:val="auto"/>
        </w:rPr>
      </w:pPr>
      <w:r>
        <w:rPr>
          <w:rFonts w:hint="eastAsia"/>
          <w:color w:val="auto"/>
        </w:rPr>
        <w:t>4.3.4 按投标函附录约定分包工程的，承包人应向发包人和监理人提交分包合同副本。</w:t>
      </w:r>
    </w:p>
    <w:p w14:paraId="3BE29627">
      <w:pPr>
        <w:spacing w:line="400" w:lineRule="exact"/>
        <w:ind w:firstLine="420" w:firstLineChars="200"/>
        <w:rPr>
          <w:rFonts w:hint="eastAsia"/>
          <w:color w:val="auto"/>
        </w:rPr>
      </w:pPr>
      <w:r>
        <w:rPr>
          <w:rFonts w:hint="eastAsia"/>
          <w:color w:val="auto"/>
        </w:rPr>
        <w:t>4.3.5 承包人应与分包人就分包工程向发包人承担连带责任。</w:t>
      </w:r>
    </w:p>
    <w:p w14:paraId="5B5AFC87">
      <w:pPr>
        <w:pStyle w:val="231"/>
        <w:rPr>
          <w:rFonts w:hint="eastAsia"/>
          <w:color w:val="auto"/>
        </w:rPr>
      </w:pPr>
      <w:bookmarkStart w:id="274" w:name="_Toc179632661"/>
      <w:bookmarkStart w:id="275" w:name="_Toc144974611"/>
      <w:bookmarkStart w:id="276" w:name="_Toc152045643"/>
      <w:bookmarkStart w:id="277" w:name="_Toc152042421"/>
      <w:r>
        <w:rPr>
          <w:rFonts w:hint="eastAsia"/>
          <w:color w:val="auto"/>
        </w:rPr>
        <w:t>4.4 联合体</w:t>
      </w:r>
      <w:bookmarkEnd w:id="274"/>
      <w:bookmarkEnd w:id="275"/>
      <w:bookmarkEnd w:id="276"/>
      <w:bookmarkEnd w:id="277"/>
    </w:p>
    <w:p w14:paraId="10C2D070">
      <w:pPr>
        <w:spacing w:line="400" w:lineRule="exact"/>
        <w:ind w:firstLine="420" w:firstLineChars="200"/>
        <w:rPr>
          <w:rFonts w:hint="eastAsia"/>
          <w:color w:val="auto"/>
        </w:rPr>
      </w:pPr>
      <w:r>
        <w:rPr>
          <w:rFonts w:hint="eastAsia"/>
          <w:color w:val="auto"/>
        </w:rPr>
        <w:t>4.4.1 联合体各方应共同与发包人签订合同协议书。联合体各方应为履行合同承担连带责任。</w:t>
      </w:r>
    </w:p>
    <w:p w14:paraId="56ECD4E9">
      <w:pPr>
        <w:spacing w:line="400" w:lineRule="exact"/>
        <w:ind w:firstLine="420" w:firstLineChars="200"/>
        <w:rPr>
          <w:rFonts w:hint="eastAsia"/>
          <w:color w:val="auto"/>
        </w:rPr>
      </w:pPr>
      <w:r>
        <w:rPr>
          <w:rFonts w:hint="eastAsia"/>
          <w:color w:val="auto"/>
        </w:rPr>
        <w:t>4.4.2 联合体协议经发包人确认后作为合同附件。在履行合同过程中，未经发包人同意，不得修改联合体协议。</w:t>
      </w:r>
    </w:p>
    <w:p w14:paraId="2A6A5B7E">
      <w:pPr>
        <w:spacing w:line="400" w:lineRule="exact"/>
        <w:ind w:firstLine="420" w:firstLineChars="200"/>
        <w:rPr>
          <w:rFonts w:hint="eastAsia"/>
          <w:color w:val="auto"/>
        </w:rPr>
      </w:pPr>
      <w:r>
        <w:rPr>
          <w:rFonts w:hint="eastAsia"/>
          <w:color w:val="auto"/>
        </w:rPr>
        <w:t>4.4.3 联合体牵头人负责与发包人和监理人联系，并接受指示，负责组织联合体各成员全面履行合同。</w:t>
      </w:r>
    </w:p>
    <w:p w14:paraId="375DD611">
      <w:pPr>
        <w:pStyle w:val="231"/>
        <w:rPr>
          <w:rFonts w:hint="eastAsia"/>
          <w:color w:val="auto"/>
        </w:rPr>
      </w:pPr>
      <w:bookmarkStart w:id="278" w:name="_Toc144974612"/>
      <w:bookmarkStart w:id="279" w:name="_Toc152045644"/>
      <w:bookmarkStart w:id="280" w:name="_Toc179632662"/>
      <w:bookmarkStart w:id="281" w:name="_Toc152042422"/>
      <w:r>
        <w:rPr>
          <w:rFonts w:hint="eastAsia"/>
          <w:color w:val="auto"/>
        </w:rPr>
        <w:t>4.5 承包人项目经理</w:t>
      </w:r>
      <w:bookmarkEnd w:id="278"/>
      <w:bookmarkEnd w:id="279"/>
      <w:bookmarkEnd w:id="280"/>
      <w:bookmarkEnd w:id="281"/>
    </w:p>
    <w:p w14:paraId="7B2F4A12">
      <w:pPr>
        <w:spacing w:line="400" w:lineRule="exact"/>
        <w:ind w:firstLine="420" w:firstLineChars="200"/>
        <w:rPr>
          <w:rFonts w:hint="eastAsia"/>
          <w:color w:val="auto"/>
        </w:rPr>
      </w:pPr>
      <w:r>
        <w:rPr>
          <w:rFonts w:hint="eastAsia"/>
          <w:color w:val="auto"/>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509C1501">
      <w:pPr>
        <w:spacing w:line="400" w:lineRule="exact"/>
        <w:ind w:firstLine="420" w:firstLineChars="200"/>
        <w:rPr>
          <w:rFonts w:hint="eastAsia"/>
          <w:color w:val="auto"/>
        </w:rPr>
      </w:pPr>
      <w:r>
        <w:rPr>
          <w:rFonts w:hint="eastAsia"/>
          <w:color w:val="auto"/>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BBE1448">
      <w:pPr>
        <w:spacing w:line="400" w:lineRule="exact"/>
        <w:ind w:firstLine="420" w:firstLineChars="200"/>
        <w:rPr>
          <w:rFonts w:hint="eastAsia"/>
          <w:color w:val="auto"/>
        </w:rPr>
      </w:pPr>
      <w:r>
        <w:rPr>
          <w:rFonts w:hint="eastAsia"/>
          <w:color w:val="auto"/>
        </w:rPr>
        <w:t>4.5.3承包人为履行合同发出的一切函件均应盖有承包人授权的施工场地管理机构章，并由承包人项目经理或其授权代表签字。</w:t>
      </w:r>
    </w:p>
    <w:p w14:paraId="403B0496">
      <w:pPr>
        <w:spacing w:line="400" w:lineRule="exact"/>
        <w:ind w:firstLine="420" w:firstLineChars="200"/>
        <w:rPr>
          <w:rFonts w:hint="eastAsia"/>
          <w:color w:val="auto"/>
        </w:rPr>
      </w:pPr>
      <w:r>
        <w:rPr>
          <w:rFonts w:hint="eastAsia"/>
          <w:color w:val="auto"/>
        </w:rPr>
        <w:t>4.5.4 承包人项目经理可以授权其下属人员履行其某项职责，但事先应将这些人员的姓名和授权范围通知监理人。</w:t>
      </w:r>
    </w:p>
    <w:p w14:paraId="284FC905">
      <w:pPr>
        <w:pStyle w:val="231"/>
        <w:rPr>
          <w:rFonts w:hint="eastAsia"/>
          <w:color w:val="auto"/>
        </w:rPr>
      </w:pPr>
      <w:bookmarkStart w:id="282" w:name="_Toc144974613"/>
      <w:bookmarkStart w:id="283" w:name="_Toc179632663"/>
      <w:bookmarkStart w:id="284" w:name="_Toc152042423"/>
      <w:bookmarkStart w:id="285" w:name="_Toc152045645"/>
      <w:r>
        <w:rPr>
          <w:rFonts w:hint="eastAsia"/>
          <w:color w:val="auto"/>
        </w:rPr>
        <w:t>4.6 承包人人员的管理</w:t>
      </w:r>
      <w:bookmarkEnd w:id="282"/>
      <w:bookmarkEnd w:id="283"/>
      <w:bookmarkEnd w:id="284"/>
      <w:bookmarkEnd w:id="285"/>
    </w:p>
    <w:p w14:paraId="697DCF74">
      <w:pPr>
        <w:spacing w:line="400" w:lineRule="exact"/>
        <w:ind w:firstLine="420" w:firstLineChars="200"/>
        <w:rPr>
          <w:rFonts w:hint="eastAsia"/>
          <w:color w:val="auto"/>
        </w:rPr>
      </w:pPr>
      <w:r>
        <w:rPr>
          <w:rFonts w:hint="eastAsia"/>
          <w:color w:val="auto"/>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D6A6953">
      <w:pPr>
        <w:spacing w:line="400" w:lineRule="exact"/>
        <w:ind w:firstLine="420" w:firstLineChars="200"/>
        <w:rPr>
          <w:rFonts w:hint="eastAsia"/>
          <w:color w:val="auto"/>
        </w:rPr>
      </w:pPr>
      <w:r>
        <w:rPr>
          <w:rFonts w:hint="eastAsia"/>
          <w:color w:val="auto"/>
        </w:rPr>
        <w:t>4.6.2 为完成合同约定的各项工作，承包人应向施工场地派遣或雇佣足够数量的下列人员：</w:t>
      </w:r>
    </w:p>
    <w:p w14:paraId="125114AC">
      <w:pPr>
        <w:spacing w:line="400" w:lineRule="exact"/>
        <w:ind w:firstLine="718" w:firstLineChars="342"/>
        <w:rPr>
          <w:rFonts w:hint="eastAsia"/>
          <w:color w:val="auto"/>
        </w:rPr>
      </w:pPr>
      <w:r>
        <w:rPr>
          <w:rFonts w:hint="eastAsia"/>
          <w:color w:val="auto"/>
        </w:rPr>
        <w:t>（1）具有相应资格的专业技工和合格的普工；</w:t>
      </w:r>
    </w:p>
    <w:p w14:paraId="034ADD26">
      <w:pPr>
        <w:spacing w:line="400" w:lineRule="exact"/>
        <w:ind w:firstLine="718" w:firstLineChars="342"/>
        <w:rPr>
          <w:rFonts w:hint="eastAsia"/>
          <w:color w:val="auto"/>
        </w:rPr>
      </w:pPr>
      <w:r>
        <w:rPr>
          <w:rFonts w:hint="eastAsia"/>
          <w:color w:val="auto"/>
        </w:rPr>
        <w:t>（2）具有相应施工经验的技术人员；</w:t>
      </w:r>
    </w:p>
    <w:p w14:paraId="726FF9BB">
      <w:pPr>
        <w:spacing w:line="400" w:lineRule="exact"/>
        <w:ind w:firstLine="718" w:firstLineChars="342"/>
        <w:rPr>
          <w:rFonts w:hint="eastAsia"/>
          <w:color w:val="auto"/>
        </w:rPr>
      </w:pPr>
      <w:r>
        <w:rPr>
          <w:rFonts w:hint="eastAsia"/>
          <w:color w:val="auto"/>
        </w:rPr>
        <w:t>（3）具有相应岗位资格的各级管理人员。</w:t>
      </w:r>
    </w:p>
    <w:p w14:paraId="3219BA93">
      <w:pPr>
        <w:spacing w:line="400" w:lineRule="exact"/>
        <w:ind w:firstLine="420" w:firstLineChars="200"/>
        <w:rPr>
          <w:rFonts w:hint="eastAsia"/>
          <w:color w:val="auto"/>
        </w:rPr>
      </w:pPr>
      <w:r>
        <w:rPr>
          <w:rFonts w:hint="eastAsia"/>
          <w:color w:val="auto"/>
        </w:rPr>
        <w:t>4.6.3 承包人安排在施工场地的主要管理人员和技术骨干应相对稳定。承包人更换主要管理人员和技术骨干时，应取得监理人的同意。</w:t>
      </w:r>
    </w:p>
    <w:p w14:paraId="782F6C80">
      <w:pPr>
        <w:spacing w:line="400" w:lineRule="exact"/>
        <w:ind w:firstLine="420" w:firstLineChars="200"/>
        <w:rPr>
          <w:rFonts w:hint="eastAsia"/>
          <w:color w:val="auto"/>
        </w:rPr>
      </w:pPr>
      <w:r>
        <w:rPr>
          <w:rFonts w:hint="eastAsia"/>
          <w:color w:val="auto"/>
        </w:rPr>
        <w:t>4.6.4 特殊岗位的工作人员均应持有相应的资格证明，监理人有权随时检查。监理人认为有必要时，可进行现场考核。</w:t>
      </w:r>
    </w:p>
    <w:p w14:paraId="554FC9F4">
      <w:pPr>
        <w:pStyle w:val="231"/>
        <w:rPr>
          <w:rFonts w:hint="eastAsia"/>
          <w:color w:val="auto"/>
        </w:rPr>
      </w:pPr>
      <w:bookmarkStart w:id="286" w:name="_Toc179632664"/>
      <w:bookmarkStart w:id="287" w:name="_Toc152045646"/>
      <w:bookmarkStart w:id="288" w:name="_Toc152042424"/>
      <w:bookmarkStart w:id="289" w:name="_Toc144974614"/>
      <w:r>
        <w:rPr>
          <w:rFonts w:hint="eastAsia"/>
          <w:color w:val="auto"/>
        </w:rPr>
        <w:t>4.7 撤换承包人项目经理和其他人员</w:t>
      </w:r>
      <w:bookmarkEnd w:id="286"/>
      <w:bookmarkEnd w:id="287"/>
      <w:bookmarkEnd w:id="288"/>
      <w:bookmarkEnd w:id="289"/>
    </w:p>
    <w:p w14:paraId="196C6A44">
      <w:pPr>
        <w:spacing w:line="400" w:lineRule="exact"/>
        <w:ind w:firstLine="420" w:firstLineChars="200"/>
        <w:rPr>
          <w:rFonts w:hint="eastAsia"/>
          <w:color w:val="auto"/>
        </w:rPr>
      </w:pPr>
      <w:r>
        <w:rPr>
          <w:rFonts w:hint="eastAsia"/>
          <w:color w:val="auto"/>
        </w:rPr>
        <w:t>承包人应对其项目经理和其他人员进行有效管理。监理人要求撤换不能胜任本职工作、行为不端或玩忽职守的承包人项目经理和其他人员的，承包人应予以撤换。</w:t>
      </w:r>
    </w:p>
    <w:p w14:paraId="5FD2B962">
      <w:pPr>
        <w:pStyle w:val="231"/>
        <w:rPr>
          <w:rFonts w:hint="eastAsia"/>
          <w:color w:val="auto"/>
        </w:rPr>
      </w:pPr>
      <w:bookmarkStart w:id="290" w:name="_Toc144974615"/>
      <w:bookmarkStart w:id="291" w:name="_Toc152042425"/>
      <w:bookmarkStart w:id="292" w:name="_Toc179632665"/>
      <w:bookmarkStart w:id="293" w:name="_Toc152045647"/>
      <w:r>
        <w:rPr>
          <w:rFonts w:hint="eastAsia"/>
          <w:color w:val="auto"/>
        </w:rPr>
        <w:t>4.8 保障承包人人员的合法权益</w:t>
      </w:r>
      <w:bookmarkEnd w:id="290"/>
      <w:bookmarkEnd w:id="291"/>
      <w:bookmarkEnd w:id="292"/>
      <w:bookmarkEnd w:id="293"/>
    </w:p>
    <w:p w14:paraId="65DBFCCD">
      <w:pPr>
        <w:spacing w:line="400" w:lineRule="exact"/>
        <w:ind w:firstLine="420" w:firstLineChars="200"/>
        <w:rPr>
          <w:rFonts w:hint="eastAsia"/>
          <w:color w:val="auto"/>
        </w:rPr>
      </w:pPr>
      <w:r>
        <w:rPr>
          <w:rFonts w:hint="eastAsia"/>
          <w:color w:val="auto"/>
        </w:rPr>
        <w:t>4.8.1 承包人应与其雇佣的人员签订劳动合同，并按时发放工资。</w:t>
      </w:r>
    </w:p>
    <w:p w14:paraId="5F8BF14A">
      <w:pPr>
        <w:spacing w:line="400" w:lineRule="exact"/>
        <w:ind w:firstLine="420" w:firstLineChars="200"/>
        <w:rPr>
          <w:rFonts w:hint="eastAsia"/>
          <w:color w:val="auto"/>
        </w:rPr>
      </w:pPr>
      <w:r>
        <w:rPr>
          <w:rFonts w:hint="eastAsia"/>
          <w:color w:val="auto"/>
        </w:rPr>
        <w:t>4.8.2 承包人应按劳动法的规定安排工作时间，保证其雇佣人员享有休息和休假的权利。因工程施工的特殊需要占用休假日或延长工作时间的，应不超过法律规定的限度，并按法律规定给予补休或付酬。</w:t>
      </w:r>
    </w:p>
    <w:p w14:paraId="1CCD9D4D">
      <w:pPr>
        <w:spacing w:line="400" w:lineRule="exact"/>
        <w:ind w:firstLine="420" w:firstLineChars="200"/>
        <w:rPr>
          <w:rFonts w:hint="eastAsia"/>
          <w:color w:val="auto"/>
        </w:rPr>
      </w:pPr>
      <w:r>
        <w:rPr>
          <w:rFonts w:hint="eastAsia"/>
          <w:color w:val="auto"/>
        </w:rPr>
        <w:t>4.8.3 承包人应为其雇佣人员提供必要的食宿条件，以及符合环境保护和卫生要求的生活环境，在远离城镇的施工场地，还应配备必要的伤病防治和急救的医务人员与医疗设施。</w:t>
      </w:r>
    </w:p>
    <w:p w14:paraId="2C79916F">
      <w:pPr>
        <w:spacing w:line="400" w:lineRule="exact"/>
        <w:ind w:firstLine="420" w:firstLineChars="200"/>
        <w:rPr>
          <w:rFonts w:hint="eastAsia"/>
          <w:color w:val="auto"/>
        </w:rPr>
      </w:pPr>
      <w:r>
        <w:rPr>
          <w:rFonts w:hint="eastAsia"/>
          <w:color w:va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17C4AFC">
      <w:pPr>
        <w:spacing w:line="400" w:lineRule="exact"/>
        <w:ind w:firstLine="420" w:firstLineChars="200"/>
        <w:rPr>
          <w:rFonts w:hint="eastAsia"/>
          <w:color w:val="auto"/>
        </w:rPr>
      </w:pPr>
      <w:r>
        <w:rPr>
          <w:rFonts w:hint="eastAsia"/>
          <w:color w:val="auto"/>
        </w:rPr>
        <w:t>4.8.5 承包人应按有关法律规定和合同约定，为其雇佣人员办理保险。</w:t>
      </w:r>
    </w:p>
    <w:p w14:paraId="263D6BD9">
      <w:pPr>
        <w:spacing w:line="400" w:lineRule="exact"/>
        <w:ind w:firstLine="420" w:firstLineChars="200"/>
        <w:rPr>
          <w:rFonts w:hint="eastAsia"/>
          <w:color w:val="auto"/>
        </w:rPr>
      </w:pPr>
      <w:r>
        <w:rPr>
          <w:rFonts w:hint="eastAsia"/>
          <w:color w:val="auto"/>
        </w:rPr>
        <w:t>4.8.6 承包人应负责处理其雇佣人员因工伤亡事故的善后事宜。</w:t>
      </w:r>
    </w:p>
    <w:p w14:paraId="65FF59A8">
      <w:pPr>
        <w:pStyle w:val="231"/>
        <w:rPr>
          <w:rFonts w:hint="eastAsia"/>
          <w:color w:val="auto"/>
        </w:rPr>
      </w:pPr>
      <w:bookmarkStart w:id="294" w:name="_Toc152042426"/>
      <w:bookmarkStart w:id="295" w:name="_Toc179632666"/>
      <w:bookmarkStart w:id="296" w:name="_Toc152045648"/>
      <w:bookmarkStart w:id="297" w:name="_Toc144974616"/>
      <w:r>
        <w:rPr>
          <w:rFonts w:hint="eastAsia"/>
          <w:color w:val="auto"/>
        </w:rPr>
        <w:t>4.9 工程价款应专款专用</w:t>
      </w:r>
      <w:bookmarkEnd w:id="294"/>
      <w:bookmarkEnd w:id="295"/>
      <w:bookmarkEnd w:id="296"/>
      <w:bookmarkEnd w:id="297"/>
    </w:p>
    <w:p w14:paraId="2571F852">
      <w:pPr>
        <w:spacing w:line="400" w:lineRule="exact"/>
        <w:ind w:firstLine="420" w:firstLineChars="200"/>
        <w:rPr>
          <w:rFonts w:hint="eastAsia"/>
          <w:color w:val="auto"/>
        </w:rPr>
      </w:pPr>
      <w:r>
        <w:rPr>
          <w:rFonts w:hint="eastAsia"/>
          <w:color w:val="auto"/>
        </w:rPr>
        <w:t>发包人按合同约定支付给承包人的各项价款应专用于合同工程。</w:t>
      </w:r>
    </w:p>
    <w:p w14:paraId="07DB2788">
      <w:pPr>
        <w:pStyle w:val="231"/>
        <w:rPr>
          <w:rFonts w:hint="eastAsia"/>
          <w:color w:val="auto"/>
        </w:rPr>
      </w:pPr>
      <w:bookmarkStart w:id="298" w:name="_Toc179632667"/>
      <w:bookmarkStart w:id="299" w:name="_Toc152045649"/>
      <w:bookmarkStart w:id="300" w:name="_Toc144974617"/>
      <w:bookmarkStart w:id="301" w:name="_Toc152042427"/>
      <w:r>
        <w:rPr>
          <w:rFonts w:hint="eastAsia"/>
          <w:color w:val="auto"/>
        </w:rPr>
        <w:t>4.10 承包人现场查勘</w:t>
      </w:r>
      <w:bookmarkEnd w:id="298"/>
      <w:bookmarkEnd w:id="299"/>
      <w:bookmarkEnd w:id="300"/>
      <w:bookmarkEnd w:id="301"/>
      <w:r>
        <w:rPr>
          <w:rFonts w:hint="eastAsia"/>
          <w:color w:val="auto"/>
        </w:rPr>
        <w:t xml:space="preserve">                                                                                                           </w:t>
      </w:r>
    </w:p>
    <w:p w14:paraId="580E83D2">
      <w:pPr>
        <w:spacing w:line="400" w:lineRule="exact"/>
        <w:ind w:firstLine="420" w:firstLineChars="200"/>
        <w:rPr>
          <w:rFonts w:hint="eastAsia"/>
          <w:color w:val="auto"/>
        </w:rPr>
      </w:pPr>
      <w:r>
        <w:rPr>
          <w:rFonts w:hint="eastAsia"/>
          <w:color w:val="auto"/>
        </w:rPr>
        <w:t>4.10.1 发包人应将其持有的现场地质勘探资料、水文气象资料提供给承包人，并对其准确性负责。但承包人应对其阅读上述有关资料后所作出的解释和推断负责。</w:t>
      </w:r>
    </w:p>
    <w:p w14:paraId="4B4F6D58">
      <w:pPr>
        <w:spacing w:line="400" w:lineRule="exact"/>
        <w:ind w:firstLine="420" w:firstLineChars="200"/>
        <w:rPr>
          <w:rFonts w:hint="eastAsia"/>
          <w:color w:val="auto"/>
        </w:rPr>
      </w:pPr>
      <w:r>
        <w:rPr>
          <w:rFonts w:hint="eastAsia"/>
          <w:color w:va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7D742D26">
      <w:pPr>
        <w:pStyle w:val="231"/>
        <w:rPr>
          <w:rFonts w:hint="eastAsia"/>
          <w:color w:val="auto"/>
        </w:rPr>
      </w:pPr>
      <w:bookmarkStart w:id="302" w:name="_Toc152045650"/>
      <w:bookmarkStart w:id="303" w:name="_Toc179632668"/>
      <w:bookmarkStart w:id="304" w:name="_Toc152042428"/>
      <w:bookmarkStart w:id="305" w:name="_Toc144974618"/>
      <w:r>
        <w:rPr>
          <w:rFonts w:hint="eastAsia"/>
          <w:color w:val="auto"/>
        </w:rPr>
        <w:t>4.11 不利物质条件</w:t>
      </w:r>
      <w:bookmarkEnd w:id="302"/>
      <w:bookmarkEnd w:id="303"/>
      <w:bookmarkEnd w:id="304"/>
      <w:bookmarkEnd w:id="305"/>
    </w:p>
    <w:p w14:paraId="65E8AA68">
      <w:pPr>
        <w:spacing w:line="400" w:lineRule="exact"/>
        <w:ind w:firstLine="420" w:firstLineChars="200"/>
        <w:rPr>
          <w:rFonts w:hint="eastAsia"/>
          <w:color w:val="auto"/>
        </w:rPr>
      </w:pPr>
      <w:r>
        <w:rPr>
          <w:rFonts w:hint="eastAsia"/>
          <w:color w:val="auto"/>
        </w:rPr>
        <w:t>4.11.1 不利物质条件，除专用合同条款另有约定外，是指承包人在施工场地遇到的不可预见的自然物质条件、非自然的物质障碍和污染物，包括地下和水文条件，但不包括气候条件。</w:t>
      </w:r>
    </w:p>
    <w:p w14:paraId="721C4024">
      <w:pPr>
        <w:spacing w:line="400" w:lineRule="exact"/>
        <w:ind w:firstLine="420" w:firstLineChars="200"/>
        <w:rPr>
          <w:rFonts w:hint="eastAsia"/>
          <w:color w:val="auto"/>
        </w:rPr>
      </w:pPr>
      <w:r>
        <w:rPr>
          <w:rFonts w:hint="eastAsia"/>
          <w:color w:val="auto"/>
        </w:rPr>
        <w:t>4.11.2 承包人遇到不利物质条件时，应采取适应不利物质条件的合理措施继续施工，并及时通知监理人。监理人应当及时发出指示，指示构成变更的，按第15</w:t>
      </w:r>
      <w:r>
        <w:rPr>
          <w:rFonts w:hint="eastAsia"/>
          <w:color w:val="auto"/>
          <w:lang w:eastAsia="zh-CN"/>
        </w:rPr>
        <w:t>条</w:t>
      </w:r>
      <w:r>
        <w:rPr>
          <w:rFonts w:hint="eastAsia"/>
          <w:color w:val="auto"/>
        </w:rPr>
        <w:t>规定办理。监理人没有发出指示的，承包人因采取合理措施而增加的费用和（或）工期延误，由发包人承担。</w:t>
      </w:r>
    </w:p>
    <w:p w14:paraId="7B38DBDC">
      <w:pPr>
        <w:pStyle w:val="224"/>
        <w:rPr>
          <w:rFonts w:hint="eastAsia"/>
          <w:color w:val="auto"/>
        </w:rPr>
      </w:pPr>
      <w:bookmarkStart w:id="306" w:name="_Toc152045651"/>
      <w:bookmarkStart w:id="307" w:name="_Toc179632669"/>
      <w:bookmarkStart w:id="308" w:name="_Toc152042429"/>
      <w:bookmarkStart w:id="309" w:name="_Toc144974619"/>
      <w:r>
        <w:rPr>
          <w:rFonts w:hint="eastAsia"/>
          <w:color w:val="auto"/>
        </w:rPr>
        <w:t>5. 材料和工程设备</w:t>
      </w:r>
      <w:bookmarkEnd w:id="306"/>
      <w:bookmarkEnd w:id="307"/>
      <w:bookmarkEnd w:id="308"/>
      <w:bookmarkEnd w:id="309"/>
    </w:p>
    <w:p w14:paraId="09B1B6E6">
      <w:pPr>
        <w:pStyle w:val="231"/>
        <w:rPr>
          <w:rFonts w:hint="eastAsia"/>
          <w:color w:val="auto"/>
        </w:rPr>
      </w:pPr>
      <w:r>
        <w:rPr>
          <w:rFonts w:hint="eastAsia"/>
          <w:color w:val="auto"/>
        </w:rPr>
        <w:t>5.1 承包人提供的材料和工程设备</w:t>
      </w:r>
    </w:p>
    <w:p w14:paraId="46E7462C">
      <w:pPr>
        <w:spacing w:line="400" w:lineRule="exact"/>
        <w:ind w:firstLine="420" w:firstLineChars="200"/>
        <w:rPr>
          <w:rFonts w:hint="eastAsia"/>
          <w:color w:val="auto"/>
        </w:rPr>
      </w:pPr>
      <w:r>
        <w:rPr>
          <w:rFonts w:hint="eastAsia"/>
          <w:color w:val="auto"/>
        </w:rPr>
        <w:t>5.1.1 除专用合同条款另有约定外，承包人提供的材料和工程设备均由承包人负责采购、运输和保管。承包人应对其采购的材料和工程设备负责。</w:t>
      </w:r>
    </w:p>
    <w:p w14:paraId="1AF771CA">
      <w:pPr>
        <w:spacing w:line="400" w:lineRule="exact"/>
        <w:ind w:firstLine="420" w:firstLineChars="200"/>
        <w:rPr>
          <w:rFonts w:hint="eastAsia"/>
          <w:color w:val="auto"/>
        </w:rPr>
      </w:pPr>
      <w:r>
        <w:rPr>
          <w:rFonts w:hint="eastAsia"/>
          <w:color w:va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0C15BE5">
      <w:pPr>
        <w:spacing w:line="400" w:lineRule="exact"/>
        <w:ind w:firstLine="420" w:firstLineChars="200"/>
        <w:rPr>
          <w:rFonts w:hint="eastAsia"/>
          <w:color w:val="auto"/>
        </w:rPr>
      </w:pPr>
      <w:r>
        <w:rPr>
          <w:rFonts w:hint="eastAsia"/>
          <w:color w:val="auto"/>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7CD9E339">
      <w:pPr>
        <w:pStyle w:val="231"/>
        <w:rPr>
          <w:rFonts w:hint="eastAsia"/>
          <w:color w:val="auto"/>
        </w:rPr>
      </w:pPr>
      <w:bookmarkStart w:id="310" w:name="_Toc152042431"/>
      <w:bookmarkStart w:id="311" w:name="_Toc179632671"/>
      <w:bookmarkStart w:id="312" w:name="_Toc144974621"/>
      <w:bookmarkStart w:id="313" w:name="_Toc152045653"/>
      <w:r>
        <w:rPr>
          <w:rFonts w:hint="eastAsia"/>
          <w:color w:val="auto"/>
        </w:rPr>
        <w:t>5.2 发包人提供的材料和工程设备</w:t>
      </w:r>
      <w:bookmarkEnd w:id="310"/>
      <w:bookmarkEnd w:id="311"/>
      <w:bookmarkEnd w:id="312"/>
      <w:bookmarkEnd w:id="313"/>
    </w:p>
    <w:p w14:paraId="4A95E1A4">
      <w:pPr>
        <w:spacing w:line="400" w:lineRule="exact"/>
        <w:ind w:firstLine="420" w:firstLineChars="200"/>
        <w:rPr>
          <w:rFonts w:hint="eastAsia"/>
          <w:color w:val="auto"/>
        </w:rPr>
      </w:pPr>
      <w:r>
        <w:rPr>
          <w:rFonts w:hint="eastAsia"/>
          <w:color w:val="auto"/>
        </w:rPr>
        <w:t>5.2.1 发包人提供的材料和工程设备，应在专用合同条款中写明材料和工程设备的名称、规格、数量、价格、交货方式、交货地点和计划交货日期等。</w:t>
      </w:r>
    </w:p>
    <w:p w14:paraId="02B8B868">
      <w:pPr>
        <w:spacing w:line="400" w:lineRule="exact"/>
        <w:ind w:firstLine="420" w:firstLineChars="200"/>
        <w:rPr>
          <w:rFonts w:hint="eastAsia"/>
          <w:color w:val="auto"/>
        </w:rPr>
      </w:pPr>
      <w:r>
        <w:rPr>
          <w:rFonts w:hint="eastAsia"/>
          <w:color w:val="auto"/>
        </w:rPr>
        <w:t>5.2.2 承包人应根据合同进度计划的安排，向监理人报送要求发包人交货的日期计划。发包人应按照监理人与合同双方当事人商定的交货日期，向承包人提交材料和工程设备。</w:t>
      </w:r>
    </w:p>
    <w:p w14:paraId="0A16E918">
      <w:pPr>
        <w:spacing w:line="400" w:lineRule="exact"/>
        <w:ind w:firstLine="420" w:firstLineChars="200"/>
        <w:rPr>
          <w:rFonts w:hint="eastAsia"/>
          <w:color w:val="auto"/>
        </w:rPr>
      </w:pPr>
      <w:r>
        <w:rPr>
          <w:rFonts w:hint="eastAsia"/>
          <w:color w:val="auto"/>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1469FFFF">
      <w:pPr>
        <w:spacing w:line="400" w:lineRule="exact"/>
        <w:ind w:firstLine="420" w:firstLineChars="200"/>
        <w:rPr>
          <w:rFonts w:hint="eastAsia"/>
          <w:color w:val="auto"/>
        </w:rPr>
      </w:pPr>
      <w:r>
        <w:rPr>
          <w:rFonts w:hint="eastAsia"/>
          <w:color w:val="auto"/>
        </w:rPr>
        <w:t xml:space="preserve">5.2.4 发包人要求向承包人提前交货的，承包人不得拒绝，但发包人应承担承包人由此增加的费用。 </w:t>
      </w:r>
    </w:p>
    <w:p w14:paraId="21D53E01">
      <w:pPr>
        <w:spacing w:line="400" w:lineRule="exact"/>
        <w:ind w:firstLine="420" w:firstLineChars="200"/>
        <w:rPr>
          <w:rFonts w:hint="eastAsia"/>
          <w:color w:val="auto"/>
        </w:rPr>
      </w:pPr>
      <w:r>
        <w:rPr>
          <w:rFonts w:hint="eastAsia"/>
          <w:color w:val="auto"/>
        </w:rPr>
        <w:t xml:space="preserve">5.2.5 承包人要求更改交货日期或地点的，应事先报请监理人批准。由于承包人要求更改交货时间或地点所增加的费用和（或）工期延误由承包人承担。 </w:t>
      </w:r>
    </w:p>
    <w:p w14:paraId="4BABBD97">
      <w:pPr>
        <w:spacing w:line="400" w:lineRule="exact"/>
        <w:ind w:firstLine="420" w:firstLineChars="200"/>
        <w:rPr>
          <w:rFonts w:hint="eastAsia"/>
          <w:color w:val="auto"/>
        </w:rPr>
      </w:pPr>
      <w:r>
        <w:rPr>
          <w:rFonts w:hint="eastAsia"/>
          <w:color w:va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67B796FF">
      <w:pPr>
        <w:pStyle w:val="231"/>
        <w:rPr>
          <w:rFonts w:hint="eastAsia"/>
          <w:color w:val="auto"/>
        </w:rPr>
      </w:pPr>
      <w:bookmarkStart w:id="314" w:name="_Toc152042432"/>
      <w:bookmarkStart w:id="315" w:name="_Toc144974622"/>
      <w:bookmarkStart w:id="316" w:name="_Toc152045654"/>
      <w:bookmarkStart w:id="317" w:name="_Toc179632672"/>
      <w:r>
        <w:rPr>
          <w:rFonts w:hint="eastAsia"/>
          <w:color w:val="auto"/>
        </w:rPr>
        <w:t>5.3 材料和工程设备专用于合同工程</w:t>
      </w:r>
      <w:bookmarkEnd w:id="314"/>
      <w:bookmarkEnd w:id="315"/>
      <w:bookmarkEnd w:id="316"/>
      <w:bookmarkEnd w:id="317"/>
    </w:p>
    <w:p w14:paraId="4346D1D1">
      <w:pPr>
        <w:spacing w:line="400" w:lineRule="exact"/>
        <w:ind w:firstLine="420" w:firstLineChars="200"/>
        <w:rPr>
          <w:rFonts w:hint="eastAsia"/>
          <w:color w:val="auto"/>
        </w:rPr>
      </w:pPr>
      <w:r>
        <w:rPr>
          <w:rFonts w:hint="eastAsia"/>
          <w:color w:val="auto"/>
        </w:rPr>
        <w:t>5.3.1运入施工场地的材料、工程设备，包括备品备件、安装专用工器具与随机资料，必须专用于合同工程，未经监理人同意，承包人不得运出施工场地或挪作他用。</w:t>
      </w:r>
    </w:p>
    <w:p w14:paraId="3ADAB549">
      <w:pPr>
        <w:spacing w:line="400" w:lineRule="exact"/>
        <w:ind w:firstLine="420" w:firstLineChars="200"/>
        <w:rPr>
          <w:rFonts w:hint="eastAsia"/>
          <w:color w:val="auto"/>
        </w:rPr>
      </w:pPr>
      <w:r>
        <w:rPr>
          <w:rFonts w:hint="eastAsia"/>
          <w:color w:va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8FBD217">
      <w:pPr>
        <w:pStyle w:val="231"/>
        <w:rPr>
          <w:rFonts w:hint="eastAsia"/>
          <w:color w:val="auto"/>
        </w:rPr>
      </w:pPr>
      <w:bookmarkStart w:id="318" w:name="_Toc152045655"/>
      <w:bookmarkStart w:id="319" w:name="_Toc179632673"/>
      <w:bookmarkStart w:id="320" w:name="_Toc152042433"/>
      <w:bookmarkStart w:id="321" w:name="_Toc144974623"/>
      <w:r>
        <w:rPr>
          <w:rFonts w:hint="eastAsia"/>
          <w:color w:val="auto"/>
        </w:rPr>
        <w:t>5.4 禁止使用不合格的材料和工程设备</w:t>
      </w:r>
      <w:bookmarkEnd w:id="318"/>
      <w:bookmarkEnd w:id="319"/>
      <w:bookmarkEnd w:id="320"/>
      <w:bookmarkEnd w:id="321"/>
    </w:p>
    <w:p w14:paraId="34EF48EA">
      <w:pPr>
        <w:spacing w:line="400" w:lineRule="exact"/>
        <w:ind w:firstLine="420" w:firstLineChars="200"/>
        <w:rPr>
          <w:rFonts w:hint="eastAsia"/>
          <w:color w:val="auto"/>
        </w:rPr>
      </w:pPr>
      <w:r>
        <w:rPr>
          <w:rFonts w:hint="eastAsia"/>
          <w:color w:val="auto"/>
        </w:rPr>
        <w:t>5.4.1 监理人有权拒绝承包人提供的不合格材料或工程设备，并要求承包人立即进行更换。监理人应在更换后再次进行检查和检验，由此增加的费用和（或）工期延误由承包人承担。</w:t>
      </w:r>
    </w:p>
    <w:p w14:paraId="7E14AF8D">
      <w:pPr>
        <w:spacing w:line="400" w:lineRule="exact"/>
        <w:ind w:firstLine="420" w:firstLineChars="200"/>
        <w:rPr>
          <w:rFonts w:hint="eastAsia"/>
          <w:color w:val="auto"/>
        </w:rPr>
      </w:pPr>
      <w:r>
        <w:rPr>
          <w:rFonts w:hint="eastAsia"/>
          <w:color w:val="auto"/>
        </w:rPr>
        <w:t>5.4.2 监理人发现承包人使用了不合格的材料和工程设备，应及时发出指示要求承包人立即改正，并禁止在工程中继续使用不合格的材料和工程设备。</w:t>
      </w:r>
    </w:p>
    <w:p w14:paraId="1A99CD47">
      <w:pPr>
        <w:spacing w:line="400" w:lineRule="exact"/>
        <w:ind w:firstLine="420" w:firstLineChars="200"/>
        <w:rPr>
          <w:rFonts w:hint="eastAsia"/>
          <w:color w:val="auto"/>
        </w:rPr>
      </w:pPr>
      <w:r>
        <w:rPr>
          <w:rFonts w:hint="eastAsia"/>
          <w:color w:val="auto"/>
        </w:rPr>
        <w:t>5.4.3 发包人提供的材料或工程设备不符合合同要求的，承包人有权拒绝，并可要求发包人更换，由此增加的费用和（或）工期延误由发包人承担。</w:t>
      </w:r>
    </w:p>
    <w:p w14:paraId="00C9E3BF">
      <w:pPr>
        <w:pStyle w:val="224"/>
        <w:rPr>
          <w:rFonts w:hint="eastAsia"/>
          <w:color w:val="auto"/>
        </w:rPr>
      </w:pPr>
      <w:bookmarkStart w:id="322" w:name="_Toc152042434"/>
      <w:bookmarkStart w:id="323" w:name="_Toc152045656"/>
      <w:bookmarkStart w:id="324" w:name="_Toc144974624"/>
      <w:bookmarkStart w:id="325" w:name="_Toc179632674"/>
      <w:r>
        <w:rPr>
          <w:rFonts w:hint="eastAsia"/>
          <w:color w:val="auto"/>
        </w:rPr>
        <w:t>6. 施工设备和临时设施</w:t>
      </w:r>
      <w:bookmarkEnd w:id="322"/>
      <w:bookmarkEnd w:id="323"/>
      <w:bookmarkEnd w:id="324"/>
      <w:bookmarkEnd w:id="325"/>
    </w:p>
    <w:p w14:paraId="40D297F7">
      <w:pPr>
        <w:pStyle w:val="231"/>
        <w:rPr>
          <w:rFonts w:hint="eastAsia"/>
          <w:color w:val="auto"/>
        </w:rPr>
      </w:pPr>
      <w:bookmarkStart w:id="326" w:name="_Toc144974625"/>
      <w:bookmarkStart w:id="327" w:name="_Toc179632675"/>
      <w:bookmarkStart w:id="328" w:name="_Toc152045657"/>
      <w:bookmarkStart w:id="329" w:name="_Toc152042435"/>
      <w:r>
        <w:rPr>
          <w:rFonts w:hint="eastAsia"/>
          <w:color w:val="auto"/>
        </w:rPr>
        <w:t>6.1 承包人提供的施工设备和临时设施</w:t>
      </w:r>
      <w:bookmarkEnd w:id="326"/>
      <w:bookmarkEnd w:id="327"/>
      <w:bookmarkEnd w:id="328"/>
      <w:bookmarkEnd w:id="329"/>
    </w:p>
    <w:p w14:paraId="3B14F300">
      <w:pPr>
        <w:spacing w:line="400" w:lineRule="exact"/>
        <w:ind w:firstLine="420" w:firstLineChars="200"/>
        <w:rPr>
          <w:rFonts w:hint="eastAsia"/>
          <w:color w:val="auto"/>
        </w:rPr>
      </w:pPr>
      <w:r>
        <w:rPr>
          <w:rFonts w:hint="eastAsia"/>
          <w:color w:val="auto"/>
        </w:rPr>
        <w:t>6.1.1 承包人应按合同进度计划的要求，及时配置施工设备和修建临时设施。进入施工场地的承包人设备需经监理人核查后才能投入使用。承包人更换合同约定的承包人设备的，应报监理人批准。</w:t>
      </w:r>
    </w:p>
    <w:p w14:paraId="4F454554">
      <w:pPr>
        <w:spacing w:line="400" w:lineRule="exact"/>
        <w:ind w:firstLine="420" w:firstLineChars="200"/>
        <w:rPr>
          <w:rFonts w:hint="eastAsia"/>
          <w:color w:val="auto"/>
        </w:rPr>
      </w:pPr>
      <w:r>
        <w:rPr>
          <w:rFonts w:hint="eastAsia"/>
          <w:color w:val="auto"/>
        </w:rPr>
        <w:t>6.1.2除专用合同条款另有约定外，承包人应自行承担修建临时设施的费用，需要临时占地的，应由发包人办理申请手续并承担相应费用。</w:t>
      </w:r>
    </w:p>
    <w:p w14:paraId="78F0238B">
      <w:pPr>
        <w:pStyle w:val="231"/>
        <w:rPr>
          <w:rFonts w:hint="eastAsia"/>
          <w:color w:val="auto"/>
        </w:rPr>
      </w:pPr>
      <w:bookmarkStart w:id="330" w:name="_Toc152045658"/>
      <w:bookmarkStart w:id="331" w:name="_Toc152042436"/>
      <w:bookmarkStart w:id="332" w:name="_Toc144974626"/>
      <w:bookmarkStart w:id="333" w:name="_Toc179632676"/>
      <w:r>
        <w:rPr>
          <w:rFonts w:hint="eastAsia"/>
          <w:color w:val="auto"/>
        </w:rPr>
        <w:t>6.2 发包人提供的施工设备和临时设施</w:t>
      </w:r>
      <w:bookmarkEnd w:id="330"/>
      <w:bookmarkEnd w:id="331"/>
      <w:bookmarkEnd w:id="332"/>
      <w:bookmarkEnd w:id="333"/>
    </w:p>
    <w:p w14:paraId="024B1244">
      <w:pPr>
        <w:spacing w:line="400" w:lineRule="exact"/>
        <w:ind w:firstLine="420" w:firstLineChars="200"/>
        <w:rPr>
          <w:rFonts w:hint="eastAsia"/>
          <w:color w:val="auto"/>
        </w:rPr>
      </w:pPr>
      <w:r>
        <w:rPr>
          <w:rFonts w:hint="eastAsia"/>
          <w:color w:val="auto"/>
        </w:rPr>
        <w:t>发包人提供的施工设备或临时设施在专用合同条款中约定。</w:t>
      </w:r>
    </w:p>
    <w:p w14:paraId="2826C26D">
      <w:pPr>
        <w:pStyle w:val="231"/>
        <w:rPr>
          <w:rFonts w:hint="eastAsia"/>
          <w:color w:val="auto"/>
        </w:rPr>
      </w:pPr>
      <w:bookmarkStart w:id="334" w:name="_Toc152045659"/>
      <w:bookmarkStart w:id="335" w:name="_Toc144974627"/>
      <w:bookmarkStart w:id="336" w:name="_Toc179632677"/>
      <w:bookmarkStart w:id="337" w:name="_Toc152042437"/>
      <w:r>
        <w:rPr>
          <w:rFonts w:hint="eastAsia"/>
          <w:color w:val="auto"/>
        </w:rPr>
        <w:t>6.3 要求承包人增加或更换施工设备</w:t>
      </w:r>
      <w:bookmarkEnd w:id="334"/>
      <w:bookmarkEnd w:id="335"/>
      <w:bookmarkEnd w:id="336"/>
      <w:bookmarkEnd w:id="337"/>
    </w:p>
    <w:p w14:paraId="61BE9F0E">
      <w:pPr>
        <w:spacing w:line="400" w:lineRule="exact"/>
        <w:ind w:firstLine="420" w:firstLineChars="200"/>
        <w:rPr>
          <w:rFonts w:hint="eastAsia"/>
          <w:color w:val="auto"/>
        </w:rPr>
      </w:pPr>
      <w:r>
        <w:rPr>
          <w:rFonts w:hint="eastAsia"/>
          <w:color w:val="auto"/>
        </w:rPr>
        <w:t>承包人使用的施工设备不能满足合同进度计划和（或）质量要求时，监理人有权要求承包人增加或更换施工设备，承包人应及时增加或更换，由此增加的费用和（或）工期延误由承包人承担。</w:t>
      </w:r>
    </w:p>
    <w:p w14:paraId="1265D5F5">
      <w:pPr>
        <w:pStyle w:val="231"/>
        <w:rPr>
          <w:rFonts w:hint="eastAsia"/>
          <w:color w:val="auto"/>
        </w:rPr>
      </w:pPr>
      <w:bookmarkStart w:id="338" w:name="_Toc179632678"/>
      <w:bookmarkStart w:id="339" w:name="_Toc152045660"/>
      <w:bookmarkStart w:id="340" w:name="_Toc144974628"/>
      <w:bookmarkStart w:id="341" w:name="_Toc152042438"/>
      <w:r>
        <w:rPr>
          <w:rFonts w:hint="eastAsia"/>
          <w:color w:val="auto"/>
        </w:rPr>
        <w:t>6.4 施工设备和临时设施专用于合同工程</w:t>
      </w:r>
      <w:bookmarkEnd w:id="338"/>
      <w:bookmarkEnd w:id="339"/>
      <w:bookmarkEnd w:id="340"/>
      <w:bookmarkEnd w:id="341"/>
    </w:p>
    <w:p w14:paraId="1D73555B">
      <w:pPr>
        <w:spacing w:line="400" w:lineRule="exact"/>
        <w:ind w:firstLine="420" w:firstLineChars="200"/>
        <w:rPr>
          <w:rFonts w:hint="eastAsia"/>
          <w:color w:val="auto"/>
        </w:rPr>
      </w:pPr>
      <w:r>
        <w:rPr>
          <w:rFonts w:hint="eastAsia"/>
          <w:color w:val="auto"/>
        </w:rPr>
        <w:t>6.4.1除合同另有约定外，运入施工场地的所有施工设备以及在施工场地建设的临时设施应专用于合同工程。未经监理人同意，不得将上述施工设备和临时设施中的任何部分运出施工场地或挪作他用。</w:t>
      </w:r>
    </w:p>
    <w:p w14:paraId="2AF4A009">
      <w:pPr>
        <w:spacing w:line="400" w:lineRule="exact"/>
        <w:ind w:firstLine="420" w:firstLineChars="200"/>
        <w:rPr>
          <w:rFonts w:hint="eastAsia"/>
          <w:color w:val="auto"/>
        </w:rPr>
      </w:pPr>
      <w:r>
        <w:rPr>
          <w:rFonts w:hint="eastAsia"/>
          <w:color w:val="auto"/>
        </w:rPr>
        <w:t>6.4.2 经监理人同意，承包人可根据合同进度计划撤走闲置的施工设备。</w:t>
      </w:r>
    </w:p>
    <w:p w14:paraId="0EBD9CBE">
      <w:pPr>
        <w:pStyle w:val="224"/>
        <w:rPr>
          <w:rFonts w:hint="eastAsia"/>
          <w:color w:val="auto"/>
        </w:rPr>
      </w:pPr>
      <w:bookmarkStart w:id="342" w:name="_Toc152042439"/>
      <w:bookmarkStart w:id="343" w:name="_Toc179632679"/>
      <w:bookmarkStart w:id="344" w:name="_Toc152045661"/>
      <w:bookmarkStart w:id="345" w:name="_Toc144974629"/>
      <w:r>
        <w:rPr>
          <w:rFonts w:hint="eastAsia"/>
          <w:color w:val="auto"/>
        </w:rPr>
        <w:t>7. 交通运输</w:t>
      </w:r>
      <w:bookmarkEnd w:id="342"/>
      <w:bookmarkEnd w:id="343"/>
      <w:bookmarkEnd w:id="344"/>
      <w:bookmarkEnd w:id="345"/>
    </w:p>
    <w:p w14:paraId="33D7288D">
      <w:pPr>
        <w:pStyle w:val="231"/>
        <w:rPr>
          <w:rFonts w:hint="eastAsia"/>
          <w:color w:val="auto"/>
        </w:rPr>
      </w:pPr>
      <w:bookmarkStart w:id="346" w:name="_Toc144974630"/>
      <w:bookmarkStart w:id="347" w:name="_Toc152042440"/>
      <w:bookmarkStart w:id="348" w:name="_Toc152045662"/>
      <w:bookmarkStart w:id="349" w:name="_Toc179632680"/>
      <w:r>
        <w:rPr>
          <w:rFonts w:hint="eastAsia"/>
          <w:color w:val="auto"/>
        </w:rPr>
        <w:t>7.1 道路通行权和场外设施</w:t>
      </w:r>
      <w:bookmarkEnd w:id="346"/>
      <w:bookmarkEnd w:id="347"/>
      <w:bookmarkEnd w:id="348"/>
      <w:bookmarkEnd w:id="349"/>
    </w:p>
    <w:p w14:paraId="0730514E">
      <w:pPr>
        <w:spacing w:line="400" w:lineRule="exact"/>
        <w:ind w:firstLine="420" w:firstLineChars="200"/>
        <w:rPr>
          <w:rFonts w:hint="eastAsia"/>
          <w:color w:val="auto"/>
        </w:rPr>
      </w:pPr>
      <w:r>
        <w:rPr>
          <w:rFonts w:hint="eastAsia"/>
          <w:color w:val="auto"/>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54FDA59">
      <w:pPr>
        <w:pStyle w:val="231"/>
        <w:rPr>
          <w:rFonts w:hint="eastAsia"/>
          <w:color w:val="auto"/>
        </w:rPr>
      </w:pPr>
      <w:bookmarkStart w:id="350" w:name="_Toc152045663"/>
      <w:bookmarkStart w:id="351" w:name="_Toc179632681"/>
      <w:bookmarkStart w:id="352" w:name="_Toc144974631"/>
      <w:bookmarkStart w:id="353" w:name="_Toc152042441"/>
      <w:r>
        <w:rPr>
          <w:rFonts w:hint="eastAsia"/>
          <w:color w:val="auto"/>
        </w:rPr>
        <w:t>7.2 场内施工道路</w:t>
      </w:r>
      <w:bookmarkEnd w:id="350"/>
      <w:bookmarkEnd w:id="351"/>
      <w:bookmarkEnd w:id="352"/>
      <w:bookmarkEnd w:id="353"/>
    </w:p>
    <w:p w14:paraId="0841DE8F">
      <w:pPr>
        <w:spacing w:line="400" w:lineRule="exact"/>
        <w:ind w:firstLine="420" w:firstLineChars="200"/>
        <w:rPr>
          <w:rFonts w:hint="eastAsia"/>
          <w:color w:val="auto"/>
        </w:rPr>
      </w:pPr>
      <w:r>
        <w:rPr>
          <w:rFonts w:hint="eastAsia"/>
          <w:color w:val="auto"/>
        </w:rPr>
        <w:t>7.2.1 除专用合同条款另有约定外，承包人应负责修建、维修、养护和管理施工所需的临时道路和交通设施，包括维修、养护和管理发包人提供的道路和交通设施，并承担相应费用。</w:t>
      </w:r>
    </w:p>
    <w:p w14:paraId="1574C62D">
      <w:pPr>
        <w:spacing w:line="400" w:lineRule="exact"/>
        <w:ind w:firstLine="420" w:firstLineChars="200"/>
        <w:rPr>
          <w:rFonts w:hint="eastAsia"/>
          <w:color w:val="auto"/>
        </w:rPr>
      </w:pPr>
      <w:r>
        <w:rPr>
          <w:rFonts w:hint="eastAsia"/>
          <w:color w:val="auto"/>
        </w:rPr>
        <w:t>7.2.2 除专用合同条款另有约定外，承包人修建的临时道路和交通设施应免费提供发包人和监理人使用。</w:t>
      </w:r>
    </w:p>
    <w:p w14:paraId="4F7A6C53">
      <w:pPr>
        <w:pStyle w:val="231"/>
        <w:rPr>
          <w:rFonts w:hint="eastAsia"/>
          <w:color w:val="auto"/>
        </w:rPr>
      </w:pPr>
      <w:bookmarkStart w:id="354" w:name="_Toc152045664"/>
      <w:bookmarkStart w:id="355" w:name="_Toc179632682"/>
      <w:bookmarkStart w:id="356" w:name="_Toc144974632"/>
      <w:bookmarkStart w:id="357" w:name="_Toc152042442"/>
      <w:r>
        <w:rPr>
          <w:rFonts w:hint="eastAsia"/>
          <w:color w:val="auto"/>
        </w:rPr>
        <w:t>7.3 场外交通</w:t>
      </w:r>
      <w:bookmarkEnd w:id="354"/>
      <w:bookmarkEnd w:id="355"/>
      <w:bookmarkEnd w:id="356"/>
      <w:bookmarkEnd w:id="357"/>
    </w:p>
    <w:p w14:paraId="589EECD3">
      <w:pPr>
        <w:spacing w:line="400" w:lineRule="exact"/>
        <w:ind w:firstLine="420" w:firstLineChars="200"/>
        <w:rPr>
          <w:rFonts w:hint="eastAsia"/>
          <w:color w:val="auto"/>
        </w:rPr>
      </w:pPr>
      <w:r>
        <w:rPr>
          <w:rFonts w:hint="eastAsia"/>
          <w:color w:val="auto"/>
        </w:rPr>
        <w:t>7.3.1 承包人车辆外出行驶所需的场外公共道路的通行费、养路费和税款等由承包人承担。</w:t>
      </w:r>
    </w:p>
    <w:p w14:paraId="6DEC5119">
      <w:pPr>
        <w:spacing w:line="400" w:lineRule="exact"/>
        <w:ind w:firstLine="420" w:firstLineChars="200"/>
        <w:rPr>
          <w:rFonts w:hint="eastAsia"/>
          <w:color w:val="auto"/>
        </w:rPr>
      </w:pPr>
      <w:r>
        <w:rPr>
          <w:rFonts w:hint="eastAsia"/>
          <w:color w:val="auto"/>
        </w:rPr>
        <w:t>7.3.2 承包人应遵守有关交通法规，严格按照道路和桥梁的限制荷重安全行驶，并服从交通管理部门的检查和监督。</w:t>
      </w:r>
    </w:p>
    <w:p w14:paraId="2978B6B7">
      <w:pPr>
        <w:pStyle w:val="231"/>
        <w:rPr>
          <w:rFonts w:hint="eastAsia"/>
          <w:color w:val="auto"/>
        </w:rPr>
      </w:pPr>
      <w:bookmarkStart w:id="358" w:name="_Toc179632683"/>
      <w:bookmarkStart w:id="359" w:name="_Toc144974633"/>
      <w:bookmarkStart w:id="360" w:name="_Toc152045665"/>
      <w:bookmarkStart w:id="361" w:name="_Toc152042443"/>
      <w:r>
        <w:rPr>
          <w:rFonts w:hint="eastAsia"/>
          <w:color w:val="auto"/>
        </w:rPr>
        <w:t>7.4 超大件和超重件的运输</w:t>
      </w:r>
      <w:bookmarkEnd w:id="358"/>
      <w:bookmarkEnd w:id="359"/>
      <w:bookmarkEnd w:id="360"/>
      <w:bookmarkEnd w:id="361"/>
    </w:p>
    <w:p w14:paraId="09DFD3D0">
      <w:pPr>
        <w:spacing w:line="400" w:lineRule="exact"/>
        <w:ind w:firstLine="420" w:firstLineChars="200"/>
        <w:rPr>
          <w:rFonts w:hint="eastAsia"/>
          <w:color w:val="auto"/>
        </w:rPr>
      </w:pPr>
      <w:r>
        <w:rPr>
          <w:rFonts w:hint="eastAsia"/>
          <w:color w:va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8D94634">
      <w:pPr>
        <w:pStyle w:val="231"/>
        <w:rPr>
          <w:rFonts w:hint="eastAsia"/>
          <w:color w:val="auto"/>
        </w:rPr>
      </w:pPr>
      <w:bookmarkStart w:id="362" w:name="_Toc179632684"/>
      <w:bookmarkStart w:id="363" w:name="_Toc152042444"/>
      <w:bookmarkStart w:id="364" w:name="_Toc152045666"/>
      <w:bookmarkStart w:id="365" w:name="_Toc144974634"/>
      <w:r>
        <w:rPr>
          <w:rFonts w:hint="eastAsia"/>
          <w:color w:val="auto"/>
        </w:rPr>
        <w:t>7.5 道路和桥梁的损坏责任</w:t>
      </w:r>
      <w:bookmarkEnd w:id="362"/>
      <w:bookmarkEnd w:id="363"/>
      <w:bookmarkEnd w:id="364"/>
      <w:bookmarkEnd w:id="365"/>
    </w:p>
    <w:p w14:paraId="5F05ACCC">
      <w:pPr>
        <w:spacing w:line="400" w:lineRule="exact"/>
        <w:ind w:firstLine="420" w:firstLineChars="200"/>
        <w:rPr>
          <w:rFonts w:hint="eastAsia"/>
          <w:color w:val="auto"/>
        </w:rPr>
      </w:pPr>
      <w:r>
        <w:rPr>
          <w:rFonts w:hint="eastAsia"/>
          <w:color w:val="auto"/>
        </w:rPr>
        <w:t>因承包人运输造成施工场地内外公共道路和桥梁损坏的，由承包人承担修复损坏的全部费用和可能引起的赔偿。</w:t>
      </w:r>
    </w:p>
    <w:p w14:paraId="77AAF76B">
      <w:pPr>
        <w:pStyle w:val="231"/>
        <w:rPr>
          <w:rFonts w:hint="eastAsia"/>
          <w:color w:val="auto"/>
        </w:rPr>
      </w:pPr>
      <w:bookmarkStart w:id="366" w:name="_Toc144974635"/>
      <w:bookmarkStart w:id="367" w:name="_Toc179632685"/>
      <w:bookmarkStart w:id="368" w:name="_Toc152042445"/>
      <w:bookmarkStart w:id="369" w:name="_Toc152045667"/>
      <w:r>
        <w:rPr>
          <w:rFonts w:hint="eastAsia"/>
          <w:color w:val="auto"/>
        </w:rPr>
        <w:t>7.6 水路和航空运输</w:t>
      </w:r>
      <w:bookmarkEnd w:id="366"/>
      <w:bookmarkEnd w:id="367"/>
      <w:bookmarkEnd w:id="368"/>
      <w:bookmarkEnd w:id="369"/>
    </w:p>
    <w:p w14:paraId="63C04D72">
      <w:pPr>
        <w:spacing w:line="400" w:lineRule="exact"/>
        <w:ind w:firstLine="420" w:firstLineChars="200"/>
        <w:rPr>
          <w:rFonts w:hint="eastAsia"/>
          <w:color w:val="auto"/>
        </w:rPr>
      </w:pPr>
      <w:r>
        <w:rPr>
          <w:rFonts w:hint="eastAsia"/>
          <w:color w:val="auto"/>
        </w:rPr>
        <w:t xml:space="preserve">本条上述各款的内容适用于水路运输和航空运输，其中“道路”一词的含义包括河道、航线、船闸、机场、码头、堤防以及水路或航空运输中其他相似结构物；“车辆”一词的含义包括船舶和飞机等。 </w:t>
      </w:r>
    </w:p>
    <w:p w14:paraId="4A7B7642">
      <w:pPr>
        <w:pStyle w:val="224"/>
        <w:rPr>
          <w:rFonts w:hint="eastAsia"/>
          <w:color w:val="auto"/>
        </w:rPr>
      </w:pPr>
      <w:bookmarkStart w:id="370" w:name="_Toc179632686"/>
      <w:bookmarkStart w:id="371" w:name="_Toc152042446"/>
      <w:bookmarkStart w:id="372" w:name="_Toc152045668"/>
      <w:bookmarkStart w:id="373" w:name="_Toc144974636"/>
      <w:r>
        <w:rPr>
          <w:rFonts w:hint="eastAsia"/>
          <w:color w:val="auto"/>
        </w:rPr>
        <w:t>8. 测量放线</w:t>
      </w:r>
      <w:bookmarkEnd w:id="370"/>
      <w:bookmarkEnd w:id="371"/>
      <w:bookmarkEnd w:id="372"/>
      <w:bookmarkEnd w:id="373"/>
    </w:p>
    <w:p w14:paraId="4D63F34E">
      <w:pPr>
        <w:pStyle w:val="231"/>
        <w:rPr>
          <w:rFonts w:hint="eastAsia"/>
          <w:color w:val="auto"/>
        </w:rPr>
      </w:pPr>
      <w:bookmarkStart w:id="374" w:name="_Toc144974637"/>
      <w:bookmarkStart w:id="375" w:name="_Toc152045669"/>
      <w:bookmarkStart w:id="376" w:name="_Toc152042447"/>
      <w:bookmarkStart w:id="377" w:name="_Toc179632687"/>
      <w:r>
        <w:rPr>
          <w:rFonts w:hint="eastAsia"/>
          <w:color w:val="auto"/>
        </w:rPr>
        <w:t>8.1 施工控制网</w:t>
      </w:r>
      <w:bookmarkEnd w:id="374"/>
      <w:bookmarkEnd w:id="375"/>
      <w:bookmarkEnd w:id="376"/>
      <w:bookmarkEnd w:id="377"/>
    </w:p>
    <w:p w14:paraId="4868317F">
      <w:pPr>
        <w:spacing w:line="400" w:lineRule="exact"/>
        <w:ind w:firstLine="420" w:firstLineChars="200"/>
        <w:rPr>
          <w:rFonts w:hint="eastAsia"/>
          <w:color w:val="auto"/>
        </w:rPr>
      </w:pPr>
      <w:r>
        <w:rPr>
          <w:rFonts w:hint="eastAsia"/>
          <w:color w:val="auto"/>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5E00D49F">
      <w:pPr>
        <w:spacing w:line="400" w:lineRule="exact"/>
        <w:ind w:firstLine="420" w:firstLineChars="200"/>
        <w:rPr>
          <w:rFonts w:hint="eastAsia"/>
          <w:color w:val="auto"/>
        </w:rPr>
      </w:pPr>
      <w:r>
        <w:rPr>
          <w:rFonts w:hint="eastAsia"/>
          <w:color w:val="auto"/>
        </w:rPr>
        <w:t>8.1.2承包人应负责管理施工控制网点。施工控制网点丢失或损坏的，承包人应及时修复。承包人应承担施工控制网点的管理与修复费用，并在工程竣工后将施工控制网点移交发包人。</w:t>
      </w:r>
    </w:p>
    <w:p w14:paraId="5F5E9A0E">
      <w:pPr>
        <w:pStyle w:val="231"/>
        <w:rPr>
          <w:rFonts w:hint="eastAsia"/>
          <w:color w:val="auto"/>
        </w:rPr>
      </w:pPr>
      <w:bookmarkStart w:id="378" w:name="_Toc152042448"/>
      <w:bookmarkStart w:id="379" w:name="_Toc152045670"/>
      <w:bookmarkStart w:id="380" w:name="_Toc179632688"/>
      <w:bookmarkStart w:id="381" w:name="_Toc144974638"/>
      <w:r>
        <w:rPr>
          <w:rFonts w:hint="eastAsia"/>
          <w:color w:val="auto"/>
        </w:rPr>
        <w:t>8.2 施工测量</w:t>
      </w:r>
      <w:bookmarkEnd w:id="378"/>
      <w:bookmarkEnd w:id="379"/>
      <w:bookmarkEnd w:id="380"/>
      <w:bookmarkEnd w:id="381"/>
    </w:p>
    <w:p w14:paraId="54FAC869">
      <w:pPr>
        <w:spacing w:line="400" w:lineRule="exact"/>
        <w:ind w:firstLine="420" w:firstLineChars="200"/>
        <w:rPr>
          <w:rFonts w:hint="eastAsia"/>
          <w:color w:val="auto"/>
        </w:rPr>
      </w:pPr>
      <w:r>
        <w:rPr>
          <w:rFonts w:hint="eastAsia"/>
          <w:color w:val="auto"/>
        </w:rPr>
        <w:t>8.2.1承包人应负责施工过程中的全部施工测量放线工作，并配置合格的人员、仪器、设备和其他物品。</w:t>
      </w:r>
    </w:p>
    <w:p w14:paraId="75BDB288">
      <w:pPr>
        <w:spacing w:line="400" w:lineRule="exact"/>
        <w:ind w:firstLine="420" w:firstLineChars="200"/>
        <w:rPr>
          <w:rFonts w:hint="eastAsia"/>
          <w:color w:val="auto"/>
        </w:rPr>
      </w:pPr>
      <w:r>
        <w:rPr>
          <w:rFonts w:hint="eastAsia"/>
          <w:color w:val="auto"/>
        </w:rPr>
        <w:t>8.2.2监理人可以指示承包人进行抽样复测，当复测中发现错误或出现超过合同约定的误差时，承包人应按监理人指示进行修正或补测，并承担相应的复测费用。</w:t>
      </w:r>
    </w:p>
    <w:p w14:paraId="769582F2">
      <w:pPr>
        <w:pStyle w:val="231"/>
        <w:rPr>
          <w:rFonts w:hint="eastAsia"/>
          <w:color w:val="auto"/>
        </w:rPr>
      </w:pPr>
      <w:bookmarkStart w:id="382" w:name="_Toc144974639"/>
      <w:bookmarkStart w:id="383" w:name="_Toc179632689"/>
      <w:bookmarkStart w:id="384" w:name="_Toc152045671"/>
      <w:bookmarkStart w:id="385" w:name="_Toc152042449"/>
      <w:r>
        <w:rPr>
          <w:rFonts w:hint="eastAsia"/>
          <w:color w:val="auto"/>
        </w:rPr>
        <w:t>8.3 基准资料错误的责任</w:t>
      </w:r>
      <w:bookmarkEnd w:id="382"/>
      <w:bookmarkEnd w:id="383"/>
      <w:bookmarkEnd w:id="384"/>
      <w:bookmarkEnd w:id="385"/>
    </w:p>
    <w:p w14:paraId="416A9BA9">
      <w:pPr>
        <w:spacing w:line="400" w:lineRule="exact"/>
        <w:ind w:firstLine="420" w:firstLineChars="200"/>
        <w:rPr>
          <w:rFonts w:hint="eastAsia"/>
          <w:color w:val="auto"/>
        </w:rPr>
      </w:pPr>
      <w:r>
        <w:rPr>
          <w:rFonts w:hint="eastAsia"/>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1355A21">
      <w:pPr>
        <w:pStyle w:val="231"/>
        <w:rPr>
          <w:rFonts w:hint="eastAsia"/>
          <w:color w:val="auto"/>
        </w:rPr>
      </w:pPr>
      <w:bookmarkStart w:id="386" w:name="_Toc152042450"/>
      <w:bookmarkStart w:id="387" w:name="_Toc179632690"/>
      <w:bookmarkStart w:id="388" w:name="_Toc144974640"/>
      <w:bookmarkStart w:id="389" w:name="_Toc152045672"/>
      <w:r>
        <w:rPr>
          <w:rFonts w:hint="eastAsia"/>
          <w:color w:val="auto"/>
        </w:rPr>
        <w:t>8.4 监理人使用施工控制网</w:t>
      </w:r>
      <w:bookmarkEnd w:id="386"/>
      <w:bookmarkEnd w:id="387"/>
      <w:bookmarkEnd w:id="388"/>
      <w:bookmarkEnd w:id="389"/>
    </w:p>
    <w:p w14:paraId="2CD5B2AE">
      <w:pPr>
        <w:spacing w:line="400" w:lineRule="exact"/>
        <w:ind w:firstLine="420" w:firstLineChars="200"/>
        <w:rPr>
          <w:rFonts w:hint="eastAsia"/>
          <w:dstrike/>
          <w:color w:val="auto"/>
          <w:szCs w:val="21"/>
        </w:rPr>
      </w:pPr>
      <w:r>
        <w:rPr>
          <w:rFonts w:hint="eastAsia"/>
          <w:color w:val="auto"/>
        </w:rPr>
        <w:t>监理人需要使用施工控制网的，承包人应提供必要的协助，发包人不再为此支付费用。</w:t>
      </w:r>
    </w:p>
    <w:p w14:paraId="317476D4">
      <w:pPr>
        <w:pStyle w:val="224"/>
        <w:rPr>
          <w:rFonts w:hint="eastAsia"/>
          <w:color w:val="auto"/>
        </w:rPr>
      </w:pPr>
      <w:bookmarkStart w:id="390" w:name="_Toc144974641"/>
      <w:bookmarkStart w:id="391" w:name="_Toc152045673"/>
      <w:bookmarkStart w:id="392" w:name="_Toc152042451"/>
      <w:bookmarkStart w:id="393" w:name="_Toc179632691"/>
      <w:r>
        <w:rPr>
          <w:rFonts w:hint="eastAsia"/>
          <w:color w:val="auto"/>
        </w:rPr>
        <w:t>9. 施工安全、治安保卫和环境保护</w:t>
      </w:r>
      <w:bookmarkEnd w:id="390"/>
      <w:bookmarkEnd w:id="391"/>
      <w:bookmarkEnd w:id="392"/>
      <w:bookmarkEnd w:id="393"/>
    </w:p>
    <w:p w14:paraId="6EAFA27C">
      <w:pPr>
        <w:pStyle w:val="231"/>
        <w:rPr>
          <w:rFonts w:hint="eastAsia"/>
          <w:color w:val="auto"/>
        </w:rPr>
      </w:pPr>
      <w:bookmarkStart w:id="394" w:name="_Toc152045674"/>
      <w:bookmarkStart w:id="395" w:name="_Toc179632692"/>
      <w:bookmarkStart w:id="396" w:name="_Toc152042452"/>
      <w:bookmarkStart w:id="397" w:name="_Toc144974642"/>
      <w:r>
        <w:rPr>
          <w:rFonts w:hint="eastAsia"/>
          <w:color w:val="auto"/>
        </w:rPr>
        <w:t>9.1 发包人的施工安全责任</w:t>
      </w:r>
      <w:bookmarkEnd w:id="394"/>
      <w:bookmarkEnd w:id="395"/>
      <w:bookmarkEnd w:id="396"/>
      <w:bookmarkEnd w:id="397"/>
    </w:p>
    <w:p w14:paraId="50E5ADDA">
      <w:pPr>
        <w:spacing w:line="400" w:lineRule="exact"/>
        <w:ind w:firstLine="420" w:firstLineChars="200"/>
        <w:rPr>
          <w:rFonts w:hint="eastAsia"/>
          <w:color w:val="auto"/>
        </w:rPr>
      </w:pPr>
      <w:r>
        <w:rPr>
          <w:rFonts w:hint="eastAsia"/>
          <w:color w:val="auto"/>
        </w:rPr>
        <w:t>9.1.1 发包人应按合同约定履行安全职责，授权监理人按合同约定的安全工作内容监督、检查承包人安全工作的实施，组织承包人和有关单位进行安全检查。</w:t>
      </w:r>
    </w:p>
    <w:p w14:paraId="11B16AA5">
      <w:pPr>
        <w:spacing w:line="400" w:lineRule="exact"/>
        <w:ind w:firstLine="420" w:firstLineChars="200"/>
        <w:rPr>
          <w:rFonts w:hint="eastAsia"/>
          <w:color w:val="auto"/>
        </w:rPr>
      </w:pPr>
      <w:r>
        <w:rPr>
          <w:rFonts w:hint="eastAsia"/>
          <w:color w:val="auto"/>
        </w:rPr>
        <w:t>9.1.2 发包人应对其现场机构雇佣的全部人员的工伤事故承担责任，但由于承包人原因造成发包人人员工伤的，应由承包人承担责任。</w:t>
      </w:r>
    </w:p>
    <w:p w14:paraId="24C5C22A">
      <w:pPr>
        <w:spacing w:line="400" w:lineRule="exact"/>
        <w:ind w:firstLine="420" w:firstLineChars="200"/>
        <w:rPr>
          <w:rFonts w:hint="eastAsia"/>
          <w:color w:val="auto"/>
        </w:rPr>
      </w:pPr>
      <w:r>
        <w:rPr>
          <w:rFonts w:hint="eastAsia"/>
          <w:color w:val="auto"/>
        </w:rPr>
        <w:t>9.1.3 发包人应负责赔偿以下各种情况造成的第三者人身伤亡和财产损失：</w:t>
      </w:r>
    </w:p>
    <w:p w14:paraId="3AF4A1D6">
      <w:pPr>
        <w:spacing w:line="400" w:lineRule="exact"/>
        <w:ind w:firstLine="420" w:firstLineChars="200"/>
        <w:rPr>
          <w:rFonts w:hint="eastAsia"/>
          <w:color w:val="auto"/>
        </w:rPr>
      </w:pPr>
      <w:r>
        <w:rPr>
          <w:rFonts w:hint="eastAsia"/>
          <w:color w:val="auto"/>
        </w:rPr>
        <w:t>（1） 工程或工程的任何部分对土地的占用所造成的第三者财产损失；</w:t>
      </w:r>
    </w:p>
    <w:p w14:paraId="4F267482">
      <w:pPr>
        <w:spacing w:line="400" w:lineRule="exact"/>
        <w:ind w:firstLine="420" w:firstLineChars="200"/>
        <w:rPr>
          <w:rFonts w:hint="eastAsia"/>
          <w:color w:val="auto"/>
        </w:rPr>
      </w:pPr>
      <w:r>
        <w:rPr>
          <w:rFonts w:hint="eastAsia"/>
          <w:color w:val="auto"/>
        </w:rPr>
        <w:t>（2） 由于发包人原因在施工场地及其毗邻地带造成的第三者人身伤亡和财产损失。</w:t>
      </w:r>
    </w:p>
    <w:p w14:paraId="437B01BB">
      <w:pPr>
        <w:pStyle w:val="231"/>
        <w:rPr>
          <w:rFonts w:hint="eastAsia"/>
          <w:color w:val="auto"/>
        </w:rPr>
      </w:pPr>
      <w:bookmarkStart w:id="398" w:name="_Toc179632693"/>
      <w:bookmarkStart w:id="399" w:name="_Toc144974643"/>
      <w:bookmarkStart w:id="400" w:name="_Toc152042453"/>
      <w:bookmarkStart w:id="401" w:name="_Toc152045675"/>
      <w:r>
        <w:rPr>
          <w:rFonts w:hint="eastAsia"/>
          <w:color w:val="auto"/>
        </w:rPr>
        <w:t>9.2 承包人的施工安全责任</w:t>
      </w:r>
      <w:bookmarkEnd w:id="398"/>
      <w:bookmarkEnd w:id="399"/>
      <w:bookmarkEnd w:id="400"/>
      <w:bookmarkEnd w:id="401"/>
    </w:p>
    <w:p w14:paraId="18269A90">
      <w:pPr>
        <w:spacing w:line="400" w:lineRule="exact"/>
        <w:ind w:firstLine="420" w:firstLineChars="200"/>
        <w:rPr>
          <w:rFonts w:hint="eastAsia"/>
          <w:color w:val="auto"/>
        </w:rPr>
      </w:pPr>
      <w:r>
        <w:rPr>
          <w:rFonts w:hint="eastAsia"/>
          <w:color w:val="auto"/>
        </w:rPr>
        <w:t>9.2.1 承包人应按合同约定履行安全职责，执行监理人有关安全工作的指示，并在专用合同条款约定的期限内，按合同约定的安全工作内容，编制施工安全措施计划报送监理人审批。</w:t>
      </w:r>
    </w:p>
    <w:p w14:paraId="417F7678">
      <w:pPr>
        <w:spacing w:line="400" w:lineRule="exact"/>
        <w:ind w:firstLine="420" w:firstLineChars="200"/>
        <w:rPr>
          <w:rFonts w:hint="eastAsia"/>
          <w:color w:val="auto"/>
        </w:rPr>
      </w:pPr>
      <w:r>
        <w:rPr>
          <w:rFonts w:hint="eastAsia"/>
          <w:color w:val="auto"/>
        </w:rPr>
        <w:t>9.2.2 承包人应加强施工作业安全管理，特别应加强易燃、易爆材料、火工器材、有毒与腐蚀性材料和其他危险品的管理，以及对爆破作业和地下工程施工等危险作业的管理。</w:t>
      </w:r>
    </w:p>
    <w:p w14:paraId="34724826">
      <w:pPr>
        <w:spacing w:line="400" w:lineRule="exact"/>
        <w:ind w:firstLine="420" w:firstLineChars="200"/>
        <w:rPr>
          <w:rFonts w:hint="eastAsia"/>
          <w:color w:val="auto"/>
        </w:rPr>
      </w:pPr>
      <w:r>
        <w:rPr>
          <w:rFonts w:hint="eastAsia"/>
          <w:color w:val="auto"/>
        </w:rPr>
        <w:t>9.2.3 承包人应严格按照国家安全标准制定施工安全操作规程，配备必要的安全生产和劳动保护设施，加强对承包人人员的安全教育，并发放安全工作手册和劳动保护用具。</w:t>
      </w:r>
    </w:p>
    <w:p w14:paraId="7081573F">
      <w:pPr>
        <w:spacing w:line="400" w:lineRule="exact"/>
        <w:ind w:firstLine="420" w:firstLineChars="200"/>
        <w:rPr>
          <w:rFonts w:hint="eastAsia"/>
          <w:color w:val="auto"/>
        </w:rPr>
      </w:pPr>
      <w:r>
        <w:rPr>
          <w:rFonts w:hint="eastAsia"/>
          <w:color w:val="auto"/>
        </w:rPr>
        <w:t>9.2.4 承包人应按监理人的指示制定应对灾害的紧急预案，报送监理人审批。承包人还应按预案做好安全检查，配置必要的救助物资和器材，切实保护好有关人员的人身和财产安全。</w:t>
      </w:r>
    </w:p>
    <w:p w14:paraId="3A858610">
      <w:pPr>
        <w:spacing w:line="400" w:lineRule="exact"/>
        <w:ind w:firstLine="420" w:firstLineChars="200"/>
        <w:rPr>
          <w:rFonts w:hint="eastAsia"/>
          <w:color w:val="auto"/>
        </w:rPr>
      </w:pPr>
      <w:r>
        <w:rPr>
          <w:rFonts w:hint="eastAsia"/>
          <w:color w:val="auto"/>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71F314FB">
      <w:pPr>
        <w:spacing w:line="400" w:lineRule="exact"/>
        <w:ind w:firstLine="420" w:firstLineChars="200"/>
        <w:rPr>
          <w:rFonts w:hint="eastAsia"/>
          <w:color w:val="auto"/>
        </w:rPr>
      </w:pPr>
      <w:r>
        <w:rPr>
          <w:rFonts w:hint="eastAsia"/>
          <w:color w:val="auto"/>
        </w:rPr>
        <w:t>9.2.6 承包人应对其履行合同所雇佣的全部人员，包括分包人人员的工伤事故承担责任，但由于发包人原因造成承包人人员工伤事故的，应由发包人承担责任。</w:t>
      </w:r>
    </w:p>
    <w:p w14:paraId="46478E05">
      <w:pPr>
        <w:spacing w:line="400" w:lineRule="exact"/>
        <w:ind w:firstLine="420" w:firstLineChars="200"/>
        <w:rPr>
          <w:rFonts w:hint="eastAsia"/>
          <w:color w:val="auto"/>
        </w:rPr>
      </w:pPr>
      <w:r>
        <w:rPr>
          <w:rFonts w:hint="eastAsia"/>
          <w:color w:val="auto"/>
        </w:rPr>
        <w:t>9.2.7 由于承包人原因在施工场地内及其毗邻地带造成的第三者人员伤亡和财产损失，由承包人负责赔偿。</w:t>
      </w:r>
    </w:p>
    <w:p w14:paraId="7692000B">
      <w:pPr>
        <w:pStyle w:val="231"/>
        <w:rPr>
          <w:rFonts w:hint="eastAsia"/>
          <w:color w:val="auto"/>
        </w:rPr>
      </w:pPr>
      <w:bookmarkStart w:id="402" w:name="_Toc152042454"/>
      <w:bookmarkStart w:id="403" w:name="_Toc152045676"/>
      <w:bookmarkStart w:id="404" w:name="_Toc179632694"/>
      <w:bookmarkStart w:id="405" w:name="_Toc144974644"/>
      <w:r>
        <w:rPr>
          <w:rFonts w:hint="eastAsia"/>
          <w:color w:val="auto"/>
        </w:rPr>
        <w:t>9.3 治安保卫</w:t>
      </w:r>
      <w:bookmarkEnd w:id="402"/>
      <w:bookmarkEnd w:id="403"/>
      <w:bookmarkEnd w:id="404"/>
      <w:bookmarkEnd w:id="405"/>
    </w:p>
    <w:p w14:paraId="7858795F">
      <w:pPr>
        <w:spacing w:line="400" w:lineRule="exact"/>
        <w:ind w:firstLine="420" w:firstLineChars="200"/>
        <w:rPr>
          <w:rFonts w:hint="eastAsia"/>
          <w:color w:val="auto"/>
        </w:rPr>
      </w:pPr>
      <w:r>
        <w:rPr>
          <w:rFonts w:hint="eastAsia"/>
          <w:color w:val="auto"/>
        </w:rPr>
        <w:t>9.3.1 除合同另有约定外，发包人应与当地公安部门协商，在现场建立治安管理机构或联防组织，统一管理施工场地的治安保卫事项，履行合同工程的治安保卫职责。</w:t>
      </w:r>
    </w:p>
    <w:p w14:paraId="26C78138">
      <w:pPr>
        <w:spacing w:line="400" w:lineRule="exact"/>
        <w:ind w:firstLine="420" w:firstLineChars="200"/>
        <w:rPr>
          <w:rFonts w:hint="eastAsia"/>
          <w:color w:val="auto"/>
        </w:rPr>
      </w:pPr>
      <w:r>
        <w:rPr>
          <w:rFonts w:hint="eastAsia"/>
          <w:color w:val="auto"/>
        </w:rPr>
        <w:t>9.3.2 发包人和承包人除应协助现场治安管理机构或联防组织维护施工场地的社会治安外，还应做好包括生活区在内的各自管辖区的治安保卫工作。</w:t>
      </w:r>
    </w:p>
    <w:p w14:paraId="48E049FE">
      <w:pPr>
        <w:spacing w:line="400" w:lineRule="exact"/>
        <w:ind w:firstLine="420" w:firstLineChars="200"/>
        <w:rPr>
          <w:rFonts w:hint="eastAsia"/>
          <w:color w:val="auto"/>
        </w:rPr>
      </w:pPr>
      <w:r>
        <w:rPr>
          <w:rFonts w:hint="eastAsia"/>
          <w:color w:va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6BC10FE7">
      <w:pPr>
        <w:pStyle w:val="231"/>
        <w:rPr>
          <w:rFonts w:hint="eastAsia"/>
          <w:color w:val="auto"/>
        </w:rPr>
      </w:pPr>
      <w:bookmarkStart w:id="406" w:name="_Toc152045677"/>
      <w:bookmarkStart w:id="407" w:name="_Toc179632695"/>
      <w:bookmarkStart w:id="408" w:name="_Toc152042455"/>
      <w:bookmarkStart w:id="409" w:name="_Toc144974645"/>
      <w:r>
        <w:rPr>
          <w:rFonts w:hint="eastAsia"/>
          <w:color w:val="auto"/>
        </w:rPr>
        <w:t>9.4 环境保护</w:t>
      </w:r>
      <w:bookmarkEnd w:id="406"/>
      <w:bookmarkEnd w:id="407"/>
      <w:bookmarkEnd w:id="408"/>
      <w:bookmarkEnd w:id="409"/>
    </w:p>
    <w:p w14:paraId="6DE3EE3D">
      <w:pPr>
        <w:spacing w:line="400" w:lineRule="exact"/>
        <w:ind w:firstLine="420" w:firstLineChars="200"/>
        <w:rPr>
          <w:rFonts w:hint="eastAsia"/>
          <w:color w:val="auto"/>
        </w:rPr>
      </w:pPr>
      <w:r>
        <w:rPr>
          <w:rFonts w:hint="eastAsia"/>
          <w:color w:val="auto"/>
        </w:rPr>
        <w:t>9.4.1 承包人在施工过程中，应遵守有关环境保护的法律，履行合同约定的环境保护义务，并对违反法律和合同约定义务所造成的环境破坏、人身伤害和财产损失负责。</w:t>
      </w:r>
    </w:p>
    <w:p w14:paraId="3C88E640">
      <w:pPr>
        <w:spacing w:line="400" w:lineRule="exact"/>
        <w:ind w:firstLine="420" w:firstLineChars="200"/>
        <w:rPr>
          <w:rFonts w:hint="eastAsia"/>
          <w:color w:val="auto"/>
        </w:rPr>
      </w:pPr>
      <w:r>
        <w:rPr>
          <w:rFonts w:hint="eastAsia"/>
          <w:color w:val="auto"/>
        </w:rPr>
        <w:t>9.4.2 承包人应按合同约定的环保工作内容，编制施工环保措施计划，报送监理人审批。</w:t>
      </w:r>
    </w:p>
    <w:p w14:paraId="63895532">
      <w:pPr>
        <w:spacing w:line="400" w:lineRule="exact"/>
        <w:ind w:firstLine="420" w:firstLineChars="200"/>
        <w:rPr>
          <w:rFonts w:hint="eastAsia"/>
          <w:color w:val="auto"/>
        </w:rPr>
      </w:pPr>
      <w:r>
        <w:rPr>
          <w:rFonts w:hint="eastAsia"/>
          <w:color w:va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65CFA7FC">
      <w:pPr>
        <w:spacing w:line="400" w:lineRule="exact"/>
        <w:ind w:firstLine="420" w:firstLineChars="200"/>
        <w:rPr>
          <w:rFonts w:hint="eastAsia"/>
          <w:color w:val="auto"/>
        </w:rPr>
      </w:pPr>
      <w:r>
        <w:rPr>
          <w:rFonts w:hint="eastAsia"/>
          <w:color w:val="auto"/>
        </w:rPr>
        <w:t>9.4.4 承包人应按合同约定采取有效措施，对施工开挖的边坡及时进行支护，维护排水设施，并进行水土保护，避免因施工造成的地质灾害。</w:t>
      </w:r>
    </w:p>
    <w:p w14:paraId="73E439BB">
      <w:pPr>
        <w:spacing w:line="400" w:lineRule="exact"/>
        <w:ind w:firstLine="420" w:firstLineChars="200"/>
        <w:rPr>
          <w:rFonts w:hint="eastAsia"/>
          <w:color w:val="auto"/>
        </w:rPr>
      </w:pPr>
      <w:r>
        <w:rPr>
          <w:rFonts w:hint="eastAsia"/>
          <w:color w:val="auto"/>
        </w:rPr>
        <w:t>9.4.5 承包人应按国家饮用水管理标准定期对饮用水源进行监测，防止施工活动污染饮用水源。</w:t>
      </w:r>
    </w:p>
    <w:p w14:paraId="0D27C76C">
      <w:pPr>
        <w:spacing w:line="400" w:lineRule="exact"/>
        <w:ind w:firstLine="420" w:firstLineChars="200"/>
        <w:rPr>
          <w:rFonts w:hint="eastAsia"/>
          <w:color w:val="auto"/>
        </w:rPr>
      </w:pPr>
      <w:r>
        <w:rPr>
          <w:rFonts w:hint="eastAsia"/>
          <w:color w:val="auto"/>
        </w:rPr>
        <w:t>9.4.6 承包人应按合同约定，加强对噪声、粉尘、废气、废水和废油的控制，努力降低噪声，控制粉尘和废气浓度，做好废水和废油的治理和排放。</w:t>
      </w:r>
    </w:p>
    <w:p w14:paraId="3B3B8512">
      <w:pPr>
        <w:pStyle w:val="231"/>
        <w:rPr>
          <w:rFonts w:hint="eastAsia"/>
          <w:color w:val="auto"/>
        </w:rPr>
      </w:pPr>
      <w:bookmarkStart w:id="410" w:name="_Toc152045678"/>
      <w:bookmarkStart w:id="411" w:name="_Toc179632696"/>
      <w:bookmarkStart w:id="412" w:name="_Toc152042456"/>
      <w:bookmarkStart w:id="413" w:name="_Toc144974646"/>
      <w:r>
        <w:rPr>
          <w:rFonts w:hint="eastAsia"/>
          <w:color w:val="auto"/>
        </w:rPr>
        <w:t>9.5 事故处理</w:t>
      </w:r>
      <w:bookmarkEnd w:id="410"/>
      <w:bookmarkEnd w:id="411"/>
      <w:bookmarkEnd w:id="412"/>
      <w:bookmarkEnd w:id="413"/>
    </w:p>
    <w:p w14:paraId="67EA94A6">
      <w:pPr>
        <w:spacing w:line="400" w:lineRule="exact"/>
        <w:ind w:firstLine="420" w:firstLineChars="200"/>
        <w:rPr>
          <w:rFonts w:hint="eastAsia"/>
          <w:color w:val="auto"/>
        </w:rPr>
      </w:pPr>
      <w:r>
        <w:rPr>
          <w:rFonts w:hint="eastAsia"/>
          <w:color w:val="auto"/>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14:paraId="118B5A93">
      <w:pPr>
        <w:pStyle w:val="224"/>
        <w:rPr>
          <w:rFonts w:hint="eastAsia"/>
          <w:color w:val="auto"/>
        </w:rPr>
      </w:pPr>
      <w:bookmarkStart w:id="414" w:name="_Toc179632697"/>
      <w:bookmarkStart w:id="415" w:name="_Toc152045679"/>
      <w:bookmarkStart w:id="416" w:name="_Toc152042457"/>
      <w:bookmarkStart w:id="417" w:name="_Toc144974647"/>
      <w:r>
        <w:rPr>
          <w:rFonts w:hint="eastAsia"/>
          <w:color w:val="auto"/>
        </w:rPr>
        <w:t>10. 进度计划</w:t>
      </w:r>
      <w:bookmarkEnd w:id="414"/>
      <w:bookmarkEnd w:id="415"/>
      <w:bookmarkEnd w:id="416"/>
      <w:bookmarkEnd w:id="417"/>
    </w:p>
    <w:p w14:paraId="5F6F2BD9">
      <w:pPr>
        <w:pStyle w:val="231"/>
        <w:rPr>
          <w:rFonts w:hint="eastAsia"/>
          <w:color w:val="auto"/>
        </w:rPr>
      </w:pPr>
      <w:bookmarkStart w:id="418" w:name="_Toc152045680"/>
      <w:bookmarkStart w:id="419" w:name="_Toc179632698"/>
      <w:bookmarkStart w:id="420" w:name="_Toc144974648"/>
      <w:bookmarkStart w:id="421" w:name="_Toc152042458"/>
      <w:r>
        <w:rPr>
          <w:rFonts w:hint="eastAsia"/>
          <w:color w:val="auto"/>
        </w:rPr>
        <w:t>10.1 合同进度计划</w:t>
      </w:r>
      <w:bookmarkEnd w:id="418"/>
      <w:bookmarkEnd w:id="419"/>
      <w:bookmarkEnd w:id="420"/>
      <w:bookmarkEnd w:id="421"/>
    </w:p>
    <w:p w14:paraId="420392A1">
      <w:pPr>
        <w:spacing w:line="400" w:lineRule="exact"/>
        <w:ind w:firstLine="420" w:firstLineChars="200"/>
        <w:rPr>
          <w:rFonts w:hint="eastAsia"/>
          <w:color w:val="auto"/>
        </w:rPr>
      </w:pPr>
      <w:r>
        <w:rPr>
          <w:rFonts w:hint="eastAsia"/>
          <w:color w:val="auto"/>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628C15EE">
      <w:pPr>
        <w:pStyle w:val="231"/>
        <w:rPr>
          <w:rFonts w:hint="eastAsia"/>
          <w:color w:val="auto"/>
        </w:rPr>
      </w:pPr>
      <w:bookmarkStart w:id="422" w:name="_Toc152045681"/>
      <w:bookmarkStart w:id="423" w:name="_Toc144974649"/>
      <w:bookmarkStart w:id="424" w:name="_Toc179632699"/>
      <w:bookmarkStart w:id="425" w:name="_Toc152042459"/>
      <w:r>
        <w:rPr>
          <w:rFonts w:hint="eastAsia"/>
          <w:color w:val="auto"/>
        </w:rPr>
        <w:t>10.2 合同进度计划的修订</w:t>
      </w:r>
      <w:bookmarkEnd w:id="422"/>
      <w:bookmarkEnd w:id="423"/>
      <w:bookmarkEnd w:id="424"/>
      <w:bookmarkEnd w:id="425"/>
    </w:p>
    <w:p w14:paraId="5F89BD1B">
      <w:pPr>
        <w:spacing w:line="400" w:lineRule="exact"/>
        <w:ind w:firstLine="420" w:firstLineChars="200"/>
        <w:rPr>
          <w:rFonts w:hint="eastAsia"/>
          <w:color w:val="auto"/>
        </w:rPr>
      </w:pPr>
      <w:r>
        <w:rPr>
          <w:rFonts w:hint="eastAsia"/>
          <w:color w:val="auto"/>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4A9D70FC">
      <w:pPr>
        <w:pStyle w:val="224"/>
        <w:rPr>
          <w:rFonts w:hint="eastAsia"/>
          <w:color w:val="auto"/>
        </w:rPr>
      </w:pPr>
      <w:bookmarkStart w:id="426" w:name="_Toc179632700"/>
      <w:bookmarkStart w:id="427" w:name="_Toc144974650"/>
      <w:bookmarkStart w:id="428" w:name="_Toc152042460"/>
      <w:bookmarkStart w:id="429" w:name="_Toc152045682"/>
      <w:r>
        <w:rPr>
          <w:rFonts w:hint="eastAsia"/>
          <w:color w:val="auto"/>
        </w:rPr>
        <w:t>11. 开工和竣工</w:t>
      </w:r>
      <w:bookmarkEnd w:id="426"/>
      <w:bookmarkEnd w:id="427"/>
      <w:bookmarkEnd w:id="428"/>
      <w:bookmarkEnd w:id="429"/>
    </w:p>
    <w:p w14:paraId="1E945B9F">
      <w:pPr>
        <w:pStyle w:val="231"/>
        <w:rPr>
          <w:rFonts w:hint="eastAsia"/>
          <w:color w:val="auto"/>
        </w:rPr>
      </w:pPr>
      <w:bookmarkStart w:id="430" w:name="_Toc144974651"/>
      <w:bookmarkStart w:id="431" w:name="_Toc152045683"/>
      <w:bookmarkStart w:id="432" w:name="_Toc179632701"/>
      <w:bookmarkStart w:id="433" w:name="_Toc152042461"/>
      <w:r>
        <w:rPr>
          <w:rFonts w:hint="eastAsia"/>
          <w:color w:val="auto"/>
        </w:rPr>
        <w:t>11.1 开工</w:t>
      </w:r>
      <w:bookmarkEnd w:id="430"/>
      <w:bookmarkEnd w:id="431"/>
      <w:bookmarkEnd w:id="432"/>
      <w:bookmarkEnd w:id="433"/>
    </w:p>
    <w:p w14:paraId="3C91E5CB">
      <w:pPr>
        <w:spacing w:line="400" w:lineRule="exact"/>
        <w:ind w:firstLine="420" w:firstLineChars="200"/>
        <w:rPr>
          <w:rFonts w:hint="eastAsia"/>
          <w:color w:val="auto"/>
        </w:rPr>
      </w:pPr>
      <w:r>
        <w:rPr>
          <w:rFonts w:hint="eastAsia"/>
          <w:color w:val="auto"/>
        </w:rPr>
        <w:t>11.1.1 监理人应在开工日期7天前向承包人发出开工通知。监理人在发出开工通知前应获得发包人同意。工期自监理人发出的开工通知中载明的开工日期起计算。承包人应在开工日期后尽快施工。</w:t>
      </w:r>
    </w:p>
    <w:p w14:paraId="14FAC529">
      <w:pPr>
        <w:spacing w:line="400" w:lineRule="exact"/>
        <w:ind w:firstLine="420" w:firstLineChars="200"/>
        <w:rPr>
          <w:rFonts w:hint="eastAsia"/>
          <w:color w:val="auto"/>
          <w:shd w:val="pct10" w:color="auto" w:fill="FFFFFF"/>
        </w:rPr>
      </w:pPr>
      <w:r>
        <w:rPr>
          <w:rFonts w:hint="eastAsia"/>
          <w:color w:va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09F797D1">
      <w:pPr>
        <w:pStyle w:val="231"/>
        <w:rPr>
          <w:rFonts w:hint="eastAsia"/>
          <w:color w:val="auto"/>
        </w:rPr>
      </w:pPr>
      <w:bookmarkStart w:id="434" w:name="_Toc152042462"/>
      <w:bookmarkStart w:id="435" w:name="_Toc179632702"/>
      <w:bookmarkStart w:id="436" w:name="_Toc144974652"/>
      <w:bookmarkStart w:id="437" w:name="_Toc152045684"/>
      <w:r>
        <w:rPr>
          <w:rFonts w:hint="eastAsia"/>
          <w:color w:val="auto"/>
        </w:rPr>
        <w:t>11.2 竣工</w:t>
      </w:r>
      <w:bookmarkEnd w:id="434"/>
      <w:bookmarkEnd w:id="435"/>
      <w:bookmarkEnd w:id="436"/>
      <w:bookmarkEnd w:id="437"/>
    </w:p>
    <w:p w14:paraId="023C0318">
      <w:pPr>
        <w:spacing w:line="400" w:lineRule="exact"/>
        <w:ind w:firstLine="420" w:firstLineChars="200"/>
        <w:rPr>
          <w:rFonts w:hint="eastAsia"/>
          <w:color w:val="auto"/>
        </w:rPr>
      </w:pPr>
      <w:r>
        <w:rPr>
          <w:rFonts w:hint="eastAsia"/>
          <w:color w:val="auto"/>
        </w:rPr>
        <w:t>承包人应在第1.1.4.3目约定的期限内完成合同工程。实际竣工日期在接收证书中写明。</w:t>
      </w:r>
    </w:p>
    <w:p w14:paraId="289E0585">
      <w:pPr>
        <w:pStyle w:val="231"/>
        <w:rPr>
          <w:rFonts w:hint="eastAsia"/>
          <w:color w:val="auto"/>
        </w:rPr>
      </w:pPr>
      <w:bookmarkStart w:id="438" w:name="_Toc179632703"/>
      <w:bookmarkStart w:id="439" w:name="_Toc152042463"/>
      <w:bookmarkStart w:id="440" w:name="_Toc144974653"/>
      <w:bookmarkStart w:id="441" w:name="_Toc152045685"/>
      <w:r>
        <w:rPr>
          <w:rFonts w:hint="eastAsia"/>
          <w:color w:val="auto"/>
        </w:rPr>
        <w:t>11.3 发包人的工期延误</w:t>
      </w:r>
      <w:bookmarkEnd w:id="438"/>
      <w:bookmarkEnd w:id="439"/>
      <w:bookmarkEnd w:id="440"/>
      <w:bookmarkEnd w:id="441"/>
    </w:p>
    <w:p w14:paraId="63BEC538">
      <w:pPr>
        <w:spacing w:line="400" w:lineRule="exact"/>
        <w:ind w:firstLine="420" w:firstLineChars="200"/>
        <w:rPr>
          <w:rFonts w:hint="eastAsia"/>
          <w:color w:val="auto"/>
        </w:rPr>
      </w:pPr>
      <w:r>
        <w:rPr>
          <w:rFonts w:hint="eastAsia"/>
          <w:color w:val="auto"/>
        </w:rPr>
        <w:t>在履行合同过程中，由于发包人的下列原因造成工期延误的，承包人有权要求发包人延长工期和（或）增加费用，并支付合理利润。需要修订合同进度计划的，按照第10.2款的约定办理。</w:t>
      </w:r>
    </w:p>
    <w:p w14:paraId="2BDE723B">
      <w:pPr>
        <w:spacing w:line="400" w:lineRule="exact"/>
        <w:ind w:firstLine="359" w:firstLineChars="171"/>
        <w:rPr>
          <w:rFonts w:hint="eastAsia"/>
          <w:color w:val="auto"/>
        </w:rPr>
      </w:pPr>
      <w:r>
        <w:rPr>
          <w:rFonts w:hint="eastAsia"/>
          <w:color w:val="auto"/>
        </w:rPr>
        <w:t>（1）增加合同工作内容；</w:t>
      </w:r>
    </w:p>
    <w:p w14:paraId="142E1347">
      <w:pPr>
        <w:spacing w:line="400" w:lineRule="exact"/>
        <w:ind w:firstLine="359" w:firstLineChars="171"/>
        <w:rPr>
          <w:rFonts w:hint="eastAsia"/>
          <w:color w:val="auto"/>
        </w:rPr>
      </w:pPr>
      <w:r>
        <w:rPr>
          <w:rFonts w:hint="eastAsia"/>
          <w:color w:val="auto"/>
        </w:rPr>
        <w:t>（2）改变合同中任何一项工作的质量要求或其他特性；</w:t>
      </w:r>
    </w:p>
    <w:p w14:paraId="035A1D54">
      <w:pPr>
        <w:spacing w:line="400" w:lineRule="exact"/>
        <w:ind w:firstLine="359" w:firstLineChars="171"/>
        <w:rPr>
          <w:rFonts w:hint="eastAsia"/>
          <w:color w:val="auto"/>
        </w:rPr>
      </w:pPr>
      <w:r>
        <w:rPr>
          <w:rFonts w:hint="eastAsia"/>
          <w:color w:val="auto"/>
        </w:rPr>
        <w:t>（3）发包人迟延提供材料、工程设备或变更交货地点的；</w:t>
      </w:r>
    </w:p>
    <w:p w14:paraId="685D1D06">
      <w:pPr>
        <w:spacing w:line="400" w:lineRule="exact"/>
        <w:ind w:firstLine="359" w:firstLineChars="171"/>
        <w:rPr>
          <w:rFonts w:hint="eastAsia"/>
          <w:color w:val="auto"/>
        </w:rPr>
      </w:pPr>
      <w:r>
        <w:rPr>
          <w:rFonts w:hint="eastAsia"/>
          <w:color w:val="auto"/>
        </w:rPr>
        <w:t>（4）因发包人原因导致的暂停施工；</w:t>
      </w:r>
    </w:p>
    <w:p w14:paraId="15735980">
      <w:pPr>
        <w:spacing w:line="400" w:lineRule="exact"/>
        <w:ind w:firstLine="359" w:firstLineChars="171"/>
        <w:rPr>
          <w:rFonts w:hint="eastAsia"/>
          <w:color w:val="auto"/>
        </w:rPr>
      </w:pPr>
      <w:r>
        <w:rPr>
          <w:rFonts w:hint="eastAsia"/>
          <w:color w:val="auto"/>
        </w:rPr>
        <w:t>（5）提供图纸延误；</w:t>
      </w:r>
    </w:p>
    <w:p w14:paraId="3BD063A1">
      <w:pPr>
        <w:spacing w:line="400" w:lineRule="exact"/>
        <w:ind w:firstLine="359" w:firstLineChars="171"/>
        <w:rPr>
          <w:rFonts w:hint="eastAsia"/>
          <w:color w:val="auto"/>
        </w:rPr>
      </w:pPr>
      <w:r>
        <w:rPr>
          <w:rFonts w:hint="eastAsia"/>
          <w:color w:val="auto"/>
        </w:rPr>
        <w:t>（6）未按合同约定及时支付预付款、进度款；</w:t>
      </w:r>
    </w:p>
    <w:p w14:paraId="1AF642A4">
      <w:pPr>
        <w:spacing w:line="400" w:lineRule="exact"/>
        <w:ind w:firstLine="359" w:firstLineChars="171"/>
        <w:rPr>
          <w:rFonts w:hint="eastAsia"/>
          <w:color w:val="auto"/>
        </w:rPr>
      </w:pPr>
      <w:r>
        <w:rPr>
          <w:rFonts w:hint="eastAsia"/>
          <w:color w:val="auto"/>
        </w:rPr>
        <w:t>（7）发包人造成工期延误的其他原因。</w:t>
      </w:r>
    </w:p>
    <w:p w14:paraId="795AE1FA">
      <w:pPr>
        <w:pStyle w:val="231"/>
        <w:rPr>
          <w:rFonts w:hint="eastAsia"/>
          <w:color w:val="auto"/>
        </w:rPr>
      </w:pPr>
      <w:bookmarkStart w:id="442" w:name="_Toc152042464"/>
      <w:bookmarkStart w:id="443" w:name="_Toc144974654"/>
      <w:bookmarkStart w:id="444" w:name="_Toc152045686"/>
      <w:bookmarkStart w:id="445" w:name="_Toc179632704"/>
      <w:r>
        <w:rPr>
          <w:rFonts w:hint="eastAsia"/>
          <w:color w:val="auto"/>
        </w:rPr>
        <w:t>11.4 异常恶劣的气候条件</w:t>
      </w:r>
      <w:bookmarkEnd w:id="442"/>
      <w:bookmarkEnd w:id="443"/>
      <w:bookmarkEnd w:id="444"/>
      <w:bookmarkEnd w:id="445"/>
    </w:p>
    <w:p w14:paraId="4F257112">
      <w:pPr>
        <w:spacing w:line="400" w:lineRule="exact"/>
        <w:ind w:firstLine="359" w:firstLineChars="171"/>
        <w:rPr>
          <w:rFonts w:hint="eastAsia"/>
          <w:color w:val="auto"/>
        </w:rPr>
      </w:pPr>
      <w:r>
        <w:rPr>
          <w:rFonts w:hint="eastAsia"/>
          <w:color w:val="auto"/>
        </w:rPr>
        <w:t>由于出现专用合同条款规定的异常恶劣气候的条件导致工期延误的，承包人有权要求发包人延长工期。</w:t>
      </w:r>
    </w:p>
    <w:p w14:paraId="6AE03C3D">
      <w:pPr>
        <w:pStyle w:val="231"/>
        <w:rPr>
          <w:rFonts w:hint="eastAsia"/>
          <w:color w:val="auto"/>
        </w:rPr>
      </w:pPr>
      <w:bookmarkStart w:id="446" w:name="_Toc179632705"/>
      <w:bookmarkStart w:id="447" w:name="_Toc152042465"/>
      <w:bookmarkStart w:id="448" w:name="_Toc152045687"/>
      <w:bookmarkStart w:id="449" w:name="_Toc144974655"/>
      <w:r>
        <w:rPr>
          <w:rFonts w:hint="eastAsia"/>
          <w:color w:val="auto"/>
        </w:rPr>
        <w:t>11.5 承包人的工期延误</w:t>
      </w:r>
      <w:bookmarkEnd w:id="446"/>
      <w:bookmarkEnd w:id="447"/>
      <w:bookmarkEnd w:id="448"/>
      <w:bookmarkEnd w:id="449"/>
    </w:p>
    <w:p w14:paraId="6EE4D138">
      <w:pPr>
        <w:spacing w:line="400" w:lineRule="exact"/>
        <w:ind w:firstLine="420" w:firstLineChars="200"/>
        <w:rPr>
          <w:rFonts w:hint="eastAsia"/>
          <w:color w:val="auto"/>
        </w:rPr>
      </w:pPr>
      <w:r>
        <w:rPr>
          <w:rFonts w:hint="eastAsia"/>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38C393E">
      <w:pPr>
        <w:pStyle w:val="231"/>
        <w:rPr>
          <w:rFonts w:hint="eastAsia"/>
          <w:color w:val="auto"/>
        </w:rPr>
      </w:pPr>
      <w:bookmarkStart w:id="450" w:name="_Toc144974656"/>
      <w:bookmarkStart w:id="451" w:name="_Toc152045688"/>
      <w:bookmarkStart w:id="452" w:name="_Toc179632706"/>
      <w:bookmarkStart w:id="453" w:name="_Toc152042466"/>
      <w:r>
        <w:rPr>
          <w:rFonts w:hint="eastAsia"/>
          <w:color w:val="auto"/>
        </w:rPr>
        <w:t>11.6</w:t>
      </w:r>
      <w:bookmarkEnd w:id="450"/>
      <w:bookmarkStart w:id="454" w:name="_Toc144974657"/>
      <w:r>
        <w:rPr>
          <w:rFonts w:hint="eastAsia"/>
          <w:color w:val="auto"/>
        </w:rPr>
        <w:t xml:space="preserve"> 工期提前</w:t>
      </w:r>
      <w:bookmarkEnd w:id="451"/>
      <w:bookmarkEnd w:id="452"/>
      <w:bookmarkEnd w:id="453"/>
      <w:bookmarkEnd w:id="454"/>
    </w:p>
    <w:p w14:paraId="234EEAEA">
      <w:pPr>
        <w:spacing w:line="400" w:lineRule="exact"/>
        <w:ind w:firstLine="420" w:firstLineChars="200"/>
        <w:rPr>
          <w:rFonts w:hint="eastAsia"/>
          <w:color w:val="auto"/>
        </w:rPr>
      </w:pPr>
      <w:r>
        <w:rPr>
          <w:rFonts w:hint="eastAsia"/>
          <w:color w:val="auto"/>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2B029C00">
      <w:pPr>
        <w:pStyle w:val="224"/>
        <w:rPr>
          <w:rFonts w:hint="eastAsia"/>
          <w:color w:val="auto"/>
        </w:rPr>
      </w:pPr>
      <w:bookmarkStart w:id="455" w:name="_Toc152042467"/>
      <w:bookmarkStart w:id="456" w:name="_Toc152045689"/>
      <w:bookmarkStart w:id="457" w:name="_Toc144974658"/>
      <w:bookmarkStart w:id="458" w:name="_Toc179632707"/>
      <w:r>
        <w:rPr>
          <w:rFonts w:hint="eastAsia"/>
          <w:color w:val="auto"/>
        </w:rPr>
        <w:t>12. 暂停施工</w:t>
      </w:r>
      <w:bookmarkEnd w:id="455"/>
      <w:bookmarkEnd w:id="456"/>
      <w:bookmarkEnd w:id="457"/>
      <w:bookmarkEnd w:id="458"/>
    </w:p>
    <w:p w14:paraId="53468C9C">
      <w:pPr>
        <w:pStyle w:val="231"/>
        <w:rPr>
          <w:rFonts w:hint="eastAsia"/>
          <w:color w:val="auto"/>
        </w:rPr>
      </w:pPr>
      <w:bookmarkStart w:id="459" w:name="_Toc152045690"/>
      <w:bookmarkStart w:id="460" w:name="_Toc152042468"/>
      <w:bookmarkStart w:id="461" w:name="_Toc144974659"/>
      <w:bookmarkStart w:id="462" w:name="_Toc179632708"/>
      <w:r>
        <w:rPr>
          <w:rFonts w:hint="eastAsia"/>
          <w:color w:val="auto"/>
        </w:rPr>
        <w:t>12.1 承包人暂停施工的责任</w:t>
      </w:r>
      <w:bookmarkEnd w:id="459"/>
      <w:bookmarkEnd w:id="460"/>
      <w:bookmarkEnd w:id="461"/>
      <w:bookmarkEnd w:id="462"/>
    </w:p>
    <w:p w14:paraId="4656F4BC">
      <w:pPr>
        <w:spacing w:line="400" w:lineRule="exact"/>
        <w:ind w:firstLine="420" w:firstLineChars="200"/>
        <w:rPr>
          <w:rFonts w:hint="eastAsia"/>
          <w:color w:val="auto"/>
        </w:rPr>
      </w:pPr>
      <w:r>
        <w:rPr>
          <w:rFonts w:hint="eastAsia"/>
          <w:color w:val="auto"/>
        </w:rPr>
        <w:t>因下列暂停施工增加的费用和（或）工期延误由承包人承担：</w:t>
      </w:r>
    </w:p>
    <w:p w14:paraId="32A640C2">
      <w:pPr>
        <w:spacing w:line="400" w:lineRule="exact"/>
        <w:ind w:firstLine="359" w:firstLineChars="171"/>
        <w:rPr>
          <w:rFonts w:hint="eastAsia"/>
          <w:color w:val="auto"/>
        </w:rPr>
      </w:pPr>
      <w:r>
        <w:rPr>
          <w:rFonts w:hint="eastAsia"/>
          <w:color w:val="auto"/>
        </w:rPr>
        <w:t>（1）承包人违约引起的暂停施工；</w:t>
      </w:r>
    </w:p>
    <w:p w14:paraId="72F6AD4E">
      <w:pPr>
        <w:spacing w:line="400" w:lineRule="exact"/>
        <w:ind w:firstLine="359" w:firstLineChars="171"/>
        <w:rPr>
          <w:rFonts w:hint="eastAsia"/>
          <w:color w:val="auto"/>
        </w:rPr>
      </w:pPr>
      <w:r>
        <w:rPr>
          <w:rFonts w:hint="eastAsia"/>
          <w:color w:val="auto"/>
        </w:rPr>
        <w:t>（2）由于承包人原因为工程合理施工和安全保障所必需的暂停施工；</w:t>
      </w:r>
    </w:p>
    <w:p w14:paraId="4A6B0821">
      <w:pPr>
        <w:spacing w:line="400" w:lineRule="exact"/>
        <w:ind w:firstLine="359" w:firstLineChars="171"/>
        <w:rPr>
          <w:rFonts w:hint="eastAsia"/>
          <w:color w:val="auto"/>
        </w:rPr>
      </w:pPr>
      <w:r>
        <w:rPr>
          <w:rFonts w:hint="eastAsia"/>
          <w:color w:val="auto"/>
        </w:rPr>
        <w:t>（3）承包人擅自暂停施工；</w:t>
      </w:r>
    </w:p>
    <w:p w14:paraId="2C4F867D">
      <w:pPr>
        <w:spacing w:line="400" w:lineRule="exact"/>
        <w:ind w:firstLine="359" w:firstLineChars="171"/>
        <w:rPr>
          <w:rFonts w:hint="eastAsia"/>
          <w:color w:val="auto"/>
        </w:rPr>
      </w:pPr>
      <w:r>
        <w:rPr>
          <w:rFonts w:hint="eastAsia"/>
          <w:color w:val="auto"/>
        </w:rPr>
        <w:t>（4）承包人其他原因引起的暂停施工；</w:t>
      </w:r>
    </w:p>
    <w:p w14:paraId="0D0AC2ED">
      <w:pPr>
        <w:spacing w:line="400" w:lineRule="exact"/>
        <w:ind w:firstLine="359" w:firstLineChars="171"/>
        <w:rPr>
          <w:rFonts w:hint="eastAsia"/>
          <w:color w:val="auto"/>
        </w:rPr>
      </w:pPr>
      <w:r>
        <w:rPr>
          <w:rFonts w:hint="eastAsia"/>
          <w:color w:val="auto"/>
        </w:rPr>
        <w:t>（5）专用合同条款约定由承包人承担的其他暂停施工。</w:t>
      </w:r>
    </w:p>
    <w:p w14:paraId="278E3EB6">
      <w:pPr>
        <w:pStyle w:val="231"/>
        <w:rPr>
          <w:rFonts w:hint="eastAsia"/>
          <w:color w:val="auto"/>
        </w:rPr>
      </w:pPr>
      <w:bookmarkStart w:id="463" w:name="_Toc144974660"/>
      <w:bookmarkStart w:id="464" w:name="_Toc152045691"/>
      <w:bookmarkStart w:id="465" w:name="_Toc152042469"/>
      <w:bookmarkStart w:id="466" w:name="_Toc179632709"/>
      <w:r>
        <w:rPr>
          <w:rFonts w:hint="eastAsia"/>
          <w:color w:val="auto"/>
        </w:rPr>
        <w:t>12.2 发包人暂停施工的责任</w:t>
      </w:r>
      <w:bookmarkEnd w:id="463"/>
      <w:bookmarkEnd w:id="464"/>
      <w:bookmarkEnd w:id="465"/>
      <w:bookmarkEnd w:id="466"/>
    </w:p>
    <w:p w14:paraId="5850E176">
      <w:pPr>
        <w:spacing w:line="400" w:lineRule="exact"/>
        <w:ind w:firstLine="420" w:firstLineChars="200"/>
        <w:rPr>
          <w:rFonts w:hint="eastAsia"/>
          <w:color w:val="auto"/>
        </w:rPr>
      </w:pPr>
      <w:r>
        <w:rPr>
          <w:rFonts w:hint="eastAsia"/>
          <w:color w:val="auto"/>
        </w:rPr>
        <w:t>由于发包人原因引起的暂停施工造成工期延误的，承包人有权要求发包人延长工期和（或）增加费用，并支付合理利润。</w:t>
      </w:r>
    </w:p>
    <w:p w14:paraId="35837587">
      <w:pPr>
        <w:pStyle w:val="231"/>
        <w:rPr>
          <w:rFonts w:hint="eastAsia"/>
          <w:color w:val="auto"/>
        </w:rPr>
      </w:pPr>
      <w:bookmarkStart w:id="467" w:name="_Toc152042470"/>
      <w:bookmarkStart w:id="468" w:name="_Toc152045692"/>
      <w:bookmarkStart w:id="469" w:name="_Toc144974661"/>
      <w:bookmarkStart w:id="470" w:name="_Toc179632710"/>
      <w:r>
        <w:rPr>
          <w:rFonts w:hint="eastAsia"/>
          <w:color w:val="auto"/>
        </w:rPr>
        <w:t>12.3 监理人暂停施工指示</w:t>
      </w:r>
      <w:bookmarkEnd w:id="467"/>
      <w:bookmarkEnd w:id="468"/>
      <w:bookmarkEnd w:id="469"/>
      <w:bookmarkEnd w:id="470"/>
    </w:p>
    <w:p w14:paraId="7957EBE2">
      <w:pPr>
        <w:spacing w:line="400" w:lineRule="exact"/>
        <w:ind w:firstLine="420" w:firstLineChars="200"/>
        <w:rPr>
          <w:rFonts w:hint="eastAsia"/>
          <w:color w:val="auto"/>
        </w:rPr>
      </w:pPr>
      <w:r>
        <w:rPr>
          <w:rFonts w:hint="eastAsia"/>
          <w:color w:val="auto"/>
        </w:rPr>
        <w:t>12.3.1 监理人认为有必要时，可向承包人作出暂停施工的指示，承包人应按监理人指示暂停施工。不论由于何种原因引起的暂停施工，暂停施工期间承包人应负责妥善保护工程并提供安全保障。</w:t>
      </w:r>
    </w:p>
    <w:p w14:paraId="00C2951A">
      <w:pPr>
        <w:spacing w:line="400" w:lineRule="exact"/>
        <w:ind w:firstLine="420" w:firstLineChars="200"/>
        <w:rPr>
          <w:rFonts w:hint="eastAsia"/>
          <w:color w:val="auto"/>
        </w:rPr>
      </w:pPr>
      <w:r>
        <w:rPr>
          <w:rFonts w:hint="eastAsia"/>
          <w:color w:va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175DE597">
      <w:pPr>
        <w:pStyle w:val="231"/>
        <w:rPr>
          <w:rFonts w:hint="eastAsia"/>
          <w:color w:val="auto"/>
        </w:rPr>
      </w:pPr>
      <w:bookmarkStart w:id="471" w:name="_Toc152045693"/>
      <w:bookmarkStart w:id="472" w:name="_Toc152042471"/>
      <w:bookmarkStart w:id="473" w:name="_Toc179632711"/>
      <w:bookmarkStart w:id="474" w:name="_Toc144974662"/>
      <w:r>
        <w:rPr>
          <w:rFonts w:hint="eastAsia"/>
          <w:color w:val="auto"/>
        </w:rPr>
        <w:t>12.4 暂停施工后的复工</w:t>
      </w:r>
      <w:bookmarkEnd w:id="471"/>
      <w:bookmarkEnd w:id="472"/>
      <w:bookmarkEnd w:id="473"/>
      <w:bookmarkEnd w:id="474"/>
    </w:p>
    <w:p w14:paraId="297BB7BA">
      <w:pPr>
        <w:spacing w:line="400" w:lineRule="exact"/>
        <w:ind w:firstLine="420" w:firstLineChars="200"/>
        <w:rPr>
          <w:rFonts w:hint="eastAsia"/>
          <w:color w:val="auto"/>
        </w:rPr>
      </w:pPr>
      <w:r>
        <w:rPr>
          <w:rFonts w:hint="eastAsia"/>
          <w:color w:va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D33F673">
      <w:pPr>
        <w:spacing w:line="400" w:lineRule="exact"/>
        <w:ind w:firstLine="420" w:firstLineChars="200"/>
        <w:rPr>
          <w:rFonts w:hint="eastAsia"/>
          <w:color w:val="auto"/>
        </w:rPr>
      </w:pPr>
      <w:r>
        <w:rPr>
          <w:rFonts w:hint="eastAsia"/>
          <w:color w:val="auto"/>
        </w:rPr>
        <w:t>12.4.2 承包人无故拖延和拒绝复工的，由此增加的费用和工期延误由承包人承担；因发包人原因无法按时复工的，承包人有权要求发包人延长工期和（或）增加费用，并支付合理利润。</w:t>
      </w:r>
    </w:p>
    <w:p w14:paraId="075B9D59">
      <w:pPr>
        <w:pStyle w:val="231"/>
        <w:rPr>
          <w:rFonts w:hint="eastAsia"/>
          <w:color w:val="auto"/>
        </w:rPr>
      </w:pPr>
      <w:bookmarkStart w:id="475" w:name="_Toc144974663"/>
      <w:bookmarkStart w:id="476" w:name="_Toc152045694"/>
      <w:bookmarkStart w:id="477" w:name="_Toc179632712"/>
      <w:bookmarkStart w:id="478" w:name="_Toc152042472"/>
      <w:r>
        <w:rPr>
          <w:rFonts w:hint="eastAsia"/>
          <w:color w:val="auto"/>
        </w:rPr>
        <w:t xml:space="preserve">12.5 </w:t>
      </w:r>
      <w:r>
        <w:rPr>
          <w:color w:val="auto"/>
        </w:rPr>
        <w:t>暂停施工</w:t>
      </w:r>
      <w:r>
        <w:rPr>
          <w:rFonts w:hint="eastAsia"/>
          <w:color w:val="auto"/>
        </w:rPr>
        <w:t>持续56天以上</w:t>
      </w:r>
      <w:bookmarkEnd w:id="475"/>
      <w:bookmarkEnd w:id="476"/>
      <w:bookmarkEnd w:id="477"/>
      <w:bookmarkEnd w:id="478"/>
    </w:p>
    <w:p w14:paraId="103AE997">
      <w:pPr>
        <w:spacing w:line="400" w:lineRule="exact"/>
        <w:ind w:firstLine="411" w:firstLineChars="196"/>
        <w:rPr>
          <w:rFonts w:hint="eastAsia"/>
          <w:color w:val="auto"/>
        </w:rPr>
      </w:pPr>
      <w:r>
        <w:rPr>
          <w:rFonts w:hint="eastAsia"/>
          <w:color w:val="auto"/>
        </w:rPr>
        <w:t xml:space="preserve">12.5.1 </w:t>
      </w:r>
      <w:r>
        <w:rPr>
          <w:color w:val="auto"/>
        </w:rPr>
        <w:t>监理人</w:t>
      </w:r>
      <w:r>
        <w:rPr>
          <w:rFonts w:hint="eastAsia"/>
          <w:color w:val="auto"/>
        </w:rPr>
        <w:t>发出</w:t>
      </w:r>
      <w:r>
        <w:rPr>
          <w:color w:val="auto"/>
        </w:rPr>
        <w:t>暂停施工指示</w:t>
      </w:r>
      <w:r>
        <w:rPr>
          <w:rFonts w:hint="eastAsia"/>
          <w:color w:val="auto"/>
        </w:rPr>
        <w:t>后56天内未向</w:t>
      </w:r>
      <w:r>
        <w:rPr>
          <w:color w:val="auto"/>
        </w:rPr>
        <w:t>承包人</w:t>
      </w:r>
      <w:r>
        <w:rPr>
          <w:rFonts w:hint="eastAsia"/>
          <w:color w:val="auto"/>
        </w:rPr>
        <w:t>发出复工通知，除了该项停工属于第12.1款的情况外，</w:t>
      </w:r>
      <w:r>
        <w:rPr>
          <w:color w:val="auto"/>
        </w:rPr>
        <w:t>承包人</w:t>
      </w:r>
      <w:r>
        <w:rPr>
          <w:rFonts w:hint="eastAsia"/>
          <w:color w:val="auto"/>
        </w:rPr>
        <w:t>可向</w:t>
      </w:r>
      <w:r>
        <w:rPr>
          <w:color w:val="auto"/>
        </w:rPr>
        <w:t>监理人</w:t>
      </w:r>
      <w:r>
        <w:rPr>
          <w:rFonts w:hint="eastAsia"/>
          <w:color w:val="auto"/>
        </w:rPr>
        <w:t>提交书面通知，要求</w:t>
      </w:r>
      <w:r>
        <w:rPr>
          <w:color w:val="auto"/>
        </w:rPr>
        <w:t>监理人</w:t>
      </w:r>
      <w:r>
        <w:rPr>
          <w:rFonts w:hint="eastAsia"/>
          <w:color w:val="auto"/>
        </w:rPr>
        <w:t>在收到书面通知后28天内准许已</w:t>
      </w:r>
      <w:r>
        <w:rPr>
          <w:color w:val="auto"/>
        </w:rPr>
        <w:t>暂停施工</w:t>
      </w:r>
      <w:r>
        <w:rPr>
          <w:rFonts w:hint="eastAsia"/>
          <w:color w:val="auto"/>
        </w:rPr>
        <w:t>的工程或其中一部分工程继续施工。如</w:t>
      </w:r>
      <w:r>
        <w:rPr>
          <w:color w:val="auto"/>
        </w:rPr>
        <w:t>监理人</w:t>
      </w:r>
      <w:r>
        <w:rPr>
          <w:rFonts w:hint="eastAsia"/>
          <w:color w:val="auto"/>
        </w:rPr>
        <w:t>逾期不予批准，则承包人可以通知</w:t>
      </w:r>
      <w:r>
        <w:rPr>
          <w:color w:val="auto"/>
        </w:rPr>
        <w:t>监理人</w:t>
      </w:r>
      <w:r>
        <w:rPr>
          <w:rFonts w:hint="eastAsia"/>
          <w:color w:val="auto"/>
        </w:rPr>
        <w:t>，将工程受影响的部分视为按第15.1（1）项的可取消工作。如</w:t>
      </w:r>
      <w:r>
        <w:rPr>
          <w:color w:val="auto"/>
        </w:rPr>
        <w:t>暂停施工</w:t>
      </w:r>
      <w:r>
        <w:rPr>
          <w:rFonts w:hint="eastAsia"/>
          <w:color w:val="auto"/>
        </w:rPr>
        <w:t>影响到整个工程，可视为发包人违约，应按第22.2款的规定办理。</w:t>
      </w:r>
    </w:p>
    <w:p w14:paraId="4360A292">
      <w:pPr>
        <w:spacing w:line="400" w:lineRule="exact"/>
        <w:ind w:firstLine="420" w:firstLineChars="200"/>
        <w:rPr>
          <w:rFonts w:hint="eastAsia"/>
          <w:color w:val="auto"/>
        </w:rPr>
      </w:pPr>
      <w:r>
        <w:rPr>
          <w:rFonts w:hint="eastAsia"/>
          <w:color w:val="auto"/>
        </w:rPr>
        <w:t>12.5.2 由于</w:t>
      </w:r>
      <w:r>
        <w:rPr>
          <w:color w:val="auto"/>
        </w:rPr>
        <w:t>承包人</w:t>
      </w:r>
      <w:r>
        <w:rPr>
          <w:rFonts w:hint="eastAsia"/>
          <w:color w:val="auto"/>
        </w:rPr>
        <w:t>责任引起的</w:t>
      </w:r>
      <w:r>
        <w:rPr>
          <w:color w:val="auto"/>
        </w:rPr>
        <w:t>暂停施工</w:t>
      </w:r>
      <w:r>
        <w:rPr>
          <w:rFonts w:hint="eastAsia"/>
          <w:color w:val="auto"/>
        </w:rPr>
        <w:t>，如</w:t>
      </w:r>
      <w:r>
        <w:rPr>
          <w:color w:val="auto"/>
        </w:rPr>
        <w:t>承包人</w:t>
      </w:r>
      <w:r>
        <w:rPr>
          <w:rFonts w:hint="eastAsia"/>
          <w:color w:val="auto"/>
        </w:rPr>
        <w:t>在收到</w:t>
      </w:r>
      <w:r>
        <w:rPr>
          <w:color w:val="auto"/>
        </w:rPr>
        <w:t>监理人暂停施工指示</w:t>
      </w:r>
      <w:r>
        <w:rPr>
          <w:rFonts w:hint="eastAsia"/>
          <w:color w:val="auto"/>
        </w:rPr>
        <w:t>后56天内不认真采取有效的复工措施，造成工期延误，可视为</w:t>
      </w:r>
      <w:r>
        <w:rPr>
          <w:color w:val="auto"/>
        </w:rPr>
        <w:t>承包人</w:t>
      </w:r>
      <w:r>
        <w:rPr>
          <w:rFonts w:hint="eastAsia"/>
          <w:color w:val="auto"/>
        </w:rPr>
        <w:t>违约，应按第22.1款的规定办理。</w:t>
      </w:r>
    </w:p>
    <w:p w14:paraId="1EDFAD9C">
      <w:pPr>
        <w:pStyle w:val="224"/>
        <w:rPr>
          <w:rFonts w:hint="eastAsia"/>
          <w:color w:val="auto"/>
        </w:rPr>
      </w:pPr>
      <w:bookmarkStart w:id="479" w:name="_Toc152042473"/>
      <w:bookmarkStart w:id="480" w:name="_Toc144974664"/>
      <w:bookmarkStart w:id="481" w:name="_Toc179632713"/>
      <w:bookmarkStart w:id="482" w:name="_Toc152045695"/>
      <w:r>
        <w:rPr>
          <w:rFonts w:hint="eastAsia"/>
          <w:color w:val="auto"/>
        </w:rPr>
        <w:t>13. 工程质量</w:t>
      </w:r>
      <w:bookmarkEnd w:id="479"/>
      <w:bookmarkEnd w:id="480"/>
      <w:bookmarkEnd w:id="481"/>
      <w:bookmarkEnd w:id="482"/>
    </w:p>
    <w:p w14:paraId="26969789">
      <w:pPr>
        <w:pStyle w:val="231"/>
        <w:rPr>
          <w:rFonts w:hint="eastAsia"/>
          <w:color w:val="auto"/>
        </w:rPr>
      </w:pPr>
      <w:bookmarkStart w:id="483" w:name="_Toc179632714"/>
      <w:bookmarkStart w:id="484" w:name="_Toc152045696"/>
      <w:bookmarkStart w:id="485" w:name="_Toc144974665"/>
      <w:bookmarkStart w:id="486" w:name="_Toc152042474"/>
      <w:r>
        <w:rPr>
          <w:rFonts w:hint="eastAsia"/>
          <w:color w:val="auto"/>
        </w:rPr>
        <w:t>13.1 工程质量要求</w:t>
      </w:r>
      <w:bookmarkEnd w:id="483"/>
      <w:bookmarkEnd w:id="484"/>
      <w:bookmarkEnd w:id="485"/>
      <w:bookmarkEnd w:id="486"/>
    </w:p>
    <w:p w14:paraId="3525DEE6">
      <w:pPr>
        <w:spacing w:line="400" w:lineRule="exact"/>
        <w:ind w:firstLine="420" w:firstLineChars="200"/>
        <w:rPr>
          <w:rFonts w:hint="eastAsia"/>
          <w:color w:val="auto"/>
        </w:rPr>
      </w:pPr>
      <w:r>
        <w:rPr>
          <w:rFonts w:hint="eastAsia"/>
          <w:color w:val="auto"/>
        </w:rPr>
        <w:t>13.1.1 工程质量验收按合同约定验收标准执行。</w:t>
      </w:r>
    </w:p>
    <w:p w14:paraId="7E3AF279">
      <w:pPr>
        <w:spacing w:line="400" w:lineRule="exact"/>
        <w:ind w:firstLine="420" w:firstLineChars="200"/>
        <w:rPr>
          <w:rFonts w:hint="eastAsia"/>
          <w:color w:val="auto"/>
        </w:rPr>
      </w:pPr>
      <w:r>
        <w:rPr>
          <w:rFonts w:hint="eastAsia"/>
          <w:color w:val="auto"/>
        </w:rPr>
        <w:t>13.1.2 因承包人原因造成工程质量达不到合同约定验收标准的，监理人有权要求承包人返工直至符合合同要求为止，由此造成的费用增加和（或）工期延误由承包人承担。</w:t>
      </w:r>
    </w:p>
    <w:p w14:paraId="06D1F4D1">
      <w:pPr>
        <w:spacing w:line="400" w:lineRule="exact"/>
        <w:ind w:firstLine="420" w:firstLineChars="200"/>
        <w:rPr>
          <w:rFonts w:hint="eastAsia"/>
          <w:color w:val="auto"/>
        </w:rPr>
      </w:pPr>
      <w:r>
        <w:rPr>
          <w:rFonts w:hint="eastAsia"/>
          <w:color w:val="auto"/>
        </w:rPr>
        <w:t>13.1.3 因发包人原因造成工程质量达不到合同约定验收标准的，发包人应承担由于承包人返工造成的费用增加和（或）工期延误，并支付承包人合理利润。</w:t>
      </w:r>
    </w:p>
    <w:p w14:paraId="04B42197">
      <w:pPr>
        <w:pStyle w:val="231"/>
        <w:rPr>
          <w:rFonts w:hint="eastAsia"/>
          <w:color w:val="auto"/>
        </w:rPr>
      </w:pPr>
      <w:bookmarkStart w:id="487" w:name="_Toc152042475"/>
      <w:bookmarkStart w:id="488" w:name="_Toc144974666"/>
      <w:bookmarkStart w:id="489" w:name="_Toc152045697"/>
      <w:bookmarkStart w:id="490" w:name="_Toc179632715"/>
      <w:r>
        <w:rPr>
          <w:rFonts w:hint="eastAsia"/>
          <w:color w:val="auto"/>
        </w:rPr>
        <w:t>13.2 承包人的质量管理</w:t>
      </w:r>
      <w:bookmarkEnd w:id="487"/>
      <w:bookmarkEnd w:id="488"/>
      <w:bookmarkEnd w:id="489"/>
      <w:bookmarkEnd w:id="490"/>
    </w:p>
    <w:p w14:paraId="6BB8D7F4">
      <w:pPr>
        <w:spacing w:line="400" w:lineRule="exact"/>
        <w:ind w:firstLine="420" w:firstLineChars="200"/>
        <w:rPr>
          <w:rFonts w:hint="eastAsia"/>
          <w:color w:val="auto"/>
        </w:rPr>
      </w:pPr>
      <w:r>
        <w:rPr>
          <w:rFonts w:hint="eastAsia"/>
          <w:color w:val="auto"/>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C31E40C">
      <w:pPr>
        <w:spacing w:line="400" w:lineRule="exact"/>
        <w:ind w:firstLine="420" w:firstLineChars="200"/>
        <w:rPr>
          <w:rFonts w:hint="eastAsia"/>
          <w:color w:val="auto"/>
        </w:rPr>
      </w:pPr>
      <w:r>
        <w:rPr>
          <w:rFonts w:hint="eastAsia"/>
          <w:color w:val="auto"/>
        </w:rPr>
        <w:t>13.2.2 承包人应加强对施工人员的质量教育和技术培训，定期考核施工人员的劳动技能，严格执行规范和操作规程。</w:t>
      </w:r>
    </w:p>
    <w:p w14:paraId="5C6C629D">
      <w:pPr>
        <w:pStyle w:val="231"/>
        <w:rPr>
          <w:rFonts w:hint="eastAsia"/>
          <w:color w:val="auto"/>
        </w:rPr>
      </w:pPr>
      <w:bookmarkStart w:id="491" w:name="_Toc179632716"/>
      <w:bookmarkStart w:id="492" w:name="_Toc152045698"/>
      <w:bookmarkStart w:id="493" w:name="_Toc152042476"/>
      <w:bookmarkStart w:id="494" w:name="_Toc144974667"/>
      <w:r>
        <w:rPr>
          <w:rFonts w:hint="eastAsia"/>
          <w:color w:val="auto"/>
        </w:rPr>
        <w:t>13.3 承包人的质量检查</w:t>
      </w:r>
      <w:bookmarkEnd w:id="491"/>
      <w:bookmarkEnd w:id="492"/>
      <w:bookmarkEnd w:id="493"/>
      <w:bookmarkEnd w:id="494"/>
    </w:p>
    <w:p w14:paraId="7C27B16C">
      <w:pPr>
        <w:spacing w:line="400" w:lineRule="exact"/>
        <w:ind w:firstLine="420" w:firstLineChars="200"/>
        <w:rPr>
          <w:rFonts w:hint="eastAsia"/>
          <w:color w:val="auto"/>
        </w:rPr>
      </w:pPr>
      <w:r>
        <w:rPr>
          <w:rFonts w:hint="eastAsia"/>
          <w:color w:val="auto"/>
        </w:rPr>
        <w:t>承包人应按合同约定对材料、工程设备以及工程的所有部位及其施工工艺进行全过程的质量检查和检验，并作详细记录，编制工程质量报表，报送监理人审查。</w:t>
      </w:r>
    </w:p>
    <w:p w14:paraId="62B780B7">
      <w:pPr>
        <w:pStyle w:val="231"/>
        <w:rPr>
          <w:rFonts w:hint="eastAsia"/>
          <w:color w:val="auto"/>
        </w:rPr>
      </w:pPr>
      <w:bookmarkStart w:id="495" w:name="_Toc179632717"/>
      <w:bookmarkStart w:id="496" w:name="_Toc152042477"/>
      <w:bookmarkStart w:id="497" w:name="_Toc152045699"/>
      <w:bookmarkStart w:id="498" w:name="_Toc144974668"/>
      <w:r>
        <w:rPr>
          <w:rFonts w:hint="eastAsia"/>
          <w:color w:val="auto"/>
        </w:rPr>
        <w:t>13.4 监理人的质量检查</w:t>
      </w:r>
      <w:bookmarkEnd w:id="495"/>
      <w:bookmarkEnd w:id="496"/>
      <w:bookmarkEnd w:id="497"/>
      <w:bookmarkEnd w:id="498"/>
    </w:p>
    <w:p w14:paraId="45774E18">
      <w:pPr>
        <w:spacing w:line="400" w:lineRule="exact"/>
        <w:ind w:firstLine="420" w:firstLineChars="200"/>
        <w:rPr>
          <w:rFonts w:hint="eastAsia"/>
          <w:color w:val="auto"/>
        </w:rPr>
      </w:pPr>
      <w:r>
        <w:rPr>
          <w:rFonts w:hint="eastAsia"/>
          <w:color w:val="auto"/>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70514EA">
      <w:pPr>
        <w:pStyle w:val="231"/>
        <w:rPr>
          <w:rFonts w:hint="eastAsia"/>
          <w:color w:val="auto"/>
        </w:rPr>
      </w:pPr>
      <w:bookmarkStart w:id="499" w:name="_Toc144974669"/>
      <w:bookmarkStart w:id="500" w:name="_Toc179632718"/>
      <w:bookmarkStart w:id="501" w:name="_Toc152045700"/>
      <w:bookmarkStart w:id="502" w:name="_Toc152042478"/>
      <w:r>
        <w:rPr>
          <w:rFonts w:hint="eastAsia"/>
          <w:color w:val="auto"/>
        </w:rPr>
        <w:t>13.5 工程隐蔽部位覆盖前的检查</w:t>
      </w:r>
      <w:bookmarkEnd w:id="499"/>
      <w:bookmarkEnd w:id="500"/>
      <w:bookmarkEnd w:id="501"/>
      <w:bookmarkEnd w:id="502"/>
    </w:p>
    <w:p w14:paraId="6AA5B8DB">
      <w:pPr>
        <w:spacing w:line="400" w:lineRule="exact"/>
        <w:ind w:firstLine="420" w:firstLineChars="200"/>
        <w:rPr>
          <w:rFonts w:hint="eastAsia"/>
          <w:color w:val="auto"/>
        </w:rPr>
      </w:pPr>
      <w:r>
        <w:rPr>
          <w:rFonts w:hint="eastAsia"/>
          <w:color w:val="auto"/>
        </w:rPr>
        <w:t xml:space="preserve">13.5.1 </w:t>
      </w:r>
      <w:r>
        <w:rPr>
          <w:rFonts w:hint="eastAsia" w:ascii="黑体" w:eastAsia="黑体"/>
          <w:color w:val="auto"/>
        </w:rPr>
        <w:t>通知监理人检查</w:t>
      </w:r>
    </w:p>
    <w:p w14:paraId="4AE01C23">
      <w:pPr>
        <w:spacing w:line="400" w:lineRule="exact"/>
        <w:ind w:firstLine="420" w:firstLineChars="200"/>
        <w:rPr>
          <w:rFonts w:hint="eastAsia"/>
          <w:color w:val="auto"/>
        </w:rPr>
      </w:pPr>
      <w:r>
        <w:rPr>
          <w:rFonts w:hint="eastAsia"/>
          <w:color w:va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FA1C1CD">
      <w:pPr>
        <w:spacing w:line="400" w:lineRule="exact"/>
        <w:ind w:firstLine="420" w:firstLineChars="200"/>
        <w:rPr>
          <w:rFonts w:hint="eastAsia"/>
          <w:color w:val="auto"/>
        </w:rPr>
      </w:pPr>
      <w:r>
        <w:rPr>
          <w:rFonts w:hint="eastAsia"/>
          <w:color w:val="auto"/>
        </w:rPr>
        <w:t xml:space="preserve">13.5.2 </w:t>
      </w:r>
      <w:r>
        <w:rPr>
          <w:rFonts w:hint="eastAsia" w:ascii="黑体" w:eastAsia="黑体"/>
          <w:color w:val="auto"/>
        </w:rPr>
        <w:t>监理人未到场检查</w:t>
      </w:r>
    </w:p>
    <w:p w14:paraId="75B9C865">
      <w:pPr>
        <w:spacing w:line="400" w:lineRule="exact"/>
        <w:ind w:firstLine="420" w:firstLineChars="200"/>
        <w:rPr>
          <w:rFonts w:hint="eastAsia"/>
          <w:color w:val="auto"/>
        </w:rPr>
      </w:pPr>
      <w:r>
        <w:rPr>
          <w:rFonts w:hint="eastAsia"/>
          <w:color w:va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AD25F11">
      <w:pPr>
        <w:spacing w:line="400" w:lineRule="exact"/>
        <w:ind w:firstLine="420" w:firstLineChars="200"/>
        <w:rPr>
          <w:rFonts w:hint="eastAsia"/>
          <w:color w:val="auto"/>
        </w:rPr>
      </w:pPr>
      <w:r>
        <w:rPr>
          <w:rFonts w:hint="eastAsia"/>
          <w:color w:val="auto"/>
        </w:rPr>
        <w:t xml:space="preserve">13.5.3 </w:t>
      </w:r>
      <w:r>
        <w:rPr>
          <w:rFonts w:hint="eastAsia" w:ascii="黑体" w:eastAsia="黑体"/>
          <w:color w:val="auto"/>
        </w:rPr>
        <w:t>监理人重新检查</w:t>
      </w:r>
    </w:p>
    <w:p w14:paraId="585733BC">
      <w:pPr>
        <w:spacing w:line="400" w:lineRule="exact"/>
        <w:ind w:firstLine="420" w:firstLineChars="200"/>
        <w:rPr>
          <w:rFonts w:hint="eastAsia"/>
          <w:color w:val="auto"/>
        </w:rPr>
      </w:pPr>
      <w:r>
        <w:rPr>
          <w:rFonts w:hint="eastAsia"/>
          <w:color w:va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BD2AE11">
      <w:pPr>
        <w:spacing w:line="400" w:lineRule="exact"/>
        <w:ind w:firstLine="420" w:firstLineChars="200"/>
        <w:rPr>
          <w:rFonts w:hint="eastAsia"/>
          <w:color w:val="auto"/>
        </w:rPr>
      </w:pPr>
      <w:r>
        <w:rPr>
          <w:rFonts w:hint="eastAsia"/>
          <w:color w:val="auto"/>
        </w:rPr>
        <w:t xml:space="preserve">13.5.4 </w:t>
      </w:r>
      <w:r>
        <w:rPr>
          <w:rFonts w:hint="eastAsia" w:ascii="黑体" w:eastAsia="黑体"/>
          <w:color w:val="auto"/>
        </w:rPr>
        <w:t>承包人私自覆盖</w:t>
      </w:r>
    </w:p>
    <w:p w14:paraId="24F13175">
      <w:pPr>
        <w:spacing w:line="400" w:lineRule="exact"/>
        <w:ind w:firstLine="420" w:firstLineChars="200"/>
        <w:rPr>
          <w:rFonts w:hint="eastAsia"/>
          <w:color w:val="auto"/>
        </w:rPr>
      </w:pPr>
      <w:r>
        <w:rPr>
          <w:rFonts w:hint="eastAsia"/>
          <w:color w:val="auto"/>
        </w:rPr>
        <w:t>承包人未通知监理人到场检查，私自将工程隐蔽部位覆盖的，监理人有权指示承包人钻孔探测或揭开检查，由此增加的费用和（或）工期延误由承包人承担。</w:t>
      </w:r>
    </w:p>
    <w:p w14:paraId="19B7E6CC">
      <w:pPr>
        <w:pStyle w:val="231"/>
        <w:rPr>
          <w:rFonts w:hint="eastAsia"/>
          <w:color w:val="auto"/>
        </w:rPr>
      </w:pPr>
      <w:bookmarkStart w:id="503" w:name="_Toc144974670"/>
      <w:bookmarkStart w:id="504" w:name="_Toc152045701"/>
      <w:bookmarkStart w:id="505" w:name="_Toc179632719"/>
      <w:bookmarkStart w:id="506" w:name="_Toc152042479"/>
      <w:r>
        <w:rPr>
          <w:rFonts w:hint="eastAsia"/>
          <w:color w:val="auto"/>
        </w:rPr>
        <w:t>13.6 清除不合格工程</w:t>
      </w:r>
      <w:bookmarkEnd w:id="503"/>
      <w:bookmarkEnd w:id="504"/>
      <w:bookmarkEnd w:id="505"/>
      <w:bookmarkEnd w:id="506"/>
    </w:p>
    <w:p w14:paraId="732F2DAC">
      <w:pPr>
        <w:spacing w:line="400" w:lineRule="exact"/>
        <w:ind w:firstLine="420" w:firstLineChars="200"/>
        <w:rPr>
          <w:rFonts w:hint="eastAsia"/>
          <w:color w:val="auto"/>
        </w:rPr>
      </w:pPr>
      <w:r>
        <w:rPr>
          <w:rFonts w:hint="eastAsia"/>
          <w:color w:va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2537395">
      <w:pPr>
        <w:spacing w:line="400" w:lineRule="exact"/>
        <w:ind w:firstLine="420" w:firstLineChars="200"/>
        <w:rPr>
          <w:rFonts w:hint="eastAsia"/>
          <w:color w:val="auto"/>
        </w:rPr>
      </w:pPr>
      <w:r>
        <w:rPr>
          <w:rFonts w:hint="eastAsia"/>
          <w:color w:val="auto"/>
        </w:rPr>
        <w:t>13.6.2 由于发包人提供的材料或工程设备不合格造成的工程不合格，需要承包人采取措施补救的，发包人应承担由此增加的费用和（或）工期延误，并支付承包人合理利润。</w:t>
      </w:r>
    </w:p>
    <w:p w14:paraId="224D5987">
      <w:pPr>
        <w:pStyle w:val="224"/>
        <w:rPr>
          <w:rFonts w:hint="eastAsia"/>
          <w:color w:val="auto"/>
        </w:rPr>
      </w:pPr>
      <w:bookmarkStart w:id="507" w:name="_Toc152042480"/>
      <w:bookmarkStart w:id="508" w:name="_Toc152045702"/>
      <w:bookmarkStart w:id="509" w:name="_Toc144974671"/>
      <w:bookmarkStart w:id="510" w:name="_Toc179632720"/>
      <w:r>
        <w:rPr>
          <w:rFonts w:hint="eastAsia"/>
          <w:color w:val="auto"/>
        </w:rPr>
        <w:t>14. 试验和检验</w:t>
      </w:r>
      <w:bookmarkEnd w:id="507"/>
      <w:bookmarkEnd w:id="508"/>
      <w:bookmarkEnd w:id="509"/>
      <w:bookmarkEnd w:id="510"/>
    </w:p>
    <w:p w14:paraId="479F5AF1">
      <w:pPr>
        <w:pStyle w:val="231"/>
        <w:rPr>
          <w:rFonts w:hint="eastAsia"/>
          <w:color w:val="auto"/>
        </w:rPr>
      </w:pPr>
      <w:bookmarkStart w:id="511" w:name="_Toc152042481"/>
      <w:bookmarkStart w:id="512" w:name="_Toc152045703"/>
      <w:bookmarkStart w:id="513" w:name="_Toc179632721"/>
      <w:bookmarkStart w:id="514" w:name="_Toc144974672"/>
      <w:r>
        <w:rPr>
          <w:rFonts w:hint="eastAsia"/>
          <w:color w:val="auto"/>
        </w:rPr>
        <w:t>14.1 材料、工程设备和工程的试验和检验</w:t>
      </w:r>
      <w:bookmarkEnd w:id="511"/>
      <w:bookmarkEnd w:id="512"/>
      <w:bookmarkEnd w:id="513"/>
      <w:bookmarkEnd w:id="514"/>
    </w:p>
    <w:p w14:paraId="5491AB1B">
      <w:pPr>
        <w:spacing w:line="400" w:lineRule="exact"/>
        <w:ind w:firstLine="420" w:firstLineChars="200"/>
        <w:rPr>
          <w:rFonts w:hint="eastAsia"/>
          <w:color w:val="auto"/>
        </w:rPr>
      </w:pPr>
      <w:r>
        <w:rPr>
          <w:rFonts w:hint="eastAsia"/>
          <w:color w:va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E71782D">
      <w:pPr>
        <w:spacing w:line="400" w:lineRule="exact"/>
        <w:ind w:firstLine="420" w:firstLineChars="200"/>
        <w:rPr>
          <w:rFonts w:hint="eastAsia"/>
          <w:color w:val="auto"/>
        </w:rPr>
      </w:pPr>
      <w:r>
        <w:rPr>
          <w:rFonts w:hint="eastAsia"/>
          <w:color w:val="auto"/>
        </w:rPr>
        <w:t>14.1.2 监理人未按合同约定派员参加试验和检验的，除监理人另有指示外，承包人可自行试验和检验，并应立即将试验和检验结果报送监理人，监理人应签字确认。</w:t>
      </w:r>
    </w:p>
    <w:p w14:paraId="7E97C564">
      <w:pPr>
        <w:spacing w:line="400" w:lineRule="exact"/>
        <w:ind w:firstLine="420" w:firstLineChars="200"/>
        <w:rPr>
          <w:rFonts w:hint="eastAsia"/>
          <w:color w:val="auto"/>
        </w:rPr>
      </w:pPr>
      <w:r>
        <w:rPr>
          <w:rFonts w:hint="eastAsia"/>
          <w:color w:va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E7676C3">
      <w:pPr>
        <w:pStyle w:val="231"/>
        <w:rPr>
          <w:rFonts w:hint="eastAsia"/>
          <w:color w:val="auto"/>
        </w:rPr>
      </w:pPr>
      <w:bookmarkStart w:id="515" w:name="_Toc144974673"/>
      <w:bookmarkStart w:id="516" w:name="_Toc152042482"/>
      <w:bookmarkStart w:id="517" w:name="_Toc179632722"/>
      <w:bookmarkStart w:id="518" w:name="_Toc152045704"/>
      <w:r>
        <w:rPr>
          <w:rFonts w:hint="eastAsia"/>
          <w:color w:val="auto"/>
        </w:rPr>
        <w:t>14.2 现场材料试验</w:t>
      </w:r>
      <w:bookmarkEnd w:id="515"/>
      <w:bookmarkEnd w:id="516"/>
      <w:bookmarkEnd w:id="517"/>
      <w:bookmarkEnd w:id="518"/>
    </w:p>
    <w:p w14:paraId="5A8D201D">
      <w:pPr>
        <w:spacing w:line="400" w:lineRule="exact"/>
        <w:ind w:firstLine="420" w:firstLineChars="200"/>
        <w:rPr>
          <w:rFonts w:hint="eastAsia"/>
          <w:color w:val="auto"/>
        </w:rPr>
      </w:pPr>
      <w:r>
        <w:rPr>
          <w:rFonts w:hint="eastAsia"/>
          <w:color w:val="auto"/>
        </w:rPr>
        <w:t>14.2.1 承包人根据合同约定或监理人指示进行的现场材料试验，应由承包人提供试验场所、试验人员、试验设备器材以及其他必要的试验条件。</w:t>
      </w:r>
    </w:p>
    <w:p w14:paraId="5282A25E">
      <w:pPr>
        <w:spacing w:line="400" w:lineRule="exact"/>
        <w:ind w:firstLine="420" w:firstLineChars="200"/>
        <w:rPr>
          <w:rFonts w:hint="eastAsia"/>
          <w:color w:val="auto"/>
        </w:rPr>
      </w:pPr>
      <w:r>
        <w:rPr>
          <w:rFonts w:hint="eastAsia"/>
          <w:color w:val="auto"/>
        </w:rPr>
        <w:t>14.2.2 监理人在必要时可以使用承包人的试验场所、试验设备器材以及其他试验条件，进行以工程质量检查为目的的复核性材料试验，承包人应予以协助。</w:t>
      </w:r>
    </w:p>
    <w:p w14:paraId="6B2C69AC">
      <w:pPr>
        <w:pStyle w:val="231"/>
        <w:rPr>
          <w:rFonts w:hint="eastAsia"/>
          <w:color w:val="auto"/>
        </w:rPr>
      </w:pPr>
      <w:bookmarkStart w:id="519" w:name="_Toc152042483"/>
      <w:bookmarkStart w:id="520" w:name="_Toc144974674"/>
      <w:bookmarkStart w:id="521" w:name="_Toc152045705"/>
      <w:bookmarkStart w:id="522" w:name="_Toc179632723"/>
      <w:r>
        <w:rPr>
          <w:rFonts w:hint="eastAsia"/>
          <w:color w:val="auto"/>
        </w:rPr>
        <w:t>14.3 现场工艺试验</w:t>
      </w:r>
      <w:bookmarkEnd w:id="519"/>
      <w:bookmarkEnd w:id="520"/>
      <w:bookmarkEnd w:id="521"/>
      <w:bookmarkEnd w:id="522"/>
    </w:p>
    <w:p w14:paraId="725CF4D8">
      <w:pPr>
        <w:spacing w:line="400" w:lineRule="exact"/>
        <w:ind w:firstLine="420" w:firstLineChars="200"/>
        <w:rPr>
          <w:rFonts w:hint="eastAsia"/>
          <w:color w:val="auto"/>
        </w:rPr>
      </w:pPr>
      <w:r>
        <w:rPr>
          <w:rFonts w:hint="eastAsia"/>
          <w:color w:val="auto"/>
        </w:rPr>
        <w:t>承包人应按合同约定或监理人指示进行现场工艺试验。对大型的现场工艺试验，监理人认为必要时，应由承包人根据监理人提出的工艺试验要求，编制工艺试验措施计划，报送监理人审批。</w:t>
      </w:r>
    </w:p>
    <w:p w14:paraId="71D38F94">
      <w:pPr>
        <w:pStyle w:val="224"/>
        <w:rPr>
          <w:rFonts w:hint="eastAsia"/>
          <w:color w:val="auto"/>
        </w:rPr>
      </w:pPr>
      <w:bookmarkStart w:id="523" w:name="_Toc144974675"/>
      <w:bookmarkStart w:id="524" w:name="_Toc179632724"/>
      <w:bookmarkStart w:id="525" w:name="_Toc152045706"/>
      <w:bookmarkStart w:id="526" w:name="_Toc152042484"/>
      <w:r>
        <w:rPr>
          <w:rFonts w:hint="eastAsia"/>
          <w:color w:val="auto"/>
        </w:rPr>
        <w:t>15. 变更</w:t>
      </w:r>
      <w:bookmarkEnd w:id="523"/>
      <w:bookmarkEnd w:id="524"/>
      <w:bookmarkEnd w:id="525"/>
      <w:bookmarkEnd w:id="526"/>
    </w:p>
    <w:p w14:paraId="56CEAF41">
      <w:pPr>
        <w:pStyle w:val="231"/>
        <w:rPr>
          <w:rFonts w:hint="eastAsia"/>
          <w:color w:val="auto"/>
        </w:rPr>
      </w:pPr>
      <w:bookmarkStart w:id="527" w:name="_Toc152042485"/>
      <w:bookmarkStart w:id="528" w:name="_Toc179632725"/>
      <w:bookmarkStart w:id="529" w:name="_Toc144974676"/>
      <w:bookmarkStart w:id="530" w:name="_Toc152045707"/>
      <w:r>
        <w:rPr>
          <w:rFonts w:hint="eastAsia"/>
          <w:color w:val="auto"/>
        </w:rPr>
        <w:t>15.1 变更的范围和内容</w:t>
      </w:r>
      <w:bookmarkEnd w:id="527"/>
      <w:bookmarkEnd w:id="528"/>
      <w:bookmarkEnd w:id="529"/>
      <w:bookmarkEnd w:id="530"/>
    </w:p>
    <w:p w14:paraId="42E5AE34">
      <w:pPr>
        <w:spacing w:line="400" w:lineRule="exact"/>
        <w:ind w:firstLine="420" w:firstLineChars="200"/>
        <w:rPr>
          <w:rFonts w:hint="eastAsia"/>
          <w:color w:val="auto"/>
        </w:rPr>
      </w:pPr>
      <w:r>
        <w:rPr>
          <w:rFonts w:hint="eastAsia"/>
          <w:color w:val="auto"/>
        </w:rPr>
        <w:t>除专用合同条款另有约定外，在履行合同中发生以下情形之一，应按照本条规定进行变更。</w:t>
      </w:r>
    </w:p>
    <w:p w14:paraId="0069F68D">
      <w:pPr>
        <w:spacing w:line="400" w:lineRule="exact"/>
        <w:ind w:firstLine="359" w:firstLineChars="171"/>
        <w:rPr>
          <w:rFonts w:hint="eastAsia"/>
          <w:color w:val="auto"/>
        </w:rPr>
      </w:pPr>
      <w:r>
        <w:rPr>
          <w:rFonts w:hint="eastAsia"/>
          <w:color w:val="auto"/>
        </w:rPr>
        <w:t>（1）取消合同中任何一项工作，但被取消的工作不能转由发包人或其他人实施；</w:t>
      </w:r>
    </w:p>
    <w:p w14:paraId="56BE7A2F">
      <w:pPr>
        <w:spacing w:line="400" w:lineRule="exact"/>
        <w:ind w:firstLine="359" w:firstLineChars="171"/>
        <w:rPr>
          <w:rFonts w:hint="eastAsia"/>
          <w:color w:val="auto"/>
        </w:rPr>
      </w:pPr>
      <w:r>
        <w:rPr>
          <w:rFonts w:hint="eastAsia"/>
          <w:color w:val="auto"/>
        </w:rPr>
        <w:t>（2）改变合同中任何一项工作的质量或其他特性；</w:t>
      </w:r>
    </w:p>
    <w:p w14:paraId="1E79DE29">
      <w:pPr>
        <w:spacing w:line="400" w:lineRule="exact"/>
        <w:ind w:firstLine="359" w:firstLineChars="171"/>
        <w:rPr>
          <w:rFonts w:hint="eastAsia"/>
          <w:color w:val="auto"/>
        </w:rPr>
      </w:pPr>
      <w:r>
        <w:rPr>
          <w:rFonts w:hint="eastAsia"/>
          <w:color w:val="auto"/>
        </w:rPr>
        <w:t>（3）改变合同工程的基线、标高、位置或尺寸；</w:t>
      </w:r>
    </w:p>
    <w:p w14:paraId="0B5EE1B7">
      <w:pPr>
        <w:spacing w:line="400" w:lineRule="exact"/>
        <w:ind w:firstLine="359" w:firstLineChars="171"/>
        <w:rPr>
          <w:rFonts w:hint="eastAsia"/>
          <w:color w:val="auto"/>
        </w:rPr>
      </w:pPr>
      <w:r>
        <w:rPr>
          <w:rFonts w:hint="eastAsia"/>
          <w:color w:val="auto"/>
        </w:rPr>
        <w:t>（4）改变合同中任何一项工作的施工时间或改变已批准的施工工艺或顺序；</w:t>
      </w:r>
    </w:p>
    <w:p w14:paraId="48B906A4">
      <w:pPr>
        <w:spacing w:line="400" w:lineRule="exact"/>
        <w:ind w:firstLine="359" w:firstLineChars="171"/>
        <w:rPr>
          <w:rFonts w:hint="eastAsia"/>
          <w:color w:val="auto"/>
        </w:rPr>
      </w:pPr>
      <w:r>
        <w:rPr>
          <w:rFonts w:hint="eastAsia"/>
          <w:color w:val="auto"/>
        </w:rPr>
        <w:t>（5）为完成工程需要追加的额外工作。</w:t>
      </w:r>
    </w:p>
    <w:p w14:paraId="2AC9488C">
      <w:pPr>
        <w:pStyle w:val="231"/>
        <w:rPr>
          <w:rFonts w:hint="eastAsia"/>
          <w:color w:val="auto"/>
        </w:rPr>
      </w:pPr>
      <w:bookmarkStart w:id="531" w:name="_Toc152042486"/>
      <w:bookmarkStart w:id="532" w:name="_Toc144974677"/>
      <w:bookmarkStart w:id="533" w:name="_Toc179632726"/>
      <w:bookmarkStart w:id="534" w:name="_Toc152045708"/>
      <w:r>
        <w:rPr>
          <w:rFonts w:hint="eastAsia"/>
          <w:color w:val="auto"/>
        </w:rPr>
        <w:t>15.2 变更权</w:t>
      </w:r>
      <w:bookmarkEnd w:id="531"/>
      <w:bookmarkEnd w:id="532"/>
      <w:bookmarkEnd w:id="533"/>
      <w:bookmarkEnd w:id="534"/>
    </w:p>
    <w:p w14:paraId="602830F3">
      <w:pPr>
        <w:spacing w:line="400" w:lineRule="exact"/>
        <w:ind w:firstLine="420" w:firstLineChars="200"/>
        <w:rPr>
          <w:rFonts w:hint="eastAsia"/>
          <w:color w:val="auto"/>
        </w:rPr>
      </w:pPr>
      <w:r>
        <w:rPr>
          <w:rFonts w:hint="eastAsia"/>
          <w:color w:val="auto"/>
        </w:rPr>
        <w:t>在履行合同过程中，经发包人同意，监理人可按第15.3款约定的变更程序向承包人作出变更指示，承包人应遵照执行。没有监理人的变更指示，承包人不得擅自变更。</w:t>
      </w:r>
    </w:p>
    <w:p w14:paraId="5538DC83">
      <w:pPr>
        <w:pStyle w:val="231"/>
        <w:rPr>
          <w:rFonts w:hint="eastAsia"/>
          <w:color w:val="auto"/>
        </w:rPr>
      </w:pPr>
      <w:bookmarkStart w:id="535" w:name="_Toc179632727"/>
      <w:bookmarkStart w:id="536" w:name="_Toc152045709"/>
      <w:bookmarkStart w:id="537" w:name="_Toc152042487"/>
      <w:bookmarkStart w:id="538" w:name="_Toc144974678"/>
      <w:r>
        <w:rPr>
          <w:rFonts w:hint="eastAsia"/>
          <w:color w:val="auto"/>
        </w:rPr>
        <w:t>15.3 变更程序</w:t>
      </w:r>
      <w:bookmarkEnd w:id="535"/>
      <w:bookmarkEnd w:id="536"/>
      <w:bookmarkEnd w:id="537"/>
      <w:bookmarkEnd w:id="538"/>
    </w:p>
    <w:p w14:paraId="22FBEFC3">
      <w:pPr>
        <w:spacing w:line="400" w:lineRule="exact"/>
        <w:ind w:firstLine="420" w:firstLineChars="200"/>
        <w:rPr>
          <w:rFonts w:hint="eastAsia"/>
          <w:color w:val="auto"/>
        </w:rPr>
      </w:pPr>
      <w:r>
        <w:rPr>
          <w:rFonts w:hint="eastAsia"/>
          <w:color w:val="auto"/>
        </w:rPr>
        <w:t xml:space="preserve">15.3.1 </w:t>
      </w:r>
      <w:r>
        <w:rPr>
          <w:rFonts w:hint="eastAsia" w:ascii="黑体" w:eastAsia="黑体"/>
          <w:color w:val="auto"/>
        </w:rPr>
        <w:t>变更的提出</w:t>
      </w:r>
    </w:p>
    <w:p w14:paraId="6906896D">
      <w:pPr>
        <w:spacing w:line="400" w:lineRule="exact"/>
        <w:ind w:firstLine="420" w:firstLineChars="200"/>
        <w:rPr>
          <w:rFonts w:hint="eastAsia"/>
          <w:color w:val="auto"/>
        </w:rPr>
      </w:pPr>
      <w:r>
        <w:rPr>
          <w:rFonts w:hint="eastAsia"/>
          <w:color w:val="auto"/>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6079945A">
      <w:pPr>
        <w:spacing w:line="400" w:lineRule="exact"/>
        <w:ind w:firstLine="420" w:firstLineChars="200"/>
        <w:rPr>
          <w:rFonts w:hint="eastAsia"/>
          <w:color w:val="auto"/>
        </w:rPr>
      </w:pPr>
      <w:r>
        <w:rPr>
          <w:rFonts w:hint="eastAsia"/>
          <w:color w:val="auto"/>
        </w:rPr>
        <w:t>（2）在合同履行过程中，发生第15.1款约定情形的，监理人应按照第15.3.3项约定向承包人发出变更指示。</w:t>
      </w:r>
    </w:p>
    <w:p w14:paraId="6878CB4D">
      <w:pPr>
        <w:spacing w:line="400" w:lineRule="exact"/>
        <w:ind w:firstLine="420" w:firstLineChars="200"/>
        <w:rPr>
          <w:rFonts w:hint="eastAsia"/>
          <w:color w:val="auto"/>
        </w:rPr>
      </w:pPr>
      <w:r>
        <w:rPr>
          <w:rFonts w:hint="eastAsia"/>
          <w:color w:va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C14975F">
      <w:pPr>
        <w:spacing w:line="400" w:lineRule="exact"/>
        <w:ind w:firstLine="420" w:firstLineChars="200"/>
        <w:rPr>
          <w:rFonts w:hint="eastAsia"/>
          <w:color w:val="auto"/>
        </w:rPr>
      </w:pPr>
      <w:r>
        <w:rPr>
          <w:rFonts w:hint="eastAsia"/>
          <w:color w:val="auto"/>
        </w:rPr>
        <w:t>（4）若承包人收到监理人的变更意向书后认为难以实施此项变更，应立即通知监理人，说明原因并附详细依据。监理人与承包人和发包人协商后确定撤销</w:t>
      </w:r>
      <w:r>
        <w:rPr>
          <w:rFonts w:hint="eastAsia" w:ascii="宋体" w:hAnsi="宋体"/>
          <w:color w:val="auto"/>
        </w:rPr>
        <w:t>、</w:t>
      </w:r>
      <w:r>
        <w:rPr>
          <w:rFonts w:hint="eastAsia"/>
          <w:color w:val="auto"/>
        </w:rPr>
        <w:t>改变或不改变原变更意向书。</w:t>
      </w:r>
    </w:p>
    <w:p w14:paraId="6DC888C8">
      <w:pPr>
        <w:spacing w:line="400" w:lineRule="exact"/>
        <w:ind w:firstLine="420" w:firstLineChars="200"/>
        <w:rPr>
          <w:rFonts w:hint="eastAsia"/>
          <w:color w:val="auto"/>
        </w:rPr>
      </w:pPr>
      <w:r>
        <w:rPr>
          <w:rFonts w:hint="eastAsia"/>
          <w:color w:val="auto"/>
        </w:rPr>
        <w:t xml:space="preserve">15.3.2 </w:t>
      </w:r>
      <w:r>
        <w:rPr>
          <w:rFonts w:hint="eastAsia" w:ascii="黑体" w:eastAsia="黑体"/>
          <w:color w:val="auto"/>
        </w:rPr>
        <w:t>变更估价</w:t>
      </w:r>
    </w:p>
    <w:p w14:paraId="3DCBE632">
      <w:pPr>
        <w:spacing w:line="400" w:lineRule="exact"/>
        <w:ind w:firstLine="420" w:firstLineChars="200"/>
        <w:rPr>
          <w:rFonts w:hint="eastAsia"/>
          <w:color w:val="auto"/>
        </w:rPr>
      </w:pPr>
      <w:r>
        <w:rPr>
          <w:rFonts w:hint="eastAsia"/>
          <w:color w:va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7A4AE598">
      <w:pPr>
        <w:spacing w:line="400" w:lineRule="exact"/>
        <w:ind w:firstLine="420" w:firstLineChars="200"/>
        <w:rPr>
          <w:rFonts w:hint="eastAsia"/>
          <w:color w:val="auto"/>
        </w:rPr>
      </w:pPr>
      <w:r>
        <w:rPr>
          <w:rFonts w:hint="eastAsia"/>
          <w:color w:val="auto"/>
        </w:rPr>
        <w:t>（2）变更工作影响工期的，承包人应提出调整工期的具体细节。监理人认为有必要时，可要求承包人提交要求提前或延长工期的施工进度计划及相应施工措施等详细资料。</w:t>
      </w:r>
    </w:p>
    <w:p w14:paraId="33AF94E6">
      <w:pPr>
        <w:spacing w:line="400" w:lineRule="exact"/>
        <w:ind w:firstLine="420" w:firstLineChars="200"/>
        <w:rPr>
          <w:rFonts w:hint="eastAsia"/>
          <w:color w:val="auto"/>
        </w:rPr>
      </w:pPr>
      <w:r>
        <w:rPr>
          <w:rFonts w:hint="eastAsia"/>
          <w:color w:val="auto"/>
        </w:rPr>
        <w:t>（3）除专用合同条款对期限另有约定外，监理人收到承包人变更报价书后的14天内，根据第15.4款约定的估价原则，按照第3.5款商定或确定变更价格。</w:t>
      </w:r>
    </w:p>
    <w:p w14:paraId="55DAA6BE">
      <w:pPr>
        <w:spacing w:line="400" w:lineRule="exact"/>
        <w:ind w:firstLine="420" w:firstLineChars="200"/>
        <w:rPr>
          <w:rFonts w:hint="eastAsia"/>
          <w:color w:val="auto"/>
        </w:rPr>
      </w:pPr>
      <w:r>
        <w:rPr>
          <w:rFonts w:hint="eastAsia"/>
          <w:color w:val="auto"/>
        </w:rPr>
        <w:t xml:space="preserve">15.3.3 </w:t>
      </w:r>
      <w:r>
        <w:rPr>
          <w:rFonts w:hint="eastAsia" w:ascii="黑体" w:eastAsia="黑体"/>
          <w:color w:val="auto"/>
        </w:rPr>
        <w:t>变更指示</w:t>
      </w:r>
    </w:p>
    <w:p w14:paraId="5AD1F299">
      <w:pPr>
        <w:spacing w:line="400" w:lineRule="exact"/>
        <w:ind w:firstLine="420" w:firstLineChars="200"/>
        <w:rPr>
          <w:rFonts w:hint="eastAsia"/>
          <w:color w:val="auto"/>
        </w:rPr>
      </w:pPr>
      <w:r>
        <w:rPr>
          <w:rFonts w:hint="eastAsia"/>
          <w:color w:val="auto"/>
        </w:rPr>
        <w:t>（1）变更指示只能由监理人发出。</w:t>
      </w:r>
    </w:p>
    <w:p w14:paraId="46D4540C">
      <w:pPr>
        <w:spacing w:line="400" w:lineRule="exact"/>
        <w:ind w:firstLine="420" w:firstLineChars="200"/>
        <w:rPr>
          <w:rFonts w:hint="eastAsia"/>
          <w:color w:val="auto"/>
        </w:rPr>
      </w:pPr>
      <w:r>
        <w:rPr>
          <w:rFonts w:hint="eastAsia"/>
          <w:color w:val="auto"/>
        </w:rPr>
        <w:t>（2）变更指示应说明变更的目的、范围、变更内容以及变更的工程量及其进度和技术要求，并附有关图纸和文件。承包人收到变更指示后，应按变更指示进行变更工作。</w:t>
      </w:r>
    </w:p>
    <w:p w14:paraId="3F280E0C">
      <w:pPr>
        <w:pStyle w:val="231"/>
        <w:rPr>
          <w:rFonts w:hint="eastAsia"/>
          <w:color w:val="auto"/>
        </w:rPr>
      </w:pPr>
      <w:bookmarkStart w:id="539" w:name="_Toc152042488"/>
      <w:bookmarkStart w:id="540" w:name="_Toc144974679"/>
      <w:bookmarkStart w:id="541" w:name="_Toc179632728"/>
      <w:bookmarkStart w:id="542" w:name="_Toc152045710"/>
      <w:r>
        <w:rPr>
          <w:rFonts w:hint="eastAsia"/>
          <w:color w:val="auto"/>
        </w:rPr>
        <w:t>15.4 变更的估价原则</w:t>
      </w:r>
      <w:bookmarkEnd w:id="539"/>
      <w:bookmarkEnd w:id="540"/>
      <w:bookmarkEnd w:id="541"/>
      <w:bookmarkEnd w:id="542"/>
    </w:p>
    <w:p w14:paraId="2C8727AA">
      <w:pPr>
        <w:spacing w:line="400" w:lineRule="exact"/>
        <w:ind w:firstLine="420" w:firstLineChars="200"/>
        <w:rPr>
          <w:rFonts w:hint="eastAsia"/>
          <w:color w:val="auto"/>
        </w:rPr>
      </w:pPr>
      <w:r>
        <w:rPr>
          <w:rFonts w:hint="eastAsia"/>
          <w:color w:val="auto"/>
        </w:rPr>
        <w:t>除专用合同条款另有约定外，因变更引起的价格调整按照本款约定处理。</w:t>
      </w:r>
    </w:p>
    <w:p w14:paraId="527EC578">
      <w:pPr>
        <w:spacing w:line="400" w:lineRule="exact"/>
        <w:ind w:firstLine="420" w:firstLineChars="200"/>
        <w:rPr>
          <w:rFonts w:hint="eastAsia"/>
          <w:color w:val="auto"/>
        </w:rPr>
      </w:pPr>
      <w:r>
        <w:rPr>
          <w:rFonts w:hint="eastAsia"/>
          <w:color w:val="auto"/>
        </w:rPr>
        <w:t>15.4.1 已标价工程量清单中有适用于变更工作的子目的，采用该子目的单价。</w:t>
      </w:r>
    </w:p>
    <w:p w14:paraId="6E227B39">
      <w:pPr>
        <w:spacing w:line="400" w:lineRule="exact"/>
        <w:ind w:firstLine="420" w:firstLineChars="200"/>
        <w:rPr>
          <w:rFonts w:hint="eastAsia"/>
          <w:color w:val="auto"/>
        </w:rPr>
      </w:pPr>
      <w:r>
        <w:rPr>
          <w:rFonts w:hint="eastAsia"/>
          <w:color w:val="auto"/>
        </w:rPr>
        <w:t>15.4.2 已标价工程量清单中无适用于变更工作的子目，但有类似子目的，可在合理范围内参照类似子目的单价，由监理人按第3.5款商定或确定变更工作的单价。</w:t>
      </w:r>
    </w:p>
    <w:p w14:paraId="6C00EAAC">
      <w:pPr>
        <w:spacing w:line="400" w:lineRule="exact"/>
        <w:ind w:firstLine="420" w:firstLineChars="200"/>
        <w:rPr>
          <w:rFonts w:hint="eastAsia"/>
          <w:color w:val="auto"/>
        </w:rPr>
      </w:pPr>
      <w:r>
        <w:rPr>
          <w:rFonts w:hint="eastAsia"/>
          <w:color w:val="auto"/>
        </w:rPr>
        <w:t>15.4.3 已标价工程量清单中无适用或类似子目的单价，可按照成本加利润的原则，由监理人按第3.5款商定或确定变更工作的单价。</w:t>
      </w:r>
    </w:p>
    <w:p w14:paraId="547F17FA">
      <w:pPr>
        <w:pStyle w:val="231"/>
        <w:rPr>
          <w:rFonts w:hint="eastAsia"/>
          <w:color w:val="auto"/>
        </w:rPr>
      </w:pPr>
      <w:bookmarkStart w:id="543" w:name="_Toc179632729"/>
      <w:bookmarkStart w:id="544" w:name="_Toc152042489"/>
      <w:bookmarkStart w:id="545" w:name="_Toc152045711"/>
      <w:bookmarkStart w:id="546" w:name="_Toc144974680"/>
      <w:r>
        <w:rPr>
          <w:rFonts w:hint="eastAsia"/>
          <w:color w:val="auto"/>
        </w:rPr>
        <w:t>15.5 承包人的合理化建议</w:t>
      </w:r>
      <w:bookmarkEnd w:id="543"/>
      <w:bookmarkEnd w:id="544"/>
      <w:bookmarkEnd w:id="545"/>
      <w:bookmarkEnd w:id="546"/>
    </w:p>
    <w:p w14:paraId="173B55FE">
      <w:pPr>
        <w:spacing w:line="400" w:lineRule="exact"/>
        <w:ind w:firstLine="420" w:firstLineChars="200"/>
        <w:rPr>
          <w:rFonts w:hint="eastAsia"/>
          <w:color w:val="auto"/>
        </w:rPr>
      </w:pPr>
      <w:r>
        <w:rPr>
          <w:rFonts w:hint="eastAsia"/>
          <w:color w:va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EA5113C">
      <w:pPr>
        <w:spacing w:line="400" w:lineRule="exact"/>
        <w:ind w:firstLine="420" w:firstLineChars="200"/>
        <w:rPr>
          <w:rFonts w:hint="eastAsia"/>
          <w:color w:val="auto"/>
        </w:rPr>
      </w:pPr>
      <w:r>
        <w:rPr>
          <w:rFonts w:hint="eastAsia"/>
          <w:color w:val="auto"/>
        </w:rPr>
        <w:t>15.5.2 承包人提出的合理化建议降低了合同价格、缩短了工期或者提高了工程经济效益的，发包人可按国家有关规定在专用合同条款中约定给予奖励。</w:t>
      </w:r>
    </w:p>
    <w:p w14:paraId="4EDB66E1">
      <w:pPr>
        <w:pStyle w:val="231"/>
        <w:rPr>
          <w:rFonts w:hint="eastAsia"/>
          <w:color w:val="auto"/>
        </w:rPr>
      </w:pPr>
      <w:bookmarkStart w:id="547" w:name="_Toc179632730"/>
      <w:bookmarkStart w:id="548" w:name="_Toc152042490"/>
      <w:bookmarkStart w:id="549" w:name="_Toc144974681"/>
      <w:bookmarkStart w:id="550" w:name="_Toc152045712"/>
      <w:r>
        <w:rPr>
          <w:rFonts w:hint="eastAsia"/>
          <w:color w:val="auto"/>
        </w:rPr>
        <w:t>15.6 暂列金额</w:t>
      </w:r>
      <w:bookmarkEnd w:id="547"/>
      <w:bookmarkEnd w:id="548"/>
      <w:bookmarkEnd w:id="549"/>
      <w:bookmarkEnd w:id="550"/>
    </w:p>
    <w:p w14:paraId="411DBD8B">
      <w:pPr>
        <w:spacing w:line="400" w:lineRule="exact"/>
        <w:ind w:firstLine="420" w:firstLineChars="200"/>
        <w:rPr>
          <w:rFonts w:hint="eastAsia"/>
          <w:color w:val="auto"/>
        </w:rPr>
      </w:pPr>
      <w:r>
        <w:rPr>
          <w:rFonts w:hint="eastAsia"/>
          <w:color w:val="auto"/>
        </w:rPr>
        <w:t>暂列金额只能按照监理人的指示使用，并对合同价格进行相应调整。</w:t>
      </w:r>
    </w:p>
    <w:p w14:paraId="05ED7593">
      <w:pPr>
        <w:pStyle w:val="231"/>
        <w:rPr>
          <w:rFonts w:hint="eastAsia"/>
          <w:color w:val="auto"/>
        </w:rPr>
      </w:pPr>
      <w:bookmarkStart w:id="551" w:name="_Toc152045713"/>
      <w:bookmarkStart w:id="552" w:name="_Toc144974682"/>
      <w:bookmarkStart w:id="553" w:name="_Toc152042491"/>
      <w:bookmarkStart w:id="554" w:name="_Toc179632731"/>
      <w:r>
        <w:rPr>
          <w:rFonts w:hint="eastAsia"/>
          <w:color w:val="auto"/>
        </w:rPr>
        <w:t>15.7 计日工</w:t>
      </w:r>
      <w:bookmarkEnd w:id="551"/>
      <w:bookmarkEnd w:id="552"/>
      <w:bookmarkEnd w:id="553"/>
      <w:bookmarkEnd w:id="554"/>
    </w:p>
    <w:p w14:paraId="1586A641">
      <w:pPr>
        <w:spacing w:line="400" w:lineRule="exact"/>
        <w:ind w:firstLine="420" w:firstLineChars="200"/>
        <w:rPr>
          <w:rFonts w:hint="eastAsia"/>
          <w:color w:val="auto"/>
          <w:shd w:val="pct10" w:color="auto" w:fill="FFFFFF"/>
        </w:rPr>
      </w:pPr>
      <w:r>
        <w:rPr>
          <w:rFonts w:hint="eastAsia"/>
          <w:color w:val="auto"/>
        </w:rPr>
        <w:t>15.7.1 发包人认为有必要时，</w:t>
      </w:r>
      <w:r>
        <w:rPr>
          <w:rFonts w:hint="eastAsia"/>
          <w:color w:val="auto"/>
          <w:szCs w:val="21"/>
        </w:rPr>
        <w:t>由</w:t>
      </w:r>
      <w:r>
        <w:rPr>
          <w:rFonts w:hint="eastAsia"/>
          <w:color w:val="auto"/>
        </w:rPr>
        <w:t>监理人通知承包人以计日工方式实施变更的零星工作。其价款按列入已标价工程量清单中的计日工计价子目及其单价进行计算。</w:t>
      </w:r>
    </w:p>
    <w:p w14:paraId="2CDC0C3A">
      <w:pPr>
        <w:spacing w:line="400" w:lineRule="exact"/>
        <w:ind w:firstLine="420" w:firstLineChars="200"/>
        <w:rPr>
          <w:rFonts w:hint="eastAsia"/>
          <w:color w:val="auto"/>
        </w:rPr>
      </w:pPr>
      <w:r>
        <w:rPr>
          <w:rFonts w:hint="eastAsia"/>
          <w:color w:val="auto"/>
        </w:rPr>
        <w:t>15.7.2 采用计日工计价的任何一项变更工作，应从暂列金额中支付，承包人应在该项变更的实施过程中，每天提交以下报表和有关凭证报送监理人审批：</w:t>
      </w:r>
    </w:p>
    <w:p w14:paraId="0A8FA0C8">
      <w:pPr>
        <w:spacing w:line="400" w:lineRule="exact"/>
        <w:ind w:firstLine="718" w:firstLineChars="342"/>
        <w:rPr>
          <w:rFonts w:hint="eastAsia"/>
          <w:color w:val="auto"/>
        </w:rPr>
      </w:pPr>
      <w:r>
        <w:rPr>
          <w:rFonts w:hint="eastAsia"/>
          <w:color w:val="auto"/>
        </w:rPr>
        <w:t>（1）工作名称、内容和数量；</w:t>
      </w:r>
    </w:p>
    <w:p w14:paraId="13529D18">
      <w:pPr>
        <w:spacing w:line="400" w:lineRule="exact"/>
        <w:ind w:firstLine="718" w:firstLineChars="342"/>
        <w:rPr>
          <w:rFonts w:hint="eastAsia"/>
          <w:color w:val="auto"/>
        </w:rPr>
      </w:pPr>
      <w:r>
        <w:rPr>
          <w:rFonts w:hint="eastAsia"/>
          <w:color w:val="auto"/>
        </w:rPr>
        <w:t>（2）投入该工作所有人员的姓名、工种、级别和耗用工时；</w:t>
      </w:r>
    </w:p>
    <w:p w14:paraId="3E394B2E">
      <w:pPr>
        <w:spacing w:line="400" w:lineRule="exact"/>
        <w:ind w:firstLine="718" w:firstLineChars="342"/>
        <w:rPr>
          <w:rFonts w:hint="eastAsia"/>
          <w:color w:val="auto"/>
        </w:rPr>
      </w:pPr>
      <w:r>
        <w:rPr>
          <w:rFonts w:hint="eastAsia"/>
          <w:color w:val="auto"/>
        </w:rPr>
        <w:t>（3）投入该工作的材料类别和数量；</w:t>
      </w:r>
    </w:p>
    <w:p w14:paraId="788AF8A2">
      <w:pPr>
        <w:spacing w:line="400" w:lineRule="exact"/>
        <w:ind w:firstLine="718" w:firstLineChars="342"/>
        <w:rPr>
          <w:rFonts w:hint="eastAsia"/>
          <w:color w:val="auto"/>
        </w:rPr>
      </w:pPr>
      <w:r>
        <w:rPr>
          <w:rFonts w:hint="eastAsia"/>
          <w:color w:val="auto"/>
        </w:rPr>
        <w:t>（4）投入该工作的施工设备型号、台数和耗用台时；</w:t>
      </w:r>
    </w:p>
    <w:p w14:paraId="5FCEEE2B">
      <w:pPr>
        <w:spacing w:line="400" w:lineRule="exact"/>
        <w:ind w:firstLine="718" w:firstLineChars="342"/>
        <w:rPr>
          <w:rFonts w:hint="eastAsia"/>
          <w:color w:val="auto"/>
        </w:rPr>
      </w:pPr>
      <w:r>
        <w:rPr>
          <w:rFonts w:hint="eastAsia"/>
          <w:color w:val="auto"/>
        </w:rPr>
        <w:t>（5）监理人要求提交的其他资料和凭证。</w:t>
      </w:r>
    </w:p>
    <w:p w14:paraId="73BB0953">
      <w:pPr>
        <w:spacing w:line="400" w:lineRule="exact"/>
        <w:ind w:firstLine="420" w:firstLineChars="200"/>
        <w:rPr>
          <w:rFonts w:hint="eastAsia"/>
          <w:color w:val="auto"/>
        </w:rPr>
      </w:pPr>
      <w:r>
        <w:rPr>
          <w:rFonts w:hint="eastAsia"/>
          <w:color w:val="auto"/>
        </w:rPr>
        <w:t>15.7.3 计日工由承包人汇总后，按第17.3.2项的约定列入进度付款申请单，由监理人复核并经发包人同意后列入进度付款。</w:t>
      </w:r>
    </w:p>
    <w:p w14:paraId="0FA31038">
      <w:pPr>
        <w:pStyle w:val="231"/>
        <w:rPr>
          <w:rFonts w:hint="eastAsia"/>
          <w:color w:val="auto"/>
        </w:rPr>
      </w:pPr>
      <w:bookmarkStart w:id="555" w:name="_Toc152045714"/>
      <w:bookmarkStart w:id="556" w:name="_Toc144974683"/>
      <w:bookmarkStart w:id="557" w:name="_Toc152042492"/>
      <w:bookmarkStart w:id="558" w:name="_Toc179632732"/>
      <w:r>
        <w:rPr>
          <w:rFonts w:hint="eastAsia"/>
          <w:color w:val="auto"/>
        </w:rPr>
        <w:t>15.8 暂估价</w:t>
      </w:r>
      <w:bookmarkEnd w:id="555"/>
      <w:bookmarkEnd w:id="556"/>
      <w:bookmarkEnd w:id="557"/>
      <w:bookmarkEnd w:id="558"/>
    </w:p>
    <w:p w14:paraId="20073709">
      <w:pPr>
        <w:spacing w:line="400" w:lineRule="exact"/>
        <w:rPr>
          <w:rFonts w:hint="eastAsia"/>
          <w:color w:val="auto"/>
        </w:rPr>
      </w:pPr>
      <w:r>
        <w:rPr>
          <w:rFonts w:hint="eastAsia"/>
          <w:color w:val="auto"/>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0452ED5A">
      <w:pPr>
        <w:spacing w:line="400" w:lineRule="exact"/>
        <w:ind w:firstLine="420" w:firstLineChars="200"/>
        <w:rPr>
          <w:rFonts w:hint="eastAsia"/>
          <w:color w:val="auto"/>
        </w:rPr>
      </w:pPr>
      <w:r>
        <w:rPr>
          <w:rFonts w:hint="eastAsia"/>
          <w:color w:va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88F6C8D">
      <w:pPr>
        <w:spacing w:line="400" w:lineRule="exact"/>
        <w:ind w:firstLine="420" w:firstLineChars="200"/>
        <w:rPr>
          <w:rFonts w:hint="eastAsia"/>
          <w:color w:val="auto"/>
        </w:rPr>
      </w:pPr>
      <w:r>
        <w:rPr>
          <w:rFonts w:hint="eastAsia"/>
          <w:color w:va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AD5DDC1">
      <w:pPr>
        <w:pStyle w:val="224"/>
        <w:rPr>
          <w:rFonts w:hint="eastAsia"/>
          <w:color w:val="auto"/>
        </w:rPr>
      </w:pPr>
      <w:bookmarkStart w:id="559" w:name="_Toc144974684"/>
      <w:bookmarkStart w:id="560" w:name="_Toc152045715"/>
      <w:bookmarkStart w:id="561" w:name="_Toc179632733"/>
      <w:bookmarkStart w:id="562" w:name="_Toc152042493"/>
      <w:r>
        <w:rPr>
          <w:rFonts w:hint="eastAsia"/>
          <w:color w:val="auto"/>
        </w:rPr>
        <w:t>16. 价格调整</w:t>
      </w:r>
      <w:bookmarkEnd w:id="559"/>
      <w:bookmarkEnd w:id="560"/>
      <w:bookmarkEnd w:id="561"/>
      <w:bookmarkEnd w:id="562"/>
    </w:p>
    <w:p w14:paraId="69FC89D2">
      <w:pPr>
        <w:pStyle w:val="231"/>
        <w:rPr>
          <w:rFonts w:hint="eastAsia"/>
          <w:color w:val="auto"/>
        </w:rPr>
      </w:pPr>
      <w:bookmarkStart w:id="563" w:name="_Toc152042494"/>
      <w:bookmarkStart w:id="564" w:name="_Toc152045716"/>
      <w:bookmarkStart w:id="565" w:name="_Toc179632734"/>
      <w:bookmarkStart w:id="566" w:name="_Toc144974685"/>
      <w:r>
        <w:rPr>
          <w:rFonts w:hint="eastAsia"/>
          <w:color w:val="auto"/>
        </w:rPr>
        <w:t>16.1 物价波动引起的价格调整</w:t>
      </w:r>
      <w:bookmarkEnd w:id="563"/>
      <w:bookmarkEnd w:id="564"/>
      <w:bookmarkEnd w:id="565"/>
      <w:bookmarkEnd w:id="566"/>
    </w:p>
    <w:p w14:paraId="44AA6AE5">
      <w:pPr>
        <w:spacing w:line="400" w:lineRule="exact"/>
        <w:ind w:firstLine="420" w:firstLineChars="200"/>
        <w:rPr>
          <w:rFonts w:hint="eastAsia"/>
          <w:color w:val="auto"/>
        </w:rPr>
      </w:pPr>
      <w:r>
        <w:rPr>
          <w:rFonts w:hint="eastAsia"/>
          <w:color w:val="auto"/>
        </w:rPr>
        <w:t>除专用合同条款另有约定外，因物价波动引起的价格调整按照本款约定处理。</w:t>
      </w:r>
    </w:p>
    <w:p w14:paraId="06E1C457">
      <w:pPr>
        <w:spacing w:line="400" w:lineRule="exact"/>
        <w:ind w:firstLine="420" w:firstLineChars="200"/>
        <w:rPr>
          <w:rFonts w:hint="eastAsia"/>
          <w:color w:val="auto"/>
        </w:rPr>
      </w:pPr>
      <w:r>
        <w:rPr>
          <w:rFonts w:hint="eastAsia"/>
          <w:color w:val="auto"/>
        </w:rPr>
        <w:t xml:space="preserve">16.1.1 </w:t>
      </w:r>
      <w:r>
        <w:rPr>
          <w:rFonts w:hint="eastAsia" w:ascii="黑体" w:eastAsia="黑体"/>
          <w:color w:val="auto"/>
        </w:rPr>
        <w:t>采用价格指数调整价格差额</w:t>
      </w:r>
    </w:p>
    <w:p w14:paraId="1A5F352B">
      <w:pPr>
        <w:spacing w:line="400" w:lineRule="exact"/>
        <w:ind w:firstLine="420" w:firstLineChars="200"/>
        <w:rPr>
          <w:rFonts w:hint="eastAsia"/>
          <w:color w:val="auto"/>
        </w:rPr>
      </w:pPr>
      <w:r>
        <w:rPr>
          <w:rFonts w:hint="eastAsia"/>
          <w:color w:val="auto"/>
        </w:rPr>
        <w:t>16.1.1.1 价格调整公式</w:t>
      </w:r>
    </w:p>
    <w:p w14:paraId="6AEBD57E">
      <w:pPr>
        <w:spacing w:line="400" w:lineRule="exact"/>
        <w:ind w:firstLine="420" w:firstLineChars="200"/>
        <w:rPr>
          <w:rFonts w:hint="eastAsia"/>
          <w:color w:val="auto"/>
        </w:rPr>
      </w:pPr>
      <w:r>
        <w:rPr>
          <w:rFonts w:hint="eastAsia"/>
          <w:color w:val="auto"/>
        </w:rPr>
        <w:t>因人工、材料和设备等价格波动影响合同价格时，根据投标函附录中的价格指数和权重表约定的数据，按以下公式计算差额并调整合同价格。</w:t>
      </w:r>
    </w:p>
    <w:p w14:paraId="046C5667">
      <w:pPr>
        <w:autoSpaceDE w:val="0"/>
        <w:autoSpaceDN w:val="0"/>
        <w:adjustRightInd w:val="0"/>
        <w:spacing w:line="1200" w:lineRule="exact"/>
        <w:ind w:right="248" w:firstLine="759" w:firstLineChars="398"/>
        <w:rPr>
          <w:rFonts w:hint="eastAsia"/>
          <w:color w:val="auto"/>
        </w:rPr>
      </w:pPr>
      <w:r>
        <w:rPr>
          <w:rFonts w:hint="eastAsia"/>
          <w:b/>
          <w:bCs/>
          <w:color w:val="auto"/>
          <w:kern w:val="0"/>
          <w:sz w:val="19"/>
          <w:szCs w:val="19"/>
          <w:lang w:val="zh-CN"/>
        </w:rPr>
        <w:t xml:space="preserve">        </w:t>
      </w:r>
      <w:r>
        <w:rPr>
          <w:color w:val="auto"/>
          <w:position w:val="-34"/>
        </w:rPr>
        <w:object>
          <v:shape id="_x0000_i1025" o:spt="75" type="#_x0000_t75" style="height:40pt;width:306pt;" o:ole="t" filled="f" o:preferrelative="t" stroked="f" coordsize="21600,21600">
            <v:path/>
            <v:fill on="f" alignshape="1"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14:paraId="2B1437DE">
      <w:pPr>
        <w:tabs>
          <w:tab w:val="left" w:pos="1260"/>
        </w:tabs>
        <w:spacing w:line="400" w:lineRule="exact"/>
        <w:ind w:firstLine="420" w:firstLineChars="200"/>
        <w:rPr>
          <w:rFonts w:hint="eastAsia"/>
          <w:color w:val="auto"/>
        </w:rPr>
      </w:pPr>
      <w:r>
        <w:rPr>
          <w:rFonts w:hint="eastAsia"/>
          <w:color w:val="auto"/>
        </w:rPr>
        <w:t xml:space="preserve"> </w:t>
      </w:r>
    </w:p>
    <w:p w14:paraId="227B413B">
      <w:pPr>
        <w:tabs>
          <w:tab w:val="left" w:pos="1260"/>
        </w:tabs>
        <w:spacing w:line="400" w:lineRule="exact"/>
        <w:ind w:firstLine="420" w:firstLineChars="200"/>
        <w:rPr>
          <w:rFonts w:hint="eastAsia"/>
          <w:color w:val="auto"/>
        </w:rPr>
      </w:pPr>
      <w:r>
        <w:rPr>
          <w:rFonts w:hint="eastAsia"/>
          <w:color w:val="auto"/>
        </w:rPr>
        <w:t>式中： △P -- 需调整的价格差额；</w:t>
      </w:r>
    </w:p>
    <w:p w14:paraId="06454FCE">
      <w:pPr>
        <w:tabs>
          <w:tab w:val="left" w:pos="1260"/>
        </w:tabs>
        <w:spacing w:line="400" w:lineRule="exact"/>
        <w:rPr>
          <w:rFonts w:hint="eastAsia"/>
          <w:color w:val="auto"/>
        </w:rPr>
      </w:pPr>
      <w:r>
        <w:rPr>
          <w:rFonts w:hint="eastAsia"/>
          <w:color w:val="auto"/>
        </w:rPr>
        <w:tab/>
      </w:r>
      <w:r>
        <w:rPr>
          <w:rFonts w:hint="eastAsia"/>
          <w:color w:val="auto"/>
        </w:rPr>
        <w:t>P</w:t>
      </w:r>
      <w:r>
        <w:rPr>
          <w:rFonts w:hint="eastAsia"/>
          <w:color w:val="auto"/>
          <w:szCs w:val="21"/>
          <w:vertAlign w:val="subscript"/>
        </w:rPr>
        <w:t>0</w:t>
      </w:r>
      <w:r>
        <w:rPr>
          <w:rFonts w:hint="eastAsia"/>
          <w:color w:val="auto"/>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602AA50">
      <w:pPr>
        <w:tabs>
          <w:tab w:val="left" w:pos="1260"/>
        </w:tabs>
        <w:spacing w:line="400" w:lineRule="exact"/>
        <w:rPr>
          <w:rFonts w:hint="eastAsia"/>
          <w:color w:val="auto"/>
        </w:rPr>
      </w:pPr>
      <w:r>
        <w:rPr>
          <w:rFonts w:hint="eastAsia"/>
          <w:color w:val="auto"/>
        </w:rPr>
        <w:tab/>
      </w:r>
      <w:bookmarkStart w:id="567" w:name="_Toc152042495"/>
      <w:bookmarkStart w:id="568" w:name="_Toc144974686"/>
      <w:r>
        <w:rPr>
          <w:rFonts w:hint="eastAsia"/>
          <w:color w:val="auto"/>
        </w:rPr>
        <w:t>A -- 定值权重（即不调部分的权重）；</w:t>
      </w:r>
      <w:bookmarkEnd w:id="567"/>
      <w:bookmarkEnd w:id="568"/>
    </w:p>
    <w:p w14:paraId="2F9C85FC">
      <w:pPr>
        <w:tabs>
          <w:tab w:val="left" w:pos="1260"/>
        </w:tabs>
        <w:spacing w:line="400" w:lineRule="exact"/>
        <w:rPr>
          <w:rFonts w:hint="eastAsia"/>
          <w:color w:val="auto"/>
        </w:rPr>
      </w:pPr>
      <w:r>
        <w:rPr>
          <w:rFonts w:hint="eastAsia"/>
          <w:color w:val="auto"/>
        </w:rPr>
        <w:tab/>
      </w:r>
      <w:r>
        <w:rPr>
          <w:rFonts w:hint="eastAsia"/>
          <w:color w:val="auto"/>
        </w:rPr>
        <w:t>B</w:t>
      </w:r>
      <w:r>
        <w:rPr>
          <w:rFonts w:hint="eastAsia"/>
          <w:color w:val="auto"/>
          <w:szCs w:val="21"/>
          <w:vertAlign w:val="subscript"/>
        </w:rPr>
        <w:t>1</w:t>
      </w:r>
      <w:r>
        <w:rPr>
          <w:rFonts w:hint="eastAsia"/>
          <w:color w:val="auto"/>
          <w:sz w:val="15"/>
          <w:szCs w:val="15"/>
        </w:rPr>
        <w:t>;</w:t>
      </w:r>
      <w:r>
        <w:rPr>
          <w:rFonts w:hint="eastAsia"/>
          <w:color w:val="auto"/>
        </w:rPr>
        <w:t xml:space="preserve"> B</w:t>
      </w:r>
      <w:r>
        <w:rPr>
          <w:rFonts w:hint="eastAsia"/>
          <w:color w:val="auto"/>
          <w:szCs w:val="21"/>
          <w:vertAlign w:val="subscript"/>
        </w:rPr>
        <w:t>2</w:t>
      </w:r>
      <w:r>
        <w:rPr>
          <w:rFonts w:hint="eastAsia"/>
          <w:color w:val="auto"/>
        </w:rPr>
        <w:t xml:space="preserve"> ;B</w:t>
      </w:r>
      <w:r>
        <w:rPr>
          <w:rFonts w:hint="eastAsia"/>
          <w:color w:val="auto"/>
          <w:szCs w:val="21"/>
          <w:vertAlign w:val="subscript"/>
        </w:rPr>
        <w:t>3</w:t>
      </w:r>
      <w:r>
        <w:rPr>
          <w:rFonts w:hint="eastAsia" w:ascii="宋体" w:hAnsi="宋体"/>
          <w:color w:val="auto"/>
          <w:sz w:val="15"/>
          <w:szCs w:val="15"/>
        </w:rPr>
        <w:t>·····</w:t>
      </w:r>
      <w:r>
        <w:rPr>
          <w:rFonts w:hint="eastAsia"/>
          <w:color w:val="auto"/>
        </w:rPr>
        <w:t>B</w:t>
      </w:r>
      <w:r>
        <w:rPr>
          <w:rFonts w:hint="eastAsia"/>
          <w:color w:val="auto"/>
          <w:szCs w:val="21"/>
          <w:vertAlign w:val="subscript"/>
        </w:rPr>
        <w:t>n</w:t>
      </w:r>
      <w:r>
        <w:rPr>
          <w:rFonts w:hint="eastAsia"/>
          <w:color w:val="auto"/>
        </w:rPr>
        <w:t xml:space="preserve"> -- 各可调因子的变值权重（即可调部分的权重）为各可调因子在投标函投标总报价中所占的比例；</w:t>
      </w:r>
    </w:p>
    <w:p w14:paraId="67C594D1">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t1</w:t>
      </w:r>
      <w:r>
        <w:rPr>
          <w:rFonts w:hint="eastAsia"/>
          <w:color w:val="auto"/>
        </w:rPr>
        <w:t xml:space="preserve"> ;F</w:t>
      </w:r>
      <w:r>
        <w:rPr>
          <w:rFonts w:hint="eastAsia"/>
          <w:color w:val="auto"/>
          <w:szCs w:val="21"/>
          <w:vertAlign w:val="subscript"/>
        </w:rPr>
        <w:t>t2</w:t>
      </w:r>
      <w:r>
        <w:rPr>
          <w:rFonts w:hint="eastAsia"/>
          <w:color w:val="auto"/>
        </w:rPr>
        <w:t xml:space="preserve"> ;F</w:t>
      </w:r>
      <w:r>
        <w:rPr>
          <w:rFonts w:hint="eastAsia"/>
          <w:color w:val="auto"/>
          <w:szCs w:val="21"/>
          <w:vertAlign w:val="subscript"/>
        </w:rPr>
        <w:t>t3</w:t>
      </w:r>
      <w:r>
        <w:rPr>
          <w:rFonts w:hint="eastAsia" w:ascii="宋体" w:hAnsi="宋体"/>
          <w:color w:val="auto"/>
          <w:sz w:val="15"/>
          <w:szCs w:val="15"/>
        </w:rPr>
        <w:t>·····</w:t>
      </w:r>
      <w:r>
        <w:rPr>
          <w:rFonts w:hint="eastAsia"/>
          <w:color w:val="auto"/>
        </w:rPr>
        <w:t>F</w:t>
      </w:r>
      <w:r>
        <w:rPr>
          <w:rFonts w:hint="eastAsia"/>
          <w:color w:val="auto"/>
          <w:szCs w:val="21"/>
          <w:vertAlign w:val="subscript"/>
        </w:rPr>
        <w:t>tn</w:t>
      </w:r>
      <w:r>
        <w:rPr>
          <w:rFonts w:hint="eastAsia"/>
          <w:color w:val="auto"/>
        </w:rPr>
        <w:t xml:space="preserve"> -- 各可调因子的现行价格指数，指第17.3.3项、第17.5.2项和第17.6.2项约定的付款证书相关周期最后一天的前42天的各可调因子的价格指数；</w:t>
      </w:r>
    </w:p>
    <w:p w14:paraId="16DB21A7">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o1</w:t>
      </w:r>
      <w:r>
        <w:rPr>
          <w:rFonts w:hint="eastAsia"/>
          <w:color w:val="auto"/>
        </w:rPr>
        <w:t>; F</w:t>
      </w:r>
      <w:r>
        <w:rPr>
          <w:rFonts w:hint="eastAsia"/>
          <w:color w:val="auto"/>
          <w:szCs w:val="21"/>
          <w:vertAlign w:val="subscript"/>
        </w:rPr>
        <w:t>o2</w:t>
      </w:r>
      <w:r>
        <w:rPr>
          <w:rFonts w:hint="eastAsia"/>
          <w:color w:val="auto"/>
          <w:sz w:val="15"/>
          <w:szCs w:val="15"/>
        </w:rPr>
        <w:t>;</w:t>
      </w:r>
      <w:r>
        <w:rPr>
          <w:rFonts w:hint="eastAsia"/>
          <w:color w:val="auto"/>
        </w:rPr>
        <w:t xml:space="preserve"> F</w:t>
      </w:r>
      <w:r>
        <w:rPr>
          <w:rFonts w:hint="eastAsia"/>
          <w:color w:val="auto"/>
          <w:szCs w:val="21"/>
          <w:vertAlign w:val="subscript"/>
        </w:rPr>
        <w:t>o3</w:t>
      </w:r>
      <w:r>
        <w:rPr>
          <w:rFonts w:hint="eastAsia" w:ascii="宋体" w:hAnsi="宋体"/>
          <w:color w:val="auto"/>
          <w:sz w:val="15"/>
          <w:szCs w:val="15"/>
        </w:rPr>
        <w:t>·····</w:t>
      </w:r>
      <w:r>
        <w:rPr>
          <w:rFonts w:hint="eastAsia"/>
          <w:color w:val="auto"/>
        </w:rPr>
        <w:t>F</w:t>
      </w:r>
      <w:r>
        <w:rPr>
          <w:rFonts w:hint="eastAsia"/>
          <w:color w:val="auto"/>
          <w:szCs w:val="21"/>
          <w:vertAlign w:val="subscript"/>
        </w:rPr>
        <w:t>on</w:t>
      </w:r>
      <w:r>
        <w:rPr>
          <w:rFonts w:hint="eastAsia"/>
          <w:color w:val="auto"/>
        </w:rPr>
        <w:t xml:space="preserve"> -- 各可调因子的基本价格指数，指基准日期的各可调因子的价格指数。</w:t>
      </w:r>
    </w:p>
    <w:p w14:paraId="25E634D9">
      <w:pPr>
        <w:spacing w:line="400" w:lineRule="exact"/>
        <w:ind w:firstLine="420" w:firstLineChars="200"/>
        <w:rPr>
          <w:rFonts w:hint="eastAsia"/>
          <w:color w:val="auto"/>
        </w:rPr>
      </w:pPr>
      <w:r>
        <w:rPr>
          <w:rFonts w:hint="eastAsia"/>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70B0FB4">
      <w:pPr>
        <w:spacing w:line="400" w:lineRule="exact"/>
        <w:ind w:firstLine="420" w:firstLineChars="200"/>
        <w:rPr>
          <w:rFonts w:hint="eastAsia"/>
          <w:color w:val="auto"/>
        </w:rPr>
      </w:pPr>
      <w:r>
        <w:rPr>
          <w:rFonts w:hint="eastAsia"/>
          <w:color w:val="auto"/>
        </w:rPr>
        <w:t>16.1.1.2 暂时确定调整差额</w:t>
      </w:r>
    </w:p>
    <w:p w14:paraId="07ED91E5">
      <w:pPr>
        <w:spacing w:line="400" w:lineRule="exact"/>
        <w:ind w:firstLine="420" w:firstLineChars="200"/>
        <w:rPr>
          <w:rFonts w:hint="eastAsia"/>
          <w:color w:val="auto"/>
        </w:rPr>
      </w:pPr>
      <w:r>
        <w:rPr>
          <w:rFonts w:hint="eastAsia"/>
          <w:color w:val="auto"/>
        </w:rPr>
        <w:t>在计算调整差额时得不到现行价格指数的，可暂用上一次价格指数计算，并在以后的付款中再按实际价格指数进行调整。</w:t>
      </w:r>
    </w:p>
    <w:p w14:paraId="101B31CA">
      <w:pPr>
        <w:spacing w:line="400" w:lineRule="exact"/>
        <w:ind w:firstLine="420" w:firstLineChars="200"/>
        <w:rPr>
          <w:rFonts w:hint="eastAsia"/>
          <w:color w:val="auto"/>
        </w:rPr>
      </w:pPr>
      <w:r>
        <w:rPr>
          <w:rFonts w:hint="eastAsia"/>
          <w:color w:val="auto"/>
        </w:rPr>
        <w:t>16.1.1.3 权重的调整</w:t>
      </w:r>
    </w:p>
    <w:p w14:paraId="76553956">
      <w:pPr>
        <w:spacing w:line="400" w:lineRule="exact"/>
        <w:ind w:firstLine="420" w:firstLineChars="200"/>
        <w:rPr>
          <w:rFonts w:hint="eastAsia"/>
          <w:color w:val="auto"/>
        </w:rPr>
      </w:pPr>
      <w:r>
        <w:rPr>
          <w:rFonts w:hint="eastAsia"/>
          <w:color w:val="auto"/>
        </w:rPr>
        <w:t>按第15.1款约定的变更导致原定合同中的权重不合理时，由监理人与承包人和发包人协商后进行调整。</w:t>
      </w:r>
    </w:p>
    <w:p w14:paraId="7B2CFD54">
      <w:pPr>
        <w:spacing w:line="400" w:lineRule="exact"/>
        <w:ind w:firstLine="420" w:firstLineChars="200"/>
        <w:rPr>
          <w:rFonts w:hint="eastAsia"/>
          <w:color w:val="auto"/>
        </w:rPr>
      </w:pPr>
      <w:r>
        <w:rPr>
          <w:rFonts w:hint="eastAsia"/>
          <w:color w:val="auto"/>
        </w:rPr>
        <w:t>16.1.1.4 承包人工期延误后的价格调整</w:t>
      </w:r>
    </w:p>
    <w:p w14:paraId="1761D011">
      <w:pPr>
        <w:spacing w:line="400" w:lineRule="exact"/>
        <w:ind w:firstLine="420" w:firstLineChars="200"/>
        <w:rPr>
          <w:rFonts w:hint="eastAsia"/>
          <w:color w:val="auto"/>
        </w:rPr>
      </w:pPr>
      <w:r>
        <w:rPr>
          <w:rFonts w:hint="eastAsia"/>
          <w:color w:va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4162B5DF">
      <w:pPr>
        <w:spacing w:line="400" w:lineRule="exact"/>
        <w:ind w:firstLine="420" w:firstLineChars="200"/>
        <w:rPr>
          <w:rFonts w:hint="eastAsia" w:ascii="黑体" w:eastAsia="黑体"/>
          <w:color w:val="auto"/>
        </w:rPr>
      </w:pPr>
      <w:r>
        <w:rPr>
          <w:rFonts w:hint="eastAsia" w:ascii="黑体" w:eastAsia="黑体"/>
          <w:color w:val="auto"/>
        </w:rPr>
        <w:t>16.1.2 采用造价信息调整价格差额</w:t>
      </w:r>
    </w:p>
    <w:p w14:paraId="6CEAC92B">
      <w:pPr>
        <w:spacing w:line="400" w:lineRule="exact"/>
        <w:ind w:firstLine="420" w:firstLineChars="200"/>
        <w:rPr>
          <w:rFonts w:hint="eastAsia"/>
          <w:color w:val="auto"/>
        </w:rPr>
      </w:pPr>
      <w:r>
        <w:rPr>
          <w:rFonts w:hint="eastAsia"/>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w:t>
      </w:r>
      <w:r>
        <w:rPr>
          <w:rFonts w:hint="eastAsia"/>
          <w:color w:val="auto"/>
          <w:lang w:eastAsia="zh-CN"/>
        </w:rPr>
        <w:t>数量</w:t>
      </w:r>
      <w:r>
        <w:rPr>
          <w:rFonts w:hint="eastAsia"/>
          <w:color w:val="auto"/>
        </w:rPr>
        <w:t>应由监理人复核，监理人确认需调整的材料单价及数量，作为调整工程合同价格差额的依据。</w:t>
      </w:r>
    </w:p>
    <w:p w14:paraId="6D0CD51A">
      <w:pPr>
        <w:pStyle w:val="231"/>
        <w:rPr>
          <w:rFonts w:hint="eastAsia"/>
          <w:color w:val="auto"/>
        </w:rPr>
      </w:pPr>
      <w:bookmarkStart w:id="569" w:name="_Toc152045717"/>
      <w:bookmarkStart w:id="570" w:name="_Toc144974688"/>
      <w:bookmarkStart w:id="571" w:name="_Toc152042496"/>
      <w:bookmarkStart w:id="572" w:name="_Toc179632735"/>
      <w:r>
        <w:rPr>
          <w:rFonts w:hint="eastAsia"/>
          <w:color w:val="auto"/>
        </w:rPr>
        <w:t>16.2 法律变化引起的价格调整</w:t>
      </w:r>
      <w:bookmarkEnd w:id="569"/>
      <w:bookmarkEnd w:id="570"/>
      <w:bookmarkEnd w:id="571"/>
      <w:bookmarkEnd w:id="572"/>
    </w:p>
    <w:p w14:paraId="344F462C">
      <w:pPr>
        <w:spacing w:line="400" w:lineRule="exact"/>
        <w:ind w:firstLine="420" w:firstLineChars="200"/>
        <w:rPr>
          <w:rFonts w:hint="eastAsia"/>
          <w:color w:val="auto"/>
        </w:rPr>
      </w:pPr>
      <w:r>
        <w:rPr>
          <w:rFonts w:hint="eastAsia"/>
          <w:color w:val="auto"/>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D967C30">
      <w:pPr>
        <w:pStyle w:val="224"/>
        <w:rPr>
          <w:rFonts w:hint="eastAsia"/>
          <w:color w:val="auto"/>
        </w:rPr>
      </w:pPr>
      <w:bookmarkStart w:id="573" w:name="_Toc179632736"/>
      <w:bookmarkStart w:id="574" w:name="_Toc152045718"/>
      <w:bookmarkStart w:id="575" w:name="_Toc152042497"/>
      <w:bookmarkStart w:id="576" w:name="_Toc144974689"/>
      <w:r>
        <w:rPr>
          <w:rFonts w:hint="eastAsia"/>
          <w:color w:val="auto"/>
        </w:rPr>
        <w:t>17. 计量与支付</w:t>
      </w:r>
      <w:bookmarkEnd w:id="573"/>
      <w:bookmarkEnd w:id="574"/>
      <w:bookmarkEnd w:id="575"/>
      <w:bookmarkEnd w:id="576"/>
    </w:p>
    <w:p w14:paraId="5C31E83F">
      <w:pPr>
        <w:pStyle w:val="231"/>
        <w:rPr>
          <w:rFonts w:hint="eastAsia"/>
          <w:color w:val="auto"/>
        </w:rPr>
      </w:pPr>
      <w:bookmarkStart w:id="577" w:name="_Toc152045719"/>
      <w:bookmarkStart w:id="578" w:name="_Toc179632737"/>
      <w:bookmarkStart w:id="579" w:name="_Toc152042498"/>
      <w:bookmarkStart w:id="580" w:name="_Toc144974690"/>
      <w:r>
        <w:rPr>
          <w:rFonts w:hint="eastAsia"/>
          <w:color w:val="auto"/>
        </w:rPr>
        <w:t>17.1 计量</w:t>
      </w:r>
      <w:bookmarkEnd w:id="577"/>
      <w:bookmarkEnd w:id="578"/>
      <w:bookmarkEnd w:id="579"/>
      <w:bookmarkEnd w:id="580"/>
    </w:p>
    <w:p w14:paraId="36EE0FC7">
      <w:pPr>
        <w:spacing w:line="400" w:lineRule="exact"/>
        <w:ind w:firstLine="420" w:firstLineChars="200"/>
        <w:rPr>
          <w:rFonts w:hint="eastAsia"/>
          <w:color w:val="auto"/>
        </w:rPr>
      </w:pPr>
      <w:r>
        <w:rPr>
          <w:rFonts w:hint="eastAsia"/>
          <w:color w:val="auto"/>
        </w:rPr>
        <w:t xml:space="preserve">17.1.1 </w:t>
      </w:r>
      <w:r>
        <w:rPr>
          <w:rFonts w:hint="eastAsia" w:ascii="黑体" w:eastAsia="黑体"/>
          <w:color w:val="auto"/>
        </w:rPr>
        <w:t>计量单位</w:t>
      </w:r>
    </w:p>
    <w:p w14:paraId="7AE68B1B">
      <w:pPr>
        <w:spacing w:line="400" w:lineRule="exact"/>
        <w:ind w:firstLine="420" w:firstLineChars="200"/>
        <w:rPr>
          <w:rFonts w:hint="eastAsia"/>
          <w:color w:val="auto"/>
        </w:rPr>
      </w:pPr>
      <w:r>
        <w:rPr>
          <w:rFonts w:hint="eastAsia"/>
          <w:color w:val="auto"/>
        </w:rPr>
        <w:t>计量采用国家法定的计量单位。</w:t>
      </w:r>
    </w:p>
    <w:p w14:paraId="47E50791">
      <w:pPr>
        <w:spacing w:line="400" w:lineRule="exact"/>
        <w:ind w:firstLine="420" w:firstLineChars="200"/>
        <w:rPr>
          <w:rFonts w:hint="eastAsia"/>
          <w:color w:val="auto"/>
        </w:rPr>
      </w:pPr>
      <w:r>
        <w:rPr>
          <w:rFonts w:hint="eastAsia"/>
          <w:color w:val="auto"/>
        </w:rPr>
        <w:t xml:space="preserve">17.1.2 </w:t>
      </w:r>
      <w:r>
        <w:rPr>
          <w:rFonts w:hint="eastAsia" w:ascii="黑体" w:eastAsia="黑体"/>
          <w:color w:val="auto"/>
        </w:rPr>
        <w:t>计量方法</w:t>
      </w:r>
    </w:p>
    <w:p w14:paraId="2FCCD0BF">
      <w:pPr>
        <w:spacing w:line="400" w:lineRule="exact"/>
        <w:ind w:firstLine="420" w:firstLineChars="200"/>
        <w:rPr>
          <w:rFonts w:hint="eastAsia"/>
          <w:color w:val="auto"/>
        </w:rPr>
      </w:pPr>
      <w:r>
        <w:rPr>
          <w:rFonts w:hint="eastAsia"/>
          <w:color w:val="auto"/>
        </w:rPr>
        <w:t>工程量清单中的工程量计算规则应按有关国家标准、行业标准的规定，并在合同中约定执行。</w:t>
      </w:r>
    </w:p>
    <w:p w14:paraId="758CD7CF">
      <w:pPr>
        <w:spacing w:line="400" w:lineRule="exact"/>
        <w:ind w:firstLine="420" w:firstLineChars="200"/>
        <w:rPr>
          <w:rFonts w:hint="eastAsia"/>
          <w:color w:val="auto"/>
        </w:rPr>
      </w:pPr>
      <w:r>
        <w:rPr>
          <w:rFonts w:hint="eastAsia"/>
          <w:color w:val="auto"/>
        </w:rPr>
        <w:t xml:space="preserve">17.1.3 </w:t>
      </w:r>
      <w:r>
        <w:rPr>
          <w:rFonts w:hint="eastAsia" w:ascii="黑体" w:eastAsia="黑体"/>
          <w:color w:val="auto"/>
        </w:rPr>
        <w:t>计量周期</w:t>
      </w:r>
    </w:p>
    <w:p w14:paraId="19A9DE42">
      <w:pPr>
        <w:spacing w:line="400" w:lineRule="exact"/>
        <w:ind w:firstLine="420" w:firstLineChars="200"/>
        <w:rPr>
          <w:rFonts w:hint="eastAsia"/>
          <w:color w:val="auto"/>
        </w:rPr>
      </w:pPr>
      <w:r>
        <w:rPr>
          <w:rFonts w:hint="eastAsia"/>
          <w:color w:val="auto"/>
        </w:rPr>
        <w:t>除专用合同条款另有约定外，单价子目已完成工程量按月计量，总价子目的计量周期按批准的支付分解报告确定。</w:t>
      </w:r>
    </w:p>
    <w:p w14:paraId="56C501C8">
      <w:pPr>
        <w:spacing w:line="400" w:lineRule="exact"/>
        <w:ind w:firstLine="420" w:firstLineChars="200"/>
        <w:rPr>
          <w:rFonts w:hint="eastAsia"/>
          <w:color w:val="auto"/>
        </w:rPr>
      </w:pPr>
      <w:r>
        <w:rPr>
          <w:rFonts w:hint="eastAsia"/>
          <w:color w:val="auto"/>
        </w:rPr>
        <w:t>17.1.4</w:t>
      </w:r>
      <w:r>
        <w:rPr>
          <w:rFonts w:hint="eastAsia" w:ascii="黑体" w:eastAsia="黑体"/>
          <w:color w:val="auto"/>
        </w:rPr>
        <w:t xml:space="preserve"> 单价子目的计量</w:t>
      </w:r>
    </w:p>
    <w:p w14:paraId="32349AE1">
      <w:pPr>
        <w:spacing w:line="400" w:lineRule="exact"/>
        <w:ind w:firstLine="718" w:firstLineChars="342"/>
        <w:rPr>
          <w:rFonts w:hint="eastAsia"/>
          <w:color w:val="auto"/>
        </w:rPr>
      </w:pPr>
      <w:r>
        <w:rPr>
          <w:rFonts w:hint="eastAsia"/>
          <w:color w:val="auto"/>
        </w:rPr>
        <w:t>（1）已标价工程量清单中的单价子目工程量为估算工程量。结算工程量是承包人实际完成的，并按合同约定的计量方法进行计量的工程量。</w:t>
      </w:r>
    </w:p>
    <w:p w14:paraId="639457EA">
      <w:pPr>
        <w:spacing w:line="400" w:lineRule="exact"/>
        <w:ind w:firstLine="718" w:firstLineChars="342"/>
        <w:rPr>
          <w:rFonts w:hint="eastAsia"/>
          <w:color w:val="auto"/>
        </w:rPr>
      </w:pPr>
      <w:r>
        <w:rPr>
          <w:rFonts w:hint="eastAsia"/>
          <w:color w:val="auto"/>
        </w:rPr>
        <w:t>（2）承包人对已完成的工程进行计量，向监理人提交进度付款申请单、已完成工程量报表和有关计量资料。</w:t>
      </w:r>
    </w:p>
    <w:p w14:paraId="37566105">
      <w:pPr>
        <w:spacing w:line="400" w:lineRule="exact"/>
        <w:ind w:firstLine="718" w:firstLineChars="342"/>
        <w:rPr>
          <w:rFonts w:hint="eastAsia"/>
          <w:color w:val="auto"/>
        </w:rPr>
      </w:pPr>
      <w:r>
        <w:rPr>
          <w:rFonts w:hint="eastAsia"/>
          <w:color w:va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AD64049">
      <w:pPr>
        <w:spacing w:line="400" w:lineRule="exact"/>
        <w:ind w:firstLine="718" w:firstLineChars="342"/>
        <w:rPr>
          <w:rFonts w:hint="eastAsia"/>
          <w:color w:val="auto"/>
        </w:rPr>
      </w:pPr>
      <w:r>
        <w:rPr>
          <w:rFonts w:hint="eastAsia"/>
          <w:color w:val="auto"/>
        </w:rPr>
        <w:t>（4）监理人认为有必要时，可通知承包人共同进行联合测量、计量，承包人应遵照执行。</w:t>
      </w:r>
    </w:p>
    <w:p w14:paraId="63180A5E">
      <w:pPr>
        <w:spacing w:line="400" w:lineRule="exact"/>
        <w:ind w:firstLine="718" w:firstLineChars="342"/>
        <w:rPr>
          <w:rFonts w:hint="eastAsia"/>
          <w:color w:val="auto"/>
        </w:rPr>
      </w:pPr>
      <w:r>
        <w:rPr>
          <w:rFonts w:hint="eastAsia"/>
          <w:color w:va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7E1F3C3A">
      <w:pPr>
        <w:spacing w:line="400" w:lineRule="exact"/>
        <w:ind w:firstLine="718" w:firstLineChars="342"/>
        <w:rPr>
          <w:rFonts w:hint="eastAsia"/>
          <w:color w:val="auto"/>
        </w:rPr>
      </w:pPr>
      <w:r>
        <w:rPr>
          <w:rFonts w:hint="eastAsia"/>
          <w:color w:val="auto"/>
        </w:rPr>
        <w:t>（6）监理人应在收到承包人提交的工程量报表后的7天内进行复核，监理人未在约定时间内复核的，承包人提交的工程量报表中的工程量视为承包人实际完成的工程量，据此计算工程价款。</w:t>
      </w:r>
    </w:p>
    <w:p w14:paraId="5A1EE752">
      <w:pPr>
        <w:spacing w:line="400" w:lineRule="exact"/>
        <w:ind w:firstLine="420" w:firstLineChars="200"/>
        <w:rPr>
          <w:rFonts w:hint="eastAsia" w:ascii="黑体" w:eastAsia="黑体"/>
          <w:color w:val="auto"/>
        </w:rPr>
      </w:pPr>
      <w:r>
        <w:rPr>
          <w:rFonts w:hint="eastAsia"/>
          <w:color w:val="auto"/>
        </w:rPr>
        <w:t xml:space="preserve">17.1.5 </w:t>
      </w:r>
      <w:r>
        <w:rPr>
          <w:rFonts w:hint="eastAsia" w:ascii="黑体" w:eastAsia="黑体"/>
          <w:color w:val="auto"/>
        </w:rPr>
        <w:t>总价子目的计量</w:t>
      </w:r>
    </w:p>
    <w:p w14:paraId="377E14D2">
      <w:pPr>
        <w:spacing w:line="400" w:lineRule="exact"/>
        <w:ind w:firstLine="630" w:firstLineChars="300"/>
        <w:rPr>
          <w:rFonts w:hint="eastAsia" w:ascii="宋体" w:hAnsi="宋体"/>
          <w:color w:val="auto"/>
        </w:rPr>
      </w:pPr>
      <w:r>
        <w:rPr>
          <w:rFonts w:hint="eastAsia" w:ascii="宋体" w:hAnsi="宋体"/>
          <w:color w:val="auto"/>
        </w:rPr>
        <w:t>除专用合同条款另有约定外，总价子目的分解和计量按照下述约定进行。</w:t>
      </w:r>
    </w:p>
    <w:p w14:paraId="4CE0E9EE">
      <w:pPr>
        <w:spacing w:line="400" w:lineRule="exact"/>
        <w:ind w:firstLine="630" w:firstLineChars="300"/>
        <w:rPr>
          <w:rFonts w:hint="eastAsia" w:ascii="宋体" w:hAnsi="宋体"/>
          <w:color w:val="auto"/>
        </w:rPr>
      </w:pPr>
      <w:r>
        <w:rPr>
          <w:rFonts w:hint="eastAsia" w:ascii="宋体" w:hAnsi="宋体"/>
          <w:color w:val="auto"/>
        </w:rPr>
        <w:t>（1）总价子目的计量和支付应以总价为基础，不因第16.1款中的因素而进行调整。承包人实际完成的工程量，是进行工程目标管理和控制进度支付的依据。</w:t>
      </w:r>
    </w:p>
    <w:p w14:paraId="322240BA">
      <w:pPr>
        <w:spacing w:line="400" w:lineRule="exact"/>
        <w:ind w:firstLine="630" w:firstLineChars="300"/>
        <w:rPr>
          <w:rFonts w:hint="eastAsia" w:ascii="宋体" w:hAnsi="宋体"/>
          <w:color w:val="auto"/>
        </w:rPr>
      </w:pPr>
      <w:r>
        <w:rPr>
          <w:rFonts w:hint="eastAsia" w:ascii="宋体" w:hAnsi="宋体"/>
          <w:color w:val="auto"/>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69279EF2">
      <w:pPr>
        <w:spacing w:line="400" w:lineRule="exact"/>
        <w:ind w:firstLine="630" w:firstLineChars="300"/>
        <w:rPr>
          <w:rFonts w:hint="eastAsia" w:ascii="宋体" w:hAnsi="宋体"/>
          <w:color w:val="auto"/>
        </w:rPr>
      </w:pPr>
      <w:r>
        <w:rPr>
          <w:rFonts w:hint="eastAsia" w:ascii="宋体" w:hAnsi="宋体"/>
          <w:color w:val="auto"/>
        </w:rPr>
        <w:t>（3）监理人对承包人提交的上述资料进行复核，以确定分阶段实际完成的工程量和工程形象目标。对其有异议的，可要求承包人按第8.2款约定进行共同复核和抽样复测。</w:t>
      </w:r>
    </w:p>
    <w:p w14:paraId="184F8D88">
      <w:pPr>
        <w:spacing w:line="400" w:lineRule="exact"/>
        <w:ind w:firstLine="630" w:firstLineChars="300"/>
        <w:rPr>
          <w:rFonts w:ascii="宋体" w:hAnsi="宋体"/>
          <w:color w:val="auto"/>
        </w:rPr>
      </w:pPr>
      <w:r>
        <w:rPr>
          <w:rFonts w:hint="eastAsia" w:ascii="宋体" w:hAnsi="宋体"/>
          <w:color w:val="auto"/>
        </w:rPr>
        <w:t xml:space="preserve">（4）除按照第15条约定的变更外，总价子目的工程量是承包人用于结算的最终工程量。 </w:t>
      </w:r>
    </w:p>
    <w:p w14:paraId="789FB424">
      <w:pPr>
        <w:pStyle w:val="231"/>
        <w:rPr>
          <w:rFonts w:hint="eastAsia"/>
          <w:color w:val="auto"/>
        </w:rPr>
      </w:pPr>
      <w:bookmarkStart w:id="581" w:name="_Toc144974691"/>
      <w:bookmarkStart w:id="582" w:name="_Toc152045720"/>
      <w:bookmarkStart w:id="583" w:name="_Toc179632738"/>
      <w:bookmarkStart w:id="584" w:name="_Toc152042499"/>
      <w:r>
        <w:rPr>
          <w:rFonts w:hint="eastAsia"/>
          <w:color w:val="auto"/>
        </w:rPr>
        <w:t>17.2 预付款</w:t>
      </w:r>
      <w:bookmarkEnd w:id="581"/>
      <w:bookmarkEnd w:id="582"/>
      <w:bookmarkEnd w:id="583"/>
      <w:bookmarkEnd w:id="584"/>
    </w:p>
    <w:p w14:paraId="66070ABC">
      <w:pPr>
        <w:spacing w:line="400" w:lineRule="exact"/>
        <w:ind w:firstLine="420" w:firstLineChars="200"/>
        <w:rPr>
          <w:rFonts w:hint="eastAsia"/>
          <w:color w:val="auto"/>
        </w:rPr>
      </w:pPr>
      <w:r>
        <w:rPr>
          <w:rFonts w:hint="eastAsia"/>
          <w:color w:val="auto"/>
        </w:rPr>
        <w:t xml:space="preserve">17.2.1 </w:t>
      </w:r>
      <w:r>
        <w:rPr>
          <w:rFonts w:hint="eastAsia" w:ascii="黑体" w:eastAsia="黑体"/>
          <w:color w:val="auto"/>
        </w:rPr>
        <w:t>预付款</w:t>
      </w:r>
    </w:p>
    <w:p w14:paraId="764DC212">
      <w:pPr>
        <w:spacing w:line="400" w:lineRule="exact"/>
        <w:ind w:firstLine="420" w:firstLineChars="200"/>
        <w:rPr>
          <w:rFonts w:hint="eastAsia"/>
          <w:color w:val="auto"/>
        </w:rPr>
      </w:pPr>
      <w:r>
        <w:rPr>
          <w:rFonts w:hint="eastAsia"/>
          <w:color w:val="auto"/>
        </w:rPr>
        <w:t>预付款用于承包人为合同工程施工购置材料、工程设备、施工设备、修建临时设施以及组织施工队伍进场等。预付款的额度和预付办法在专用合同条款中约定。预付款必须专用于合同工程。</w:t>
      </w:r>
    </w:p>
    <w:p w14:paraId="0E1A9464">
      <w:pPr>
        <w:spacing w:line="400" w:lineRule="exact"/>
        <w:ind w:firstLine="420" w:firstLineChars="200"/>
        <w:rPr>
          <w:rFonts w:hint="eastAsia"/>
          <w:color w:val="auto"/>
        </w:rPr>
      </w:pPr>
      <w:r>
        <w:rPr>
          <w:rFonts w:hint="eastAsia"/>
          <w:color w:val="auto"/>
        </w:rPr>
        <w:t xml:space="preserve">17.2.2 </w:t>
      </w:r>
      <w:r>
        <w:rPr>
          <w:rFonts w:hint="eastAsia" w:ascii="黑体" w:eastAsia="黑体"/>
          <w:color w:val="auto"/>
        </w:rPr>
        <w:t>预付款保函</w:t>
      </w:r>
    </w:p>
    <w:p w14:paraId="6F073878">
      <w:pPr>
        <w:spacing w:line="400" w:lineRule="exact"/>
        <w:ind w:firstLine="420" w:firstLineChars="200"/>
        <w:rPr>
          <w:rFonts w:hint="eastAsia"/>
          <w:color w:val="auto"/>
        </w:rPr>
      </w:pPr>
      <w:r>
        <w:rPr>
          <w:rFonts w:hint="eastAsia"/>
          <w:color w:val="auto"/>
        </w:rPr>
        <w:t>除专用合同条款另有约定外，承包人应在收到预付款的同时向发包人提交预付款保函，预付款保函的担保金额应与预付款金额相同。保函的担保金额可根据预付款扣回的金额相应递减。</w:t>
      </w:r>
    </w:p>
    <w:p w14:paraId="1DE6C887">
      <w:pPr>
        <w:spacing w:line="400" w:lineRule="exact"/>
        <w:ind w:firstLine="420" w:firstLineChars="200"/>
        <w:rPr>
          <w:rFonts w:hint="eastAsia"/>
          <w:color w:val="auto"/>
        </w:rPr>
      </w:pPr>
      <w:r>
        <w:rPr>
          <w:rFonts w:hint="eastAsia"/>
          <w:color w:val="auto"/>
        </w:rPr>
        <w:t xml:space="preserve">17.2.3 </w:t>
      </w:r>
      <w:r>
        <w:rPr>
          <w:rFonts w:hint="eastAsia" w:ascii="黑体" w:eastAsia="黑体"/>
          <w:color w:val="auto"/>
        </w:rPr>
        <w:t>预付款的扣回与还清</w:t>
      </w:r>
    </w:p>
    <w:p w14:paraId="5ED83A2F">
      <w:pPr>
        <w:spacing w:line="400" w:lineRule="exact"/>
        <w:ind w:firstLine="420" w:firstLineChars="200"/>
        <w:rPr>
          <w:rFonts w:hint="eastAsia"/>
          <w:color w:val="auto"/>
        </w:rPr>
      </w:pPr>
      <w:r>
        <w:rPr>
          <w:rFonts w:hint="eastAsia"/>
          <w:color w:val="auto"/>
        </w:rPr>
        <w:t>预付款在进度付款中扣回，扣回办法在专用合同条款中约定。在颁发工程接收证书前，由于不可抗力或其他原因解除合同时，预付款尚未扣清的，尚未扣清的预付款余额应作为承包人的到期应付款。</w:t>
      </w:r>
    </w:p>
    <w:p w14:paraId="12C5FA0D">
      <w:pPr>
        <w:pStyle w:val="231"/>
        <w:rPr>
          <w:rFonts w:hint="eastAsia"/>
          <w:color w:val="auto"/>
        </w:rPr>
      </w:pPr>
      <w:bookmarkStart w:id="585" w:name="_Toc152045721"/>
      <w:bookmarkStart w:id="586" w:name="_Toc144974692"/>
      <w:bookmarkStart w:id="587" w:name="_Toc152042500"/>
      <w:bookmarkStart w:id="588" w:name="_Toc179632739"/>
      <w:r>
        <w:rPr>
          <w:rFonts w:hint="eastAsia"/>
          <w:color w:val="auto"/>
        </w:rPr>
        <w:t>17.3 工程进度付款</w:t>
      </w:r>
      <w:bookmarkEnd w:id="585"/>
      <w:bookmarkEnd w:id="586"/>
      <w:bookmarkEnd w:id="587"/>
      <w:bookmarkEnd w:id="588"/>
    </w:p>
    <w:p w14:paraId="18F5F033">
      <w:pPr>
        <w:spacing w:line="400" w:lineRule="exact"/>
        <w:ind w:firstLine="420" w:firstLineChars="200"/>
        <w:rPr>
          <w:rFonts w:hint="eastAsia"/>
          <w:color w:val="auto"/>
        </w:rPr>
      </w:pPr>
      <w:r>
        <w:rPr>
          <w:rFonts w:hint="eastAsia"/>
          <w:color w:val="auto"/>
        </w:rPr>
        <w:t xml:space="preserve">17.3.1 </w:t>
      </w:r>
      <w:r>
        <w:rPr>
          <w:rFonts w:hint="eastAsia" w:ascii="黑体" w:eastAsia="黑体"/>
          <w:color w:val="auto"/>
        </w:rPr>
        <w:t>付款周期</w:t>
      </w:r>
    </w:p>
    <w:p w14:paraId="3E976517">
      <w:pPr>
        <w:spacing w:line="400" w:lineRule="exact"/>
        <w:ind w:firstLine="420" w:firstLineChars="200"/>
        <w:rPr>
          <w:rFonts w:hint="eastAsia"/>
          <w:color w:val="auto"/>
        </w:rPr>
      </w:pPr>
      <w:r>
        <w:rPr>
          <w:rFonts w:hint="eastAsia"/>
          <w:color w:val="auto"/>
        </w:rPr>
        <w:t>付款周期同计量周期。</w:t>
      </w:r>
    </w:p>
    <w:p w14:paraId="0F9746F6">
      <w:pPr>
        <w:spacing w:line="400" w:lineRule="exact"/>
        <w:ind w:firstLine="420" w:firstLineChars="200"/>
        <w:rPr>
          <w:rFonts w:hint="eastAsia"/>
          <w:color w:val="auto"/>
        </w:rPr>
      </w:pPr>
      <w:r>
        <w:rPr>
          <w:rFonts w:hint="eastAsia"/>
          <w:color w:val="auto"/>
        </w:rPr>
        <w:t xml:space="preserve">17.3.2 </w:t>
      </w:r>
      <w:r>
        <w:rPr>
          <w:rFonts w:hint="eastAsia" w:ascii="黑体" w:eastAsia="黑体"/>
          <w:color w:val="auto"/>
        </w:rPr>
        <w:t>进度付款申请单</w:t>
      </w:r>
    </w:p>
    <w:p w14:paraId="1DE8DB58">
      <w:pPr>
        <w:spacing w:line="400" w:lineRule="exact"/>
        <w:ind w:firstLine="420" w:firstLineChars="200"/>
        <w:rPr>
          <w:rFonts w:hint="eastAsia"/>
          <w:dstrike/>
          <w:color w:val="auto"/>
          <w:szCs w:val="21"/>
        </w:rPr>
      </w:pPr>
      <w:r>
        <w:rPr>
          <w:rFonts w:hint="eastAsia"/>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6D563FDC">
      <w:pPr>
        <w:spacing w:line="400" w:lineRule="exact"/>
        <w:ind w:firstLine="420" w:firstLineChars="200"/>
        <w:rPr>
          <w:rFonts w:hint="eastAsia"/>
          <w:color w:val="auto"/>
        </w:rPr>
      </w:pPr>
      <w:r>
        <w:rPr>
          <w:rFonts w:hint="eastAsia"/>
          <w:color w:val="auto"/>
        </w:rPr>
        <w:t>（1）截至本次付款周期末已实施工程的价款；</w:t>
      </w:r>
    </w:p>
    <w:p w14:paraId="63B10DDE">
      <w:pPr>
        <w:spacing w:line="400" w:lineRule="exact"/>
        <w:ind w:firstLine="420" w:firstLineChars="200"/>
        <w:rPr>
          <w:rFonts w:hint="eastAsia"/>
          <w:color w:val="auto"/>
        </w:rPr>
      </w:pPr>
      <w:r>
        <w:rPr>
          <w:rFonts w:hint="eastAsia"/>
          <w:color w:val="auto"/>
        </w:rPr>
        <w:t>（2）根据第15条应增加和扣减的变更金额；</w:t>
      </w:r>
    </w:p>
    <w:p w14:paraId="44FD05D9">
      <w:pPr>
        <w:spacing w:line="400" w:lineRule="exact"/>
        <w:ind w:firstLine="420" w:firstLineChars="200"/>
        <w:rPr>
          <w:rFonts w:hint="eastAsia"/>
          <w:color w:val="auto"/>
        </w:rPr>
      </w:pPr>
      <w:r>
        <w:rPr>
          <w:rFonts w:hint="eastAsia"/>
          <w:color w:val="auto"/>
        </w:rPr>
        <w:t>（3）根据第23条应增加和扣减的索赔金额；</w:t>
      </w:r>
    </w:p>
    <w:p w14:paraId="33AFF164">
      <w:pPr>
        <w:spacing w:line="400" w:lineRule="exact"/>
        <w:ind w:firstLine="420" w:firstLineChars="200"/>
        <w:rPr>
          <w:rFonts w:hint="eastAsia"/>
          <w:color w:val="auto"/>
        </w:rPr>
      </w:pPr>
      <w:r>
        <w:rPr>
          <w:rFonts w:hint="eastAsia"/>
          <w:color w:val="auto"/>
        </w:rPr>
        <w:t>（4）根据第17.2款约定应支付的预付款和扣减的返还预付款；</w:t>
      </w:r>
    </w:p>
    <w:p w14:paraId="4ADF41B5">
      <w:pPr>
        <w:spacing w:line="400" w:lineRule="exact"/>
        <w:ind w:firstLine="420" w:firstLineChars="200"/>
        <w:rPr>
          <w:rFonts w:hint="eastAsia"/>
          <w:color w:val="auto"/>
        </w:rPr>
      </w:pPr>
      <w:r>
        <w:rPr>
          <w:rFonts w:hint="eastAsia"/>
          <w:color w:val="auto"/>
        </w:rPr>
        <w:t>（5）根据第17.4.1项约定应扣减的质量保证金；</w:t>
      </w:r>
    </w:p>
    <w:p w14:paraId="1CEF046E">
      <w:pPr>
        <w:spacing w:line="400" w:lineRule="exact"/>
        <w:ind w:firstLine="420" w:firstLineChars="200"/>
        <w:rPr>
          <w:rFonts w:hint="eastAsia"/>
          <w:color w:val="auto"/>
        </w:rPr>
      </w:pPr>
      <w:r>
        <w:rPr>
          <w:rFonts w:hint="eastAsia"/>
          <w:color w:val="auto"/>
        </w:rPr>
        <w:t>（6）根据合同应增加和扣减的其他金额。</w:t>
      </w:r>
    </w:p>
    <w:p w14:paraId="3703921B">
      <w:pPr>
        <w:spacing w:line="400" w:lineRule="exact"/>
        <w:ind w:firstLine="420" w:firstLineChars="200"/>
        <w:rPr>
          <w:rFonts w:hint="eastAsia"/>
          <w:color w:val="auto"/>
        </w:rPr>
      </w:pPr>
      <w:r>
        <w:rPr>
          <w:rFonts w:hint="eastAsia"/>
          <w:color w:val="auto"/>
        </w:rPr>
        <w:t xml:space="preserve">17.3.3 </w:t>
      </w:r>
      <w:r>
        <w:rPr>
          <w:rFonts w:hint="eastAsia" w:ascii="黑体" w:eastAsia="黑体"/>
          <w:color w:val="auto"/>
        </w:rPr>
        <w:t>进度付款证书和支付时间</w:t>
      </w:r>
    </w:p>
    <w:p w14:paraId="4E8FD713">
      <w:pPr>
        <w:spacing w:line="400" w:lineRule="exact"/>
        <w:ind w:firstLine="630" w:firstLineChars="300"/>
        <w:rPr>
          <w:rFonts w:hint="eastAsia"/>
          <w:color w:val="auto"/>
        </w:rPr>
      </w:pPr>
      <w:r>
        <w:rPr>
          <w:rFonts w:hint="eastAsia"/>
          <w:color w:va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2BFBBD40">
      <w:pPr>
        <w:spacing w:line="400" w:lineRule="exact"/>
        <w:ind w:firstLine="718" w:firstLineChars="342"/>
        <w:rPr>
          <w:rFonts w:hint="eastAsia"/>
          <w:color w:val="auto"/>
        </w:rPr>
      </w:pPr>
      <w:r>
        <w:rPr>
          <w:rFonts w:hint="eastAsia"/>
          <w:color w:val="auto"/>
        </w:rPr>
        <w:t>（2）发包人应在监理人收到进度付款申请单后的28天内，将进度应付款支付给承包人。发包人不按期支付的，按专用合同条款的约定支付逾期付款违约金。</w:t>
      </w:r>
    </w:p>
    <w:p w14:paraId="06B243BE">
      <w:pPr>
        <w:spacing w:line="400" w:lineRule="exact"/>
        <w:ind w:firstLine="718" w:firstLineChars="342"/>
        <w:rPr>
          <w:rFonts w:hint="eastAsia"/>
          <w:color w:val="auto"/>
        </w:rPr>
      </w:pPr>
      <w:r>
        <w:rPr>
          <w:rFonts w:hint="eastAsia"/>
          <w:color w:val="auto"/>
        </w:rPr>
        <w:t>（3）监理人出具进度付款证书，不应视为监理人已同意、批准或接受了承包人完成的该部分工作。</w:t>
      </w:r>
    </w:p>
    <w:p w14:paraId="4632A6EF">
      <w:pPr>
        <w:spacing w:line="400" w:lineRule="exact"/>
        <w:ind w:firstLine="718" w:firstLineChars="342"/>
        <w:rPr>
          <w:rFonts w:hint="eastAsia"/>
          <w:color w:val="auto"/>
        </w:rPr>
      </w:pPr>
      <w:r>
        <w:rPr>
          <w:rFonts w:hint="eastAsia"/>
          <w:color w:val="auto"/>
        </w:rPr>
        <w:t>（4）进度付款涉及政府投资资金的，按照国库集中支付等国家相关规定和专用合同条款的约定办理。</w:t>
      </w:r>
    </w:p>
    <w:p w14:paraId="3B962DE2">
      <w:pPr>
        <w:spacing w:line="400" w:lineRule="exact"/>
        <w:ind w:firstLine="420" w:firstLineChars="200"/>
        <w:rPr>
          <w:rFonts w:hint="eastAsia"/>
          <w:color w:val="auto"/>
        </w:rPr>
      </w:pPr>
      <w:r>
        <w:rPr>
          <w:rFonts w:hint="eastAsia"/>
          <w:color w:val="auto"/>
        </w:rPr>
        <w:t xml:space="preserve">17.3.4 </w:t>
      </w:r>
      <w:r>
        <w:rPr>
          <w:rFonts w:hint="eastAsia" w:ascii="黑体" w:eastAsia="黑体"/>
          <w:color w:val="auto"/>
        </w:rPr>
        <w:t>工程进度付款的修正</w:t>
      </w:r>
    </w:p>
    <w:p w14:paraId="74F684D2">
      <w:pPr>
        <w:spacing w:line="400" w:lineRule="exact"/>
        <w:ind w:firstLine="420" w:firstLineChars="200"/>
        <w:rPr>
          <w:rFonts w:hint="eastAsia"/>
          <w:color w:val="auto"/>
        </w:rPr>
      </w:pPr>
      <w:r>
        <w:rPr>
          <w:rFonts w:hint="eastAsia"/>
          <w:color w:val="auto"/>
        </w:rPr>
        <w:t>在对以往历次已签发的进度付款证书进行汇总和复核中发现错、漏或重复的，监理人有权予以修正，承包人也有权提出修正申请。经双方复核同意的修正，应在本次进度付款中支付或扣除。</w:t>
      </w:r>
    </w:p>
    <w:p w14:paraId="744444D6">
      <w:pPr>
        <w:pStyle w:val="231"/>
        <w:rPr>
          <w:rFonts w:hint="eastAsia"/>
          <w:color w:val="auto"/>
        </w:rPr>
      </w:pPr>
      <w:bookmarkStart w:id="589" w:name="_Toc144974693"/>
      <w:bookmarkStart w:id="590" w:name="_Toc152045722"/>
      <w:bookmarkStart w:id="591" w:name="_Toc152042501"/>
      <w:bookmarkStart w:id="592" w:name="_Toc179632740"/>
      <w:r>
        <w:rPr>
          <w:rFonts w:hint="eastAsia"/>
          <w:color w:val="auto"/>
        </w:rPr>
        <w:t xml:space="preserve">17.4 </w:t>
      </w:r>
      <w:bookmarkEnd w:id="589"/>
      <w:bookmarkEnd w:id="590"/>
      <w:bookmarkEnd w:id="591"/>
      <w:r>
        <w:rPr>
          <w:rFonts w:hint="eastAsia"/>
          <w:color w:val="auto"/>
        </w:rPr>
        <w:t>质量保证金</w:t>
      </w:r>
      <w:bookmarkEnd w:id="592"/>
    </w:p>
    <w:p w14:paraId="119A5C98">
      <w:pPr>
        <w:spacing w:line="400" w:lineRule="exact"/>
        <w:ind w:firstLine="420" w:firstLineChars="200"/>
        <w:rPr>
          <w:rFonts w:hint="eastAsia"/>
          <w:color w:val="auto"/>
        </w:rPr>
      </w:pPr>
      <w:r>
        <w:rPr>
          <w:rFonts w:hint="eastAsia"/>
          <w:color w:val="auto"/>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425D3A7B">
      <w:pPr>
        <w:spacing w:line="400" w:lineRule="exact"/>
        <w:ind w:firstLine="420" w:firstLineChars="200"/>
        <w:rPr>
          <w:rFonts w:hint="eastAsia"/>
          <w:color w:val="auto"/>
        </w:rPr>
      </w:pPr>
      <w:r>
        <w:rPr>
          <w:rFonts w:hint="eastAsia"/>
          <w:color w:val="auto"/>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7717FC0">
      <w:pPr>
        <w:spacing w:line="400" w:lineRule="exact"/>
        <w:ind w:firstLine="420" w:firstLineChars="200"/>
        <w:rPr>
          <w:rFonts w:hint="eastAsia"/>
          <w:color w:val="auto"/>
        </w:rPr>
      </w:pPr>
      <w:r>
        <w:rPr>
          <w:rFonts w:hint="eastAsia"/>
          <w:color w:val="auto"/>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62C77E02">
      <w:pPr>
        <w:pStyle w:val="231"/>
        <w:rPr>
          <w:rFonts w:hint="eastAsia"/>
          <w:color w:val="auto"/>
        </w:rPr>
      </w:pPr>
      <w:bookmarkStart w:id="593" w:name="_Toc144974694"/>
      <w:bookmarkStart w:id="594" w:name="_Toc152042502"/>
      <w:bookmarkStart w:id="595" w:name="_Toc179632741"/>
      <w:bookmarkStart w:id="596" w:name="_Toc152045723"/>
      <w:r>
        <w:rPr>
          <w:rFonts w:hint="eastAsia"/>
          <w:color w:val="auto"/>
        </w:rPr>
        <w:t>17.5 竣工结算</w:t>
      </w:r>
      <w:bookmarkEnd w:id="593"/>
      <w:bookmarkEnd w:id="594"/>
      <w:bookmarkEnd w:id="595"/>
      <w:bookmarkEnd w:id="596"/>
    </w:p>
    <w:p w14:paraId="5699C5F6">
      <w:pPr>
        <w:spacing w:line="400" w:lineRule="exact"/>
        <w:ind w:firstLine="420" w:firstLineChars="200"/>
        <w:rPr>
          <w:rFonts w:hint="eastAsia"/>
          <w:color w:val="auto"/>
        </w:rPr>
      </w:pPr>
      <w:r>
        <w:rPr>
          <w:rFonts w:hint="eastAsia"/>
          <w:color w:val="auto"/>
        </w:rPr>
        <w:t xml:space="preserve">17.5.1 </w:t>
      </w:r>
      <w:r>
        <w:rPr>
          <w:rFonts w:hint="eastAsia" w:ascii="黑体" w:eastAsia="黑体"/>
          <w:color w:val="auto"/>
        </w:rPr>
        <w:t>竣工付款申请单</w:t>
      </w:r>
    </w:p>
    <w:p w14:paraId="4CEBE7B7">
      <w:pPr>
        <w:spacing w:line="400" w:lineRule="exact"/>
        <w:ind w:firstLine="718" w:firstLineChars="342"/>
        <w:rPr>
          <w:rFonts w:hint="eastAsia"/>
          <w:color w:val="auto"/>
        </w:rPr>
      </w:pPr>
      <w:r>
        <w:rPr>
          <w:rFonts w:hint="eastAsia"/>
          <w:color w:val="auto"/>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6723A9BC">
      <w:pPr>
        <w:spacing w:line="400" w:lineRule="exact"/>
        <w:ind w:firstLine="718" w:firstLineChars="342"/>
        <w:rPr>
          <w:rFonts w:hint="eastAsia"/>
          <w:color w:val="auto"/>
        </w:rPr>
      </w:pPr>
      <w:r>
        <w:rPr>
          <w:rFonts w:hint="eastAsia"/>
          <w:color w:val="auto"/>
        </w:rPr>
        <w:t>（2）监理人对竣工付款申请单有异议的，有权要求承包人进行修正和提供补充资料。经监理人和承包人协商后，由承包人向监理人提交修正后的竣工付款申请单。</w:t>
      </w:r>
    </w:p>
    <w:p w14:paraId="438B71EF">
      <w:pPr>
        <w:spacing w:line="400" w:lineRule="exact"/>
        <w:ind w:firstLine="420" w:firstLineChars="200"/>
        <w:rPr>
          <w:rFonts w:hint="eastAsia"/>
          <w:color w:val="auto"/>
        </w:rPr>
      </w:pPr>
      <w:r>
        <w:rPr>
          <w:rFonts w:hint="eastAsia"/>
          <w:color w:val="auto"/>
        </w:rPr>
        <w:t xml:space="preserve">17.5.2 </w:t>
      </w:r>
      <w:r>
        <w:rPr>
          <w:rFonts w:hint="eastAsia" w:ascii="黑体" w:eastAsia="黑体"/>
          <w:color w:val="auto"/>
        </w:rPr>
        <w:t>竣工付款证书及支付时间</w:t>
      </w:r>
    </w:p>
    <w:p w14:paraId="6B0EC54D">
      <w:pPr>
        <w:spacing w:line="400" w:lineRule="exact"/>
        <w:ind w:firstLine="718" w:firstLineChars="342"/>
        <w:rPr>
          <w:rFonts w:hint="eastAsia"/>
          <w:color w:val="auto"/>
        </w:rPr>
      </w:pPr>
      <w:r>
        <w:rPr>
          <w:rFonts w:hint="eastAsia"/>
          <w:color w:val="auto"/>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45B7E32B">
      <w:pPr>
        <w:spacing w:line="400" w:lineRule="exact"/>
        <w:ind w:firstLine="718" w:firstLineChars="342"/>
        <w:rPr>
          <w:rFonts w:hint="eastAsia"/>
          <w:color w:val="auto"/>
        </w:rPr>
      </w:pPr>
      <w:r>
        <w:rPr>
          <w:rFonts w:hint="eastAsia"/>
          <w:color w:val="auto"/>
        </w:rPr>
        <w:t>（2）发包人应在监理人出具竣工付款证书后的14天内，将应支付款支付给承包人。发包人不按期支付的，按第17.3.3（2）目的约定，将逾期付款违约金支付给承包人。</w:t>
      </w:r>
    </w:p>
    <w:p w14:paraId="0B58A0B7">
      <w:pPr>
        <w:spacing w:line="400" w:lineRule="exact"/>
        <w:ind w:firstLine="718" w:firstLineChars="342"/>
        <w:rPr>
          <w:rFonts w:hint="eastAsia"/>
          <w:color w:val="auto"/>
        </w:rPr>
      </w:pPr>
      <w:r>
        <w:rPr>
          <w:rFonts w:hint="eastAsia"/>
          <w:color w:val="auto"/>
        </w:rPr>
        <w:t>（3）承包人对发包人签认的竣工付款证书有异议的，发包人可出具竣工付款申请单中承包人已同意部分的临时付款证书。存在争议的部分，按第24条的约定办理。</w:t>
      </w:r>
    </w:p>
    <w:p w14:paraId="493BF5BB">
      <w:pPr>
        <w:spacing w:line="400" w:lineRule="exact"/>
        <w:ind w:firstLine="630" w:firstLineChars="300"/>
        <w:rPr>
          <w:rFonts w:hint="eastAsia"/>
          <w:color w:val="auto"/>
        </w:rPr>
      </w:pPr>
      <w:r>
        <w:rPr>
          <w:rFonts w:hint="eastAsia"/>
          <w:color w:val="auto"/>
        </w:rPr>
        <w:t>（4）竣工付款涉及政府投资资金的，按第17.3.3（</w:t>
      </w:r>
      <w:r>
        <w:rPr>
          <w:rFonts w:hint="eastAsia"/>
          <w:color w:val="auto"/>
          <w:lang w:eastAsia="zh-CN"/>
        </w:rPr>
        <w:t>4）项</w:t>
      </w:r>
      <w:r>
        <w:rPr>
          <w:rFonts w:hint="eastAsia"/>
          <w:color w:val="auto"/>
        </w:rPr>
        <w:t>目的约定办理。</w:t>
      </w:r>
    </w:p>
    <w:p w14:paraId="5170FD5E">
      <w:pPr>
        <w:pStyle w:val="231"/>
        <w:rPr>
          <w:rFonts w:hint="eastAsia"/>
          <w:color w:val="auto"/>
        </w:rPr>
      </w:pPr>
      <w:bookmarkStart w:id="597" w:name="_Toc144974695"/>
      <w:bookmarkStart w:id="598" w:name="_Toc152042503"/>
      <w:bookmarkStart w:id="599" w:name="_Toc179632742"/>
      <w:bookmarkStart w:id="600" w:name="_Toc152045724"/>
      <w:r>
        <w:rPr>
          <w:rFonts w:hint="eastAsia"/>
          <w:color w:val="auto"/>
        </w:rPr>
        <w:t>17.6 最终结清</w:t>
      </w:r>
      <w:bookmarkEnd w:id="597"/>
      <w:bookmarkEnd w:id="598"/>
      <w:bookmarkEnd w:id="599"/>
      <w:bookmarkEnd w:id="600"/>
    </w:p>
    <w:p w14:paraId="378890AD">
      <w:pPr>
        <w:spacing w:line="400" w:lineRule="exact"/>
        <w:ind w:firstLine="420" w:firstLineChars="200"/>
        <w:rPr>
          <w:rFonts w:hint="eastAsia"/>
          <w:color w:val="auto"/>
        </w:rPr>
      </w:pPr>
      <w:r>
        <w:rPr>
          <w:rFonts w:hint="eastAsia"/>
          <w:color w:val="auto"/>
        </w:rPr>
        <w:t xml:space="preserve">17.6.1 </w:t>
      </w:r>
      <w:r>
        <w:rPr>
          <w:rFonts w:hint="eastAsia" w:ascii="黑体" w:eastAsia="黑体"/>
          <w:color w:val="auto"/>
        </w:rPr>
        <w:t>最终结清申请单</w:t>
      </w:r>
    </w:p>
    <w:p w14:paraId="42009948">
      <w:pPr>
        <w:spacing w:line="400" w:lineRule="exact"/>
        <w:ind w:firstLine="718" w:firstLineChars="342"/>
        <w:rPr>
          <w:rFonts w:hint="eastAsia"/>
          <w:color w:val="auto"/>
        </w:rPr>
      </w:pPr>
      <w:r>
        <w:rPr>
          <w:rFonts w:hint="eastAsia"/>
          <w:color w:val="auto"/>
        </w:rPr>
        <w:t>（1）缺陷责任期终止证书签发后，承包人可按专用合同条款约定的份数和期限向监理人提交最终结清申请单，并提供相关证明材料。</w:t>
      </w:r>
    </w:p>
    <w:p w14:paraId="49215981">
      <w:pPr>
        <w:spacing w:line="400" w:lineRule="exact"/>
        <w:ind w:firstLine="718" w:firstLineChars="342"/>
        <w:rPr>
          <w:rFonts w:hint="eastAsia"/>
          <w:color w:val="auto"/>
        </w:rPr>
      </w:pPr>
      <w:r>
        <w:rPr>
          <w:rFonts w:hint="eastAsia"/>
          <w:color w:val="auto"/>
        </w:rPr>
        <w:t>（2）发包人对最终结清申请单内容有异议的，有权要求承包人进行修正和提供补充资料，由承包人向监理人提交修正后的最终结清申请单。</w:t>
      </w:r>
    </w:p>
    <w:p w14:paraId="420D4EEB">
      <w:pPr>
        <w:spacing w:line="400" w:lineRule="exact"/>
        <w:ind w:firstLine="420" w:firstLineChars="200"/>
        <w:rPr>
          <w:rFonts w:hint="eastAsia"/>
          <w:color w:val="auto"/>
        </w:rPr>
      </w:pPr>
      <w:r>
        <w:rPr>
          <w:rFonts w:hint="eastAsia"/>
          <w:color w:val="auto"/>
        </w:rPr>
        <w:t xml:space="preserve">17.6.2 </w:t>
      </w:r>
      <w:r>
        <w:rPr>
          <w:rFonts w:hint="eastAsia" w:ascii="黑体" w:eastAsia="黑体"/>
          <w:color w:val="auto"/>
        </w:rPr>
        <w:t>最终结清证书和支付时间</w:t>
      </w:r>
    </w:p>
    <w:p w14:paraId="3C21CB9C">
      <w:pPr>
        <w:spacing w:line="400" w:lineRule="exact"/>
        <w:ind w:firstLine="718" w:firstLineChars="342"/>
        <w:rPr>
          <w:rFonts w:hint="eastAsia"/>
          <w:color w:val="auto"/>
        </w:rPr>
      </w:pPr>
      <w:r>
        <w:rPr>
          <w:rFonts w:hint="eastAsia"/>
          <w:color w:val="auto"/>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6CB7DFB">
      <w:pPr>
        <w:spacing w:line="400" w:lineRule="exact"/>
        <w:ind w:firstLine="718" w:firstLineChars="342"/>
        <w:rPr>
          <w:rFonts w:hint="eastAsia"/>
          <w:color w:val="auto"/>
        </w:rPr>
      </w:pPr>
      <w:r>
        <w:rPr>
          <w:rFonts w:hint="eastAsia"/>
          <w:color w:val="auto"/>
        </w:rPr>
        <w:t>（2）发包人应在监理人出具最终结清证书后的14天内，将应支付款支付给承包人。发包人不按期支付的，按第17.3.3（2）目的约定，将逾期付款违约金支付给承包人。</w:t>
      </w:r>
    </w:p>
    <w:p w14:paraId="5FCEE598">
      <w:pPr>
        <w:spacing w:line="400" w:lineRule="exact"/>
        <w:ind w:firstLine="718" w:firstLineChars="342"/>
        <w:rPr>
          <w:rFonts w:hint="eastAsia"/>
          <w:color w:val="auto"/>
        </w:rPr>
      </w:pPr>
      <w:r>
        <w:rPr>
          <w:rFonts w:hint="eastAsia"/>
          <w:color w:val="auto"/>
        </w:rPr>
        <w:t>（3）承包人对发包人签认的最终结清证书有异议的，按第24条的约定办理。</w:t>
      </w:r>
    </w:p>
    <w:p w14:paraId="373F3527">
      <w:pPr>
        <w:spacing w:line="400" w:lineRule="exact"/>
        <w:ind w:firstLine="718" w:firstLineChars="342"/>
        <w:rPr>
          <w:rFonts w:hint="eastAsia"/>
          <w:color w:val="auto"/>
        </w:rPr>
      </w:pPr>
      <w:r>
        <w:rPr>
          <w:rFonts w:hint="eastAsia"/>
          <w:color w:val="auto"/>
        </w:rPr>
        <w:t>（4）最终结清付款涉及政府投资资金的，按第17.3.3（</w:t>
      </w:r>
      <w:r>
        <w:rPr>
          <w:rFonts w:hint="eastAsia"/>
          <w:color w:val="auto"/>
          <w:lang w:eastAsia="zh-CN"/>
        </w:rPr>
        <w:t>4</w:t>
      </w:r>
      <w:r>
        <w:rPr>
          <w:rFonts w:hint="eastAsia"/>
          <w:color w:val="auto"/>
        </w:rPr>
        <w:t>）目的约定办理。</w:t>
      </w:r>
    </w:p>
    <w:p w14:paraId="25027DB8">
      <w:pPr>
        <w:pStyle w:val="224"/>
        <w:rPr>
          <w:rFonts w:hint="eastAsia"/>
          <w:color w:val="auto"/>
        </w:rPr>
      </w:pPr>
      <w:bookmarkStart w:id="601" w:name="_Toc152045725"/>
      <w:bookmarkStart w:id="602" w:name="_Toc144974696"/>
      <w:bookmarkStart w:id="603" w:name="_Toc152042504"/>
      <w:bookmarkStart w:id="604" w:name="_Toc179632743"/>
      <w:r>
        <w:rPr>
          <w:rFonts w:hint="eastAsia"/>
          <w:color w:val="auto"/>
        </w:rPr>
        <w:t>18. 竣工验收</w:t>
      </w:r>
      <w:bookmarkEnd w:id="601"/>
      <w:bookmarkEnd w:id="602"/>
      <w:bookmarkEnd w:id="603"/>
      <w:bookmarkEnd w:id="604"/>
    </w:p>
    <w:p w14:paraId="0CAD2243">
      <w:pPr>
        <w:pStyle w:val="231"/>
        <w:rPr>
          <w:rFonts w:hint="eastAsia"/>
          <w:color w:val="auto"/>
        </w:rPr>
      </w:pPr>
      <w:bookmarkStart w:id="605" w:name="_Toc152045726"/>
      <w:bookmarkStart w:id="606" w:name="_Toc152042505"/>
      <w:bookmarkStart w:id="607" w:name="_Toc179632744"/>
      <w:bookmarkStart w:id="608" w:name="_Toc144974697"/>
      <w:r>
        <w:rPr>
          <w:rFonts w:hint="eastAsia"/>
          <w:color w:val="auto"/>
        </w:rPr>
        <w:t>18.1 竣工验收的含义</w:t>
      </w:r>
      <w:bookmarkEnd w:id="605"/>
      <w:bookmarkEnd w:id="606"/>
      <w:bookmarkEnd w:id="607"/>
      <w:bookmarkEnd w:id="608"/>
    </w:p>
    <w:p w14:paraId="220E5395">
      <w:pPr>
        <w:spacing w:line="400" w:lineRule="exact"/>
        <w:ind w:firstLine="420" w:firstLineChars="200"/>
        <w:rPr>
          <w:rFonts w:hint="eastAsia"/>
          <w:color w:val="auto"/>
        </w:rPr>
      </w:pPr>
      <w:r>
        <w:rPr>
          <w:rFonts w:hint="eastAsia"/>
          <w:color w:val="auto"/>
        </w:rPr>
        <w:t>18.1.1 竣工验收指承包人完成了全部合同工作后，发包人按合同要求进行的验收。</w:t>
      </w:r>
    </w:p>
    <w:p w14:paraId="146E5075">
      <w:pPr>
        <w:spacing w:line="400" w:lineRule="exact"/>
        <w:ind w:firstLine="420" w:firstLineChars="200"/>
        <w:rPr>
          <w:rFonts w:hint="eastAsia"/>
          <w:color w:val="auto"/>
        </w:rPr>
      </w:pPr>
      <w:r>
        <w:rPr>
          <w:rFonts w:hint="eastAsia"/>
          <w:color w:val="auto"/>
        </w:rPr>
        <w:t>18.1.2 国家验收是政府有关部门根据法律、规范、规程和政策要求，针对发包人全面组织实施的整个工程正式交付投运前的验收。</w:t>
      </w:r>
    </w:p>
    <w:p w14:paraId="4EE7983E">
      <w:pPr>
        <w:spacing w:line="400" w:lineRule="exact"/>
        <w:ind w:firstLine="420" w:firstLineChars="200"/>
        <w:rPr>
          <w:rFonts w:hint="eastAsia"/>
          <w:color w:val="auto"/>
        </w:rPr>
      </w:pPr>
      <w:r>
        <w:rPr>
          <w:rFonts w:hint="eastAsia"/>
          <w:color w:val="auto"/>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672A9395">
      <w:pPr>
        <w:pStyle w:val="231"/>
        <w:rPr>
          <w:rFonts w:hint="eastAsia"/>
          <w:color w:val="auto"/>
        </w:rPr>
      </w:pPr>
      <w:bookmarkStart w:id="609" w:name="_Toc179632745"/>
      <w:bookmarkStart w:id="610" w:name="_Toc152042506"/>
      <w:bookmarkStart w:id="611" w:name="_Toc144974698"/>
      <w:bookmarkStart w:id="612" w:name="_Toc152045727"/>
      <w:r>
        <w:rPr>
          <w:rFonts w:hint="eastAsia"/>
          <w:color w:val="auto"/>
        </w:rPr>
        <w:t>18.2 竣工验收申请报告</w:t>
      </w:r>
      <w:bookmarkEnd w:id="609"/>
      <w:bookmarkEnd w:id="610"/>
      <w:bookmarkEnd w:id="611"/>
      <w:bookmarkEnd w:id="612"/>
    </w:p>
    <w:p w14:paraId="30F68097">
      <w:pPr>
        <w:spacing w:line="400" w:lineRule="exact"/>
        <w:ind w:firstLine="420" w:firstLineChars="200"/>
        <w:rPr>
          <w:rFonts w:hint="eastAsia"/>
          <w:color w:val="auto"/>
        </w:rPr>
      </w:pPr>
      <w:r>
        <w:rPr>
          <w:rFonts w:hint="eastAsia"/>
          <w:color w:val="auto"/>
        </w:rPr>
        <w:t>当工程具备以下条件时，承包人即可向监理人报送竣工验收申请报告：</w:t>
      </w:r>
    </w:p>
    <w:p w14:paraId="3DE41AC8">
      <w:pPr>
        <w:spacing w:line="400" w:lineRule="exact"/>
        <w:ind w:firstLine="359" w:firstLineChars="171"/>
        <w:rPr>
          <w:rFonts w:hint="eastAsia"/>
          <w:color w:val="auto"/>
        </w:rPr>
      </w:pPr>
      <w:r>
        <w:rPr>
          <w:rFonts w:hint="eastAsia"/>
          <w:color w:val="auto"/>
        </w:rPr>
        <w:t>（1）除监理人同意列入缺陷责任期内完成的尾工（甩项）工程和缺陷修补工作外，合同范围内的全部单位工程以及有关工作，包括合同要求的试验、试运行以及检验和验收均已完成，并符合合同要求；</w:t>
      </w:r>
    </w:p>
    <w:p w14:paraId="050923F0">
      <w:pPr>
        <w:spacing w:line="400" w:lineRule="exact"/>
        <w:ind w:firstLine="359" w:firstLineChars="171"/>
        <w:rPr>
          <w:rFonts w:hint="eastAsia"/>
          <w:color w:val="auto"/>
        </w:rPr>
      </w:pPr>
      <w:r>
        <w:rPr>
          <w:rFonts w:hint="eastAsia"/>
          <w:color w:val="auto"/>
        </w:rPr>
        <w:t xml:space="preserve">（2）已按合同约定的内容和份数备齐了符合要求的竣工资料； </w:t>
      </w:r>
    </w:p>
    <w:p w14:paraId="3C52E5AF">
      <w:pPr>
        <w:spacing w:line="400" w:lineRule="exact"/>
        <w:ind w:firstLine="359" w:firstLineChars="171"/>
        <w:rPr>
          <w:rFonts w:hint="eastAsia"/>
          <w:color w:val="auto"/>
        </w:rPr>
      </w:pPr>
      <w:r>
        <w:rPr>
          <w:rFonts w:hint="eastAsia"/>
          <w:color w:val="auto"/>
        </w:rPr>
        <w:t>（3）已按监理人的要求编制了在缺陷责任期内完成的尾工（甩项）工程和缺陷修补工作清单以及相应施工计划；</w:t>
      </w:r>
    </w:p>
    <w:p w14:paraId="08CF9524">
      <w:pPr>
        <w:spacing w:line="400" w:lineRule="exact"/>
        <w:ind w:firstLine="359" w:firstLineChars="171"/>
        <w:rPr>
          <w:rFonts w:hint="eastAsia"/>
          <w:color w:val="auto"/>
        </w:rPr>
      </w:pPr>
      <w:r>
        <w:rPr>
          <w:rFonts w:hint="eastAsia"/>
          <w:color w:val="auto"/>
        </w:rPr>
        <w:t>（4）监理人要求在竣工验收前应完成的其他工作；</w:t>
      </w:r>
    </w:p>
    <w:p w14:paraId="1E625728">
      <w:pPr>
        <w:spacing w:line="400" w:lineRule="exact"/>
        <w:ind w:firstLine="359" w:firstLineChars="171"/>
        <w:rPr>
          <w:rFonts w:hint="eastAsia"/>
          <w:color w:val="auto"/>
        </w:rPr>
      </w:pPr>
      <w:r>
        <w:rPr>
          <w:rFonts w:hint="eastAsia"/>
          <w:color w:val="auto"/>
        </w:rPr>
        <w:t>（5）监理人要求提交的竣工验收资料清单。</w:t>
      </w:r>
    </w:p>
    <w:p w14:paraId="3D028B34">
      <w:pPr>
        <w:pStyle w:val="231"/>
        <w:rPr>
          <w:rFonts w:hint="eastAsia"/>
          <w:color w:val="auto"/>
        </w:rPr>
      </w:pPr>
      <w:bookmarkStart w:id="613" w:name="_Toc152045728"/>
      <w:bookmarkStart w:id="614" w:name="_Toc152042507"/>
      <w:bookmarkStart w:id="615" w:name="_Toc144974699"/>
      <w:bookmarkStart w:id="616" w:name="_Toc179632746"/>
      <w:r>
        <w:rPr>
          <w:rFonts w:hint="eastAsia"/>
          <w:color w:val="auto"/>
        </w:rPr>
        <w:t>18.3 验收</w:t>
      </w:r>
      <w:bookmarkEnd w:id="613"/>
      <w:bookmarkEnd w:id="614"/>
      <w:bookmarkEnd w:id="615"/>
      <w:bookmarkEnd w:id="616"/>
    </w:p>
    <w:p w14:paraId="649F74CD">
      <w:pPr>
        <w:spacing w:line="400" w:lineRule="exact"/>
        <w:ind w:firstLine="420" w:firstLineChars="200"/>
        <w:rPr>
          <w:rFonts w:hint="eastAsia"/>
          <w:color w:val="auto"/>
        </w:rPr>
      </w:pPr>
      <w:r>
        <w:rPr>
          <w:rFonts w:hint="eastAsia"/>
          <w:color w:val="auto"/>
        </w:rPr>
        <w:t>监理人收到承包人按第18.2款约定提交的竣工验收申请报告后，应审查申请报告的各项内容，并按以下不同情况进行处理。</w:t>
      </w:r>
    </w:p>
    <w:p w14:paraId="28CCD334">
      <w:pPr>
        <w:spacing w:line="400" w:lineRule="exact"/>
        <w:ind w:firstLine="420" w:firstLineChars="200"/>
        <w:rPr>
          <w:rFonts w:hint="eastAsia"/>
          <w:color w:val="auto"/>
        </w:rPr>
      </w:pPr>
      <w:r>
        <w:rPr>
          <w:rFonts w:hint="eastAsia"/>
          <w:color w:val="auto"/>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41674DD6">
      <w:pPr>
        <w:spacing w:line="400" w:lineRule="exact"/>
        <w:ind w:firstLine="420" w:firstLineChars="200"/>
        <w:rPr>
          <w:rFonts w:hint="eastAsia"/>
          <w:color w:val="auto"/>
        </w:rPr>
      </w:pPr>
      <w:r>
        <w:rPr>
          <w:rFonts w:hint="eastAsia"/>
          <w:color w:val="auto"/>
        </w:rPr>
        <w:t>18.3.2 监理人审查后认为已具备竣工验收条件的，应在收到竣工验收申请报告后的28天内提请发包人进行工程验收。</w:t>
      </w:r>
    </w:p>
    <w:p w14:paraId="47839933">
      <w:pPr>
        <w:spacing w:line="400" w:lineRule="exact"/>
        <w:ind w:firstLine="420" w:firstLineChars="200"/>
        <w:rPr>
          <w:rFonts w:hint="eastAsia"/>
          <w:color w:val="auto"/>
        </w:rPr>
      </w:pPr>
      <w:r>
        <w:rPr>
          <w:rFonts w:hint="eastAsia"/>
          <w:color w:val="auto"/>
        </w:rPr>
        <w:t>18.3.3发包人经过验收后同意</w:t>
      </w:r>
      <w:r>
        <w:rPr>
          <w:rFonts w:hint="eastAsia"/>
          <w:color w:val="auto"/>
          <w:lang w:eastAsia="zh-CN"/>
        </w:rPr>
        <w:t>接收</w:t>
      </w:r>
      <w:r>
        <w:rPr>
          <w:rFonts w:hint="eastAsia"/>
          <w:color w:val="auto"/>
        </w:rPr>
        <w:t>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50332899">
      <w:pPr>
        <w:spacing w:line="400" w:lineRule="exact"/>
        <w:ind w:firstLine="420" w:firstLineChars="200"/>
        <w:rPr>
          <w:rFonts w:hint="eastAsia"/>
          <w:color w:val="auto"/>
        </w:rPr>
      </w:pPr>
      <w:r>
        <w:rPr>
          <w:rFonts w:hint="eastAsia"/>
          <w:color w:val="auto"/>
        </w:rPr>
        <w:t>18.3.4 发包人验收后不同意接收工程的，监理人应按照发包人的验收意见发出指示，要求承包人对不合格工程认真返工重</w:t>
      </w:r>
      <w:r>
        <w:rPr>
          <w:rFonts w:hint="eastAsia"/>
          <w:color w:val="auto"/>
          <w:lang w:eastAsia="zh-CN"/>
        </w:rPr>
        <w:t>做</w:t>
      </w:r>
      <w:r>
        <w:rPr>
          <w:rFonts w:hint="eastAsia"/>
          <w:color w:val="auto"/>
        </w:rPr>
        <w:t>或进行补救处理，并承担由此产生的费用。承包人在完成不合格工程的返工重</w:t>
      </w:r>
      <w:r>
        <w:rPr>
          <w:rFonts w:hint="eastAsia"/>
          <w:color w:val="auto"/>
          <w:lang w:eastAsia="zh-CN"/>
        </w:rPr>
        <w:t>做</w:t>
      </w:r>
      <w:r>
        <w:rPr>
          <w:rFonts w:hint="eastAsia"/>
          <w:color w:val="auto"/>
        </w:rPr>
        <w:t>或补救工作后，应重新提交竣工验收申请报告，按第18.3.1项、第18.3.2项和第18.3.3项的约定进行。</w:t>
      </w:r>
    </w:p>
    <w:p w14:paraId="323F72EB">
      <w:pPr>
        <w:spacing w:line="400" w:lineRule="exact"/>
        <w:ind w:firstLine="420" w:firstLineChars="200"/>
        <w:rPr>
          <w:rFonts w:hint="eastAsia"/>
          <w:color w:val="auto"/>
        </w:rPr>
      </w:pPr>
      <w:r>
        <w:rPr>
          <w:rFonts w:hint="eastAsia"/>
          <w:color w:val="auto"/>
        </w:rPr>
        <w:t>18.3.5 除专用合同条款另有约定外，经验收合格工程的实际竣工日期，以提交竣工验收申请报告的日期为准，并在工程接收证书中写明。</w:t>
      </w:r>
    </w:p>
    <w:p w14:paraId="4C84A9F2">
      <w:pPr>
        <w:spacing w:line="400" w:lineRule="exact"/>
        <w:ind w:firstLine="420" w:firstLineChars="200"/>
        <w:rPr>
          <w:rFonts w:hint="eastAsia"/>
          <w:color w:val="auto"/>
        </w:rPr>
      </w:pPr>
      <w:r>
        <w:rPr>
          <w:rFonts w:hint="eastAsia"/>
          <w:color w:val="auto"/>
        </w:rPr>
        <w:t>18.3.6 发包人在收到承包人竣工验收申请报告56天后未进行验收的，视为验收合格，实际竣工日期以提交竣工验收申请报告的日期为准，但发包人由于不可抗力不能进行验收的除外。</w:t>
      </w:r>
    </w:p>
    <w:p w14:paraId="5AE472FE">
      <w:pPr>
        <w:pStyle w:val="231"/>
        <w:rPr>
          <w:rFonts w:hint="eastAsia"/>
          <w:color w:val="auto"/>
        </w:rPr>
      </w:pPr>
      <w:bookmarkStart w:id="617" w:name="_Toc152042508"/>
      <w:bookmarkStart w:id="618" w:name="_Toc179632747"/>
      <w:bookmarkStart w:id="619" w:name="_Toc152045729"/>
      <w:bookmarkStart w:id="620" w:name="_Toc144974700"/>
      <w:r>
        <w:rPr>
          <w:rFonts w:hint="eastAsia"/>
          <w:color w:val="auto"/>
        </w:rPr>
        <w:t>18.4 单位工程验收</w:t>
      </w:r>
      <w:bookmarkEnd w:id="617"/>
      <w:bookmarkEnd w:id="618"/>
      <w:bookmarkEnd w:id="619"/>
      <w:bookmarkEnd w:id="620"/>
    </w:p>
    <w:p w14:paraId="6D9D0026">
      <w:pPr>
        <w:spacing w:line="400" w:lineRule="exact"/>
        <w:ind w:firstLine="420" w:firstLineChars="200"/>
        <w:rPr>
          <w:rFonts w:hint="eastAsia"/>
          <w:color w:val="auto"/>
        </w:rPr>
      </w:pPr>
      <w:r>
        <w:rPr>
          <w:rFonts w:hint="eastAsia"/>
          <w:color w:val="auto"/>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053099B9">
      <w:pPr>
        <w:spacing w:line="400" w:lineRule="exact"/>
        <w:ind w:firstLine="420" w:firstLineChars="200"/>
        <w:rPr>
          <w:rFonts w:hint="eastAsia"/>
          <w:color w:val="auto"/>
        </w:rPr>
      </w:pPr>
      <w:r>
        <w:rPr>
          <w:rFonts w:hint="eastAsia"/>
          <w:color w:val="auto"/>
        </w:rPr>
        <w:t>18.4.2 发包人在全部工程竣工前，使用已接收的单位工程导致承包人费用增加的，发包人应承担由此增加的费用和（或）工期延误，并支付承包人合理利润。</w:t>
      </w:r>
    </w:p>
    <w:p w14:paraId="2FB1B183">
      <w:pPr>
        <w:pStyle w:val="231"/>
        <w:rPr>
          <w:rFonts w:hint="eastAsia"/>
          <w:color w:val="auto"/>
        </w:rPr>
      </w:pPr>
      <w:bookmarkStart w:id="621" w:name="_Toc179632748"/>
      <w:bookmarkStart w:id="622" w:name="_Toc152042509"/>
      <w:bookmarkStart w:id="623" w:name="_Toc144974701"/>
      <w:bookmarkStart w:id="624" w:name="_Toc152045730"/>
      <w:r>
        <w:rPr>
          <w:rFonts w:hint="eastAsia"/>
          <w:color w:val="auto"/>
        </w:rPr>
        <w:t>18.5 施工期运行</w:t>
      </w:r>
      <w:bookmarkEnd w:id="621"/>
      <w:bookmarkEnd w:id="622"/>
      <w:bookmarkEnd w:id="623"/>
      <w:bookmarkEnd w:id="624"/>
    </w:p>
    <w:p w14:paraId="33D46CD9">
      <w:pPr>
        <w:spacing w:line="400" w:lineRule="exact"/>
        <w:ind w:firstLine="420" w:firstLineChars="200"/>
        <w:rPr>
          <w:rFonts w:hint="eastAsia"/>
          <w:color w:val="auto"/>
        </w:rPr>
      </w:pPr>
      <w:r>
        <w:rPr>
          <w:rFonts w:hint="eastAsia"/>
          <w:color w:val="auto"/>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5E4C22F5">
      <w:pPr>
        <w:spacing w:line="400" w:lineRule="exact"/>
        <w:ind w:firstLine="420" w:firstLineChars="200"/>
        <w:rPr>
          <w:rFonts w:hint="eastAsia"/>
          <w:color w:val="auto"/>
        </w:rPr>
      </w:pPr>
      <w:r>
        <w:rPr>
          <w:rFonts w:hint="eastAsia"/>
          <w:color w:val="auto"/>
        </w:rPr>
        <w:t>18.5.2 在施工期运行中发现工程或工程设备损坏或存在缺陷的，由承包人按第19.2款约定进行修复。</w:t>
      </w:r>
    </w:p>
    <w:p w14:paraId="116AD13F">
      <w:pPr>
        <w:pStyle w:val="231"/>
        <w:rPr>
          <w:rFonts w:hint="eastAsia"/>
          <w:color w:val="auto"/>
        </w:rPr>
      </w:pPr>
      <w:bookmarkStart w:id="625" w:name="_Toc152042510"/>
      <w:bookmarkStart w:id="626" w:name="_Toc144974702"/>
      <w:bookmarkStart w:id="627" w:name="_Toc179632749"/>
      <w:bookmarkStart w:id="628" w:name="_Toc152045731"/>
      <w:r>
        <w:rPr>
          <w:rFonts w:hint="eastAsia"/>
          <w:color w:val="auto"/>
        </w:rPr>
        <w:t>18.6 试运行</w:t>
      </w:r>
      <w:bookmarkEnd w:id="625"/>
      <w:bookmarkEnd w:id="626"/>
      <w:bookmarkEnd w:id="627"/>
      <w:bookmarkEnd w:id="628"/>
    </w:p>
    <w:p w14:paraId="78DA4C75">
      <w:pPr>
        <w:spacing w:line="400" w:lineRule="exact"/>
        <w:ind w:firstLine="420" w:firstLineChars="200"/>
        <w:rPr>
          <w:rFonts w:hint="eastAsia"/>
          <w:color w:val="auto"/>
        </w:rPr>
      </w:pPr>
      <w:r>
        <w:rPr>
          <w:rFonts w:hint="eastAsia"/>
          <w:color w:val="auto"/>
        </w:rPr>
        <w:t>18.6.1 除专用合同条款另有约定外，承包人应按专用合同条款约定进行工程及工程设备试运行，负责提供试运行所需的人员、器材和必要的条件，并承担全部试运行费用。</w:t>
      </w:r>
    </w:p>
    <w:p w14:paraId="747662AC">
      <w:pPr>
        <w:spacing w:line="400" w:lineRule="exact"/>
        <w:ind w:firstLine="420" w:firstLineChars="200"/>
        <w:rPr>
          <w:rFonts w:hint="eastAsia"/>
          <w:color w:val="auto"/>
        </w:rPr>
      </w:pPr>
      <w:r>
        <w:rPr>
          <w:rFonts w:hint="eastAsia"/>
          <w:color w:val="auto"/>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F71952F">
      <w:pPr>
        <w:pStyle w:val="231"/>
        <w:rPr>
          <w:rFonts w:hint="eastAsia"/>
          <w:color w:val="auto"/>
        </w:rPr>
      </w:pPr>
      <w:bookmarkStart w:id="629" w:name="_Toc144974703"/>
      <w:bookmarkStart w:id="630" w:name="_Toc152045732"/>
      <w:bookmarkStart w:id="631" w:name="_Toc152042511"/>
      <w:bookmarkStart w:id="632" w:name="_Toc179632750"/>
      <w:r>
        <w:rPr>
          <w:rFonts w:hint="eastAsia"/>
          <w:color w:val="auto"/>
        </w:rPr>
        <w:t>18.7 竣工清场</w:t>
      </w:r>
      <w:bookmarkEnd w:id="629"/>
      <w:bookmarkEnd w:id="630"/>
      <w:bookmarkEnd w:id="631"/>
      <w:bookmarkEnd w:id="632"/>
    </w:p>
    <w:p w14:paraId="51E70329">
      <w:pPr>
        <w:spacing w:line="400" w:lineRule="exact"/>
        <w:ind w:firstLine="420" w:firstLineChars="200"/>
        <w:rPr>
          <w:rFonts w:hint="eastAsia"/>
          <w:color w:val="auto"/>
        </w:rPr>
      </w:pPr>
      <w:r>
        <w:rPr>
          <w:rFonts w:hint="eastAsia"/>
          <w:color w:val="auto"/>
        </w:rPr>
        <w:t>18.7.1 除合同另有约定外，工程接收证书颁发后，承包人应按以下要求对施工场地进行清理，直至监理人检验合格为止。竣工清场费用由承包人承担。</w:t>
      </w:r>
    </w:p>
    <w:p w14:paraId="2878953B">
      <w:pPr>
        <w:spacing w:line="400" w:lineRule="exact"/>
        <w:ind w:firstLine="718" w:firstLineChars="342"/>
        <w:rPr>
          <w:rFonts w:hint="eastAsia"/>
          <w:color w:val="auto"/>
        </w:rPr>
      </w:pPr>
      <w:r>
        <w:rPr>
          <w:rFonts w:hint="eastAsia"/>
          <w:color w:val="auto"/>
        </w:rPr>
        <w:t>（1）施工场地内残留的垃圾已全部清除出场；</w:t>
      </w:r>
    </w:p>
    <w:p w14:paraId="159CAF35">
      <w:pPr>
        <w:spacing w:line="400" w:lineRule="exact"/>
        <w:ind w:firstLine="718" w:firstLineChars="342"/>
        <w:rPr>
          <w:rFonts w:hint="eastAsia"/>
          <w:color w:val="auto"/>
        </w:rPr>
      </w:pPr>
      <w:r>
        <w:rPr>
          <w:rFonts w:hint="eastAsia"/>
          <w:color w:val="auto"/>
        </w:rPr>
        <w:t>（2）临时工程已拆除，场地已按合同要求进行清理、平整或复原；</w:t>
      </w:r>
    </w:p>
    <w:p w14:paraId="34D652DA">
      <w:pPr>
        <w:spacing w:line="400" w:lineRule="exact"/>
        <w:ind w:firstLine="718" w:firstLineChars="342"/>
        <w:rPr>
          <w:rFonts w:hint="eastAsia"/>
          <w:color w:val="auto"/>
        </w:rPr>
      </w:pPr>
      <w:r>
        <w:rPr>
          <w:rFonts w:hint="eastAsia"/>
          <w:color w:val="auto"/>
        </w:rPr>
        <w:t>（3）按合同约定应撤离的承包人设备和剩余的材料，包括废弃的施工设备和材料，已按计划撤离施工场地；</w:t>
      </w:r>
    </w:p>
    <w:p w14:paraId="77B8477D">
      <w:pPr>
        <w:spacing w:line="400" w:lineRule="exact"/>
        <w:ind w:firstLine="718" w:firstLineChars="342"/>
        <w:rPr>
          <w:rFonts w:hint="eastAsia"/>
          <w:color w:val="auto"/>
        </w:rPr>
      </w:pPr>
      <w:r>
        <w:rPr>
          <w:rFonts w:hint="eastAsia"/>
          <w:color w:val="auto"/>
        </w:rPr>
        <w:t>（4）工程建筑物周边及其附近道路、河道的施工堆积物，已按监理人指示全部清理；</w:t>
      </w:r>
    </w:p>
    <w:p w14:paraId="6E77AD5A">
      <w:pPr>
        <w:spacing w:line="400" w:lineRule="exact"/>
        <w:ind w:firstLine="718" w:firstLineChars="342"/>
        <w:rPr>
          <w:rFonts w:hint="eastAsia"/>
          <w:color w:val="auto"/>
        </w:rPr>
      </w:pPr>
      <w:r>
        <w:rPr>
          <w:rFonts w:hint="eastAsia"/>
          <w:color w:val="auto"/>
        </w:rPr>
        <w:t>（5）监理人指示的其他场地清理工作已全部完成。</w:t>
      </w:r>
    </w:p>
    <w:p w14:paraId="6CF7EADF">
      <w:pPr>
        <w:spacing w:line="400" w:lineRule="exact"/>
        <w:ind w:firstLine="420" w:firstLineChars="200"/>
        <w:rPr>
          <w:rFonts w:hint="eastAsia"/>
          <w:color w:val="auto"/>
        </w:rPr>
      </w:pPr>
      <w:r>
        <w:rPr>
          <w:rFonts w:hint="eastAsia"/>
          <w:color w:val="auto"/>
        </w:rPr>
        <w:t>18.7.2 承包人未按监理人的要求恢复临时占地，或者场地清理未达到合同约定的，发包人有权委托其他人恢复或清理，所发生的金额从拟支付给承包人的款项中扣除。</w:t>
      </w:r>
    </w:p>
    <w:p w14:paraId="23AF86AB">
      <w:pPr>
        <w:pStyle w:val="231"/>
        <w:rPr>
          <w:rFonts w:hint="eastAsia"/>
          <w:color w:val="auto"/>
        </w:rPr>
      </w:pPr>
      <w:bookmarkStart w:id="633" w:name="_Toc179632751"/>
      <w:bookmarkStart w:id="634" w:name="_Toc152042512"/>
      <w:bookmarkStart w:id="635" w:name="_Toc152045733"/>
      <w:bookmarkStart w:id="636" w:name="_Toc144974704"/>
      <w:r>
        <w:rPr>
          <w:rFonts w:hint="eastAsia"/>
          <w:color w:val="auto"/>
        </w:rPr>
        <w:t>18.8 施工队伍的撤离</w:t>
      </w:r>
      <w:bookmarkEnd w:id="633"/>
      <w:bookmarkEnd w:id="634"/>
      <w:bookmarkEnd w:id="635"/>
      <w:bookmarkEnd w:id="636"/>
    </w:p>
    <w:p w14:paraId="7A8D2214">
      <w:pPr>
        <w:spacing w:line="400" w:lineRule="exact"/>
        <w:ind w:firstLine="420" w:firstLineChars="200"/>
        <w:rPr>
          <w:rFonts w:hint="eastAsia"/>
          <w:color w:val="auto"/>
        </w:rPr>
      </w:pPr>
      <w:r>
        <w:rPr>
          <w:rFonts w:hint="eastAsia"/>
          <w:color w:val="auto"/>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12C7E653">
      <w:pPr>
        <w:pStyle w:val="224"/>
        <w:rPr>
          <w:rFonts w:hint="eastAsia"/>
          <w:color w:val="auto"/>
        </w:rPr>
      </w:pPr>
      <w:bookmarkStart w:id="637" w:name="_Toc152045734"/>
      <w:bookmarkStart w:id="638" w:name="_Toc152042513"/>
      <w:bookmarkStart w:id="639" w:name="_Toc179632752"/>
      <w:bookmarkStart w:id="640" w:name="_Toc144974705"/>
      <w:r>
        <w:rPr>
          <w:rFonts w:hint="eastAsia"/>
          <w:color w:val="auto"/>
        </w:rPr>
        <w:t>19. 缺陷责任与保修责任</w:t>
      </w:r>
      <w:bookmarkEnd w:id="637"/>
      <w:bookmarkEnd w:id="638"/>
      <w:bookmarkEnd w:id="639"/>
      <w:bookmarkEnd w:id="640"/>
    </w:p>
    <w:p w14:paraId="21715CE6">
      <w:pPr>
        <w:pStyle w:val="231"/>
        <w:rPr>
          <w:rFonts w:hint="eastAsia"/>
          <w:color w:val="auto"/>
        </w:rPr>
      </w:pPr>
      <w:bookmarkStart w:id="641" w:name="_Toc144974706"/>
      <w:bookmarkStart w:id="642" w:name="_Toc179632753"/>
      <w:bookmarkStart w:id="643" w:name="_Toc152045735"/>
      <w:bookmarkStart w:id="644" w:name="_Toc152042514"/>
      <w:r>
        <w:rPr>
          <w:rFonts w:hint="eastAsia"/>
          <w:color w:val="auto"/>
        </w:rPr>
        <w:t>19.1 缺陷责任期的起算时间</w:t>
      </w:r>
      <w:bookmarkEnd w:id="641"/>
      <w:bookmarkEnd w:id="642"/>
      <w:bookmarkEnd w:id="643"/>
      <w:bookmarkEnd w:id="644"/>
    </w:p>
    <w:p w14:paraId="63AB1A34">
      <w:pPr>
        <w:spacing w:line="400" w:lineRule="exact"/>
        <w:ind w:firstLine="420" w:firstLineChars="200"/>
        <w:rPr>
          <w:rFonts w:hint="eastAsia"/>
          <w:color w:val="auto"/>
        </w:rPr>
      </w:pPr>
      <w:r>
        <w:rPr>
          <w:rFonts w:hint="eastAsia"/>
          <w:color w:val="auto"/>
        </w:rPr>
        <w:t>缺陷责任期自实际竣工日期起计算。在全部工程竣工验收前，已经发包人提前验收的单位工程，其缺陷责任期的起算日期相应提前。</w:t>
      </w:r>
    </w:p>
    <w:p w14:paraId="09AC159E">
      <w:pPr>
        <w:pStyle w:val="231"/>
        <w:rPr>
          <w:rFonts w:hint="eastAsia"/>
          <w:color w:val="auto"/>
        </w:rPr>
      </w:pPr>
      <w:bookmarkStart w:id="645" w:name="_Toc144974707"/>
      <w:bookmarkStart w:id="646" w:name="_Toc152045736"/>
      <w:bookmarkStart w:id="647" w:name="_Toc179632754"/>
      <w:bookmarkStart w:id="648" w:name="_Toc152042515"/>
      <w:r>
        <w:rPr>
          <w:rFonts w:hint="eastAsia"/>
          <w:color w:val="auto"/>
        </w:rPr>
        <w:t>19.2 缺陷责任</w:t>
      </w:r>
      <w:bookmarkEnd w:id="645"/>
      <w:bookmarkEnd w:id="646"/>
      <w:bookmarkEnd w:id="647"/>
      <w:bookmarkEnd w:id="648"/>
    </w:p>
    <w:p w14:paraId="580D2548">
      <w:pPr>
        <w:spacing w:line="400" w:lineRule="exact"/>
        <w:ind w:firstLine="420" w:firstLineChars="200"/>
        <w:rPr>
          <w:rFonts w:hint="eastAsia"/>
          <w:color w:val="auto"/>
        </w:rPr>
      </w:pPr>
      <w:r>
        <w:rPr>
          <w:rFonts w:hint="eastAsia"/>
          <w:color w:val="auto"/>
        </w:rPr>
        <w:t>19.2.1 承包人应在缺陷责任期内对已交付使用的工程承担缺陷责任。</w:t>
      </w:r>
    </w:p>
    <w:p w14:paraId="5C84EE10">
      <w:pPr>
        <w:spacing w:line="400" w:lineRule="exact"/>
        <w:ind w:firstLine="420" w:firstLineChars="200"/>
        <w:rPr>
          <w:rFonts w:hint="eastAsia"/>
          <w:color w:val="auto"/>
        </w:rPr>
      </w:pPr>
      <w:r>
        <w:rPr>
          <w:rFonts w:hint="eastAsia"/>
          <w:color w:val="auto"/>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70C3B4C2">
      <w:pPr>
        <w:spacing w:line="400" w:lineRule="exact"/>
        <w:ind w:firstLine="420" w:firstLineChars="200"/>
        <w:rPr>
          <w:rFonts w:hint="eastAsia"/>
          <w:color w:val="auto"/>
        </w:rPr>
      </w:pPr>
      <w:r>
        <w:rPr>
          <w:rFonts w:hint="eastAsia"/>
          <w:color w:va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5C8B6A6E">
      <w:pPr>
        <w:spacing w:line="400" w:lineRule="exact"/>
        <w:ind w:firstLine="420" w:firstLineChars="200"/>
        <w:rPr>
          <w:rFonts w:hint="eastAsia"/>
          <w:color w:val="auto"/>
        </w:rPr>
      </w:pPr>
      <w:r>
        <w:rPr>
          <w:rFonts w:hint="eastAsia"/>
          <w:color w:val="auto"/>
        </w:rPr>
        <w:t>19.2.4 承包人不能在合理时间内修复缺陷的，发包人可自行修复或委托其他人修复，所需费用和利润的承担，按第19.2.3项约定办理。</w:t>
      </w:r>
    </w:p>
    <w:p w14:paraId="69034E45">
      <w:pPr>
        <w:pStyle w:val="231"/>
        <w:rPr>
          <w:rFonts w:hint="eastAsia"/>
          <w:color w:val="auto"/>
        </w:rPr>
      </w:pPr>
      <w:bookmarkStart w:id="649" w:name="_Toc152042516"/>
      <w:bookmarkStart w:id="650" w:name="_Toc179632755"/>
      <w:bookmarkStart w:id="651" w:name="_Toc152045737"/>
      <w:bookmarkStart w:id="652" w:name="_Toc144974708"/>
      <w:r>
        <w:rPr>
          <w:rFonts w:hint="eastAsia"/>
          <w:color w:val="auto"/>
        </w:rPr>
        <w:t>19.3 缺陷责任期的延长</w:t>
      </w:r>
      <w:bookmarkEnd w:id="649"/>
      <w:bookmarkEnd w:id="650"/>
      <w:bookmarkEnd w:id="651"/>
      <w:bookmarkEnd w:id="652"/>
    </w:p>
    <w:p w14:paraId="1A843565">
      <w:pPr>
        <w:spacing w:line="400" w:lineRule="exact"/>
        <w:ind w:firstLine="420" w:firstLineChars="200"/>
        <w:rPr>
          <w:rFonts w:hint="eastAsia"/>
          <w:color w:val="auto"/>
        </w:rPr>
      </w:pPr>
      <w:r>
        <w:rPr>
          <w:rFonts w:hint="eastAsia"/>
          <w:color w:val="auto"/>
        </w:rPr>
        <w:t>由于承包人原因造成某项缺陷或损坏使某项工程或工程设备不能按原定目标使用而需要再次检查、检验和修复的，发包人有权要求承包人相应延长缺陷责任期，但缺陷责任期最长不超过2年。</w:t>
      </w:r>
    </w:p>
    <w:p w14:paraId="6C606D35">
      <w:pPr>
        <w:pStyle w:val="231"/>
        <w:rPr>
          <w:rFonts w:hint="eastAsia"/>
          <w:color w:val="auto"/>
        </w:rPr>
      </w:pPr>
      <w:bookmarkStart w:id="653" w:name="_Toc144974709"/>
      <w:bookmarkStart w:id="654" w:name="_Toc152045738"/>
      <w:bookmarkStart w:id="655" w:name="_Toc179632756"/>
      <w:bookmarkStart w:id="656" w:name="_Toc152042517"/>
      <w:r>
        <w:rPr>
          <w:rFonts w:hint="eastAsia"/>
          <w:color w:val="auto"/>
        </w:rPr>
        <w:t>19.4 进一步试验和试运行</w:t>
      </w:r>
      <w:bookmarkEnd w:id="653"/>
      <w:bookmarkEnd w:id="654"/>
      <w:bookmarkEnd w:id="655"/>
      <w:bookmarkEnd w:id="656"/>
    </w:p>
    <w:p w14:paraId="59C5B8BC">
      <w:pPr>
        <w:spacing w:line="400" w:lineRule="exact"/>
        <w:ind w:firstLine="420" w:firstLineChars="200"/>
        <w:rPr>
          <w:rFonts w:hint="eastAsia"/>
          <w:color w:val="auto"/>
        </w:rPr>
      </w:pPr>
      <w:r>
        <w:rPr>
          <w:rFonts w:hint="eastAsia"/>
          <w:color w:val="auto"/>
        </w:rPr>
        <w:t>任何一项缺陷或损坏修复后，经检查证明其影响了工程或工程设备的使用性能，承包人应重新进行合同约定的试验和试运行，试验和试运行的全部费用应由责任方承担。</w:t>
      </w:r>
    </w:p>
    <w:p w14:paraId="75E7AF7C">
      <w:pPr>
        <w:pStyle w:val="231"/>
        <w:rPr>
          <w:rFonts w:hint="eastAsia"/>
          <w:color w:val="auto"/>
        </w:rPr>
      </w:pPr>
      <w:bookmarkStart w:id="657" w:name="_Toc179632757"/>
      <w:bookmarkStart w:id="658" w:name="_Toc152042518"/>
      <w:bookmarkStart w:id="659" w:name="_Toc144974710"/>
      <w:bookmarkStart w:id="660" w:name="_Toc152045739"/>
      <w:r>
        <w:rPr>
          <w:rFonts w:hint="eastAsia"/>
          <w:color w:val="auto"/>
        </w:rPr>
        <w:t>19.5 承包人的进入权</w:t>
      </w:r>
      <w:bookmarkEnd w:id="657"/>
      <w:bookmarkEnd w:id="658"/>
      <w:bookmarkEnd w:id="659"/>
      <w:bookmarkEnd w:id="660"/>
    </w:p>
    <w:p w14:paraId="714708D2">
      <w:pPr>
        <w:spacing w:line="400" w:lineRule="exact"/>
        <w:ind w:firstLine="420" w:firstLineChars="200"/>
        <w:rPr>
          <w:rFonts w:hint="eastAsia"/>
          <w:color w:val="auto"/>
        </w:rPr>
      </w:pPr>
      <w:r>
        <w:rPr>
          <w:rFonts w:hint="eastAsia"/>
          <w:color w:val="auto"/>
        </w:rPr>
        <w:t>缺陷责任期内承包人为缺陷修复工作需要，有权进入工程现场，但应遵守发包人的保安和保密规定。</w:t>
      </w:r>
    </w:p>
    <w:p w14:paraId="78BECCE6">
      <w:pPr>
        <w:pStyle w:val="231"/>
        <w:rPr>
          <w:rFonts w:hint="eastAsia"/>
          <w:color w:val="auto"/>
        </w:rPr>
      </w:pPr>
      <w:bookmarkStart w:id="661" w:name="_Toc152042519"/>
      <w:bookmarkStart w:id="662" w:name="_Toc144974711"/>
      <w:bookmarkStart w:id="663" w:name="_Toc179632758"/>
      <w:bookmarkStart w:id="664" w:name="_Toc152045740"/>
      <w:r>
        <w:rPr>
          <w:rFonts w:hint="eastAsia"/>
          <w:color w:val="auto"/>
        </w:rPr>
        <w:t>19.6 缺陷责任期终止证书</w:t>
      </w:r>
      <w:bookmarkEnd w:id="661"/>
      <w:bookmarkEnd w:id="662"/>
      <w:bookmarkEnd w:id="663"/>
      <w:bookmarkEnd w:id="664"/>
    </w:p>
    <w:p w14:paraId="05E772BC">
      <w:pPr>
        <w:spacing w:line="400" w:lineRule="exact"/>
        <w:ind w:firstLine="420" w:firstLineChars="200"/>
        <w:rPr>
          <w:rFonts w:hint="eastAsia"/>
          <w:color w:val="auto"/>
        </w:rPr>
      </w:pPr>
      <w:r>
        <w:rPr>
          <w:rFonts w:hint="eastAsia"/>
          <w:color w:val="auto"/>
        </w:rPr>
        <w:t>在第1.1.4.5目约定的缺陷责任期，包括根据第19.3款延长的期限终止后14天内，由监理人向承包人出具经发包人签认的缺陷责任期终止证书，并退还剩余的质量保证金。</w:t>
      </w:r>
    </w:p>
    <w:p w14:paraId="465CB509">
      <w:pPr>
        <w:pStyle w:val="231"/>
        <w:rPr>
          <w:rFonts w:hint="eastAsia"/>
          <w:color w:val="auto"/>
        </w:rPr>
      </w:pPr>
      <w:bookmarkStart w:id="665" w:name="_Toc179632759"/>
      <w:bookmarkStart w:id="666" w:name="_Toc152042520"/>
      <w:bookmarkStart w:id="667" w:name="_Toc144974712"/>
      <w:bookmarkStart w:id="668" w:name="_Toc152045741"/>
      <w:r>
        <w:rPr>
          <w:rFonts w:hint="eastAsia"/>
          <w:color w:val="auto"/>
        </w:rPr>
        <w:t>19.7 保修责任</w:t>
      </w:r>
      <w:bookmarkEnd w:id="665"/>
      <w:bookmarkEnd w:id="666"/>
      <w:bookmarkEnd w:id="667"/>
      <w:bookmarkEnd w:id="668"/>
    </w:p>
    <w:p w14:paraId="2B6D9584">
      <w:pPr>
        <w:spacing w:line="400" w:lineRule="exact"/>
        <w:ind w:firstLine="420" w:firstLineChars="200"/>
        <w:rPr>
          <w:rFonts w:hint="eastAsia"/>
          <w:color w:val="auto"/>
        </w:rPr>
      </w:pPr>
      <w:r>
        <w:rPr>
          <w:rFonts w:hint="eastAsia"/>
          <w:color w:va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6FD19F2A">
      <w:pPr>
        <w:pStyle w:val="224"/>
        <w:rPr>
          <w:rFonts w:hint="eastAsia"/>
          <w:color w:val="auto"/>
        </w:rPr>
      </w:pPr>
      <w:bookmarkStart w:id="669" w:name="_Toc152042521"/>
      <w:bookmarkStart w:id="670" w:name="_Toc179632760"/>
      <w:bookmarkStart w:id="671" w:name="_Toc144974713"/>
      <w:bookmarkStart w:id="672" w:name="_Toc152045742"/>
      <w:r>
        <w:rPr>
          <w:rFonts w:hint="eastAsia"/>
          <w:color w:val="auto"/>
        </w:rPr>
        <w:t>20. 保险</w:t>
      </w:r>
      <w:bookmarkEnd w:id="669"/>
      <w:bookmarkEnd w:id="670"/>
      <w:bookmarkEnd w:id="671"/>
      <w:bookmarkEnd w:id="672"/>
    </w:p>
    <w:p w14:paraId="1C22F26B">
      <w:pPr>
        <w:pStyle w:val="231"/>
        <w:rPr>
          <w:rFonts w:hint="eastAsia"/>
          <w:color w:val="auto"/>
        </w:rPr>
      </w:pPr>
      <w:bookmarkStart w:id="673" w:name="_Toc152045743"/>
      <w:bookmarkStart w:id="674" w:name="_Toc144974714"/>
      <w:bookmarkStart w:id="675" w:name="_Toc179632761"/>
      <w:bookmarkStart w:id="676" w:name="_Toc152042522"/>
      <w:r>
        <w:rPr>
          <w:rFonts w:hint="eastAsia"/>
          <w:color w:val="auto"/>
        </w:rPr>
        <w:t>20.1 工程保险</w:t>
      </w:r>
      <w:bookmarkEnd w:id="673"/>
      <w:bookmarkEnd w:id="674"/>
      <w:bookmarkEnd w:id="675"/>
      <w:bookmarkEnd w:id="676"/>
    </w:p>
    <w:p w14:paraId="7A8D22EB">
      <w:pPr>
        <w:spacing w:line="380" w:lineRule="exact"/>
        <w:ind w:firstLine="420" w:firstLineChars="200"/>
        <w:rPr>
          <w:rFonts w:hint="eastAsia"/>
          <w:color w:val="auto"/>
        </w:rPr>
      </w:pPr>
      <w:r>
        <w:rPr>
          <w:rFonts w:hint="eastAsia"/>
          <w:color w:va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6F9B0C26">
      <w:pPr>
        <w:pStyle w:val="231"/>
        <w:rPr>
          <w:rFonts w:hint="eastAsia"/>
          <w:color w:val="auto"/>
        </w:rPr>
      </w:pPr>
      <w:bookmarkStart w:id="677" w:name="_Toc152042523"/>
      <w:bookmarkStart w:id="678" w:name="_Toc152045744"/>
      <w:bookmarkStart w:id="679" w:name="_Toc144974715"/>
      <w:bookmarkStart w:id="680" w:name="_Toc179632762"/>
      <w:r>
        <w:rPr>
          <w:rFonts w:hint="eastAsia"/>
          <w:color w:val="auto"/>
        </w:rPr>
        <w:t>20.2 人员工伤事故的保险</w:t>
      </w:r>
      <w:bookmarkEnd w:id="677"/>
      <w:bookmarkEnd w:id="678"/>
      <w:bookmarkEnd w:id="679"/>
      <w:bookmarkEnd w:id="680"/>
    </w:p>
    <w:p w14:paraId="61CF3930">
      <w:pPr>
        <w:spacing w:line="380" w:lineRule="exact"/>
        <w:ind w:firstLine="420" w:firstLineChars="200"/>
        <w:rPr>
          <w:rFonts w:hint="eastAsia" w:ascii="黑体" w:eastAsia="黑体"/>
          <w:color w:val="auto"/>
        </w:rPr>
      </w:pPr>
      <w:r>
        <w:rPr>
          <w:rFonts w:hint="eastAsia"/>
          <w:color w:val="auto"/>
        </w:rPr>
        <w:t xml:space="preserve">20.2.1 </w:t>
      </w:r>
      <w:r>
        <w:rPr>
          <w:rFonts w:hint="eastAsia" w:ascii="黑体" w:eastAsia="黑体"/>
          <w:color w:val="auto"/>
        </w:rPr>
        <w:t>承包人员工伤事故的保险</w:t>
      </w:r>
    </w:p>
    <w:p w14:paraId="07443840">
      <w:pPr>
        <w:spacing w:line="380" w:lineRule="exact"/>
        <w:ind w:firstLine="420" w:firstLineChars="200"/>
        <w:rPr>
          <w:rFonts w:hint="eastAsia"/>
          <w:color w:val="auto"/>
        </w:rPr>
      </w:pPr>
      <w:r>
        <w:rPr>
          <w:rFonts w:hint="eastAsia"/>
          <w:color w:val="auto"/>
        </w:rPr>
        <w:t>承包人应</w:t>
      </w:r>
      <w:r>
        <w:rPr>
          <w:color w:val="auto"/>
        </w:rPr>
        <w:t>依照</w:t>
      </w:r>
      <w:r>
        <w:rPr>
          <w:rFonts w:hint="eastAsia"/>
          <w:color w:val="auto"/>
        </w:rPr>
        <w:t>有关法律</w:t>
      </w:r>
      <w:r>
        <w:rPr>
          <w:color w:val="auto"/>
        </w:rPr>
        <w:t>规定参加工伤保险，</w:t>
      </w:r>
      <w:r>
        <w:rPr>
          <w:rFonts w:hint="eastAsia"/>
          <w:color w:val="auto"/>
        </w:rPr>
        <w:t>为其履行合同所雇佣的全部人员，</w:t>
      </w:r>
      <w:r>
        <w:rPr>
          <w:color w:val="auto"/>
        </w:rPr>
        <w:t>缴纳工伤保险费</w:t>
      </w:r>
      <w:r>
        <w:rPr>
          <w:rFonts w:hint="eastAsia"/>
          <w:color w:val="auto"/>
        </w:rPr>
        <w:t>，并要求其分包人也进行此项保险。</w:t>
      </w:r>
    </w:p>
    <w:p w14:paraId="07DCCE1A">
      <w:pPr>
        <w:spacing w:line="380" w:lineRule="exact"/>
        <w:ind w:firstLine="420" w:firstLineChars="200"/>
        <w:rPr>
          <w:rFonts w:hint="eastAsia" w:ascii="黑体" w:eastAsia="黑体"/>
          <w:color w:val="auto"/>
        </w:rPr>
      </w:pPr>
      <w:r>
        <w:rPr>
          <w:rFonts w:hint="eastAsia"/>
          <w:color w:val="auto"/>
        </w:rPr>
        <w:t>20.2.2</w:t>
      </w:r>
      <w:r>
        <w:rPr>
          <w:rFonts w:hint="eastAsia" w:ascii="黑体" w:eastAsia="黑体"/>
          <w:color w:val="auto"/>
        </w:rPr>
        <w:t xml:space="preserve"> 发包人员工伤事故的保险</w:t>
      </w:r>
    </w:p>
    <w:p w14:paraId="12498076">
      <w:pPr>
        <w:spacing w:line="380" w:lineRule="exact"/>
        <w:ind w:firstLine="420" w:firstLineChars="200"/>
        <w:rPr>
          <w:rFonts w:hint="eastAsia"/>
          <w:color w:val="auto"/>
        </w:rPr>
      </w:pPr>
      <w:r>
        <w:rPr>
          <w:rFonts w:hint="eastAsia"/>
          <w:color w:val="auto"/>
        </w:rPr>
        <w:t>发包人应</w:t>
      </w:r>
      <w:r>
        <w:rPr>
          <w:color w:val="auto"/>
        </w:rPr>
        <w:t>依照</w:t>
      </w:r>
      <w:r>
        <w:rPr>
          <w:rFonts w:hint="eastAsia"/>
          <w:color w:val="auto"/>
        </w:rPr>
        <w:t>有关法律</w:t>
      </w:r>
      <w:r>
        <w:rPr>
          <w:color w:val="auto"/>
        </w:rPr>
        <w:t>规定参加工伤保险，</w:t>
      </w:r>
      <w:r>
        <w:rPr>
          <w:rFonts w:hint="eastAsia"/>
          <w:color w:val="auto"/>
        </w:rPr>
        <w:t>为其现场机构雇佣的全部人员，</w:t>
      </w:r>
      <w:r>
        <w:rPr>
          <w:color w:val="auto"/>
        </w:rPr>
        <w:t>缴纳工伤保险费</w:t>
      </w:r>
      <w:r>
        <w:rPr>
          <w:rFonts w:hint="eastAsia"/>
          <w:color w:val="auto"/>
        </w:rPr>
        <w:t>，并要求其监理人也进行此项保险。</w:t>
      </w:r>
    </w:p>
    <w:p w14:paraId="1E178E95">
      <w:pPr>
        <w:pStyle w:val="231"/>
        <w:rPr>
          <w:rFonts w:hint="eastAsia"/>
          <w:color w:val="auto"/>
        </w:rPr>
      </w:pPr>
      <w:bookmarkStart w:id="681" w:name="_Toc144974716"/>
      <w:bookmarkStart w:id="682" w:name="_Toc152045745"/>
      <w:bookmarkStart w:id="683" w:name="_Toc179632763"/>
      <w:bookmarkStart w:id="684" w:name="_Toc152042524"/>
      <w:r>
        <w:rPr>
          <w:rFonts w:hint="eastAsia"/>
          <w:color w:val="auto"/>
        </w:rPr>
        <w:t>20.3 人身意外伤害险</w:t>
      </w:r>
      <w:bookmarkEnd w:id="681"/>
      <w:bookmarkEnd w:id="682"/>
      <w:bookmarkEnd w:id="683"/>
      <w:bookmarkEnd w:id="684"/>
    </w:p>
    <w:p w14:paraId="6D1257C9">
      <w:pPr>
        <w:spacing w:line="380" w:lineRule="exact"/>
        <w:ind w:firstLine="420" w:firstLineChars="200"/>
        <w:rPr>
          <w:rFonts w:hint="eastAsia"/>
          <w:color w:val="auto"/>
        </w:rPr>
      </w:pPr>
      <w:r>
        <w:rPr>
          <w:rFonts w:hint="eastAsia"/>
          <w:color w:val="auto"/>
        </w:rPr>
        <w:t>20.3.1 发包人应在整个施工期间为其现场机构雇用的全部人员，投保人身意外伤害险，缴纳保险费，并要求其监理人也进行此项保险。</w:t>
      </w:r>
    </w:p>
    <w:p w14:paraId="4036697C">
      <w:pPr>
        <w:spacing w:line="380" w:lineRule="exact"/>
        <w:ind w:firstLine="420" w:firstLineChars="200"/>
        <w:rPr>
          <w:rFonts w:hint="eastAsia"/>
          <w:color w:val="auto"/>
        </w:rPr>
      </w:pPr>
      <w:r>
        <w:rPr>
          <w:rFonts w:hint="eastAsia"/>
          <w:color w:val="auto"/>
        </w:rPr>
        <w:t>20.3.2 承包人应在整个施工期间为其现场机构雇用的全部人员，投保人身意外伤害险，缴纳保险费，并要求其分包人也进行此项保险。</w:t>
      </w:r>
    </w:p>
    <w:p w14:paraId="4E3DD682">
      <w:pPr>
        <w:pStyle w:val="231"/>
        <w:rPr>
          <w:rFonts w:hint="eastAsia"/>
          <w:color w:val="auto"/>
        </w:rPr>
      </w:pPr>
      <w:bookmarkStart w:id="685" w:name="_Toc179632764"/>
      <w:bookmarkStart w:id="686" w:name="_Toc152042525"/>
      <w:bookmarkStart w:id="687" w:name="_Toc144974717"/>
      <w:bookmarkStart w:id="688" w:name="_Toc152045746"/>
      <w:r>
        <w:rPr>
          <w:rFonts w:hint="eastAsia"/>
          <w:color w:val="auto"/>
        </w:rPr>
        <w:t>20.4 第三者责任险</w:t>
      </w:r>
      <w:bookmarkEnd w:id="685"/>
      <w:bookmarkEnd w:id="686"/>
      <w:bookmarkEnd w:id="687"/>
      <w:bookmarkEnd w:id="688"/>
    </w:p>
    <w:p w14:paraId="0E11CA5A">
      <w:pPr>
        <w:spacing w:line="380" w:lineRule="exact"/>
        <w:ind w:firstLine="420" w:firstLineChars="200"/>
        <w:rPr>
          <w:rFonts w:hint="eastAsia"/>
          <w:color w:val="auto"/>
        </w:rPr>
      </w:pPr>
      <w:r>
        <w:rPr>
          <w:rFonts w:hint="eastAsia"/>
          <w:color w:va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2A37443F">
      <w:pPr>
        <w:spacing w:line="380" w:lineRule="exact"/>
        <w:ind w:firstLine="420" w:firstLineChars="200"/>
        <w:rPr>
          <w:rFonts w:hint="eastAsia"/>
          <w:color w:val="auto"/>
        </w:rPr>
      </w:pPr>
      <w:r>
        <w:rPr>
          <w:rFonts w:hint="eastAsia"/>
          <w:color w:val="auto"/>
        </w:rPr>
        <w:t>20.4.2 在缺陷责任期终止证书颁发前，承包人应以承包人和发包人的共同名义，投保第20.4.1项约定的第三者责任险，其保险费率、保险金额等有关内容在专用合同条款中约定。</w:t>
      </w:r>
    </w:p>
    <w:p w14:paraId="4AA54798">
      <w:pPr>
        <w:pStyle w:val="231"/>
        <w:rPr>
          <w:rFonts w:hint="eastAsia"/>
          <w:color w:val="auto"/>
        </w:rPr>
      </w:pPr>
      <w:bookmarkStart w:id="689" w:name="_Toc152042526"/>
      <w:bookmarkStart w:id="690" w:name="_Toc179632765"/>
      <w:bookmarkStart w:id="691" w:name="_Toc152045747"/>
      <w:bookmarkStart w:id="692" w:name="_Toc144974718"/>
      <w:r>
        <w:rPr>
          <w:rFonts w:hint="eastAsia"/>
          <w:color w:val="auto"/>
        </w:rPr>
        <w:t>20.5 其他保险</w:t>
      </w:r>
      <w:bookmarkEnd w:id="689"/>
      <w:bookmarkEnd w:id="690"/>
      <w:bookmarkEnd w:id="691"/>
      <w:bookmarkEnd w:id="692"/>
    </w:p>
    <w:p w14:paraId="78E33783">
      <w:pPr>
        <w:spacing w:line="380" w:lineRule="exact"/>
        <w:ind w:firstLine="420" w:firstLineChars="200"/>
        <w:rPr>
          <w:rFonts w:hint="eastAsia"/>
          <w:color w:val="auto"/>
        </w:rPr>
      </w:pPr>
      <w:r>
        <w:rPr>
          <w:rFonts w:hint="eastAsia"/>
          <w:color w:val="auto"/>
        </w:rPr>
        <w:t>除专用合同条款另有约定外，承包人应为其施工设备、进场的材料和工程设备等办理保险。</w:t>
      </w:r>
    </w:p>
    <w:p w14:paraId="13795D07">
      <w:pPr>
        <w:pStyle w:val="231"/>
        <w:rPr>
          <w:rFonts w:hint="eastAsia"/>
          <w:color w:val="auto"/>
        </w:rPr>
      </w:pPr>
      <w:bookmarkStart w:id="693" w:name="_Toc152042527"/>
      <w:bookmarkStart w:id="694" w:name="_Toc144974719"/>
      <w:bookmarkStart w:id="695" w:name="_Toc152045748"/>
      <w:bookmarkStart w:id="696" w:name="_Toc179632766"/>
      <w:r>
        <w:rPr>
          <w:rFonts w:hint="eastAsia"/>
          <w:color w:val="auto"/>
        </w:rPr>
        <w:t>20.6 对各项保险的一般要求</w:t>
      </w:r>
      <w:bookmarkEnd w:id="693"/>
      <w:bookmarkEnd w:id="694"/>
      <w:bookmarkEnd w:id="695"/>
      <w:bookmarkEnd w:id="696"/>
    </w:p>
    <w:p w14:paraId="38EEA502">
      <w:pPr>
        <w:spacing w:line="380" w:lineRule="exact"/>
        <w:ind w:firstLine="420" w:firstLineChars="200"/>
        <w:rPr>
          <w:rFonts w:hint="eastAsia"/>
          <w:color w:val="auto"/>
        </w:rPr>
      </w:pPr>
      <w:r>
        <w:rPr>
          <w:rFonts w:hint="eastAsia"/>
          <w:color w:val="auto"/>
        </w:rPr>
        <w:t xml:space="preserve">20.6.1 </w:t>
      </w:r>
      <w:r>
        <w:rPr>
          <w:rFonts w:hint="eastAsia" w:ascii="黑体" w:eastAsia="黑体"/>
          <w:color w:val="auto"/>
        </w:rPr>
        <w:t>保险凭证</w:t>
      </w:r>
    </w:p>
    <w:p w14:paraId="05BF1ED8">
      <w:pPr>
        <w:spacing w:line="380" w:lineRule="exact"/>
        <w:ind w:firstLine="420" w:firstLineChars="200"/>
        <w:rPr>
          <w:rFonts w:hint="eastAsia"/>
          <w:color w:val="auto"/>
        </w:rPr>
      </w:pPr>
      <w:r>
        <w:rPr>
          <w:rFonts w:hint="eastAsia"/>
          <w:color w:val="auto"/>
        </w:rPr>
        <w:t>承包人应在专用合同条款约定的期限内向发包人提交各项保险生效的证据和保险单副本，保险单必须与专用合同条款约定的条件保持一致。</w:t>
      </w:r>
    </w:p>
    <w:p w14:paraId="67FDBDC6">
      <w:pPr>
        <w:spacing w:line="380" w:lineRule="exact"/>
        <w:ind w:firstLine="420" w:firstLineChars="200"/>
        <w:rPr>
          <w:rFonts w:hint="eastAsia"/>
          <w:color w:val="auto"/>
        </w:rPr>
      </w:pPr>
      <w:r>
        <w:rPr>
          <w:rFonts w:hint="eastAsia"/>
          <w:color w:val="auto"/>
        </w:rPr>
        <w:t xml:space="preserve">20.6.2 </w:t>
      </w:r>
      <w:r>
        <w:rPr>
          <w:rFonts w:hint="eastAsia" w:ascii="黑体" w:eastAsia="黑体"/>
          <w:color w:val="auto"/>
        </w:rPr>
        <w:t>保险合同条款的变动</w:t>
      </w:r>
    </w:p>
    <w:p w14:paraId="2E80391C">
      <w:pPr>
        <w:spacing w:line="380" w:lineRule="exact"/>
        <w:ind w:firstLine="420" w:firstLineChars="200"/>
        <w:rPr>
          <w:rFonts w:hint="eastAsia"/>
          <w:color w:val="auto"/>
        </w:rPr>
      </w:pPr>
      <w:r>
        <w:rPr>
          <w:rFonts w:hint="eastAsia"/>
          <w:color w:val="auto"/>
        </w:rPr>
        <w:t>承包人需要变动保险合同条款时，应事先征得发包人同意，并通知监理人。保险人作出变动的，承包人应在收到保险人通知后立即通知发包人和监理人。</w:t>
      </w:r>
    </w:p>
    <w:p w14:paraId="0BA3AF32">
      <w:pPr>
        <w:spacing w:line="380" w:lineRule="exact"/>
        <w:ind w:firstLine="420" w:firstLineChars="200"/>
        <w:rPr>
          <w:rFonts w:hint="eastAsia"/>
          <w:color w:val="auto"/>
        </w:rPr>
      </w:pPr>
      <w:r>
        <w:rPr>
          <w:rFonts w:hint="eastAsia"/>
          <w:color w:val="auto"/>
        </w:rPr>
        <w:t xml:space="preserve">20.6.3 </w:t>
      </w:r>
      <w:r>
        <w:rPr>
          <w:rFonts w:hint="eastAsia" w:ascii="黑体" w:eastAsia="黑体"/>
          <w:color w:val="auto"/>
        </w:rPr>
        <w:t>持续保险</w:t>
      </w:r>
    </w:p>
    <w:p w14:paraId="41B285AA">
      <w:pPr>
        <w:spacing w:line="380" w:lineRule="exact"/>
        <w:ind w:firstLine="420" w:firstLineChars="200"/>
        <w:rPr>
          <w:rFonts w:hint="eastAsia"/>
          <w:color w:val="auto"/>
        </w:rPr>
      </w:pPr>
      <w:r>
        <w:rPr>
          <w:rFonts w:hint="eastAsia"/>
          <w:color w:val="auto"/>
        </w:rPr>
        <w:t>承包人应与保险人保持联系，使保险人能够随时了解工程实施中的变动，并确保按保险合同条款要求持续保险。</w:t>
      </w:r>
    </w:p>
    <w:p w14:paraId="1D1550E5">
      <w:pPr>
        <w:spacing w:line="380" w:lineRule="exact"/>
        <w:ind w:firstLine="420" w:firstLineChars="200"/>
        <w:rPr>
          <w:rFonts w:hint="eastAsia" w:ascii="黑体" w:eastAsia="黑体"/>
          <w:color w:val="auto"/>
        </w:rPr>
      </w:pPr>
      <w:r>
        <w:rPr>
          <w:rFonts w:hint="eastAsia"/>
          <w:color w:val="auto"/>
        </w:rPr>
        <w:t xml:space="preserve">20.6.4 </w:t>
      </w:r>
      <w:r>
        <w:rPr>
          <w:rFonts w:hint="eastAsia" w:ascii="黑体" w:eastAsia="黑体"/>
          <w:color w:val="auto"/>
        </w:rPr>
        <w:t>保险金不足的补偿</w:t>
      </w:r>
    </w:p>
    <w:p w14:paraId="322041FF">
      <w:pPr>
        <w:spacing w:line="380" w:lineRule="exact"/>
        <w:ind w:firstLine="420" w:firstLineChars="200"/>
        <w:rPr>
          <w:rFonts w:hint="eastAsia"/>
          <w:color w:val="auto"/>
        </w:rPr>
      </w:pPr>
      <w:r>
        <w:rPr>
          <w:rFonts w:hint="eastAsia"/>
          <w:color w:val="auto"/>
        </w:rPr>
        <w:t>保险金不足以补偿损失的，应由承包人和（或）发包人按合同约定负责补偿。</w:t>
      </w:r>
    </w:p>
    <w:p w14:paraId="29334B44">
      <w:pPr>
        <w:spacing w:line="380" w:lineRule="exact"/>
        <w:ind w:firstLine="420" w:firstLineChars="200"/>
        <w:rPr>
          <w:rFonts w:hint="eastAsia" w:ascii="黑体" w:eastAsia="黑体"/>
          <w:color w:val="auto"/>
        </w:rPr>
      </w:pPr>
      <w:r>
        <w:rPr>
          <w:rFonts w:hint="eastAsia"/>
          <w:color w:val="auto"/>
        </w:rPr>
        <w:t xml:space="preserve">20.6.5 </w:t>
      </w:r>
      <w:r>
        <w:rPr>
          <w:rFonts w:hint="eastAsia" w:ascii="黑体" w:eastAsia="黑体"/>
          <w:color w:val="auto"/>
        </w:rPr>
        <w:t>未按约定投保的补救</w:t>
      </w:r>
    </w:p>
    <w:p w14:paraId="156E4507">
      <w:pPr>
        <w:spacing w:line="380" w:lineRule="exact"/>
        <w:ind w:firstLine="420" w:firstLineChars="200"/>
        <w:rPr>
          <w:rFonts w:hint="eastAsia" w:ascii="黑体" w:eastAsia="黑体"/>
          <w:color w:val="auto"/>
        </w:rPr>
      </w:pPr>
      <w:r>
        <w:rPr>
          <w:rFonts w:hint="eastAsia"/>
          <w:color w:val="auto"/>
        </w:rPr>
        <w:t>（1）由于负有投保义务的一方当事人未按合同约定办理保险，或未能使保险持续有效的，另一方当事人可代为办理，所需费用由对方当事人承担。</w:t>
      </w:r>
    </w:p>
    <w:p w14:paraId="43F55E4C">
      <w:pPr>
        <w:spacing w:line="380" w:lineRule="exact"/>
        <w:ind w:firstLine="420" w:firstLineChars="200"/>
        <w:rPr>
          <w:rFonts w:hint="eastAsia"/>
          <w:color w:val="auto"/>
        </w:rPr>
      </w:pPr>
      <w:r>
        <w:rPr>
          <w:rFonts w:hint="eastAsia"/>
          <w:color w:val="auto"/>
        </w:rPr>
        <w:t>（2）由于负有投保义务的一方当事人未按合同约定办理某项保险，导致受益人未能得到保险人的赔偿，原应从该项保险得到的保险金应由负有投保义务的一方当事人支付。</w:t>
      </w:r>
    </w:p>
    <w:p w14:paraId="2FBCC7B3">
      <w:pPr>
        <w:spacing w:line="380" w:lineRule="exact"/>
        <w:ind w:firstLine="420" w:firstLineChars="200"/>
        <w:rPr>
          <w:rFonts w:hint="eastAsia" w:ascii="黑体" w:eastAsia="黑体"/>
          <w:color w:val="auto"/>
        </w:rPr>
      </w:pPr>
      <w:r>
        <w:rPr>
          <w:rFonts w:hint="eastAsia"/>
          <w:color w:val="auto"/>
        </w:rPr>
        <w:t xml:space="preserve">20.6.6 </w:t>
      </w:r>
      <w:r>
        <w:rPr>
          <w:rFonts w:hint="eastAsia" w:ascii="黑体" w:eastAsia="黑体"/>
          <w:color w:val="auto"/>
        </w:rPr>
        <w:t>报告义务</w:t>
      </w:r>
    </w:p>
    <w:p w14:paraId="74E67D26">
      <w:pPr>
        <w:spacing w:line="400" w:lineRule="exact"/>
        <w:ind w:firstLine="420" w:firstLineChars="200"/>
        <w:rPr>
          <w:rFonts w:hint="eastAsia"/>
          <w:color w:val="auto"/>
        </w:rPr>
      </w:pPr>
      <w:r>
        <w:rPr>
          <w:rFonts w:hint="eastAsia"/>
          <w:color w:val="auto"/>
        </w:rPr>
        <w:t>当保险事故发生时，投保人应按照保险单规定的条件和期限及时向保险人报告。</w:t>
      </w:r>
    </w:p>
    <w:p w14:paraId="7B1EED0F">
      <w:pPr>
        <w:pStyle w:val="224"/>
        <w:rPr>
          <w:rFonts w:hint="eastAsia"/>
          <w:color w:val="auto"/>
        </w:rPr>
      </w:pPr>
      <w:bookmarkStart w:id="697" w:name="_Toc144974720"/>
      <w:bookmarkStart w:id="698" w:name="_Toc152042528"/>
      <w:bookmarkStart w:id="699" w:name="_Toc179632767"/>
      <w:bookmarkStart w:id="700" w:name="_Toc152045749"/>
      <w:r>
        <w:rPr>
          <w:rFonts w:hint="eastAsia"/>
          <w:color w:val="auto"/>
        </w:rPr>
        <w:t>21. 不可抗力</w:t>
      </w:r>
      <w:bookmarkEnd w:id="697"/>
      <w:bookmarkEnd w:id="698"/>
      <w:bookmarkEnd w:id="699"/>
      <w:bookmarkEnd w:id="700"/>
    </w:p>
    <w:p w14:paraId="6476896D">
      <w:pPr>
        <w:pStyle w:val="231"/>
        <w:rPr>
          <w:rFonts w:hint="eastAsia"/>
          <w:color w:val="auto"/>
        </w:rPr>
      </w:pPr>
      <w:bookmarkStart w:id="701" w:name="_Toc152042529"/>
      <w:bookmarkStart w:id="702" w:name="_Toc179632768"/>
      <w:bookmarkStart w:id="703" w:name="_Toc144974721"/>
      <w:bookmarkStart w:id="704" w:name="_Toc152045750"/>
      <w:r>
        <w:rPr>
          <w:rFonts w:hint="eastAsia"/>
          <w:color w:val="auto"/>
        </w:rPr>
        <w:t>21.1 不可抗力的确认</w:t>
      </w:r>
      <w:bookmarkEnd w:id="701"/>
      <w:bookmarkEnd w:id="702"/>
      <w:bookmarkEnd w:id="703"/>
      <w:bookmarkEnd w:id="704"/>
    </w:p>
    <w:p w14:paraId="208F8736">
      <w:pPr>
        <w:spacing w:line="400" w:lineRule="exact"/>
        <w:ind w:firstLine="420" w:firstLineChars="200"/>
        <w:rPr>
          <w:rFonts w:hint="eastAsia"/>
          <w:color w:val="auto"/>
        </w:rPr>
      </w:pPr>
      <w:r>
        <w:rPr>
          <w:rFonts w:hint="eastAsia"/>
          <w:color w:va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3EB65C7A">
      <w:pPr>
        <w:spacing w:line="400" w:lineRule="exact"/>
        <w:ind w:firstLine="420" w:firstLineChars="200"/>
        <w:rPr>
          <w:rFonts w:hint="eastAsia"/>
          <w:color w:val="auto"/>
        </w:rPr>
      </w:pPr>
      <w:r>
        <w:rPr>
          <w:rFonts w:hint="eastAsia"/>
          <w:color w:val="auto"/>
        </w:rPr>
        <w:t>21.1.2 不可抗力发生后，发包人和承包人应及时认真统计所造成的损失，收集不可抗力造成损失的证据。合同双方对是否属于不可抗力</w:t>
      </w:r>
      <w:r>
        <w:rPr>
          <w:rFonts w:hint="eastAsia"/>
          <w:color w:val="auto"/>
          <w:lang w:eastAsia="zh-CN"/>
        </w:rPr>
        <w:t>或</w:t>
      </w:r>
      <w:r>
        <w:rPr>
          <w:rFonts w:hint="eastAsia"/>
          <w:color w:val="auto"/>
        </w:rPr>
        <w:t>损失的意见不一致的，由监理人按第3.5款商定或确定。发生争议时，按第24条的约定办理。</w:t>
      </w:r>
    </w:p>
    <w:p w14:paraId="08718548">
      <w:pPr>
        <w:pStyle w:val="231"/>
        <w:rPr>
          <w:rFonts w:hint="eastAsia"/>
          <w:color w:val="auto"/>
        </w:rPr>
      </w:pPr>
      <w:bookmarkStart w:id="705" w:name="_Toc152042530"/>
      <w:bookmarkStart w:id="706" w:name="_Toc179632769"/>
      <w:bookmarkStart w:id="707" w:name="_Toc152045751"/>
      <w:bookmarkStart w:id="708" w:name="_Toc144974722"/>
      <w:r>
        <w:rPr>
          <w:rFonts w:hint="eastAsia"/>
          <w:color w:val="auto"/>
        </w:rPr>
        <w:t>21.2 不可抗力的通知</w:t>
      </w:r>
      <w:bookmarkEnd w:id="705"/>
      <w:bookmarkEnd w:id="706"/>
      <w:bookmarkEnd w:id="707"/>
      <w:bookmarkEnd w:id="708"/>
    </w:p>
    <w:p w14:paraId="4B21189D">
      <w:pPr>
        <w:spacing w:line="400" w:lineRule="exact"/>
        <w:ind w:firstLine="420" w:firstLineChars="200"/>
        <w:rPr>
          <w:rFonts w:hint="eastAsia"/>
          <w:color w:val="auto"/>
        </w:rPr>
      </w:pPr>
      <w:r>
        <w:rPr>
          <w:rFonts w:hint="eastAsia"/>
          <w:color w:val="auto"/>
        </w:rPr>
        <w:t>21.2.1 合同一方当事人遇到不可抗力事件，使其履行合同义务受到阻碍时，应立即通知合同另一方当事人和监理人，书面说明不可抗力和受阻碍的详细情况，并提供必要的证明。</w:t>
      </w:r>
    </w:p>
    <w:p w14:paraId="60EBDD61">
      <w:pPr>
        <w:spacing w:line="400" w:lineRule="exact"/>
        <w:ind w:firstLine="420" w:firstLineChars="200"/>
        <w:rPr>
          <w:rFonts w:hint="eastAsia"/>
          <w:color w:val="auto"/>
        </w:rPr>
      </w:pPr>
      <w:r>
        <w:rPr>
          <w:rFonts w:hint="eastAsia"/>
          <w:color w:val="auto"/>
        </w:rPr>
        <w:t>21.2.2 如不可抗力持续发生，合同一方当事人应及时向合同另一方当事人和监理人提交中间报告，说明不可抗力和履行合同受阻的情况，并于不可抗力事件结束后28天内提交最终报告及有关资料。</w:t>
      </w:r>
    </w:p>
    <w:p w14:paraId="526F3B47">
      <w:pPr>
        <w:pStyle w:val="231"/>
        <w:rPr>
          <w:rFonts w:hint="eastAsia"/>
          <w:color w:val="auto"/>
        </w:rPr>
      </w:pPr>
      <w:bookmarkStart w:id="709" w:name="_Toc179632770"/>
      <w:bookmarkStart w:id="710" w:name="_Toc152042531"/>
      <w:bookmarkStart w:id="711" w:name="_Toc152045752"/>
      <w:bookmarkStart w:id="712" w:name="_Toc144974723"/>
      <w:r>
        <w:rPr>
          <w:rFonts w:hint="eastAsia"/>
          <w:color w:val="auto"/>
        </w:rPr>
        <w:t>21.3 不可抗力后果及其处理</w:t>
      </w:r>
      <w:bookmarkEnd w:id="709"/>
      <w:bookmarkEnd w:id="710"/>
      <w:bookmarkEnd w:id="711"/>
      <w:bookmarkEnd w:id="712"/>
    </w:p>
    <w:p w14:paraId="56B87A9E">
      <w:pPr>
        <w:spacing w:line="380" w:lineRule="exact"/>
        <w:ind w:firstLine="420" w:firstLineChars="200"/>
        <w:rPr>
          <w:rFonts w:hint="eastAsia"/>
          <w:color w:val="auto"/>
        </w:rPr>
      </w:pPr>
      <w:r>
        <w:rPr>
          <w:rFonts w:hint="eastAsia"/>
          <w:color w:val="auto"/>
        </w:rPr>
        <w:t xml:space="preserve">21.3.1 </w:t>
      </w:r>
      <w:r>
        <w:rPr>
          <w:rFonts w:hint="eastAsia" w:ascii="黑体" w:eastAsia="黑体"/>
          <w:color w:val="auto"/>
        </w:rPr>
        <w:t>不可抗力造成损害的责任</w:t>
      </w:r>
    </w:p>
    <w:p w14:paraId="04474143">
      <w:pPr>
        <w:spacing w:line="400" w:lineRule="exact"/>
        <w:ind w:firstLine="420" w:firstLineChars="200"/>
        <w:rPr>
          <w:rFonts w:hint="eastAsia"/>
          <w:color w:val="auto"/>
        </w:rPr>
      </w:pPr>
      <w:r>
        <w:rPr>
          <w:rFonts w:hint="eastAsia"/>
          <w:color w:val="auto"/>
        </w:rPr>
        <w:t>除专用合同条款另有约定外，不可抗力导致的人员伤亡、财产损失、费用增加和（或）工期延误等后果，由合同双方按以下原则承担：</w:t>
      </w:r>
    </w:p>
    <w:p w14:paraId="24A19B60">
      <w:pPr>
        <w:spacing w:line="400" w:lineRule="exact"/>
        <w:ind w:firstLine="718" w:firstLineChars="342"/>
        <w:rPr>
          <w:rFonts w:hint="eastAsia"/>
          <w:color w:val="auto"/>
        </w:rPr>
      </w:pPr>
      <w:r>
        <w:rPr>
          <w:rFonts w:hint="eastAsia"/>
          <w:color w:val="auto"/>
        </w:rPr>
        <w:t>（1）永久工程，包括已运至施工场地的材料和工程设备的损害，以及因工程损害造成的第三者人员伤亡和财产损失由发包人承担；</w:t>
      </w:r>
    </w:p>
    <w:p w14:paraId="6ADE32B5">
      <w:pPr>
        <w:spacing w:line="400" w:lineRule="exact"/>
        <w:ind w:firstLine="718" w:firstLineChars="342"/>
        <w:rPr>
          <w:rFonts w:hint="eastAsia"/>
          <w:color w:val="auto"/>
        </w:rPr>
      </w:pPr>
      <w:r>
        <w:rPr>
          <w:rFonts w:hint="eastAsia"/>
          <w:color w:val="auto"/>
        </w:rPr>
        <w:t>（2）承包人设备的损坏由承包人承担；</w:t>
      </w:r>
    </w:p>
    <w:p w14:paraId="041642FD">
      <w:pPr>
        <w:spacing w:line="400" w:lineRule="exact"/>
        <w:ind w:firstLine="718" w:firstLineChars="342"/>
        <w:rPr>
          <w:rFonts w:hint="eastAsia"/>
          <w:color w:val="auto"/>
        </w:rPr>
      </w:pPr>
      <w:r>
        <w:rPr>
          <w:rFonts w:hint="eastAsia"/>
          <w:color w:val="auto"/>
        </w:rPr>
        <w:t>（3）发包人和承包人各自承担其人员伤亡和其他财产损失</w:t>
      </w:r>
      <w:r>
        <w:rPr>
          <w:rFonts w:hint="eastAsia"/>
          <w:color w:val="auto"/>
          <w:lang w:eastAsia="zh-CN"/>
        </w:rPr>
        <w:t>及</w:t>
      </w:r>
      <w:r>
        <w:rPr>
          <w:rFonts w:hint="eastAsia"/>
          <w:color w:val="auto"/>
        </w:rPr>
        <w:t>相关费用；</w:t>
      </w:r>
    </w:p>
    <w:p w14:paraId="17559E5D">
      <w:pPr>
        <w:spacing w:line="400" w:lineRule="exact"/>
        <w:ind w:firstLine="718" w:firstLineChars="342"/>
        <w:rPr>
          <w:rFonts w:hint="eastAsia"/>
          <w:color w:val="auto"/>
        </w:rPr>
      </w:pPr>
      <w:r>
        <w:rPr>
          <w:rFonts w:hint="eastAsia"/>
          <w:color w:val="auto"/>
        </w:rPr>
        <w:t>（4）承包人的停工损失由承包人承担，但停工期间应监理人要求照管工程和清理、修复工程的金额由发包人承担；</w:t>
      </w:r>
    </w:p>
    <w:p w14:paraId="350487D9">
      <w:pPr>
        <w:spacing w:line="400" w:lineRule="exact"/>
        <w:ind w:firstLine="718" w:firstLineChars="342"/>
        <w:rPr>
          <w:rFonts w:hint="eastAsia"/>
          <w:color w:val="auto"/>
        </w:rPr>
      </w:pPr>
      <w:r>
        <w:rPr>
          <w:rFonts w:hint="eastAsia"/>
          <w:color w:val="auto"/>
        </w:rPr>
        <w:t>（5）不能按期竣工的，应合理延长工期，承包人不需支付逾期竣工违约金。发包人要求赶工的，承包人应采取赶工措施，赶工费用由发包人承担。</w:t>
      </w:r>
    </w:p>
    <w:p w14:paraId="2D5D971C">
      <w:pPr>
        <w:spacing w:line="400" w:lineRule="exact"/>
        <w:ind w:firstLine="420" w:firstLineChars="200"/>
        <w:rPr>
          <w:rFonts w:hint="eastAsia"/>
          <w:color w:val="auto"/>
        </w:rPr>
      </w:pPr>
      <w:r>
        <w:rPr>
          <w:rFonts w:hint="eastAsia"/>
          <w:color w:val="auto"/>
        </w:rPr>
        <w:t xml:space="preserve">21.3.2 </w:t>
      </w:r>
      <w:r>
        <w:rPr>
          <w:rFonts w:hint="eastAsia" w:ascii="黑体" w:eastAsia="黑体"/>
          <w:color w:val="auto"/>
        </w:rPr>
        <w:t>延迟履行期间发生的不可抗力</w:t>
      </w:r>
    </w:p>
    <w:p w14:paraId="47757388">
      <w:pPr>
        <w:spacing w:line="400" w:lineRule="exact"/>
        <w:ind w:firstLine="420" w:firstLineChars="200"/>
        <w:rPr>
          <w:rFonts w:hint="eastAsia"/>
          <w:color w:val="auto"/>
        </w:rPr>
      </w:pPr>
      <w:r>
        <w:rPr>
          <w:rFonts w:hint="eastAsia"/>
          <w:color w:val="auto"/>
        </w:rPr>
        <w:t>合同一方当事人延迟履行，在延迟履行期间发生不可抗力的，不免除其责任。</w:t>
      </w:r>
    </w:p>
    <w:p w14:paraId="4E9E1728">
      <w:pPr>
        <w:spacing w:line="400" w:lineRule="exact"/>
        <w:ind w:firstLine="420" w:firstLineChars="200"/>
        <w:rPr>
          <w:rFonts w:hint="eastAsia"/>
          <w:color w:val="auto"/>
        </w:rPr>
      </w:pPr>
      <w:r>
        <w:rPr>
          <w:rFonts w:hint="eastAsia"/>
          <w:color w:val="auto"/>
        </w:rPr>
        <w:t xml:space="preserve">21.3.3 </w:t>
      </w:r>
      <w:r>
        <w:rPr>
          <w:rFonts w:hint="eastAsia" w:ascii="黑体" w:eastAsia="黑体"/>
          <w:color w:val="auto"/>
        </w:rPr>
        <w:t>避免和减少不可抗力损失</w:t>
      </w:r>
    </w:p>
    <w:p w14:paraId="639D9CBA">
      <w:pPr>
        <w:spacing w:line="400" w:lineRule="exact"/>
        <w:ind w:firstLine="420" w:firstLineChars="200"/>
        <w:rPr>
          <w:rFonts w:hint="eastAsia"/>
          <w:color w:val="auto"/>
        </w:rPr>
      </w:pPr>
      <w:r>
        <w:rPr>
          <w:rFonts w:hint="eastAsia"/>
          <w:color w:val="auto"/>
        </w:rPr>
        <w:t>不可抗力发生后，发包人和承包人均应采取措施尽量避免和减少损失的扩大，任何一方没有采取有效措施导致损失扩大的，应对扩大的损失承担责任。</w:t>
      </w:r>
    </w:p>
    <w:p w14:paraId="6B79B7B0">
      <w:pPr>
        <w:spacing w:line="400" w:lineRule="exact"/>
        <w:ind w:firstLine="420" w:firstLineChars="200"/>
        <w:rPr>
          <w:rFonts w:hint="eastAsia"/>
          <w:color w:val="auto"/>
        </w:rPr>
      </w:pPr>
      <w:r>
        <w:rPr>
          <w:rFonts w:hint="eastAsia"/>
          <w:color w:val="auto"/>
        </w:rPr>
        <w:t xml:space="preserve">21.3.4 </w:t>
      </w:r>
      <w:r>
        <w:rPr>
          <w:rFonts w:hint="eastAsia" w:ascii="黑体" w:eastAsia="黑体"/>
          <w:color w:val="auto"/>
        </w:rPr>
        <w:t>因不可抗力解除合同</w:t>
      </w:r>
    </w:p>
    <w:p w14:paraId="31E9CAF4">
      <w:pPr>
        <w:spacing w:line="400" w:lineRule="exact"/>
        <w:ind w:firstLine="420" w:firstLineChars="200"/>
        <w:rPr>
          <w:rFonts w:hint="eastAsia"/>
          <w:color w:val="auto"/>
        </w:rPr>
      </w:pPr>
      <w:r>
        <w:rPr>
          <w:rFonts w:hint="eastAsia"/>
          <w:color w:va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541DFA04">
      <w:pPr>
        <w:pStyle w:val="224"/>
        <w:rPr>
          <w:rFonts w:hint="eastAsia"/>
          <w:color w:val="auto"/>
        </w:rPr>
      </w:pPr>
      <w:bookmarkStart w:id="713" w:name="_Toc144974724"/>
      <w:bookmarkStart w:id="714" w:name="_Toc152045753"/>
      <w:bookmarkStart w:id="715" w:name="_Toc152042532"/>
      <w:bookmarkStart w:id="716" w:name="_Toc179632771"/>
      <w:r>
        <w:rPr>
          <w:rFonts w:hint="eastAsia"/>
          <w:color w:val="auto"/>
        </w:rPr>
        <w:t>22. 违约</w:t>
      </w:r>
      <w:bookmarkEnd w:id="713"/>
      <w:bookmarkEnd w:id="714"/>
      <w:bookmarkEnd w:id="715"/>
      <w:bookmarkEnd w:id="716"/>
    </w:p>
    <w:p w14:paraId="623E47AB">
      <w:pPr>
        <w:pStyle w:val="231"/>
        <w:rPr>
          <w:rFonts w:hint="eastAsia"/>
          <w:color w:val="auto"/>
        </w:rPr>
      </w:pPr>
      <w:bookmarkStart w:id="717" w:name="_Toc152045754"/>
      <w:bookmarkStart w:id="718" w:name="_Toc144974725"/>
      <w:bookmarkStart w:id="719" w:name="_Toc152042533"/>
      <w:bookmarkStart w:id="720" w:name="_Toc179632772"/>
      <w:r>
        <w:rPr>
          <w:rFonts w:hint="eastAsia"/>
          <w:color w:val="auto"/>
        </w:rPr>
        <w:t>22.1 承包人违约</w:t>
      </w:r>
      <w:bookmarkEnd w:id="717"/>
      <w:bookmarkEnd w:id="718"/>
      <w:bookmarkEnd w:id="719"/>
      <w:bookmarkEnd w:id="720"/>
    </w:p>
    <w:p w14:paraId="200E5F71">
      <w:pPr>
        <w:spacing w:line="400" w:lineRule="exact"/>
        <w:ind w:firstLine="420" w:firstLineChars="200"/>
        <w:rPr>
          <w:rFonts w:hint="eastAsia"/>
          <w:color w:val="auto"/>
        </w:rPr>
      </w:pPr>
      <w:r>
        <w:rPr>
          <w:rFonts w:hint="eastAsia"/>
          <w:color w:val="auto"/>
        </w:rPr>
        <w:t>22.1.1</w:t>
      </w:r>
      <w:r>
        <w:rPr>
          <w:rFonts w:hint="eastAsia" w:ascii="黑体" w:eastAsia="黑体"/>
          <w:color w:val="auto"/>
        </w:rPr>
        <w:t xml:space="preserve"> 承包人违约的情形</w:t>
      </w:r>
    </w:p>
    <w:p w14:paraId="72F1D1C6">
      <w:pPr>
        <w:spacing w:line="400" w:lineRule="exact"/>
        <w:ind w:firstLine="420" w:firstLineChars="200"/>
        <w:rPr>
          <w:rFonts w:hint="eastAsia"/>
          <w:color w:val="auto"/>
        </w:rPr>
      </w:pPr>
      <w:r>
        <w:rPr>
          <w:rFonts w:hint="eastAsia"/>
          <w:color w:val="auto"/>
        </w:rPr>
        <w:t>在履行合同过程中发生的下列情况属承包人违约：</w:t>
      </w:r>
    </w:p>
    <w:p w14:paraId="499445A8">
      <w:pPr>
        <w:spacing w:line="400" w:lineRule="exact"/>
        <w:ind w:firstLine="718" w:firstLineChars="342"/>
        <w:rPr>
          <w:rFonts w:hint="eastAsia"/>
          <w:color w:val="auto"/>
        </w:rPr>
      </w:pPr>
      <w:r>
        <w:rPr>
          <w:rFonts w:hint="eastAsia"/>
          <w:color w:val="auto"/>
        </w:rPr>
        <w:t>（1）承包人违反第1.8款或第4.3款的约定，私自将合同的全部或部分权利转让给其他人，或私自将合同的全部或部分义务转移给其他人；</w:t>
      </w:r>
    </w:p>
    <w:p w14:paraId="1C2C9414">
      <w:pPr>
        <w:spacing w:line="400" w:lineRule="exact"/>
        <w:ind w:firstLine="718" w:firstLineChars="342"/>
        <w:rPr>
          <w:rFonts w:hint="eastAsia"/>
          <w:color w:val="auto"/>
        </w:rPr>
      </w:pPr>
      <w:r>
        <w:rPr>
          <w:rFonts w:hint="eastAsia"/>
          <w:color w:val="auto"/>
        </w:rPr>
        <w:t>（2）承包人违反第5.3款或第6.4款的约定，未经监理人批准，私自将已按合同约定进入施工场地的施工设备、临时设施或材料撤离施工场地；</w:t>
      </w:r>
    </w:p>
    <w:p w14:paraId="72DC7090">
      <w:pPr>
        <w:spacing w:line="400" w:lineRule="exact"/>
        <w:ind w:firstLine="718" w:firstLineChars="342"/>
        <w:rPr>
          <w:rFonts w:hint="eastAsia"/>
          <w:color w:val="auto"/>
        </w:rPr>
      </w:pPr>
      <w:r>
        <w:rPr>
          <w:rFonts w:hint="eastAsia"/>
          <w:color w:val="auto"/>
        </w:rPr>
        <w:t>（3）承包人违反第5.4款的约定使用了不合格材料或工程设备，工程质量达不到标准要求，又拒绝清除不合格工程；</w:t>
      </w:r>
    </w:p>
    <w:p w14:paraId="6DA9DACC">
      <w:pPr>
        <w:spacing w:line="400" w:lineRule="exact"/>
        <w:ind w:firstLine="718" w:firstLineChars="342"/>
        <w:rPr>
          <w:rFonts w:hint="eastAsia"/>
          <w:color w:val="auto"/>
        </w:rPr>
      </w:pPr>
      <w:r>
        <w:rPr>
          <w:rFonts w:hint="eastAsia"/>
          <w:color w:val="auto"/>
        </w:rPr>
        <w:t>（4）承包人未能按合同进度计划及时完成合同约定的工作，已造成或预期造成工期延误；</w:t>
      </w:r>
    </w:p>
    <w:p w14:paraId="5ADDF21C">
      <w:pPr>
        <w:spacing w:line="400" w:lineRule="exact"/>
        <w:ind w:firstLine="718" w:firstLineChars="342"/>
        <w:rPr>
          <w:rFonts w:hint="eastAsia"/>
          <w:color w:val="auto"/>
        </w:rPr>
      </w:pPr>
      <w:r>
        <w:rPr>
          <w:rFonts w:hint="eastAsia"/>
          <w:color w:val="auto"/>
        </w:rPr>
        <w:t>（5）承包人在缺陷责任期内，未能对工程接收证书所列的缺陷清单的内容或缺陷责任期内发生的缺陷进行修复，而又拒绝按监理人指示再进行修补；</w:t>
      </w:r>
    </w:p>
    <w:p w14:paraId="247EB0A3">
      <w:pPr>
        <w:spacing w:line="400" w:lineRule="exact"/>
        <w:ind w:firstLine="718" w:firstLineChars="342"/>
        <w:rPr>
          <w:rFonts w:hint="eastAsia"/>
          <w:color w:val="auto"/>
        </w:rPr>
      </w:pPr>
      <w:r>
        <w:rPr>
          <w:rFonts w:hint="eastAsia"/>
          <w:color w:val="auto"/>
        </w:rPr>
        <w:t>（6）承包人无法继续履行或明确表示不履行或实质上已停止履行合同；</w:t>
      </w:r>
    </w:p>
    <w:p w14:paraId="4C9E3FBE">
      <w:pPr>
        <w:spacing w:line="400" w:lineRule="exact"/>
        <w:ind w:firstLine="718" w:firstLineChars="342"/>
        <w:rPr>
          <w:rFonts w:hint="eastAsia"/>
          <w:color w:val="auto"/>
        </w:rPr>
      </w:pPr>
      <w:r>
        <w:rPr>
          <w:rFonts w:hint="eastAsia"/>
          <w:color w:val="auto"/>
        </w:rPr>
        <w:t>（7）承包人不按合同约定履行义务的其他情况。</w:t>
      </w:r>
    </w:p>
    <w:p w14:paraId="538086E2">
      <w:pPr>
        <w:spacing w:line="400" w:lineRule="exact"/>
        <w:ind w:firstLine="420" w:firstLineChars="200"/>
        <w:rPr>
          <w:rFonts w:hint="eastAsia" w:ascii="黑体" w:eastAsia="黑体"/>
          <w:color w:val="auto"/>
        </w:rPr>
      </w:pPr>
      <w:r>
        <w:rPr>
          <w:rFonts w:hint="eastAsia"/>
          <w:color w:val="auto"/>
        </w:rPr>
        <w:t>22.1.2</w:t>
      </w:r>
      <w:r>
        <w:rPr>
          <w:rFonts w:hint="eastAsia" w:ascii="黑体" w:eastAsia="黑体"/>
          <w:color w:val="auto"/>
        </w:rPr>
        <w:t xml:space="preserve"> 对承包人违约的处理</w:t>
      </w:r>
    </w:p>
    <w:p w14:paraId="78C7BB79">
      <w:pPr>
        <w:spacing w:line="400" w:lineRule="exact"/>
        <w:ind w:firstLine="718" w:firstLineChars="342"/>
        <w:rPr>
          <w:rFonts w:hint="eastAsia"/>
          <w:color w:val="auto"/>
        </w:rPr>
      </w:pPr>
      <w:r>
        <w:rPr>
          <w:rFonts w:hint="eastAsia"/>
          <w:color w:val="auto"/>
        </w:rPr>
        <w:t>（1）承包人发生第22.1.1（6）目约定的违约情况时，发包人可通知承包人立即解除合同，并按有关法律处理。</w:t>
      </w:r>
    </w:p>
    <w:p w14:paraId="0C2CED26">
      <w:pPr>
        <w:spacing w:line="400" w:lineRule="exact"/>
        <w:ind w:firstLine="718" w:firstLineChars="342"/>
        <w:rPr>
          <w:rFonts w:hint="eastAsia"/>
          <w:color w:val="auto"/>
        </w:rPr>
      </w:pPr>
      <w:r>
        <w:rPr>
          <w:rFonts w:hint="eastAsia"/>
          <w:color w:val="auto"/>
        </w:rPr>
        <w:t>（2）承包人发生除第22.1.1（6）目约定以外的其他违约情况时，监理人可向承包人发出整改通知，要求其在指定的期限内改正。承包人应承担其违约所引起的费用增加和（或）工期延误。</w:t>
      </w:r>
    </w:p>
    <w:p w14:paraId="1CEADB15">
      <w:pPr>
        <w:spacing w:line="400" w:lineRule="exact"/>
        <w:ind w:firstLine="718" w:firstLineChars="342"/>
        <w:rPr>
          <w:rFonts w:hint="eastAsia"/>
          <w:color w:val="auto"/>
        </w:rPr>
      </w:pPr>
      <w:r>
        <w:rPr>
          <w:rFonts w:hint="eastAsia"/>
          <w:color w:val="auto"/>
        </w:rPr>
        <w:t>（3）经检查证明承包人已采取了有效措施纠正违约行为，具备复工条件的，可由监理人签发复工通知复工。</w:t>
      </w:r>
    </w:p>
    <w:p w14:paraId="4467167F">
      <w:pPr>
        <w:spacing w:line="400" w:lineRule="exact"/>
        <w:ind w:firstLine="420" w:firstLineChars="200"/>
        <w:rPr>
          <w:rFonts w:hint="eastAsia" w:ascii="黑体" w:eastAsia="黑体"/>
          <w:color w:val="auto"/>
        </w:rPr>
      </w:pPr>
      <w:r>
        <w:rPr>
          <w:rFonts w:hint="eastAsia"/>
          <w:color w:val="auto"/>
        </w:rPr>
        <w:t>22.1.3</w:t>
      </w:r>
      <w:r>
        <w:rPr>
          <w:rFonts w:hint="eastAsia" w:ascii="黑体" w:eastAsia="黑体"/>
          <w:color w:val="auto"/>
        </w:rPr>
        <w:t xml:space="preserve"> 承包人违约解除合同</w:t>
      </w:r>
    </w:p>
    <w:p w14:paraId="39A5753E">
      <w:pPr>
        <w:spacing w:line="400" w:lineRule="exact"/>
        <w:ind w:firstLine="420" w:firstLineChars="200"/>
        <w:rPr>
          <w:rFonts w:hint="eastAsia"/>
          <w:color w:val="auto"/>
        </w:rPr>
      </w:pPr>
      <w:r>
        <w:rPr>
          <w:rFonts w:hint="eastAsia"/>
          <w:color w:va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34FCE6FD">
      <w:pPr>
        <w:spacing w:line="400" w:lineRule="exact"/>
        <w:ind w:firstLine="420" w:firstLineChars="200"/>
        <w:rPr>
          <w:rFonts w:hint="eastAsia" w:ascii="黑体" w:eastAsia="黑体"/>
          <w:color w:val="auto"/>
        </w:rPr>
      </w:pPr>
      <w:r>
        <w:rPr>
          <w:rFonts w:hint="eastAsia"/>
          <w:color w:val="auto"/>
        </w:rPr>
        <w:t>22.1.4</w:t>
      </w:r>
      <w:r>
        <w:rPr>
          <w:rFonts w:hint="eastAsia" w:ascii="黑体" w:eastAsia="黑体"/>
          <w:color w:val="auto"/>
        </w:rPr>
        <w:t xml:space="preserve"> 合同解除后的估价、付款和结清</w:t>
      </w:r>
    </w:p>
    <w:p w14:paraId="580005FE">
      <w:pPr>
        <w:spacing w:line="400" w:lineRule="exact"/>
        <w:ind w:firstLine="718" w:firstLineChars="342"/>
        <w:rPr>
          <w:rFonts w:hint="eastAsia"/>
          <w:color w:val="auto"/>
        </w:rPr>
      </w:pPr>
      <w:r>
        <w:rPr>
          <w:rFonts w:hint="eastAsia"/>
          <w:color w:val="auto"/>
        </w:rPr>
        <w:t xml:space="preserve">（1）合同解除后，监理人按第3.5款商定或确定承包人实际完成工作的价值，以及承包人已提供的材料、施工设备、工程设备和临时工程等的价值。 </w:t>
      </w:r>
    </w:p>
    <w:p w14:paraId="241E8864">
      <w:pPr>
        <w:spacing w:line="400" w:lineRule="exact"/>
        <w:ind w:firstLine="718" w:firstLineChars="342"/>
        <w:rPr>
          <w:rFonts w:hint="eastAsia"/>
          <w:color w:val="auto"/>
        </w:rPr>
      </w:pPr>
      <w:r>
        <w:rPr>
          <w:rFonts w:hint="eastAsia"/>
          <w:color w:val="auto"/>
        </w:rPr>
        <w:t xml:space="preserve">（2）合同解除后，发包人应暂停对承包人的一切付款，查清各项付款和已扣款金额，包括承包人应支付的违约金。 </w:t>
      </w:r>
    </w:p>
    <w:p w14:paraId="00C48CEE">
      <w:pPr>
        <w:spacing w:line="400" w:lineRule="exact"/>
        <w:ind w:firstLine="718" w:firstLineChars="342"/>
        <w:rPr>
          <w:rFonts w:hint="eastAsia"/>
          <w:color w:val="auto"/>
        </w:rPr>
      </w:pPr>
      <w:r>
        <w:rPr>
          <w:rFonts w:hint="eastAsia"/>
          <w:color w:val="auto"/>
        </w:rPr>
        <w:t>（3）合同解除后，发包人应按第23.4款的约定向承包人索赔由于解除合同给发包人造成的损失。</w:t>
      </w:r>
    </w:p>
    <w:p w14:paraId="2F45FB25">
      <w:pPr>
        <w:spacing w:line="400" w:lineRule="exact"/>
        <w:ind w:firstLine="718" w:firstLineChars="342"/>
        <w:rPr>
          <w:rFonts w:hint="eastAsia"/>
          <w:color w:val="auto"/>
        </w:rPr>
      </w:pPr>
      <w:r>
        <w:rPr>
          <w:rFonts w:hint="eastAsia"/>
          <w:color w:val="auto"/>
        </w:rPr>
        <w:t>（4）合同双方确认上述往来款项后，出具最终结清付款证书，结清全部合同款项。</w:t>
      </w:r>
    </w:p>
    <w:p w14:paraId="0CC7F1C6">
      <w:pPr>
        <w:spacing w:line="400" w:lineRule="exact"/>
        <w:ind w:firstLine="718" w:firstLineChars="342"/>
        <w:rPr>
          <w:rFonts w:hint="eastAsia"/>
          <w:color w:val="auto"/>
        </w:rPr>
      </w:pPr>
      <w:r>
        <w:rPr>
          <w:rFonts w:hint="eastAsia"/>
          <w:color w:val="auto"/>
        </w:rPr>
        <w:t>（5）发包人和承包人未能就解除合同后的结清达成一致而形成争议的，按第24条的约定办理。</w:t>
      </w:r>
    </w:p>
    <w:p w14:paraId="1CF2FB98">
      <w:pPr>
        <w:spacing w:line="400" w:lineRule="exact"/>
        <w:ind w:firstLine="420" w:firstLineChars="200"/>
        <w:rPr>
          <w:rFonts w:hint="eastAsia" w:ascii="黑体" w:eastAsia="黑体"/>
          <w:color w:val="auto"/>
        </w:rPr>
      </w:pPr>
      <w:r>
        <w:rPr>
          <w:rFonts w:hint="eastAsia"/>
          <w:color w:val="auto"/>
        </w:rPr>
        <w:t>22.1.5</w:t>
      </w:r>
      <w:r>
        <w:rPr>
          <w:rFonts w:hint="eastAsia" w:ascii="黑体" w:eastAsia="黑体"/>
          <w:color w:val="auto"/>
        </w:rPr>
        <w:t xml:space="preserve"> 协议利益的转让</w:t>
      </w:r>
    </w:p>
    <w:p w14:paraId="410FA878">
      <w:pPr>
        <w:spacing w:line="400" w:lineRule="exact"/>
        <w:ind w:firstLine="420" w:firstLineChars="200"/>
        <w:rPr>
          <w:rFonts w:hint="eastAsia"/>
          <w:color w:val="auto"/>
        </w:rPr>
      </w:pPr>
      <w:r>
        <w:rPr>
          <w:rFonts w:hint="eastAsia"/>
          <w:color w:val="auto"/>
        </w:rPr>
        <w:t xml:space="preserve">因承包人违约解除合同的，发包人有权要求承包人将其为实施合同而签订的材料和设备的订货协议或任何服务协议利益转让给发包人，并在解除合同后的14天内，依法办理转让手续。 </w:t>
      </w:r>
    </w:p>
    <w:p w14:paraId="6F3F292C">
      <w:pPr>
        <w:spacing w:line="400" w:lineRule="exact"/>
        <w:ind w:firstLine="420" w:firstLineChars="200"/>
        <w:rPr>
          <w:rFonts w:hint="eastAsia" w:ascii="黑体" w:eastAsia="黑体"/>
          <w:color w:val="auto"/>
        </w:rPr>
      </w:pPr>
      <w:r>
        <w:rPr>
          <w:rFonts w:hint="eastAsia"/>
          <w:color w:val="auto"/>
        </w:rPr>
        <w:t>22.1.6</w:t>
      </w:r>
      <w:r>
        <w:rPr>
          <w:rFonts w:hint="eastAsia" w:ascii="黑体" w:eastAsia="黑体"/>
          <w:color w:val="auto"/>
        </w:rPr>
        <w:t xml:space="preserve"> 紧急情况下无能力或不愿进行抢救</w:t>
      </w:r>
    </w:p>
    <w:p w14:paraId="6A418230">
      <w:pPr>
        <w:spacing w:line="400" w:lineRule="exact"/>
        <w:ind w:firstLine="420" w:firstLineChars="200"/>
        <w:rPr>
          <w:rFonts w:hint="eastAsia"/>
          <w:color w:val="auto"/>
        </w:rPr>
      </w:pPr>
      <w:r>
        <w:rPr>
          <w:rFonts w:hint="eastAsia"/>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44DB066">
      <w:pPr>
        <w:pStyle w:val="231"/>
        <w:rPr>
          <w:rFonts w:hint="eastAsia"/>
          <w:color w:val="auto"/>
        </w:rPr>
      </w:pPr>
      <w:bookmarkStart w:id="721" w:name="_Toc179632773"/>
      <w:bookmarkStart w:id="722" w:name="_Toc144974726"/>
      <w:bookmarkStart w:id="723" w:name="_Toc152042534"/>
      <w:bookmarkStart w:id="724" w:name="_Toc152045755"/>
      <w:r>
        <w:rPr>
          <w:rFonts w:hint="eastAsia"/>
          <w:color w:val="auto"/>
        </w:rPr>
        <w:t>22.2 发包人违约</w:t>
      </w:r>
      <w:bookmarkEnd w:id="721"/>
      <w:bookmarkEnd w:id="722"/>
      <w:bookmarkEnd w:id="723"/>
      <w:bookmarkEnd w:id="724"/>
    </w:p>
    <w:p w14:paraId="6EB22106">
      <w:pPr>
        <w:spacing w:line="400" w:lineRule="exact"/>
        <w:ind w:firstLine="420" w:firstLineChars="200"/>
        <w:rPr>
          <w:rFonts w:hint="eastAsia" w:ascii="黑体" w:eastAsia="黑体"/>
          <w:color w:val="auto"/>
        </w:rPr>
      </w:pPr>
      <w:r>
        <w:rPr>
          <w:rFonts w:hint="eastAsia"/>
          <w:color w:val="auto"/>
        </w:rPr>
        <w:t xml:space="preserve">22.2.1 </w:t>
      </w:r>
      <w:r>
        <w:rPr>
          <w:rFonts w:hint="eastAsia" w:ascii="黑体" w:eastAsia="黑体"/>
          <w:color w:val="auto"/>
        </w:rPr>
        <w:t>发包人违约的情形</w:t>
      </w:r>
    </w:p>
    <w:p w14:paraId="18DF9E59">
      <w:pPr>
        <w:spacing w:line="400" w:lineRule="exact"/>
        <w:ind w:firstLine="420" w:firstLineChars="200"/>
        <w:rPr>
          <w:rFonts w:hint="eastAsia"/>
          <w:color w:val="auto"/>
        </w:rPr>
      </w:pPr>
      <w:r>
        <w:rPr>
          <w:rFonts w:hint="eastAsia"/>
          <w:color w:val="auto"/>
        </w:rPr>
        <w:t>在履行合同过程中发生的下列情形，属发包人违约：</w:t>
      </w:r>
    </w:p>
    <w:p w14:paraId="445A9E6D">
      <w:pPr>
        <w:spacing w:line="400" w:lineRule="exact"/>
        <w:ind w:firstLine="718" w:firstLineChars="342"/>
        <w:rPr>
          <w:rFonts w:hint="eastAsia"/>
          <w:color w:val="auto"/>
        </w:rPr>
      </w:pPr>
      <w:r>
        <w:rPr>
          <w:rFonts w:hint="eastAsia"/>
          <w:color w:val="auto"/>
        </w:rPr>
        <w:t>（1）发包人未能按合同约定支付预付款或合同价款，或拖延、拒绝批准付款申请和支付凭证，导致付款延误的；</w:t>
      </w:r>
    </w:p>
    <w:p w14:paraId="41D8DCBF">
      <w:pPr>
        <w:spacing w:line="400" w:lineRule="exact"/>
        <w:ind w:firstLine="718" w:firstLineChars="342"/>
        <w:rPr>
          <w:rFonts w:hint="eastAsia"/>
          <w:color w:val="auto"/>
        </w:rPr>
      </w:pPr>
      <w:r>
        <w:rPr>
          <w:rFonts w:hint="eastAsia"/>
          <w:color w:val="auto"/>
        </w:rPr>
        <w:t>（2）发包人原因造成停工的；</w:t>
      </w:r>
    </w:p>
    <w:p w14:paraId="2C88C026">
      <w:pPr>
        <w:spacing w:line="400" w:lineRule="exact"/>
        <w:ind w:firstLine="718" w:firstLineChars="342"/>
        <w:rPr>
          <w:rFonts w:hint="eastAsia"/>
          <w:color w:val="auto"/>
        </w:rPr>
      </w:pPr>
      <w:r>
        <w:rPr>
          <w:rFonts w:hint="eastAsia"/>
          <w:color w:val="auto"/>
        </w:rPr>
        <w:t>（3）监理人无正当理由没有在约定期限内发出复工指示，导致承包人无法复工的；</w:t>
      </w:r>
    </w:p>
    <w:p w14:paraId="128B8646">
      <w:pPr>
        <w:spacing w:line="400" w:lineRule="exact"/>
        <w:ind w:firstLine="718" w:firstLineChars="342"/>
        <w:rPr>
          <w:rFonts w:hint="eastAsia"/>
          <w:color w:val="auto"/>
        </w:rPr>
      </w:pPr>
      <w:r>
        <w:rPr>
          <w:rFonts w:hint="eastAsia"/>
          <w:color w:val="auto"/>
        </w:rPr>
        <w:t>（4）发包人无法继续履行或明确表示不履行或实质上已停止履行合同的；</w:t>
      </w:r>
    </w:p>
    <w:p w14:paraId="5378590F">
      <w:pPr>
        <w:spacing w:line="400" w:lineRule="exact"/>
        <w:ind w:firstLine="718" w:firstLineChars="342"/>
        <w:rPr>
          <w:rFonts w:hint="eastAsia"/>
          <w:color w:val="auto"/>
        </w:rPr>
      </w:pPr>
      <w:r>
        <w:rPr>
          <w:rFonts w:hint="eastAsia"/>
          <w:color w:val="auto"/>
        </w:rPr>
        <w:t>（5）发包人不履行合同约</w:t>
      </w:r>
      <w:r>
        <w:rPr>
          <w:rFonts w:hint="eastAsia"/>
          <w:color w:val="auto"/>
          <w:lang w:eastAsia="zh-CN"/>
        </w:rPr>
        <w:t>定的</w:t>
      </w:r>
      <w:r>
        <w:rPr>
          <w:rFonts w:hint="eastAsia"/>
          <w:color w:val="auto"/>
        </w:rPr>
        <w:t>其他义务的。</w:t>
      </w:r>
    </w:p>
    <w:p w14:paraId="703D7DDE">
      <w:pPr>
        <w:spacing w:line="400" w:lineRule="exact"/>
        <w:ind w:firstLine="420" w:firstLineChars="200"/>
        <w:rPr>
          <w:rFonts w:hint="eastAsia"/>
          <w:color w:val="auto"/>
        </w:rPr>
      </w:pPr>
      <w:r>
        <w:rPr>
          <w:rFonts w:hint="eastAsia"/>
          <w:color w:val="auto"/>
        </w:rPr>
        <w:t>22.2.2</w:t>
      </w:r>
      <w:r>
        <w:rPr>
          <w:rFonts w:hint="eastAsia" w:ascii="黑体" w:eastAsia="黑体"/>
          <w:color w:val="auto"/>
        </w:rPr>
        <w:t xml:space="preserve"> 承包人有权暂停施工</w:t>
      </w:r>
    </w:p>
    <w:p w14:paraId="7E5D1297">
      <w:pPr>
        <w:spacing w:line="400" w:lineRule="exact"/>
        <w:ind w:firstLine="420" w:firstLineChars="200"/>
        <w:rPr>
          <w:rFonts w:hint="eastAsia"/>
          <w:color w:val="auto"/>
        </w:rPr>
      </w:pPr>
      <w:r>
        <w:rPr>
          <w:rFonts w:hint="eastAsia"/>
          <w:color w:val="auto"/>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603B3A45">
      <w:pPr>
        <w:spacing w:line="400" w:lineRule="exact"/>
        <w:ind w:firstLine="420" w:firstLineChars="200"/>
        <w:rPr>
          <w:rFonts w:hint="eastAsia"/>
          <w:color w:val="auto"/>
        </w:rPr>
      </w:pPr>
      <w:r>
        <w:rPr>
          <w:rFonts w:hint="eastAsia"/>
          <w:color w:val="auto"/>
        </w:rPr>
        <w:t>22.2.3</w:t>
      </w:r>
      <w:r>
        <w:rPr>
          <w:rFonts w:hint="eastAsia" w:ascii="黑体" w:eastAsia="黑体"/>
          <w:color w:val="auto"/>
        </w:rPr>
        <w:t xml:space="preserve"> 发包人违约解除合同</w:t>
      </w:r>
      <w:r>
        <w:rPr>
          <w:rFonts w:hint="eastAsia"/>
          <w:color w:val="auto"/>
        </w:rPr>
        <w:t xml:space="preserve"> </w:t>
      </w:r>
    </w:p>
    <w:p w14:paraId="026B096A">
      <w:pPr>
        <w:spacing w:line="400" w:lineRule="exact"/>
        <w:ind w:firstLine="718" w:firstLineChars="342"/>
        <w:rPr>
          <w:rFonts w:hint="eastAsia"/>
          <w:color w:val="auto"/>
        </w:rPr>
      </w:pPr>
      <w:r>
        <w:rPr>
          <w:rFonts w:hint="eastAsia"/>
          <w:color w:val="auto"/>
        </w:rPr>
        <w:t xml:space="preserve">（1）发生第22.2.1（4）目的违约情况时，承包人可书面通知发包人解除合同。   </w:t>
      </w:r>
    </w:p>
    <w:p w14:paraId="7199D28A">
      <w:pPr>
        <w:spacing w:line="400" w:lineRule="exact"/>
        <w:ind w:firstLine="718" w:firstLineChars="342"/>
        <w:rPr>
          <w:rFonts w:hint="eastAsia"/>
          <w:color w:val="auto"/>
        </w:rPr>
      </w:pPr>
      <w:r>
        <w:rPr>
          <w:rFonts w:hint="eastAsia"/>
          <w:color w:val="auto"/>
        </w:rPr>
        <w:t>（2）承包人按22.2.2项暂停施工28天后，发包人仍不纠正违约行为的，承包人可向发包人发出解除合同通知。但承包人的这一行动不免除发包人承担的违约责任，也不影响承包人根据合同约定享有的索赔权利。</w:t>
      </w:r>
    </w:p>
    <w:p w14:paraId="69945913">
      <w:pPr>
        <w:spacing w:line="400" w:lineRule="exact"/>
        <w:ind w:firstLine="420" w:firstLineChars="200"/>
        <w:rPr>
          <w:rFonts w:hint="eastAsia" w:ascii="黑体" w:eastAsia="黑体"/>
          <w:color w:val="auto"/>
        </w:rPr>
      </w:pPr>
      <w:r>
        <w:rPr>
          <w:rFonts w:hint="eastAsia"/>
          <w:color w:val="auto"/>
        </w:rPr>
        <w:t>22.2.4</w:t>
      </w:r>
      <w:r>
        <w:rPr>
          <w:rFonts w:hint="eastAsia" w:ascii="黑体" w:eastAsia="黑体"/>
          <w:color w:val="auto"/>
        </w:rPr>
        <w:t xml:space="preserve"> 解除合同后的付款</w:t>
      </w:r>
    </w:p>
    <w:p w14:paraId="1F2AF837">
      <w:pPr>
        <w:spacing w:line="400" w:lineRule="exact"/>
        <w:ind w:firstLine="420" w:firstLineChars="200"/>
        <w:rPr>
          <w:rFonts w:hint="eastAsia"/>
          <w:color w:val="auto"/>
        </w:rPr>
      </w:pPr>
      <w:r>
        <w:rPr>
          <w:rFonts w:hint="eastAsia"/>
          <w:color w:val="auto"/>
        </w:rPr>
        <w:t>因发包人违约解除合同的，发包人应在解除合同后28天内向承包人支付下列金额，承包人应在此期限内及时向发包人提交要求支付下列金额的有关资料和凭证：</w:t>
      </w:r>
    </w:p>
    <w:p w14:paraId="2D2BEDEC">
      <w:pPr>
        <w:spacing w:line="400" w:lineRule="exact"/>
        <w:ind w:firstLine="718" w:firstLineChars="342"/>
        <w:rPr>
          <w:rFonts w:hint="eastAsia"/>
          <w:color w:val="auto"/>
        </w:rPr>
      </w:pPr>
      <w:r>
        <w:rPr>
          <w:rFonts w:hint="eastAsia"/>
          <w:color w:val="auto"/>
        </w:rPr>
        <w:t>（1）合同解除日以前所完成工作的价款；</w:t>
      </w:r>
    </w:p>
    <w:p w14:paraId="155D5C93">
      <w:pPr>
        <w:spacing w:line="400" w:lineRule="exact"/>
        <w:ind w:firstLine="718" w:firstLineChars="342"/>
        <w:rPr>
          <w:rFonts w:hint="eastAsia"/>
          <w:color w:val="auto"/>
        </w:rPr>
      </w:pPr>
      <w:r>
        <w:rPr>
          <w:rFonts w:hint="eastAsia"/>
          <w:color w:val="auto"/>
        </w:rPr>
        <w:t>（2）承包人为该工程施工订购并已付款的材料、工程设备和其他物品的金额。发包人付还后，该材料、工程设备和其他物品归发包人所有；</w:t>
      </w:r>
    </w:p>
    <w:p w14:paraId="5922D92A">
      <w:pPr>
        <w:spacing w:line="400" w:lineRule="exact"/>
        <w:ind w:firstLine="718" w:firstLineChars="342"/>
        <w:rPr>
          <w:rFonts w:hint="eastAsia"/>
          <w:color w:val="auto"/>
        </w:rPr>
      </w:pPr>
      <w:r>
        <w:rPr>
          <w:rFonts w:hint="eastAsia"/>
          <w:color w:val="auto"/>
        </w:rPr>
        <w:t>（3）承包人为完成工程所发生的，而发包人未支付的金额；</w:t>
      </w:r>
    </w:p>
    <w:p w14:paraId="3AD22523">
      <w:pPr>
        <w:spacing w:line="400" w:lineRule="exact"/>
        <w:ind w:firstLine="718" w:firstLineChars="342"/>
        <w:rPr>
          <w:rFonts w:hint="eastAsia"/>
          <w:color w:val="auto"/>
        </w:rPr>
      </w:pPr>
      <w:r>
        <w:rPr>
          <w:rFonts w:hint="eastAsia"/>
          <w:color w:val="auto"/>
        </w:rPr>
        <w:t>（4）承包人撤离施工场地以及遣散承包人人员的金额；</w:t>
      </w:r>
    </w:p>
    <w:p w14:paraId="252E3826">
      <w:pPr>
        <w:spacing w:line="400" w:lineRule="exact"/>
        <w:ind w:firstLine="718" w:firstLineChars="342"/>
        <w:rPr>
          <w:rFonts w:hint="eastAsia"/>
          <w:color w:val="auto"/>
        </w:rPr>
      </w:pPr>
      <w:r>
        <w:rPr>
          <w:rFonts w:hint="eastAsia"/>
          <w:color w:val="auto"/>
        </w:rPr>
        <w:t>（5）由于解除合同应赔偿的承包人损失；</w:t>
      </w:r>
    </w:p>
    <w:p w14:paraId="593BFDC9">
      <w:pPr>
        <w:spacing w:line="400" w:lineRule="exact"/>
        <w:ind w:firstLine="718" w:firstLineChars="342"/>
        <w:rPr>
          <w:rFonts w:hint="eastAsia"/>
          <w:color w:val="auto"/>
        </w:rPr>
      </w:pPr>
      <w:r>
        <w:rPr>
          <w:rFonts w:hint="eastAsia"/>
          <w:color w:val="auto"/>
        </w:rPr>
        <w:t>（6）按合同约定在合同解除日前应支付给承包人的其他金额。</w:t>
      </w:r>
    </w:p>
    <w:p w14:paraId="1384C486">
      <w:pPr>
        <w:spacing w:line="400" w:lineRule="exact"/>
        <w:ind w:firstLine="420" w:firstLineChars="200"/>
        <w:rPr>
          <w:rFonts w:hint="eastAsia"/>
          <w:color w:val="auto"/>
        </w:rPr>
      </w:pPr>
      <w:r>
        <w:rPr>
          <w:rFonts w:hint="eastAsia"/>
          <w:color w:val="auto"/>
        </w:rPr>
        <w:t>发包人应按本项约定支付上述金额并退还质量保证金和履约担保，但有权要求承包人支付应偿还给发包人的各项金额。</w:t>
      </w:r>
    </w:p>
    <w:p w14:paraId="18B019B9">
      <w:pPr>
        <w:spacing w:line="400" w:lineRule="exact"/>
        <w:ind w:firstLine="420" w:firstLineChars="200"/>
        <w:rPr>
          <w:rFonts w:hint="eastAsia" w:ascii="黑体" w:eastAsia="黑体"/>
          <w:color w:val="auto"/>
        </w:rPr>
      </w:pPr>
      <w:r>
        <w:rPr>
          <w:rFonts w:hint="eastAsia"/>
          <w:color w:val="auto"/>
        </w:rPr>
        <w:t>22.2.5</w:t>
      </w:r>
      <w:r>
        <w:rPr>
          <w:rFonts w:hint="eastAsia" w:ascii="黑体" w:eastAsia="黑体"/>
          <w:color w:val="auto"/>
        </w:rPr>
        <w:t xml:space="preserve"> 解除合同后的承包人撤离</w:t>
      </w:r>
    </w:p>
    <w:p w14:paraId="75432AFB">
      <w:pPr>
        <w:spacing w:line="400" w:lineRule="exact"/>
        <w:ind w:firstLine="420" w:firstLineChars="200"/>
        <w:rPr>
          <w:rFonts w:hint="eastAsia"/>
          <w:color w:val="auto"/>
        </w:rPr>
      </w:pPr>
      <w:r>
        <w:rPr>
          <w:rFonts w:hint="eastAsia"/>
          <w:color w:va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3076E08C">
      <w:pPr>
        <w:pStyle w:val="231"/>
        <w:rPr>
          <w:rFonts w:hint="eastAsia"/>
          <w:color w:val="auto"/>
        </w:rPr>
      </w:pPr>
      <w:bookmarkStart w:id="725" w:name="_Toc152042535"/>
      <w:bookmarkStart w:id="726" w:name="_Toc179632774"/>
      <w:bookmarkStart w:id="727" w:name="_Toc152045756"/>
      <w:r>
        <w:rPr>
          <w:rFonts w:hint="eastAsia"/>
          <w:color w:val="auto"/>
        </w:rPr>
        <w:t>22.3 第三人造成的违约</w:t>
      </w:r>
      <w:bookmarkEnd w:id="725"/>
      <w:bookmarkEnd w:id="726"/>
      <w:bookmarkEnd w:id="727"/>
    </w:p>
    <w:p w14:paraId="2F8FB44F">
      <w:pPr>
        <w:spacing w:line="400" w:lineRule="exact"/>
        <w:ind w:firstLine="420" w:firstLineChars="200"/>
        <w:rPr>
          <w:rFonts w:hint="eastAsia"/>
          <w:color w:val="auto"/>
        </w:rPr>
      </w:pPr>
      <w:r>
        <w:rPr>
          <w:rFonts w:hint="eastAsia"/>
          <w:color w:val="auto"/>
        </w:rPr>
        <w:t>在履行合同过程中，一方当事人因第三人的原因造成违约的，应当向对方当事人承担违约责任。一方当事人和第三人之间的纠纷，依照法律规定或者按照约定解决。</w:t>
      </w:r>
    </w:p>
    <w:p w14:paraId="5694F2DC">
      <w:pPr>
        <w:pStyle w:val="224"/>
        <w:rPr>
          <w:rFonts w:hint="eastAsia"/>
          <w:color w:val="auto"/>
        </w:rPr>
      </w:pPr>
      <w:bookmarkStart w:id="728" w:name="_Toc144974727"/>
      <w:bookmarkStart w:id="729" w:name="_Toc179632775"/>
      <w:bookmarkStart w:id="730" w:name="_Toc152042536"/>
      <w:bookmarkStart w:id="731" w:name="_Toc152045757"/>
      <w:r>
        <w:rPr>
          <w:rFonts w:hint="eastAsia"/>
          <w:color w:val="auto"/>
        </w:rPr>
        <w:t>23. 索赔</w:t>
      </w:r>
      <w:bookmarkEnd w:id="728"/>
      <w:bookmarkEnd w:id="729"/>
      <w:bookmarkEnd w:id="730"/>
      <w:bookmarkEnd w:id="731"/>
    </w:p>
    <w:p w14:paraId="2CE586E0">
      <w:pPr>
        <w:pStyle w:val="231"/>
        <w:rPr>
          <w:rFonts w:hint="eastAsia"/>
          <w:color w:val="auto"/>
        </w:rPr>
      </w:pPr>
      <w:bookmarkStart w:id="732" w:name="_Toc152045758"/>
      <w:bookmarkStart w:id="733" w:name="_Toc152042537"/>
      <w:bookmarkStart w:id="734" w:name="_Toc144974728"/>
      <w:bookmarkStart w:id="735" w:name="_Toc179632776"/>
      <w:r>
        <w:rPr>
          <w:rFonts w:hint="eastAsia"/>
          <w:color w:val="auto"/>
        </w:rPr>
        <w:t>23.1 承包人索赔的提出</w:t>
      </w:r>
      <w:bookmarkEnd w:id="732"/>
      <w:bookmarkEnd w:id="733"/>
      <w:bookmarkEnd w:id="734"/>
      <w:bookmarkEnd w:id="735"/>
    </w:p>
    <w:p w14:paraId="1EB484F9">
      <w:pPr>
        <w:spacing w:line="400" w:lineRule="exact"/>
        <w:ind w:firstLine="420" w:firstLineChars="200"/>
        <w:rPr>
          <w:rFonts w:hint="eastAsia"/>
          <w:color w:val="auto"/>
        </w:rPr>
      </w:pPr>
      <w:r>
        <w:rPr>
          <w:rFonts w:hint="eastAsia"/>
          <w:color w:val="auto"/>
        </w:rPr>
        <w:t>根据合同约定，承包人认为有权得到追加付款和（或）延长工期的，应按以下程序向发包人提出索赔：</w:t>
      </w:r>
    </w:p>
    <w:p w14:paraId="38B83DB0">
      <w:pPr>
        <w:spacing w:line="400" w:lineRule="exact"/>
        <w:ind w:firstLine="359" w:firstLineChars="171"/>
        <w:rPr>
          <w:rFonts w:hint="eastAsia"/>
          <w:color w:val="auto"/>
        </w:rPr>
      </w:pPr>
      <w:r>
        <w:rPr>
          <w:rFonts w:hint="eastAsia"/>
          <w:color w:val="auto"/>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76514E7D">
      <w:pPr>
        <w:spacing w:line="400" w:lineRule="exact"/>
        <w:ind w:firstLine="359" w:firstLineChars="171"/>
        <w:rPr>
          <w:rFonts w:hint="eastAsia"/>
          <w:color w:val="auto"/>
        </w:rPr>
      </w:pPr>
      <w:r>
        <w:rPr>
          <w:rFonts w:hint="eastAsia"/>
          <w:color w:val="auto"/>
        </w:rPr>
        <w:t>（2）承包人应在发出索赔意向通知书后28天内，向监理人正式递交索赔通知书。索赔通知书应详细说明索赔理由以及要求追加的付款金额和（或）延长的工期，并附必要的记录和证明材料；</w:t>
      </w:r>
    </w:p>
    <w:p w14:paraId="4F85C9B8">
      <w:pPr>
        <w:spacing w:line="400" w:lineRule="exact"/>
        <w:ind w:firstLine="359" w:firstLineChars="171"/>
        <w:rPr>
          <w:rFonts w:hint="eastAsia"/>
          <w:color w:val="auto"/>
        </w:rPr>
      </w:pPr>
      <w:r>
        <w:rPr>
          <w:rFonts w:hint="eastAsia"/>
          <w:color w:val="auto"/>
        </w:rPr>
        <w:t>（3）索赔事件具有连续影响的，承包人应按合理时间间隔继续递交延续索赔通知，说明连续影响的实际情况和记录，列出累计的追加付款金额和（或）工期延长天数；</w:t>
      </w:r>
    </w:p>
    <w:p w14:paraId="7D7BF62D">
      <w:pPr>
        <w:spacing w:line="400" w:lineRule="exact"/>
        <w:ind w:firstLine="359" w:firstLineChars="171"/>
        <w:rPr>
          <w:rFonts w:hint="eastAsia"/>
          <w:color w:val="auto"/>
        </w:rPr>
      </w:pPr>
      <w:r>
        <w:rPr>
          <w:rFonts w:hint="eastAsia"/>
          <w:color w:val="auto"/>
        </w:rPr>
        <w:t>（4）在索赔事件影响结束后的28天内，承包人应向监理人递交最终索赔通知书，说明最终要求索赔的追加付款金额和延长的工期，并附必要的记录和证明材料。</w:t>
      </w:r>
    </w:p>
    <w:p w14:paraId="32D32B69">
      <w:pPr>
        <w:pStyle w:val="231"/>
        <w:rPr>
          <w:rFonts w:hint="eastAsia"/>
          <w:color w:val="auto"/>
        </w:rPr>
      </w:pPr>
      <w:bookmarkStart w:id="736" w:name="_Toc144974729"/>
      <w:bookmarkStart w:id="737" w:name="_Toc179632777"/>
      <w:bookmarkStart w:id="738" w:name="_Toc152045759"/>
      <w:bookmarkStart w:id="739" w:name="_Toc152042538"/>
      <w:r>
        <w:rPr>
          <w:rFonts w:hint="eastAsia"/>
          <w:color w:val="auto"/>
        </w:rPr>
        <w:t>23.2 承包人索赔处理程序</w:t>
      </w:r>
      <w:bookmarkEnd w:id="736"/>
      <w:bookmarkEnd w:id="737"/>
      <w:bookmarkEnd w:id="738"/>
      <w:bookmarkEnd w:id="739"/>
    </w:p>
    <w:p w14:paraId="4107C049">
      <w:pPr>
        <w:spacing w:line="400" w:lineRule="exact"/>
        <w:ind w:firstLine="359" w:firstLineChars="171"/>
        <w:rPr>
          <w:rFonts w:hint="eastAsia"/>
          <w:color w:val="auto"/>
        </w:rPr>
      </w:pPr>
      <w:r>
        <w:rPr>
          <w:rFonts w:hint="eastAsia"/>
          <w:color w:val="auto"/>
        </w:rPr>
        <w:t>（1）监理人收到承包人提交的索赔通知书后，应及时审查索赔通知书的内容、查验承包人的记录和证明材料，必要时监理人可要求承包人提交全部原始记录副本。</w:t>
      </w:r>
    </w:p>
    <w:p w14:paraId="79BB4F3C">
      <w:pPr>
        <w:spacing w:line="400" w:lineRule="exact"/>
        <w:ind w:firstLine="359" w:firstLineChars="171"/>
        <w:rPr>
          <w:rFonts w:hint="eastAsia"/>
          <w:color w:val="auto"/>
        </w:rPr>
      </w:pPr>
      <w:r>
        <w:rPr>
          <w:rFonts w:hint="eastAsia"/>
          <w:color w:val="auto"/>
        </w:rPr>
        <w:t>（2）监理人应按第3.5款商定或确定追加的付款和（或）延长的工期，并在收到上述索赔通知书或有关索赔的进一步证明材料后的42天内，将索赔处理结果答复承包人。</w:t>
      </w:r>
    </w:p>
    <w:p w14:paraId="40913B31">
      <w:pPr>
        <w:spacing w:line="400" w:lineRule="exact"/>
        <w:ind w:firstLine="359" w:firstLineChars="171"/>
        <w:rPr>
          <w:rFonts w:hint="eastAsia"/>
          <w:color w:val="auto"/>
        </w:rPr>
      </w:pPr>
      <w:r>
        <w:rPr>
          <w:rFonts w:hint="eastAsia"/>
          <w:color w:val="auto"/>
        </w:rPr>
        <w:t>（3）承包人接受索赔处理结果的，发包人应在作出索赔处理结果答复后28天内完成赔付。承包人不接受索赔处理结果的，按第24条的约定办理。</w:t>
      </w:r>
    </w:p>
    <w:p w14:paraId="6C560E0E">
      <w:pPr>
        <w:pStyle w:val="231"/>
        <w:rPr>
          <w:rFonts w:hint="eastAsia"/>
          <w:color w:val="auto"/>
        </w:rPr>
      </w:pPr>
      <w:bookmarkStart w:id="740" w:name="_Toc152045760"/>
      <w:bookmarkStart w:id="741" w:name="_Toc152042539"/>
      <w:bookmarkStart w:id="742" w:name="_Toc144974730"/>
      <w:bookmarkStart w:id="743" w:name="_Toc179632778"/>
      <w:r>
        <w:rPr>
          <w:rFonts w:hint="eastAsia"/>
          <w:color w:val="auto"/>
        </w:rPr>
        <w:t>23.3 承包人提出索赔的期限</w:t>
      </w:r>
      <w:bookmarkEnd w:id="740"/>
      <w:bookmarkEnd w:id="741"/>
      <w:bookmarkEnd w:id="742"/>
      <w:bookmarkEnd w:id="743"/>
    </w:p>
    <w:p w14:paraId="7ECF49D6">
      <w:pPr>
        <w:spacing w:line="400" w:lineRule="exact"/>
        <w:ind w:firstLine="420" w:firstLineChars="200"/>
        <w:rPr>
          <w:rFonts w:hint="eastAsia"/>
          <w:color w:val="auto"/>
        </w:rPr>
      </w:pPr>
      <w:r>
        <w:rPr>
          <w:rFonts w:hint="eastAsia"/>
          <w:color w:val="auto"/>
        </w:rPr>
        <w:t>23.3.1 承包人按第17.5款的约定接受了竣工付款证书后，应被认为已无权再提出在合同工程接收证书颁发前所发生的任何索赔。</w:t>
      </w:r>
    </w:p>
    <w:p w14:paraId="3F69626C">
      <w:pPr>
        <w:spacing w:line="400" w:lineRule="exact"/>
        <w:ind w:firstLine="420" w:firstLineChars="200"/>
        <w:rPr>
          <w:rFonts w:hint="eastAsia"/>
          <w:color w:val="auto"/>
          <w:shd w:val="pct10" w:color="auto" w:fill="FFFFFF"/>
        </w:rPr>
      </w:pPr>
      <w:r>
        <w:rPr>
          <w:rFonts w:hint="eastAsia"/>
          <w:color w:val="auto"/>
        </w:rPr>
        <w:t xml:space="preserve">23.3.2 承包人按第17.6款的约定提交的最终结清申请单中，只限于提出工程接收证书颁发后发生的索赔。提出索赔的期限自接受最终结清证书时终止。 </w:t>
      </w:r>
    </w:p>
    <w:p w14:paraId="30D17D7B">
      <w:pPr>
        <w:pStyle w:val="231"/>
        <w:rPr>
          <w:rFonts w:hint="eastAsia"/>
          <w:color w:val="auto"/>
        </w:rPr>
      </w:pPr>
      <w:bookmarkStart w:id="744" w:name="_Toc179632779"/>
      <w:bookmarkStart w:id="745" w:name="_Toc152045761"/>
      <w:bookmarkStart w:id="746" w:name="_Toc144974731"/>
      <w:bookmarkStart w:id="747" w:name="_Toc152042540"/>
      <w:r>
        <w:rPr>
          <w:rFonts w:hint="eastAsia"/>
          <w:color w:val="auto"/>
        </w:rPr>
        <w:t>23.4 发包人的索赔</w:t>
      </w:r>
      <w:bookmarkEnd w:id="744"/>
      <w:bookmarkEnd w:id="745"/>
      <w:bookmarkEnd w:id="746"/>
      <w:bookmarkEnd w:id="747"/>
    </w:p>
    <w:p w14:paraId="18B10AE0">
      <w:pPr>
        <w:spacing w:line="400" w:lineRule="exact"/>
        <w:ind w:firstLine="420" w:firstLineChars="200"/>
        <w:rPr>
          <w:rFonts w:hint="eastAsia"/>
          <w:color w:val="auto"/>
        </w:rPr>
      </w:pPr>
      <w:r>
        <w:rPr>
          <w:rFonts w:hint="eastAsia"/>
          <w:color w:va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450EB37">
      <w:pPr>
        <w:spacing w:line="400" w:lineRule="exact"/>
        <w:ind w:firstLine="420" w:firstLineChars="200"/>
        <w:rPr>
          <w:rFonts w:hint="eastAsia"/>
          <w:color w:val="auto"/>
        </w:rPr>
      </w:pPr>
      <w:r>
        <w:rPr>
          <w:rFonts w:hint="eastAsia"/>
          <w:color w:val="auto"/>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21825881">
      <w:pPr>
        <w:pStyle w:val="224"/>
        <w:rPr>
          <w:rFonts w:hint="eastAsia"/>
          <w:color w:val="auto"/>
        </w:rPr>
      </w:pPr>
      <w:bookmarkStart w:id="748" w:name="_Toc179632780"/>
      <w:bookmarkStart w:id="749" w:name="_Toc152045762"/>
      <w:bookmarkStart w:id="750" w:name="_Toc144974732"/>
      <w:bookmarkStart w:id="751" w:name="_Toc152042541"/>
      <w:r>
        <w:rPr>
          <w:rFonts w:hint="eastAsia"/>
          <w:color w:val="auto"/>
        </w:rPr>
        <w:t>24. 争议的解决</w:t>
      </w:r>
      <w:bookmarkEnd w:id="748"/>
      <w:bookmarkEnd w:id="749"/>
      <w:bookmarkEnd w:id="750"/>
      <w:bookmarkEnd w:id="751"/>
    </w:p>
    <w:p w14:paraId="6A10F5C1">
      <w:pPr>
        <w:pStyle w:val="231"/>
        <w:rPr>
          <w:rFonts w:hint="eastAsia"/>
          <w:color w:val="auto"/>
        </w:rPr>
      </w:pPr>
      <w:bookmarkStart w:id="752" w:name="_Toc152042542"/>
      <w:bookmarkStart w:id="753" w:name="_Toc179632781"/>
      <w:bookmarkStart w:id="754" w:name="_Toc144974733"/>
      <w:bookmarkStart w:id="755" w:name="_Toc152045763"/>
      <w:r>
        <w:rPr>
          <w:rFonts w:hint="eastAsia"/>
          <w:color w:val="auto"/>
        </w:rPr>
        <w:t>24.1 争议的解决方式</w:t>
      </w:r>
      <w:bookmarkEnd w:id="752"/>
      <w:bookmarkEnd w:id="753"/>
      <w:bookmarkEnd w:id="754"/>
      <w:bookmarkEnd w:id="755"/>
    </w:p>
    <w:p w14:paraId="30BBF2E1">
      <w:pPr>
        <w:spacing w:line="400" w:lineRule="exact"/>
        <w:ind w:firstLine="420" w:firstLineChars="200"/>
        <w:rPr>
          <w:rFonts w:hint="eastAsia"/>
          <w:color w:val="auto"/>
        </w:rPr>
      </w:pPr>
      <w:r>
        <w:rPr>
          <w:rFonts w:hint="eastAsia"/>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D327B30">
      <w:pPr>
        <w:spacing w:line="400" w:lineRule="exact"/>
        <w:ind w:firstLine="420" w:firstLineChars="200"/>
        <w:rPr>
          <w:rFonts w:hint="eastAsia"/>
          <w:color w:val="auto"/>
        </w:rPr>
      </w:pPr>
      <w:r>
        <w:rPr>
          <w:rFonts w:hint="eastAsia"/>
          <w:color w:val="auto"/>
        </w:rPr>
        <w:t>（1）向约定的仲裁委员会申请仲裁；</w:t>
      </w:r>
    </w:p>
    <w:p w14:paraId="5040E87A">
      <w:pPr>
        <w:spacing w:line="400" w:lineRule="exact"/>
        <w:ind w:firstLine="420" w:firstLineChars="200"/>
        <w:rPr>
          <w:rFonts w:hint="eastAsia"/>
          <w:color w:val="auto"/>
        </w:rPr>
      </w:pPr>
      <w:r>
        <w:rPr>
          <w:rFonts w:hint="eastAsia"/>
          <w:color w:val="auto"/>
        </w:rPr>
        <w:t>（2）向有管辖权的人民法院提起诉讼。</w:t>
      </w:r>
    </w:p>
    <w:p w14:paraId="3E9F3DA4">
      <w:pPr>
        <w:pStyle w:val="231"/>
        <w:rPr>
          <w:rFonts w:hint="eastAsia"/>
          <w:color w:val="auto"/>
        </w:rPr>
      </w:pPr>
      <w:bookmarkStart w:id="756" w:name="_Toc152042543"/>
      <w:bookmarkStart w:id="757" w:name="_Toc152045764"/>
      <w:bookmarkStart w:id="758" w:name="_Toc179632782"/>
      <w:bookmarkStart w:id="759" w:name="_Toc144974734"/>
      <w:r>
        <w:rPr>
          <w:rFonts w:hint="eastAsia"/>
          <w:color w:val="auto"/>
        </w:rPr>
        <w:t>24.2 友好解决</w:t>
      </w:r>
      <w:bookmarkEnd w:id="756"/>
      <w:bookmarkEnd w:id="757"/>
      <w:bookmarkEnd w:id="758"/>
      <w:bookmarkEnd w:id="759"/>
    </w:p>
    <w:p w14:paraId="3776BF80">
      <w:pPr>
        <w:spacing w:line="400" w:lineRule="exact"/>
        <w:ind w:firstLine="420" w:firstLineChars="200"/>
        <w:rPr>
          <w:rFonts w:hint="eastAsia"/>
          <w:color w:val="auto"/>
        </w:rPr>
      </w:pPr>
      <w:r>
        <w:rPr>
          <w:rFonts w:hint="eastAsia"/>
          <w:color w:val="auto"/>
        </w:rPr>
        <w:t>在提请争议评审、仲裁或者诉讼前，以及在争议评审、仲裁或诉讼过程中，发包人和承包人均可共同努力友好协商解决争议。</w:t>
      </w:r>
    </w:p>
    <w:p w14:paraId="02F0F2AB">
      <w:pPr>
        <w:pStyle w:val="231"/>
        <w:rPr>
          <w:rFonts w:hint="eastAsia"/>
          <w:color w:val="auto"/>
        </w:rPr>
      </w:pPr>
      <w:bookmarkStart w:id="760" w:name="_Toc144974735"/>
      <w:bookmarkStart w:id="761" w:name="_Toc152042544"/>
      <w:bookmarkStart w:id="762" w:name="_Toc179632783"/>
      <w:bookmarkStart w:id="763" w:name="_Toc152045765"/>
      <w:r>
        <w:rPr>
          <w:rFonts w:hint="eastAsia"/>
          <w:color w:val="auto"/>
        </w:rPr>
        <w:t>24.3 争议评审</w:t>
      </w:r>
      <w:bookmarkEnd w:id="760"/>
      <w:bookmarkEnd w:id="761"/>
      <w:bookmarkEnd w:id="762"/>
      <w:bookmarkEnd w:id="763"/>
    </w:p>
    <w:p w14:paraId="436B5B6C">
      <w:pPr>
        <w:spacing w:line="400" w:lineRule="exact"/>
        <w:ind w:firstLine="420" w:firstLineChars="200"/>
        <w:rPr>
          <w:rFonts w:hint="eastAsia"/>
          <w:color w:val="auto"/>
        </w:rPr>
      </w:pPr>
      <w:r>
        <w:rPr>
          <w:rFonts w:hint="eastAsia"/>
          <w:color w:val="auto"/>
        </w:rPr>
        <w:t>24.3.1 采用争议评审的，发包人和承包人应在开工日后的28天内或在争议发生后，协商成立争议评审组。争议评审组由有合同管理和工程实践经验的专家组成。</w:t>
      </w:r>
    </w:p>
    <w:p w14:paraId="24F572EB">
      <w:pPr>
        <w:spacing w:line="400" w:lineRule="exact"/>
        <w:ind w:firstLine="420" w:firstLineChars="200"/>
        <w:rPr>
          <w:rFonts w:hint="eastAsia"/>
          <w:color w:val="auto"/>
        </w:rPr>
      </w:pPr>
      <w:r>
        <w:rPr>
          <w:rFonts w:hint="eastAsia"/>
          <w:color w:val="auto"/>
        </w:rPr>
        <w:t>24.3.2 合同双方的争议，应首先由申请人向争议评审组提交一份详细的评审申请报告，并附必要的文件、图纸和证明材料，申请人还应将上述报告的副本同时提交给被申请人和监理人。</w:t>
      </w:r>
    </w:p>
    <w:p w14:paraId="5E4BB044">
      <w:pPr>
        <w:spacing w:line="400" w:lineRule="exact"/>
        <w:ind w:firstLine="420" w:firstLineChars="200"/>
        <w:rPr>
          <w:rFonts w:hint="eastAsia"/>
          <w:color w:val="auto"/>
        </w:rPr>
      </w:pPr>
      <w:r>
        <w:rPr>
          <w:rFonts w:hint="eastAsia"/>
          <w:color w:val="auto"/>
        </w:rPr>
        <w:t>24.3.3 被申请人在收到申请人评审申请报告副本后的28天内，向争议评审组提交一份答辩报告，并附证明材料。被申请人应将答辩报告的副本同时提交给申请人和监理人。</w:t>
      </w:r>
    </w:p>
    <w:p w14:paraId="224BA57A">
      <w:pPr>
        <w:spacing w:line="400" w:lineRule="exact"/>
        <w:ind w:firstLine="420" w:firstLineChars="200"/>
        <w:rPr>
          <w:rFonts w:hint="eastAsia"/>
          <w:color w:val="auto"/>
        </w:rPr>
      </w:pPr>
      <w:r>
        <w:rPr>
          <w:rFonts w:hint="eastAsia"/>
          <w:color w:val="auto"/>
        </w:rPr>
        <w:t>24.3.4 除专用合同条款另有约定外，争议评审组在收到合同双方报告后的14天内，邀请双方代表和有关人员举行调查会，向双方调查争议细节；必要时争议评审组可要求双方进一步提供补充材料。</w:t>
      </w:r>
    </w:p>
    <w:p w14:paraId="00EF46E1">
      <w:pPr>
        <w:spacing w:line="400" w:lineRule="exact"/>
        <w:ind w:firstLine="420" w:firstLineChars="200"/>
        <w:rPr>
          <w:rFonts w:hint="eastAsia"/>
          <w:color w:val="auto"/>
        </w:rPr>
      </w:pPr>
      <w:r>
        <w:rPr>
          <w:rFonts w:hint="eastAsia"/>
          <w:color w:va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45BAB52F">
      <w:pPr>
        <w:spacing w:line="400" w:lineRule="exact"/>
        <w:ind w:firstLine="420" w:firstLineChars="200"/>
        <w:rPr>
          <w:rFonts w:hint="eastAsia"/>
          <w:color w:val="auto"/>
        </w:rPr>
      </w:pPr>
      <w:r>
        <w:rPr>
          <w:rFonts w:hint="eastAsia"/>
          <w:color w:val="auto"/>
        </w:rPr>
        <w:t>24.3.6 发包人和承包人接受评审意见的，由监理人根据评审意见拟定执行协议，经争议双方签字后作为合同的补充文件，并遵照执行。</w:t>
      </w:r>
    </w:p>
    <w:p w14:paraId="718A3B62">
      <w:pPr>
        <w:snapToGrid w:val="0"/>
        <w:spacing w:line="400" w:lineRule="exact"/>
        <w:rPr>
          <w:rFonts w:hint="eastAsia" w:ascii="宋体" w:hAnsi="宋体"/>
          <w:bCs/>
          <w:color w:val="auto"/>
          <w:sz w:val="22"/>
          <w:szCs w:val="22"/>
        </w:rPr>
      </w:pPr>
      <w:r>
        <w:rPr>
          <w:rFonts w:hint="eastAsia"/>
          <w:color w:va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C0B2498">
      <w:pPr>
        <w:pStyle w:val="4"/>
        <w:keepNext w:val="0"/>
        <w:keepLines w:val="0"/>
        <w:autoSpaceDE w:val="0"/>
        <w:autoSpaceDN w:val="0"/>
        <w:adjustRightInd w:val="0"/>
        <w:snapToGrid w:val="0"/>
        <w:spacing w:before="0" w:after="0" w:line="400" w:lineRule="exact"/>
        <w:rPr>
          <w:rFonts w:hint="eastAsia" w:ascii="宋体" w:hAnsi="宋体" w:eastAsia="宋体"/>
          <w:color w:val="auto"/>
        </w:rPr>
      </w:pPr>
      <w:bookmarkStart w:id="764" w:name="_Toc389633616"/>
      <w:bookmarkStart w:id="765" w:name="_Toc332560181"/>
      <w:bookmarkStart w:id="766" w:name="_Toc358902139"/>
      <w:bookmarkStart w:id="767" w:name="_Toc30750"/>
      <w:r>
        <w:rPr>
          <w:rFonts w:hint="eastAsia" w:ascii="宋体" w:hAnsi="宋体" w:eastAsia="宋体"/>
          <w:color w:val="auto"/>
        </w:rPr>
        <w:t xml:space="preserve">                </w:t>
      </w:r>
      <w:bookmarkEnd w:id="134"/>
      <w:bookmarkEnd w:id="135"/>
      <w:bookmarkEnd w:id="136"/>
      <w:bookmarkEnd w:id="764"/>
      <w:bookmarkEnd w:id="765"/>
      <w:bookmarkEnd w:id="766"/>
      <w:bookmarkEnd w:id="767"/>
      <w:bookmarkStart w:id="768" w:name="_Toc317156902"/>
      <w:bookmarkStart w:id="769" w:name="_Toc322559714"/>
      <w:bookmarkStart w:id="770" w:name="_Toc389633691"/>
      <w:bookmarkStart w:id="771" w:name="_Toc18056"/>
      <w:r>
        <w:rPr>
          <w:rFonts w:hint="eastAsia" w:ascii="宋体" w:hAnsi="宋体" w:eastAsia="宋体"/>
          <w:color w:val="auto"/>
        </w:rPr>
        <w:t xml:space="preserve">  </w:t>
      </w:r>
    </w:p>
    <w:p w14:paraId="508E0BD2">
      <w:pPr>
        <w:pStyle w:val="4"/>
        <w:keepNext w:val="0"/>
        <w:keepLines w:val="0"/>
        <w:autoSpaceDE w:val="0"/>
        <w:autoSpaceDN w:val="0"/>
        <w:adjustRightInd w:val="0"/>
        <w:snapToGrid w:val="0"/>
        <w:spacing w:before="0" w:after="0" w:line="400" w:lineRule="exact"/>
        <w:rPr>
          <w:rFonts w:hint="eastAsia" w:ascii="宋体" w:hAnsi="宋体" w:eastAsia="宋体"/>
          <w:color w:val="auto"/>
        </w:rPr>
      </w:pPr>
      <w:r>
        <w:rPr>
          <w:rFonts w:hint="eastAsia" w:ascii="宋体" w:hAnsi="宋体" w:eastAsia="宋体"/>
          <w:color w:val="auto"/>
        </w:rPr>
        <w:br w:type="page"/>
      </w:r>
      <w:r>
        <w:rPr>
          <w:rFonts w:hint="eastAsia" w:ascii="宋体" w:hAnsi="宋体" w:eastAsia="宋体"/>
          <w:color w:val="auto"/>
        </w:rPr>
        <w:t>第三部分    专用合同条款</w:t>
      </w:r>
    </w:p>
    <w:p w14:paraId="736C291E">
      <w:pPr>
        <w:spacing w:before="240" w:line="400" w:lineRule="exact"/>
        <w:jc w:val="center"/>
        <w:rPr>
          <w:rFonts w:hint="eastAsia" w:ascii="宋体" w:hAnsi="宋体" w:cs="宋体"/>
          <w:color w:val="auto"/>
          <w:szCs w:val="21"/>
        </w:rPr>
      </w:pPr>
      <w:r>
        <w:rPr>
          <w:rFonts w:hint="eastAsia" w:ascii="宋体" w:hAnsi="宋体" w:cs="宋体"/>
          <w:color w:val="auto"/>
          <w:szCs w:val="21"/>
        </w:rPr>
        <w:t>A.公路行业标准专用合同条款</w:t>
      </w:r>
    </w:p>
    <w:p w14:paraId="4654D5DE">
      <w:pPr>
        <w:pStyle w:val="5"/>
        <w:snapToGrid w:val="0"/>
        <w:spacing w:before="0" w:after="0" w:line="460" w:lineRule="exact"/>
        <w:rPr>
          <w:rFonts w:hint="eastAsia" w:ascii="宋体" w:hAnsi="宋体" w:cs="宋体"/>
          <w:snapToGrid w:val="0"/>
          <w:color w:val="auto"/>
          <w:sz w:val="28"/>
          <w:szCs w:val="24"/>
        </w:rPr>
      </w:pPr>
      <w:bookmarkStart w:id="772" w:name="_Toc480790530"/>
      <w:bookmarkStart w:id="773" w:name="_Toc12503"/>
      <w:r>
        <w:rPr>
          <w:rFonts w:hint="eastAsia" w:ascii="宋体" w:hAnsi="宋体" w:cs="宋体"/>
          <w:snapToGrid w:val="0"/>
          <w:color w:val="auto"/>
          <w:sz w:val="28"/>
          <w:szCs w:val="24"/>
        </w:rPr>
        <w:t>1.一般约定</w:t>
      </w:r>
      <w:bookmarkEnd w:id="772"/>
      <w:bookmarkEnd w:id="773"/>
    </w:p>
    <w:p w14:paraId="058CFBDC">
      <w:pPr>
        <w:pStyle w:val="6"/>
        <w:snapToGrid w:val="0"/>
        <w:spacing w:before="0" w:after="0" w:line="460" w:lineRule="exact"/>
        <w:rPr>
          <w:rFonts w:hint="eastAsia" w:ascii="宋体" w:hAnsi="宋体" w:eastAsia="宋体" w:cs="宋体"/>
          <w:bCs w:val="0"/>
          <w:color w:val="auto"/>
          <w:sz w:val="21"/>
          <w:szCs w:val="21"/>
        </w:rPr>
      </w:pPr>
      <w:bookmarkStart w:id="774" w:name="_Toc480790531"/>
      <w:bookmarkStart w:id="775" w:name="_Toc16116"/>
      <w:r>
        <w:rPr>
          <w:rFonts w:hint="eastAsia" w:ascii="宋体" w:hAnsi="宋体" w:eastAsia="宋体" w:cs="宋体"/>
          <w:bCs w:val="0"/>
          <w:color w:val="auto"/>
          <w:sz w:val="21"/>
          <w:szCs w:val="21"/>
        </w:rPr>
        <w:t>1.1  词语定义</w:t>
      </w:r>
      <w:bookmarkEnd w:id="774"/>
      <w:bookmarkEnd w:id="775"/>
    </w:p>
    <w:p w14:paraId="174E8F0C">
      <w:pPr>
        <w:spacing w:line="46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1.1.2.2 发包人：</w:t>
      </w:r>
      <w:r>
        <w:rPr>
          <w:rFonts w:hint="eastAsia" w:ascii="宋体" w:hAnsi="宋体" w:cs="宋体"/>
          <w:b/>
          <w:color w:val="auto"/>
          <w:szCs w:val="21"/>
          <w:u w:val="single"/>
          <w:lang w:eastAsia="zh-CN"/>
        </w:rPr>
        <w:t>重庆市铜梁区福果镇人民政府</w:t>
      </w:r>
    </w:p>
    <w:p w14:paraId="0AE67EB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1.1.2.3 承包人：</w:t>
      </w:r>
      <w:r>
        <w:rPr>
          <w:rFonts w:hint="eastAsia" w:ascii="宋体" w:hAnsi="宋体" w:cs="宋体"/>
          <w:color w:val="auto"/>
          <w:szCs w:val="21"/>
          <w:u w:val="single"/>
        </w:rPr>
        <w:t xml:space="preserve">                          </w:t>
      </w:r>
    </w:p>
    <w:p w14:paraId="27EE5356">
      <w:pPr>
        <w:spacing w:line="460" w:lineRule="exact"/>
        <w:ind w:left="840" w:leftChars="200" w:hanging="420" w:hangingChars="200"/>
        <w:rPr>
          <w:rFonts w:hint="eastAsia" w:ascii="宋体" w:hAnsi="宋体" w:cs="宋体"/>
          <w:color w:val="auto"/>
          <w:szCs w:val="21"/>
          <w:u w:val="single"/>
        </w:rPr>
      </w:pPr>
      <w:r>
        <w:rPr>
          <w:rFonts w:hint="eastAsia" w:ascii="宋体" w:hAnsi="宋体" w:cs="宋体"/>
          <w:color w:val="auto"/>
          <w:szCs w:val="21"/>
        </w:rPr>
        <w:t>1.1.2.6 监理人：</w:t>
      </w:r>
      <w:r>
        <w:rPr>
          <w:rFonts w:hint="eastAsia" w:ascii="宋体" w:hAnsi="宋体" w:cs="宋体"/>
          <w:color w:val="auto"/>
          <w:szCs w:val="21"/>
          <w:u w:val="single"/>
        </w:rPr>
        <w:t xml:space="preserve">                          </w:t>
      </w:r>
    </w:p>
    <w:p w14:paraId="244C666F">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1.1.3.1 工程和设备：</w:t>
      </w:r>
    </w:p>
    <w:p w14:paraId="76562F9B">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1.1.3.2  永久工程：</w:t>
      </w:r>
      <w:r>
        <w:rPr>
          <w:rFonts w:hint="eastAsia" w:ascii="宋体" w:hAnsi="宋体" w:cs="宋体"/>
          <w:snapToGrid w:val="0"/>
          <w:color w:val="auto"/>
          <w:kern w:val="0"/>
          <w:szCs w:val="21"/>
          <w:u w:val="single"/>
        </w:rPr>
        <w:t>施工图及工程量清单范围内全部</w:t>
      </w:r>
      <w:r>
        <w:rPr>
          <w:rFonts w:hint="eastAsia" w:ascii="宋体" w:hAnsi="宋体" w:cs="宋体"/>
          <w:color w:val="auto"/>
          <w:kern w:val="0"/>
          <w:szCs w:val="21"/>
          <w:u w:val="single"/>
        </w:rPr>
        <w:t>工作内容</w:t>
      </w:r>
      <w:r>
        <w:rPr>
          <w:rFonts w:hint="eastAsia" w:ascii="宋体" w:hAnsi="宋体" w:cs="宋体"/>
          <w:color w:val="auto"/>
          <w:kern w:val="0"/>
          <w:szCs w:val="21"/>
        </w:rPr>
        <w:t>。</w:t>
      </w:r>
    </w:p>
    <w:p w14:paraId="407CE6A3">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1.1.3.3. 临时工程：</w:t>
      </w:r>
      <w:r>
        <w:rPr>
          <w:rFonts w:hint="eastAsia" w:ascii="宋体" w:hAnsi="宋体" w:cs="宋体"/>
          <w:color w:val="auto"/>
          <w:szCs w:val="21"/>
          <w:u w:val="single"/>
        </w:rPr>
        <w:t>为完成合同约定的永久工程所修建的施工供水工程、施工照明工程等。</w:t>
      </w:r>
    </w:p>
    <w:p w14:paraId="25D5B64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1.1.3.4.单位工程：</w:t>
      </w:r>
      <w:r>
        <w:rPr>
          <w:rFonts w:hint="eastAsia" w:ascii="宋体" w:hAnsi="宋体" w:cs="宋体"/>
          <w:color w:val="auto"/>
          <w:szCs w:val="21"/>
          <w:u w:val="single"/>
        </w:rPr>
        <w:t>指本工程施工图所明确的工作内容。</w:t>
      </w:r>
    </w:p>
    <w:p w14:paraId="3B06DDA8">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1.1.3.10.永久占地：</w:t>
      </w:r>
      <w:r>
        <w:rPr>
          <w:rFonts w:hint="eastAsia" w:ascii="宋体" w:hAnsi="宋体" w:cs="宋体"/>
          <w:color w:val="auto"/>
          <w:szCs w:val="21"/>
          <w:u w:val="single"/>
        </w:rPr>
        <w:t>为实施合同工程需要的永久占地范围。用地图纸上应标明占地界限和坐标。</w:t>
      </w:r>
    </w:p>
    <w:p w14:paraId="381D67BD">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1.1.3.11 临时占地：</w:t>
      </w:r>
      <w:r>
        <w:rPr>
          <w:rFonts w:hint="eastAsia" w:ascii="宋体" w:hAnsi="宋体" w:cs="宋体"/>
          <w:color w:val="auto"/>
          <w:szCs w:val="21"/>
          <w:u w:val="single"/>
        </w:rPr>
        <w:t>为实施合同工程需要临时占地的范围，包括图纸中可供承包人使用的临时占地范围，以及发包人为实施合同需要的临时占地范围。</w:t>
      </w:r>
    </w:p>
    <w:p w14:paraId="5F4AA445">
      <w:pPr>
        <w:spacing w:line="460" w:lineRule="exact"/>
        <w:ind w:firstLine="460" w:firstLineChars="200"/>
        <w:rPr>
          <w:rFonts w:hint="eastAsia" w:ascii="宋体" w:hAnsi="宋体" w:cs="宋体"/>
          <w:color w:val="auto"/>
          <w:szCs w:val="21"/>
          <w:u w:val="single"/>
        </w:rPr>
      </w:pPr>
      <w:r>
        <w:rPr>
          <w:rFonts w:hint="eastAsia" w:ascii="宋体" w:hAnsi="宋体" w:cs="宋体"/>
          <w:color w:val="auto"/>
          <w:sz w:val="23"/>
        </w:rPr>
        <w:t>1.1.4  日期</w:t>
      </w:r>
    </w:p>
    <w:p w14:paraId="3D02945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1.1.4.2 开工日期： 以监理工程师发出的开工令为准。</w:t>
      </w:r>
    </w:p>
    <w:p w14:paraId="277CC882">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1.1.4.3 工期：</w:t>
      </w:r>
      <w:r>
        <w:rPr>
          <w:rFonts w:hint="eastAsia" w:ascii="宋体" w:hAnsi="宋体" w:cs="宋体"/>
          <w:b/>
          <w:bCs/>
          <w:color w:val="auto"/>
          <w:szCs w:val="21"/>
          <w:highlight w:val="none"/>
          <w:u w:val="single"/>
          <w:lang w:val="en-US" w:eastAsia="zh-CN"/>
        </w:rPr>
        <w:t>30日历天</w:t>
      </w:r>
      <w:r>
        <w:rPr>
          <w:rFonts w:hint="eastAsia" w:ascii="宋体" w:hAnsi="宋体" w:cs="宋体"/>
          <w:color w:val="auto"/>
          <w:szCs w:val="21"/>
          <w:highlight w:val="none"/>
          <w:u w:val="single"/>
        </w:rPr>
        <w:t>。</w:t>
      </w:r>
    </w:p>
    <w:p w14:paraId="5AD42463">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1.1.4.5缺陷责任期的期限：</w:t>
      </w:r>
      <w:r>
        <w:rPr>
          <w:rFonts w:hint="eastAsia"/>
          <w:b/>
          <w:color w:val="auto"/>
          <w:highlight w:val="none"/>
          <w:u w:val="single"/>
          <w:lang w:val="en-US" w:eastAsia="zh-CN"/>
        </w:rPr>
        <w:t>12个月</w:t>
      </w:r>
      <w:r>
        <w:rPr>
          <w:rFonts w:hint="eastAsia"/>
          <w:b/>
          <w:color w:val="auto"/>
          <w:highlight w:val="none"/>
          <w:u w:val="single"/>
        </w:rPr>
        <w:t>，自工程竣工验收合格之日起计算。</w:t>
      </w:r>
    </w:p>
    <w:p w14:paraId="6C74F69B">
      <w:pPr>
        <w:pStyle w:val="6"/>
        <w:snapToGrid w:val="0"/>
        <w:spacing w:before="0" w:after="0" w:line="460" w:lineRule="exact"/>
        <w:rPr>
          <w:rFonts w:hint="eastAsia" w:ascii="宋体" w:hAnsi="宋体" w:eastAsia="宋体" w:cs="宋体"/>
          <w:bCs w:val="0"/>
          <w:color w:val="auto"/>
          <w:sz w:val="21"/>
          <w:szCs w:val="21"/>
        </w:rPr>
      </w:pPr>
      <w:bookmarkStart w:id="776" w:name="_Toc13137"/>
      <w:bookmarkStart w:id="777" w:name="_Toc480790532"/>
      <w:r>
        <w:rPr>
          <w:rFonts w:hint="eastAsia" w:ascii="宋体" w:hAnsi="宋体" w:eastAsia="宋体" w:cs="宋体"/>
          <w:bCs w:val="0"/>
          <w:color w:val="auto"/>
          <w:sz w:val="21"/>
          <w:szCs w:val="21"/>
        </w:rPr>
        <w:t>1.4  合同文件的优先顺序</w:t>
      </w:r>
      <w:bookmarkEnd w:id="776"/>
      <w:bookmarkEnd w:id="777"/>
    </w:p>
    <w:p w14:paraId="4AFEFE41">
      <w:pPr>
        <w:spacing w:line="460" w:lineRule="exact"/>
        <w:ind w:firstLine="315" w:firstLineChars="150"/>
        <w:jc w:val="left"/>
        <w:rPr>
          <w:rFonts w:hint="eastAsia" w:ascii="宋体" w:hAnsi="宋体" w:cs="宋体"/>
          <w:snapToGrid w:val="0"/>
          <w:color w:val="auto"/>
          <w:szCs w:val="21"/>
        </w:rPr>
      </w:pPr>
      <w:r>
        <w:rPr>
          <w:rFonts w:hint="eastAsia" w:ascii="宋体" w:hAnsi="宋体" w:cs="宋体"/>
          <w:snapToGrid w:val="0"/>
          <w:color w:val="auto"/>
          <w:kern w:val="0"/>
          <w:szCs w:val="21"/>
        </w:rPr>
        <w:t>合同文件的优先顺序</w:t>
      </w:r>
      <w:r>
        <w:rPr>
          <w:rFonts w:hint="eastAsia" w:ascii="宋体" w:hAnsi="宋体" w:cs="宋体"/>
          <w:snapToGrid w:val="0"/>
          <w:color w:val="auto"/>
          <w:szCs w:val="21"/>
        </w:rPr>
        <w:t>：</w:t>
      </w:r>
    </w:p>
    <w:p w14:paraId="49F2C0AD">
      <w:pPr>
        <w:spacing w:line="460" w:lineRule="exact"/>
        <w:ind w:firstLine="210" w:firstLineChars="100"/>
        <w:jc w:val="left"/>
        <w:rPr>
          <w:rFonts w:hint="eastAsia" w:ascii="宋体" w:hAnsi="宋体" w:cs="宋体"/>
          <w:color w:val="auto"/>
          <w:szCs w:val="21"/>
          <w:u w:val="single"/>
        </w:rPr>
      </w:pPr>
      <w:bookmarkStart w:id="778" w:name="_Toc3599"/>
      <w:bookmarkStart w:id="779" w:name="_Toc480790533"/>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14:paraId="4C0DB0D7">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中选通知书；</w:t>
      </w:r>
    </w:p>
    <w:p w14:paraId="7A3F77E6">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14:paraId="45A8491F">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14:paraId="7BF6E1FC">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14:paraId="0B1441F5">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14:paraId="4DEE78E2">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14:paraId="076C993F">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14:paraId="4A6E3AA6">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14:paraId="3B7E203B">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14:paraId="3C30E2D6">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14:paraId="380F350F">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1.5  合同生效的条件</w:t>
      </w:r>
      <w:bookmarkEnd w:id="778"/>
      <w:bookmarkEnd w:id="779"/>
    </w:p>
    <w:p w14:paraId="0496448F">
      <w:pPr>
        <w:spacing w:line="460" w:lineRule="exact"/>
        <w:ind w:firstLine="420" w:firstLineChars="200"/>
        <w:jc w:val="left"/>
        <w:rPr>
          <w:rFonts w:hint="eastAsia" w:ascii="宋体" w:hAnsi="宋体" w:cs="宋体"/>
          <w:color w:val="auto"/>
          <w:szCs w:val="21"/>
          <w:u w:val="single"/>
        </w:rPr>
      </w:pPr>
      <w:r>
        <w:rPr>
          <w:rFonts w:hint="eastAsia" w:ascii="宋体" w:hAnsi="宋体" w:cs="宋体"/>
          <w:snapToGrid w:val="0"/>
          <w:color w:val="auto"/>
          <w:szCs w:val="21"/>
        </w:rPr>
        <w:t>合同生效的条件：</w:t>
      </w:r>
      <w:r>
        <w:rPr>
          <w:rFonts w:hint="eastAsia" w:ascii="宋体" w:hAnsi="宋体" w:cs="宋体"/>
          <w:color w:val="auto"/>
          <w:szCs w:val="21"/>
          <w:u w:val="single"/>
        </w:rPr>
        <w:t>双方的法定代表人或其委托代理人在合同协议书上签字、盖公章后合同生效。</w:t>
      </w:r>
    </w:p>
    <w:p w14:paraId="72F64408">
      <w:pPr>
        <w:pStyle w:val="6"/>
        <w:snapToGrid w:val="0"/>
        <w:spacing w:before="0" w:after="0" w:line="460" w:lineRule="exact"/>
        <w:rPr>
          <w:rFonts w:hint="eastAsia" w:ascii="宋体" w:hAnsi="宋体" w:eastAsia="宋体" w:cs="宋体"/>
          <w:bCs w:val="0"/>
          <w:color w:val="auto"/>
          <w:sz w:val="21"/>
          <w:szCs w:val="21"/>
        </w:rPr>
      </w:pPr>
      <w:bookmarkStart w:id="780" w:name="_Toc480790534"/>
      <w:bookmarkStart w:id="781" w:name="_Toc23178"/>
      <w:r>
        <w:rPr>
          <w:rFonts w:hint="eastAsia" w:ascii="宋体" w:hAnsi="宋体" w:eastAsia="宋体" w:cs="宋体"/>
          <w:bCs w:val="0"/>
          <w:color w:val="auto"/>
          <w:sz w:val="21"/>
          <w:szCs w:val="21"/>
        </w:rPr>
        <w:t>1.6  图纸和承包人文件</w:t>
      </w:r>
      <w:bookmarkEnd w:id="780"/>
      <w:bookmarkEnd w:id="781"/>
    </w:p>
    <w:p w14:paraId="05461B41">
      <w:pPr>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1.6.1  发包人提供图纸的期限、数量：</w:t>
      </w:r>
      <w:r>
        <w:rPr>
          <w:rFonts w:hint="eastAsia" w:ascii="宋体" w:hAnsi="宋体" w:cs="宋体"/>
          <w:color w:val="auto"/>
          <w:szCs w:val="21"/>
          <w:u w:val="single"/>
        </w:rPr>
        <w:t>签订合同后3日内提供1套图纸（含电子文件），若承包人要求增加，产生的费用由承包人支付。</w:t>
      </w:r>
    </w:p>
    <w:p w14:paraId="3B28D4D7">
      <w:pPr>
        <w:tabs>
          <w:tab w:val="left" w:pos="-360"/>
          <w:tab w:val="left" w:pos="0"/>
        </w:tabs>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图纸会审和设计交底的时间：</w:t>
      </w:r>
      <w:r>
        <w:rPr>
          <w:rFonts w:hint="eastAsia" w:ascii="宋体" w:hAnsi="宋体" w:cs="宋体"/>
          <w:color w:val="auto"/>
          <w:szCs w:val="21"/>
          <w:u w:val="single"/>
        </w:rPr>
        <w:t>合同签订后三日内。</w:t>
      </w:r>
    </w:p>
    <w:p w14:paraId="5BE74169">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1.6.2  承包人提供的文件范围：</w:t>
      </w:r>
      <w:r>
        <w:rPr>
          <w:rFonts w:hint="eastAsia" w:ascii="宋体" w:hAnsi="宋体" w:cs="宋体"/>
          <w:color w:val="auto"/>
          <w:szCs w:val="21"/>
          <w:u w:val="single"/>
        </w:rPr>
        <w:t>施工组织设计、专项施工方案、安全应急方案、进度计划、月报表及计划、周报表及计划、竣工资料及施工过程中因工程变更需要报送的施工方案、施工过程中涉及工程价款变更的相关资料、完整的竣工结算资料等。</w:t>
      </w:r>
    </w:p>
    <w:p w14:paraId="4CAE53D9">
      <w:pPr>
        <w:spacing w:line="460" w:lineRule="exact"/>
        <w:ind w:firstLine="420" w:firstLineChars="200"/>
        <w:jc w:val="left"/>
        <w:rPr>
          <w:rFonts w:hint="eastAsia" w:ascii="宋体" w:hAnsi="宋体" w:cs="宋体"/>
          <w:color w:val="auto"/>
          <w:szCs w:val="21"/>
        </w:rPr>
      </w:pPr>
      <w:r>
        <w:rPr>
          <w:rFonts w:hint="eastAsia" w:ascii="宋体" w:hAnsi="宋体" w:cs="宋体"/>
          <w:color w:val="auto"/>
          <w:szCs w:val="21"/>
        </w:rPr>
        <w:t>承包人提供文件的期限、数量：</w:t>
      </w:r>
    </w:p>
    <w:p w14:paraId="10C6BBCA">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1.每周四提交施工周报，包括上周完成情况及本周计划，一式四份。</w:t>
      </w:r>
    </w:p>
    <w:p w14:paraId="29BFFD4E">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2.图纸会审交底后五个工作日内，向发包人提供完善（经优化）的施工组织设计和工程进度总计划及本年度施工进度计划一式叁份。进度计划安排必须符合发包人对本工程总体进度计划的安排，按时提交其他专业施工所需工作面。</w:t>
      </w:r>
    </w:p>
    <w:p w14:paraId="444418F0">
      <w:pPr>
        <w:spacing w:line="460" w:lineRule="exact"/>
        <w:jc w:val="left"/>
        <w:rPr>
          <w:rFonts w:hint="eastAsia" w:ascii="宋体" w:hAnsi="宋体" w:cs="宋体"/>
          <w:color w:val="auto"/>
          <w:szCs w:val="21"/>
          <w:u w:val="single"/>
        </w:rPr>
      </w:pPr>
      <w:r>
        <w:rPr>
          <w:rFonts w:hint="eastAsia" w:ascii="宋体" w:hAnsi="宋体" w:cs="宋体"/>
          <w:color w:val="auto"/>
          <w:szCs w:val="21"/>
        </w:rPr>
        <w:t>监理人批复承包人提供文件的期限：</w:t>
      </w:r>
      <w:r>
        <w:rPr>
          <w:rFonts w:hint="eastAsia" w:ascii="宋体" w:hAnsi="宋体" w:cs="宋体"/>
          <w:color w:val="auto"/>
          <w:szCs w:val="21"/>
          <w:u w:val="single"/>
        </w:rPr>
        <w:t>收到施工组织设计和进度计划后五个工作日内审查确认，月进度报表及次月工程进度计划审批时间</w:t>
      </w:r>
      <w:r>
        <w:rPr>
          <w:rFonts w:hint="eastAsia" w:ascii="宋体" w:hAnsi="宋体" w:cs="宋体"/>
          <w:color w:val="auto"/>
          <w:szCs w:val="21"/>
          <w:u w:val="single"/>
          <w:lang w:eastAsia="zh-CN"/>
        </w:rPr>
        <w:t>为两个</w:t>
      </w:r>
      <w:r>
        <w:rPr>
          <w:rFonts w:hint="eastAsia" w:ascii="宋体" w:hAnsi="宋体" w:cs="宋体"/>
          <w:color w:val="auto"/>
          <w:szCs w:val="21"/>
          <w:u w:val="single"/>
        </w:rPr>
        <w:t>工作日 。</w:t>
      </w:r>
    </w:p>
    <w:p w14:paraId="1C01FFE2">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1.6.3  监理人签发图纸修改的期限：</w:t>
      </w:r>
      <w:r>
        <w:rPr>
          <w:rFonts w:hint="eastAsia" w:ascii="宋体" w:hAnsi="宋体" w:cs="宋体"/>
          <w:color w:val="auto"/>
          <w:szCs w:val="21"/>
          <w:u w:val="single"/>
        </w:rPr>
        <w:t xml:space="preserve">工程若有变更，监理人在征得发包人同意后，在该工程或工程相应部位施工前3天将修改图纸签发给承包人，承包人按修改后的图纸施工。 </w:t>
      </w:r>
      <w:r>
        <w:rPr>
          <w:rFonts w:hint="eastAsia" w:ascii="宋体" w:hAnsi="宋体" w:cs="宋体"/>
          <w:color w:val="auto"/>
          <w:szCs w:val="21"/>
        </w:rPr>
        <w:t xml:space="preserve">                     </w:t>
      </w:r>
    </w:p>
    <w:p w14:paraId="2F7D8DE1">
      <w:pPr>
        <w:pStyle w:val="6"/>
        <w:snapToGrid w:val="0"/>
        <w:spacing w:before="0" w:after="0" w:line="460" w:lineRule="exact"/>
        <w:rPr>
          <w:rFonts w:hint="eastAsia" w:ascii="宋体" w:hAnsi="宋体" w:eastAsia="宋体" w:cs="宋体"/>
          <w:bCs w:val="0"/>
          <w:color w:val="auto"/>
          <w:sz w:val="21"/>
          <w:szCs w:val="21"/>
        </w:rPr>
      </w:pPr>
      <w:bookmarkStart w:id="782" w:name="_Toc480790535"/>
      <w:bookmarkStart w:id="783" w:name="_Toc4709"/>
      <w:r>
        <w:rPr>
          <w:rFonts w:hint="eastAsia" w:ascii="宋体" w:hAnsi="宋体" w:eastAsia="宋体" w:cs="宋体"/>
          <w:bCs w:val="0"/>
          <w:color w:val="auto"/>
          <w:sz w:val="21"/>
          <w:szCs w:val="21"/>
        </w:rPr>
        <w:t>1.7  联络</w:t>
      </w:r>
      <w:bookmarkEnd w:id="782"/>
      <w:bookmarkEnd w:id="783"/>
    </w:p>
    <w:p w14:paraId="02AA47D9">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1.7.2  联络送达的期限：</w:t>
      </w:r>
      <w:r>
        <w:rPr>
          <w:rFonts w:hint="eastAsia" w:ascii="宋体" w:hAnsi="宋体" w:cs="宋体"/>
          <w:color w:val="auto"/>
          <w:szCs w:val="21"/>
          <w:u w:val="single"/>
        </w:rPr>
        <w:t>各类文件的送达时间按本合同条款第1.6的规定执行，并办理签收手续。若未按时办理签收手续，视为文件未在规定的时间内送达。送达地点为发包人、监理人、承包人在本项目的现场办公室内。</w:t>
      </w:r>
    </w:p>
    <w:p w14:paraId="4D611236">
      <w:pPr>
        <w:pStyle w:val="6"/>
        <w:snapToGrid w:val="0"/>
        <w:spacing w:before="0" w:after="0" w:line="460" w:lineRule="exact"/>
        <w:rPr>
          <w:rFonts w:hint="eastAsia" w:ascii="宋体" w:hAnsi="宋体" w:eastAsia="宋体" w:cs="宋体"/>
          <w:snapToGrid w:val="0"/>
          <w:color w:val="auto"/>
          <w:sz w:val="24"/>
          <w:szCs w:val="24"/>
        </w:rPr>
      </w:pPr>
      <w:bookmarkStart w:id="784" w:name="_Toc480790536"/>
      <w:bookmarkStart w:id="785" w:name="_Toc14493"/>
      <w:r>
        <w:rPr>
          <w:rFonts w:hint="eastAsia" w:ascii="宋体" w:hAnsi="宋体" w:eastAsia="宋体" w:cs="宋体"/>
          <w:snapToGrid w:val="0"/>
          <w:color w:val="auto"/>
          <w:sz w:val="24"/>
          <w:szCs w:val="24"/>
        </w:rPr>
        <w:t>2.发包人义务</w:t>
      </w:r>
      <w:bookmarkEnd w:id="784"/>
      <w:bookmarkEnd w:id="785"/>
    </w:p>
    <w:p w14:paraId="377421F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2.3发包人提供的施工场地：</w:t>
      </w:r>
      <w:r>
        <w:rPr>
          <w:rFonts w:hint="eastAsia" w:ascii="宋体" w:hAnsi="宋体" w:cs="宋体"/>
          <w:color w:val="auto"/>
          <w:szCs w:val="21"/>
          <w:u w:val="single"/>
        </w:rPr>
        <w:t xml:space="preserve"> 施工图设计文件用地红线范围内的区域</w:t>
      </w:r>
      <w:r>
        <w:rPr>
          <w:rFonts w:hint="eastAsia" w:ascii="宋体" w:hAnsi="宋体" w:cs="宋体"/>
          <w:color w:val="auto"/>
          <w:szCs w:val="21"/>
        </w:rPr>
        <w:t>。</w:t>
      </w:r>
    </w:p>
    <w:p w14:paraId="5F62B3AD">
      <w:pPr>
        <w:spacing w:line="460" w:lineRule="exact"/>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Cs w:val="21"/>
        </w:rPr>
        <w:t xml:space="preserve"> 2.8 </w:t>
      </w:r>
      <w:r>
        <w:rPr>
          <w:rFonts w:hint="eastAsia" w:ascii="宋体" w:hAnsi="宋体" w:cs="宋体"/>
          <w:color w:val="auto"/>
        </w:rPr>
        <w:t>其他义务</w:t>
      </w:r>
    </w:p>
    <w:p w14:paraId="4796804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发包人应履行合同约定的其他义务及对工程质量进行监督的义务，并享有相应的权利。</w:t>
      </w:r>
    </w:p>
    <w:p w14:paraId="07A6E5A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2.8.1协助承包人协调与工程相关部门的工作及各类矛盾，并做好相关服务工作。</w:t>
      </w:r>
    </w:p>
    <w:p w14:paraId="0FC29A0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2.8.2审查承包人开工报告及进度计划，并督促承包人按批准的建设进度计划实施。</w:t>
      </w:r>
    </w:p>
    <w:p w14:paraId="5E70A13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2.8.3有权组织发包人委托的机构定期或不定期检查本工程质量、进度、安全文明施工情况。对质量达不到设计文件和国家及行业现行技术标准、规范，进度不能满足已获批准的进度计划，安全文明施工存在重大隐患时，有权发出指令督促承包人限期整改，并报送政府相关职能管理部门。</w:t>
      </w:r>
    </w:p>
    <w:p w14:paraId="038DB89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2.8.4审核承包人工程计量报表，并按相关程序报批。</w:t>
      </w:r>
    </w:p>
    <w:p w14:paraId="78FFEF6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2.8.5负责对项目因发生设计变更、工程量增减及新增建设内容的核定，签证计量和涉及费用变化项目的审核工作，并按相关程序报批。</w:t>
      </w:r>
    </w:p>
    <w:p w14:paraId="389A4C0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2.8.6参加隐蔽工程验收及相关验收。</w:t>
      </w:r>
    </w:p>
    <w:p w14:paraId="5C7C914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2.8.7无论验收与否，有权要求承包人对已隐蔽的工程进行重新检验。检验合格，由此发生的一切费用、损失由发包人承担，并相应顺延工期。检验不合格，承包人承担发生的一切费用，损失不予顺延。承包人应在检验后重新修复。</w:t>
      </w:r>
    </w:p>
    <w:p w14:paraId="31AB930B">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2.8.8 负责签收承包人或第三方向发包人递交的文件、文书、资料等。</w:t>
      </w:r>
    </w:p>
    <w:p w14:paraId="45A0569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2.8.9 有权要求承包人更换不称职的工作人员及不合格的工作班组。</w:t>
      </w:r>
    </w:p>
    <w:p w14:paraId="4F02D8CD">
      <w:pPr>
        <w:pStyle w:val="5"/>
        <w:snapToGrid w:val="0"/>
        <w:spacing w:before="0" w:after="0" w:line="400" w:lineRule="exact"/>
        <w:rPr>
          <w:rFonts w:hint="eastAsia" w:ascii="宋体" w:hAnsi="宋体" w:cs="宋体"/>
          <w:snapToGrid w:val="0"/>
          <w:color w:val="auto"/>
          <w:sz w:val="24"/>
          <w:szCs w:val="24"/>
        </w:rPr>
      </w:pPr>
      <w:bookmarkStart w:id="786" w:name="_Toc480790537"/>
      <w:bookmarkStart w:id="787" w:name="_Toc11152"/>
      <w:r>
        <w:rPr>
          <w:rFonts w:hint="eastAsia" w:ascii="宋体" w:hAnsi="宋体" w:cs="宋体"/>
          <w:snapToGrid w:val="0"/>
          <w:color w:val="auto"/>
          <w:sz w:val="24"/>
          <w:szCs w:val="24"/>
        </w:rPr>
        <w:t>3.监理人</w:t>
      </w:r>
      <w:bookmarkEnd w:id="786"/>
      <w:bookmarkEnd w:id="787"/>
    </w:p>
    <w:p w14:paraId="26B15DBA">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3.1.1监理人的职权：对本工程项目的施工质量、进度、投资、安全文明施工、合同及信息管理等实施全过程监理和控制。对隐蔽工程及施工质量进行验收和工程量签认，对施工环境进行协调（凡涉及本工程设计变更、进度、工程量、造价等方面的监理通知须取得发包人审批）。</w:t>
      </w:r>
    </w:p>
    <w:p w14:paraId="77D5FCC4">
      <w:pPr>
        <w:pStyle w:val="5"/>
        <w:snapToGrid w:val="0"/>
        <w:spacing w:before="0" w:after="0" w:line="400" w:lineRule="exact"/>
        <w:rPr>
          <w:rFonts w:hint="eastAsia" w:ascii="宋体" w:hAnsi="宋体" w:cs="宋体"/>
          <w:snapToGrid w:val="0"/>
          <w:color w:val="auto"/>
          <w:sz w:val="24"/>
          <w:szCs w:val="24"/>
        </w:rPr>
      </w:pPr>
      <w:r>
        <w:rPr>
          <w:rFonts w:hint="eastAsia" w:ascii="宋体" w:hAnsi="宋体" w:cs="宋体"/>
          <w:snapToGrid w:val="0"/>
          <w:color w:val="auto"/>
          <w:sz w:val="24"/>
          <w:szCs w:val="24"/>
        </w:rPr>
        <w:t>4.承包人的一般义务</w:t>
      </w:r>
    </w:p>
    <w:p w14:paraId="03CF469D">
      <w:pPr>
        <w:pStyle w:val="5"/>
        <w:snapToGrid w:val="0"/>
        <w:spacing w:before="0" w:after="0" w:line="40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788" w:name="_Toc29972"/>
      <w:bookmarkStart w:id="789" w:name="_Toc480790538"/>
      <w:r>
        <w:rPr>
          <w:rFonts w:hint="eastAsia" w:ascii="宋体" w:hAnsi="宋体" w:cs="宋体"/>
          <w:b w:val="0"/>
          <w:color w:val="auto"/>
          <w:sz w:val="21"/>
          <w:szCs w:val="21"/>
        </w:rPr>
        <w:t>4.1.9工程的维护和照管</w:t>
      </w:r>
      <w:bookmarkEnd w:id="788"/>
      <w:bookmarkEnd w:id="789"/>
    </w:p>
    <w:p w14:paraId="537C75F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14:paraId="46923C0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301F023F">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1A1B511E">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4.1.10其他义务</w:t>
      </w:r>
    </w:p>
    <w:p w14:paraId="7E2976DA">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14:paraId="51774CC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承担并支付为获得本合同工程所需的石料、砂、砾石、黏土或其他当地材料等所发生的料场使用费及其他开支或补偿费。发包人应尽可能协助承包人办理料场租用手续及解决使用过程中的有关问题。</w:t>
      </w:r>
    </w:p>
    <w:p w14:paraId="2329C71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应严格遵守国家有关解决拖欠工程款和民工工资的法律、法规，及时支付工程中的材料、设备贷款及民工工资等费用。承包人不得以任何借口拖欠材料、设备贷款及民工工资等费用，如果出现此种现象，发包人有权从履约保证金中代为支付其拖欠的材料、设备贷款及民工工资，并从应付给承包人的工程款中扣除相应款项。对恶意拖欠和拒不按计划支付的，作为不良记录纳入公路建设市场信用信息管理系统。</w:t>
      </w:r>
    </w:p>
    <w:p w14:paraId="0D2FB87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7E9615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工资支付表应如实记录支付单位、支付时间、支付对象、支付数额、支付对象的身份证号和签字等信息。民工花名册和工资支付表应报监理人备查。</w:t>
      </w:r>
    </w:p>
    <w:p w14:paraId="16D12F1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（3）承包人应履行项目专用合同条款约定的其他义务。</w:t>
      </w:r>
    </w:p>
    <w:p w14:paraId="502F9B56">
      <w:pPr>
        <w:pStyle w:val="6"/>
        <w:snapToGrid w:val="0"/>
        <w:spacing w:before="0" w:after="0" w:line="460" w:lineRule="exac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4.2 履约担保</w:t>
      </w:r>
    </w:p>
    <w:p w14:paraId="3B0033A9">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1.担保形式：履约保证金和农民工工资保证金</w:t>
      </w:r>
    </w:p>
    <w:p w14:paraId="4B2CC624">
      <w:pPr>
        <w:snapToGrid w:val="0"/>
        <w:spacing w:line="46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2.金额：履约保证金为发包价的10%，农民工工资保证金为中标金额的2%</w:t>
      </w:r>
      <w:r>
        <w:rPr>
          <w:rFonts w:hint="eastAsia" w:ascii="宋体" w:hAnsi="宋体" w:cs="宋体"/>
          <w:color w:val="auto"/>
          <w:kern w:val="0"/>
          <w:szCs w:val="21"/>
          <w:lang w:eastAsia="zh-CN"/>
        </w:rPr>
        <w:t>。</w:t>
      </w:r>
    </w:p>
    <w:p w14:paraId="4A22375F">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3.提交方式：现金或</w:t>
      </w:r>
      <w:r>
        <w:rPr>
          <w:rFonts w:hint="eastAsia" w:ascii="宋体" w:hAnsi="宋体" w:cs="宋体"/>
          <w:color w:val="auto"/>
          <w:kern w:val="0"/>
          <w:szCs w:val="21"/>
          <w:lang w:eastAsia="zh-CN"/>
        </w:rPr>
        <w:t>履约保函</w:t>
      </w:r>
      <w:r>
        <w:rPr>
          <w:rFonts w:hint="eastAsia" w:ascii="宋体" w:hAnsi="宋体" w:cs="宋体"/>
          <w:color w:val="auto"/>
          <w:kern w:val="0"/>
          <w:szCs w:val="21"/>
        </w:rPr>
        <w:t>或现金+</w:t>
      </w:r>
      <w:r>
        <w:rPr>
          <w:rFonts w:hint="eastAsia" w:ascii="宋体" w:hAnsi="宋体" w:cs="宋体"/>
          <w:color w:val="auto"/>
          <w:kern w:val="0"/>
          <w:szCs w:val="21"/>
          <w:lang w:eastAsia="zh-CN"/>
        </w:rPr>
        <w:t>履约保函</w:t>
      </w:r>
      <w:r>
        <w:rPr>
          <w:rFonts w:hint="eastAsia" w:ascii="宋体" w:hAnsi="宋体" w:cs="宋体"/>
          <w:color w:val="auto"/>
          <w:kern w:val="0"/>
          <w:szCs w:val="21"/>
        </w:rPr>
        <w:t>的组合；采用</w:t>
      </w:r>
      <w:r>
        <w:rPr>
          <w:rFonts w:hint="eastAsia" w:ascii="宋体" w:hAnsi="宋体" w:cs="宋体"/>
          <w:color w:val="auto"/>
          <w:kern w:val="0"/>
          <w:szCs w:val="21"/>
          <w:lang w:eastAsia="zh-CN"/>
        </w:rPr>
        <w:t>履约保函</w:t>
      </w:r>
      <w:r>
        <w:rPr>
          <w:rFonts w:hint="eastAsia" w:ascii="宋体" w:hAnsi="宋体" w:cs="宋体"/>
          <w:color w:val="auto"/>
          <w:kern w:val="0"/>
          <w:szCs w:val="21"/>
        </w:rPr>
        <w:t>形式的，保函必须为不可撤销且见索即付。</w:t>
      </w:r>
    </w:p>
    <w:p w14:paraId="02334974">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rPr>
        <w:t>4.缴纳时间：中选通知书发出之日起5个工作日内且在施工合同签订前，缴纳至发包人指定账户；若未按时缴纳，则视为中选人放弃中选资格，给发包人造成的损失，中选人应当予以赔偿。</w:t>
      </w:r>
    </w:p>
    <w:p w14:paraId="36FA5866">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除上述方式外，中选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p>
    <w:p w14:paraId="37FA481F">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信用报告的获取方式：中选人可在重庆市铜梁区市民服务和营商环境促进中心“信用服务”窗口、“信用中国（重庆铜梁）”官方网站，或中国人民银行备案的第三方征信机构官方网站获取信用报告。</w:t>
      </w:r>
    </w:p>
    <w:p w14:paraId="09D01094">
      <w:pPr>
        <w:numPr>
          <w:ilvl w:val="0"/>
          <w:numId w:val="6"/>
        </w:num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履约保证金和农民工工资保证金的退还：工程竣工验收合格后28日内一次性不计息返还。</w:t>
      </w:r>
    </w:p>
    <w:p w14:paraId="3204BF95">
      <w:pPr>
        <w:pStyle w:val="2"/>
        <w:numPr>
          <w:ilvl w:val="0"/>
          <w:numId w:val="0"/>
        </w:numPr>
        <w:rPr>
          <w:rFonts w:hint="eastAsia"/>
          <w:color w:val="auto"/>
        </w:rPr>
      </w:pPr>
    </w:p>
    <w:p w14:paraId="07BAE797">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4.3 分包</w:t>
      </w:r>
    </w:p>
    <w:p w14:paraId="5B7EE16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不允许</w:t>
      </w:r>
    </w:p>
    <w:p w14:paraId="36CE6D8D">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4.4联合体</w:t>
      </w:r>
    </w:p>
    <w:p w14:paraId="3FF2CAEA">
      <w:pPr>
        <w:spacing w:line="460" w:lineRule="exact"/>
        <w:ind w:firstLine="420" w:firstLineChars="200"/>
        <w:rPr>
          <w:rFonts w:hint="eastAsia" w:ascii="宋体" w:hAnsi="宋体" w:cs="宋体"/>
          <w:b/>
          <w:bCs/>
          <w:color w:val="auto"/>
          <w:szCs w:val="21"/>
        </w:rPr>
      </w:pPr>
      <w:r>
        <w:rPr>
          <w:rFonts w:hint="eastAsia" w:ascii="宋体" w:hAnsi="宋体" w:cs="宋体"/>
          <w:color w:val="auto"/>
          <w:szCs w:val="21"/>
        </w:rPr>
        <w:t>不接受</w:t>
      </w:r>
    </w:p>
    <w:p w14:paraId="0C338734">
      <w:pPr>
        <w:pStyle w:val="6"/>
        <w:snapToGrid w:val="0"/>
        <w:spacing w:before="0" w:after="0" w:line="460" w:lineRule="exact"/>
        <w:rPr>
          <w:rFonts w:hint="eastAsia" w:ascii="宋体" w:hAnsi="宋体" w:eastAsia="宋体" w:cs="宋体"/>
          <w:bCs w:val="0"/>
          <w:color w:val="auto"/>
          <w:sz w:val="21"/>
          <w:szCs w:val="21"/>
        </w:rPr>
      </w:pPr>
      <w:bookmarkStart w:id="790" w:name="_Toc152042430"/>
      <w:bookmarkStart w:id="791" w:name="_Toc152045652"/>
      <w:bookmarkStart w:id="792" w:name="_Toc179632670"/>
      <w:bookmarkStart w:id="793" w:name="_Toc480790415"/>
      <w:bookmarkStart w:id="794" w:name="_Toc144974620"/>
      <w:bookmarkStart w:id="795" w:name="_Toc234382726"/>
      <w:r>
        <w:rPr>
          <w:rFonts w:hint="eastAsia" w:ascii="宋体" w:hAnsi="宋体" w:eastAsia="宋体" w:cs="宋体"/>
          <w:bCs w:val="0"/>
          <w:color w:val="auto"/>
          <w:sz w:val="21"/>
          <w:szCs w:val="21"/>
        </w:rPr>
        <w:t>5.1 承包人提供的材料和工程设备</w:t>
      </w:r>
      <w:bookmarkEnd w:id="790"/>
      <w:bookmarkEnd w:id="791"/>
      <w:bookmarkEnd w:id="792"/>
      <w:bookmarkEnd w:id="793"/>
      <w:bookmarkEnd w:id="794"/>
      <w:bookmarkEnd w:id="795"/>
    </w:p>
    <w:p w14:paraId="5C517174">
      <w:pPr>
        <w:pStyle w:val="5"/>
        <w:keepNext w:val="0"/>
        <w:keepLines w:val="0"/>
        <w:snapToGrid w:val="0"/>
        <w:spacing w:before="0" w:after="0" w:line="460" w:lineRule="exact"/>
        <w:ind w:firstLine="420" w:firstLineChars="200"/>
        <w:rPr>
          <w:rFonts w:hint="eastAsia" w:ascii="宋体" w:hAnsi="宋体" w:cs="宋体"/>
          <w:b w:val="0"/>
          <w:bCs w:val="0"/>
          <w:color w:val="auto"/>
          <w:kern w:val="0"/>
          <w:sz w:val="21"/>
          <w:szCs w:val="24"/>
        </w:rPr>
      </w:pPr>
      <w:r>
        <w:rPr>
          <w:rFonts w:hint="eastAsia" w:ascii="宋体" w:hAnsi="宋体" w:cs="宋体"/>
          <w:b w:val="0"/>
          <w:bCs w:val="0"/>
          <w:color w:val="auto"/>
          <w:kern w:val="0"/>
          <w:sz w:val="21"/>
          <w:szCs w:val="24"/>
        </w:rPr>
        <w:t>5.1.2承包人应将各项材料和工程设备的供货人及品种、规格、数量和供货时间等报送监理人审批。承包人应向监理人提交其负责提供的材料和工程设备的质量证明文件，并满足合同约定的质量标准。</w:t>
      </w:r>
    </w:p>
    <w:p w14:paraId="0D9F8056">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5.2发包人提供的材料和工程设备</w:t>
      </w:r>
    </w:p>
    <w:p w14:paraId="46FEECD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不适用。</w:t>
      </w:r>
    </w:p>
    <w:p w14:paraId="7B10939A">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6.1 承包人提供的施工设备和临时设施</w:t>
      </w:r>
    </w:p>
    <w:p w14:paraId="0C18C67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6.1.2施工中的临时用地和临时工程（电力设施、电讯、临时便道、临时便桥等），施工及生活用水、用电等费用、协调由承包方自行负责，一切费用将其摊入工程量清单单价。借土场、弃土场用地其费用已包含在相应计价中。</w:t>
      </w:r>
    </w:p>
    <w:p w14:paraId="1BFDCD4D">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7.1道路通行权和场外设施</w:t>
      </w:r>
    </w:p>
    <w:p w14:paraId="06559C6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w:t>
      </w:r>
    </w:p>
    <w:p w14:paraId="1D90433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承包人应根据合同工程的施工需要，负责办理取得出入施工场地的专用和临时道路的通行权，以及取得为工程建设所需修建场外设施的权利，并承担有关费用。承包人自行办理相关手续。</w:t>
      </w:r>
    </w:p>
    <w:p w14:paraId="1AD98402">
      <w:pPr>
        <w:pStyle w:val="6"/>
        <w:keepNext w:val="0"/>
        <w:keepLines w:val="0"/>
        <w:snapToGrid w:val="0"/>
        <w:spacing w:before="0" w:after="0" w:line="460" w:lineRule="exact"/>
        <w:rPr>
          <w:rFonts w:hint="eastAsia" w:ascii="宋体" w:hAnsi="宋体" w:eastAsia="宋体" w:cs="宋体"/>
          <w:snapToGrid w:val="0"/>
          <w:color w:val="auto"/>
          <w:sz w:val="24"/>
          <w:szCs w:val="24"/>
        </w:rPr>
      </w:pPr>
      <w:bookmarkStart w:id="796" w:name="_Toc480790539"/>
      <w:bookmarkStart w:id="797" w:name="_Toc30686"/>
      <w:r>
        <w:rPr>
          <w:rFonts w:hint="eastAsia" w:ascii="宋体" w:hAnsi="宋体" w:eastAsia="宋体" w:cs="宋体"/>
          <w:snapToGrid w:val="0"/>
          <w:color w:val="auto"/>
          <w:sz w:val="24"/>
          <w:szCs w:val="24"/>
        </w:rPr>
        <w:t>8.测量放线</w:t>
      </w:r>
      <w:bookmarkEnd w:id="796"/>
      <w:bookmarkEnd w:id="797"/>
    </w:p>
    <w:p w14:paraId="6B2A9804">
      <w:pPr>
        <w:spacing w:line="460" w:lineRule="exact"/>
        <w:ind w:firstLine="359" w:firstLineChars="171"/>
        <w:rPr>
          <w:rFonts w:hint="eastAsia" w:ascii="宋体" w:hAnsi="宋体" w:cs="宋体"/>
          <w:color w:val="auto"/>
          <w:szCs w:val="21"/>
        </w:rPr>
      </w:pPr>
      <w:r>
        <w:rPr>
          <w:rFonts w:hint="eastAsia" w:ascii="宋体" w:hAnsi="宋体" w:cs="宋体"/>
          <w:color w:val="auto"/>
          <w:szCs w:val="21"/>
        </w:rPr>
        <w:t>8.1.1发包人应在合同签订后_</w:t>
      </w:r>
      <w:r>
        <w:rPr>
          <w:rFonts w:hint="eastAsia" w:ascii="宋体" w:hAnsi="宋体" w:cs="宋体"/>
          <w:color w:val="auto"/>
          <w:szCs w:val="21"/>
          <w:u w:val="single"/>
        </w:rPr>
        <w:t>3_</w:t>
      </w:r>
      <w:r>
        <w:rPr>
          <w:rFonts w:hint="eastAsia" w:ascii="宋体" w:hAnsi="宋体" w:cs="宋体"/>
          <w:color w:val="auto"/>
          <w:szCs w:val="21"/>
        </w:rPr>
        <w:t>天内通过监理人向承包人提供测量基准点、基准线和水准点及书面资料。承包人在收到后</w:t>
      </w:r>
      <w:r>
        <w:rPr>
          <w:rFonts w:hint="eastAsia" w:ascii="宋体" w:hAnsi="宋体" w:cs="宋体"/>
          <w:color w:val="auto"/>
          <w:szCs w:val="21"/>
          <w:u w:val="single"/>
        </w:rPr>
        <w:t xml:space="preserve"> 3 </w:t>
      </w:r>
      <w:r>
        <w:rPr>
          <w:rFonts w:hint="eastAsia" w:ascii="宋体" w:hAnsi="宋体" w:cs="宋体"/>
          <w:color w:val="auto"/>
          <w:szCs w:val="21"/>
        </w:rPr>
        <w:t>天内，应将施工控制网资料送监理人审批。</w:t>
      </w:r>
    </w:p>
    <w:p w14:paraId="3EBDCC32">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8.4监理人使用施工控制网</w:t>
      </w:r>
    </w:p>
    <w:p w14:paraId="5775984F">
      <w:pPr>
        <w:spacing w:line="460" w:lineRule="exact"/>
        <w:ind w:firstLine="420" w:firstLineChars="200"/>
        <w:rPr>
          <w:rFonts w:hint="eastAsia" w:ascii="宋体" w:hAnsi="宋体" w:cs="宋体"/>
          <w:color w:val="auto"/>
          <w:szCs w:val="21"/>
        </w:rPr>
      </w:pPr>
      <w:bookmarkStart w:id="798" w:name="_Toc264648001"/>
      <w:r>
        <w:rPr>
          <w:rFonts w:hint="eastAsia" w:ascii="宋体" w:hAnsi="宋体" w:cs="宋体"/>
          <w:color w:val="auto"/>
          <w:szCs w:val="21"/>
        </w:rPr>
        <w:t>本款补充：</w:t>
      </w:r>
      <w:bookmarkEnd w:id="798"/>
    </w:p>
    <w:p w14:paraId="19DA429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经监理人批准，其他相关承包人也可免费使用施工控制网。</w:t>
      </w:r>
    </w:p>
    <w:p w14:paraId="6C140C27">
      <w:pPr>
        <w:pStyle w:val="6"/>
        <w:snapToGrid w:val="0"/>
        <w:spacing w:before="0" w:after="0" w:line="460" w:lineRule="exact"/>
        <w:rPr>
          <w:rFonts w:hint="eastAsia" w:ascii="宋体" w:hAnsi="宋体" w:eastAsia="宋体" w:cs="宋体"/>
          <w:snapToGrid w:val="0"/>
          <w:color w:val="auto"/>
          <w:sz w:val="24"/>
          <w:szCs w:val="24"/>
        </w:rPr>
      </w:pPr>
      <w:bookmarkStart w:id="799" w:name="_Toc480790540"/>
      <w:bookmarkStart w:id="800" w:name="_Toc15925"/>
      <w:r>
        <w:rPr>
          <w:rFonts w:hint="eastAsia" w:ascii="宋体" w:hAnsi="宋体" w:eastAsia="宋体" w:cs="宋体"/>
          <w:snapToGrid w:val="0"/>
          <w:color w:val="auto"/>
          <w:sz w:val="24"/>
          <w:szCs w:val="24"/>
        </w:rPr>
        <w:t>9.施工安全、治安保卫和环境保护</w:t>
      </w:r>
      <w:bookmarkEnd w:id="799"/>
      <w:bookmarkEnd w:id="800"/>
    </w:p>
    <w:p w14:paraId="60DF6AAF">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9.2承包人的施工安全责任</w:t>
      </w:r>
    </w:p>
    <w:p w14:paraId="3EE2B706">
      <w:pPr>
        <w:spacing w:line="460" w:lineRule="exact"/>
        <w:ind w:firstLine="420" w:firstLineChars="200"/>
        <w:rPr>
          <w:rFonts w:hint="eastAsia" w:ascii="宋体" w:hAnsi="宋体" w:cs="宋体"/>
          <w:color w:val="auto"/>
          <w:szCs w:val="21"/>
        </w:rPr>
      </w:pPr>
      <w:bookmarkStart w:id="801" w:name="_Toc264648005"/>
      <w:r>
        <w:rPr>
          <w:rFonts w:hint="eastAsia" w:ascii="宋体" w:hAnsi="宋体" w:cs="宋体"/>
          <w:color w:val="auto"/>
          <w:szCs w:val="21"/>
        </w:rPr>
        <w:t>第9.2.1项细化为：</w:t>
      </w:r>
      <w:bookmarkEnd w:id="801"/>
    </w:p>
    <w:p w14:paraId="356E0FA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7A14AD8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本工程的实际安全施工要求，编制施工安全技术措施，并在签订合同协议书后14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企业技术负责人签字并报监理人和发包人批准后实施，由专职安全生产管理人员进行现场监督。</w:t>
      </w:r>
    </w:p>
    <w:p w14:paraId="7B36E84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本项目需要编制专项施工方案的工程包括但不限于以下内容：</w:t>
      </w:r>
    </w:p>
    <w:p w14:paraId="00F767C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（1）不良地质条件下有潜在危险性的土方、石方开挖；</w:t>
      </w:r>
    </w:p>
    <w:p w14:paraId="741F971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（2）维修过程中的车辆、行人的安全措施；</w:t>
      </w:r>
    </w:p>
    <w:p w14:paraId="7582FFA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（3）其他危险性较大的工程。</w:t>
      </w:r>
    </w:p>
    <w:p w14:paraId="09179AE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监理人和发包人在检查中发现有安全问题或有违反安全管理规章制度的情况时，可视其为承包人违约，应按第22.1款的规定处理。</w:t>
      </w:r>
    </w:p>
    <w:p w14:paraId="3E3C8414">
      <w:pPr>
        <w:spacing w:line="460" w:lineRule="exact"/>
        <w:ind w:firstLine="420" w:firstLineChars="200"/>
        <w:rPr>
          <w:rFonts w:hint="eastAsia" w:ascii="宋体" w:hAnsi="宋体" w:cs="宋体"/>
          <w:color w:val="auto"/>
          <w:szCs w:val="21"/>
        </w:rPr>
      </w:pPr>
      <w:bookmarkStart w:id="802" w:name="_Toc264648020"/>
      <w:r>
        <w:rPr>
          <w:rFonts w:hint="eastAsia" w:ascii="宋体" w:hAnsi="宋体" w:cs="宋体"/>
          <w:color w:val="auto"/>
          <w:szCs w:val="21"/>
        </w:rPr>
        <w:t>第9.2.5项细化为：</w:t>
      </w:r>
      <w:bookmarkEnd w:id="802"/>
    </w:p>
    <w:p w14:paraId="2F335EF9">
      <w:pPr>
        <w:spacing w:line="460" w:lineRule="exact"/>
        <w:ind w:firstLine="420" w:firstLineChars="200"/>
        <w:rPr>
          <w:rFonts w:hint="eastAsia" w:ascii="宋体" w:hAnsi="宋体" w:cs="宋体"/>
          <w:color w:val="auto"/>
          <w:szCs w:val="21"/>
        </w:rPr>
      </w:pPr>
      <w:bookmarkStart w:id="803" w:name="_Toc264648021"/>
      <w:r>
        <w:rPr>
          <w:rFonts w:hint="eastAsia" w:ascii="宋体" w:hAnsi="宋体" w:cs="宋体"/>
          <w:color w:val="auto"/>
          <w:szCs w:val="21"/>
        </w:rPr>
        <w:t>安全生产费用应计入总价中。</w:t>
      </w:r>
      <w:bookmarkEnd w:id="803"/>
    </w:p>
    <w:p w14:paraId="3857D40F">
      <w:pPr>
        <w:spacing w:line="460" w:lineRule="exact"/>
        <w:ind w:firstLine="420" w:firstLineChars="200"/>
        <w:rPr>
          <w:rFonts w:hint="eastAsia" w:ascii="宋体" w:hAnsi="宋体" w:cs="宋体"/>
          <w:color w:val="auto"/>
          <w:szCs w:val="21"/>
        </w:rPr>
      </w:pPr>
      <w:bookmarkStart w:id="804" w:name="_Toc264648022"/>
      <w:r>
        <w:rPr>
          <w:rFonts w:hint="eastAsia" w:ascii="宋体" w:hAnsi="宋体" w:cs="宋体"/>
          <w:color w:val="auto"/>
          <w:szCs w:val="21"/>
        </w:rPr>
        <w:t>本款补充第9.2.8项～9.2.10项：</w:t>
      </w:r>
      <w:bookmarkEnd w:id="804"/>
    </w:p>
    <w:p w14:paraId="2AC9B53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9.2.8承包人应充分关注和保障所有在现场工作的人员的安全，采取以下有效措施，使现场和本合同工程的实施保持有条不紊，以免使上述人员的安全受到威胁。</w:t>
      </w:r>
    </w:p>
    <w:p w14:paraId="0FBA046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（1）按《公路水运工程安全生产</w:t>
      </w:r>
      <w:r>
        <w:rPr>
          <w:rFonts w:hint="eastAsia" w:ascii="宋体" w:hAnsi="宋体" w:cs="宋体"/>
          <w:color w:val="auto"/>
          <w:szCs w:val="21"/>
          <w:lang w:eastAsia="zh-CN"/>
        </w:rPr>
        <w:t>监督管理</w:t>
      </w:r>
      <w:r>
        <w:rPr>
          <w:rFonts w:hint="eastAsia" w:ascii="宋体" w:hAnsi="宋体" w:cs="宋体"/>
          <w:color w:val="auto"/>
          <w:szCs w:val="21"/>
        </w:rPr>
        <w:t>办法》规定的最低数量和资质条件配备专职安全生产管理人员；</w:t>
      </w:r>
    </w:p>
    <w:p w14:paraId="19C5A80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（2）承包人的垂直运输机械作业人员、安装拆卸工、起重信号工、电工、焊工等国家规定的特种作业人员，必须按照国家规定经过专门的安全作业培训，并取得特种作业操作资格证书后，方可上岗作业；</w:t>
      </w:r>
    </w:p>
    <w:p w14:paraId="5587CDE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（3）所有施工机具设备和高空作业设备均应定期检查，并有安全员的签字记录。</w:t>
      </w:r>
    </w:p>
    <w:p w14:paraId="5A16E69C">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（4）根据本合同各单位工程的特点，严格执行《公路水运工程安全生产监督管理办法》、《公路工程施工安全技术规程》与《公路筑养路机械操作规程》的具体规定。</w:t>
      </w:r>
    </w:p>
    <w:p w14:paraId="57F91AA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9.2.9为保护本合同工程免遭损坏，或为了现场附近和过往群众的安全与方便，在确有必要的时候和地方，或当监理人或有关主管部门要求时，承包人应自费提供照明、警卫、护栅、警告标志等安全防护设施。</w:t>
      </w:r>
    </w:p>
    <w:p w14:paraId="7EDFA69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9.2.10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B09A947">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9.4环境保护</w:t>
      </w:r>
    </w:p>
    <w:p w14:paraId="4DCB9BBE">
      <w:pPr>
        <w:spacing w:line="460" w:lineRule="exact"/>
        <w:ind w:firstLine="420" w:firstLineChars="200"/>
        <w:rPr>
          <w:rFonts w:hint="eastAsia" w:ascii="宋体" w:hAnsi="宋体" w:cs="宋体"/>
          <w:color w:val="auto"/>
          <w:szCs w:val="21"/>
        </w:rPr>
      </w:pPr>
      <w:bookmarkStart w:id="805" w:name="_Toc264648032"/>
      <w:r>
        <w:rPr>
          <w:rFonts w:hint="eastAsia" w:ascii="宋体" w:hAnsi="宋体" w:cs="宋体"/>
          <w:color w:val="auto"/>
          <w:szCs w:val="21"/>
        </w:rPr>
        <w:t>本款补充第9.4.7～第9.4.11项：</w:t>
      </w:r>
      <w:bookmarkEnd w:id="805"/>
    </w:p>
    <w:p w14:paraId="54D028B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9.4.7 承包人应切实执行技术规范中有关环境保护方面的条款和规定。</w:t>
      </w:r>
    </w:p>
    <w:p w14:paraId="270496A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25B786AA">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（2）对于公路施工中粉尘污染的主要污染源——灰土拌和、施工车辆和筑路机械运行及运输产生的扬尘，应采取有效措施减轻施工现场的大气污染，保护人民健康，如：</w:t>
      </w:r>
    </w:p>
    <w:p w14:paraId="54EB213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a.拌和设备应有较好的密封，或有防尘设备。</w:t>
      </w:r>
    </w:p>
    <w:p w14:paraId="6D6DADC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b.施工通道、沥青混凝土拌和站及灰土拌和站应经常进行洒水降尘。</w:t>
      </w:r>
    </w:p>
    <w:p w14:paraId="1B53159A">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c.路面施工应注意保持水分，以免扬尘。</w:t>
      </w:r>
    </w:p>
    <w:p w14:paraId="34BED60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（3）采取可靠措施维持沿线村镇的居民饮水、农田灌溉、生产生活用电及通讯等管线的正常使用。</w:t>
      </w:r>
    </w:p>
    <w:p w14:paraId="040C176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7AB1B5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9.4.9在施工期间，承包人应随时保持现场整洁，施工设备和材料、工程设备应整齐妥善存放和储存，废料与垃圾及不再需要的临时设施应及时从现场清除、拆除并运走。</w:t>
      </w:r>
    </w:p>
    <w:p w14:paraId="3741E01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976F47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67858604">
      <w:pPr>
        <w:pStyle w:val="5"/>
        <w:snapToGrid w:val="0"/>
        <w:spacing w:before="0" w:after="0" w:line="460" w:lineRule="exact"/>
        <w:rPr>
          <w:rFonts w:hint="eastAsia" w:ascii="宋体" w:hAnsi="宋体" w:cs="宋体"/>
          <w:snapToGrid w:val="0"/>
          <w:color w:val="auto"/>
          <w:sz w:val="24"/>
          <w:szCs w:val="22"/>
        </w:rPr>
      </w:pPr>
      <w:bookmarkStart w:id="806" w:name="_Toc480790541"/>
      <w:bookmarkStart w:id="807" w:name="_Toc30975"/>
      <w:r>
        <w:rPr>
          <w:rFonts w:hint="eastAsia" w:ascii="宋体" w:hAnsi="宋体" w:cs="宋体"/>
          <w:snapToGrid w:val="0"/>
          <w:color w:val="auto"/>
          <w:sz w:val="24"/>
          <w:szCs w:val="22"/>
        </w:rPr>
        <w:t>10.进度计划</w:t>
      </w:r>
      <w:bookmarkEnd w:id="806"/>
      <w:bookmarkEnd w:id="807"/>
    </w:p>
    <w:p w14:paraId="6FF1B5B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10.1承包人应进场后_</w:t>
      </w:r>
      <w:r>
        <w:rPr>
          <w:rFonts w:hint="eastAsia" w:ascii="宋体" w:hAnsi="宋体" w:cs="宋体"/>
          <w:color w:val="auto"/>
          <w:szCs w:val="21"/>
          <w:u w:val="single"/>
        </w:rPr>
        <w:t>7</w:t>
      </w:r>
      <w:r>
        <w:rPr>
          <w:rFonts w:hint="eastAsia" w:ascii="宋体" w:hAnsi="宋体" w:cs="宋体"/>
          <w:color w:val="auto"/>
          <w:szCs w:val="21"/>
        </w:rPr>
        <w:t>_天内向监理人提供施工进度设计和施工方案说明，监理人应在_</w:t>
      </w:r>
      <w:r>
        <w:rPr>
          <w:rFonts w:hint="eastAsia" w:ascii="宋体" w:hAnsi="宋体" w:cs="宋体"/>
          <w:color w:val="auto"/>
          <w:szCs w:val="21"/>
          <w:u w:val="single"/>
        </w:rPr>
        <w:t>7</w:t>
      </w:r>
      <w:r>
        <w:rPr>
          <w:rFonts w:hint="eastAsia" w:ascii="宋体" w:hAnsi="宋体" w:cs="宋体"/>
          <w:color w:val="auto"/>
          <w:szCs w:val="21"/>
        </w:rPr>
        <w:t>_天内予以审批。</w:t>
      </w:r>
    </w:p>
    <w:p w14:paraId="4E46CE8C">
      <w:pPr>
        <w:pStyle w:val="5"/>
        <w:snapToGrid w:val="0"/>
        <w:spacing w:before="0" w:after="0" w:line="460" w:lineRule="exact"/>
        <w:rPr>
          <w:rFonts w:hint="eastAsia" w:ascii="宋体" w:hAnsi="宋体" w:cs="宋体"/>
          <w:snapToGrid w:val="0"/>
          <w:color w:val="auto"/>
          <w:sz w:val="24"/>
          <w:szCs w:val="24"/>
        </w:rPr>
      </w:pPr>
      <w:bookmarkStart w:id="808" w:name="_Toc29027"/>
      <w:bookmarkStart w:id="809" w:name="_Toc480790542"/>
      <w:r>
        <w:rPr>
          <w:rFonts w:hint="eastAsia" w:ascii="宋体" w:hAnsi="宋体" w:cs="宋体"/>
          <w:snapToGrid w:val="0"/>
          <w:color w:val="auto"/>
          <w:sz w:val="24"/>
          <w:szCs w:val="24"/>
        </w:rPr>
        <w:t>11.开工和竣工</w:t>
      </w:r>
      <w:bookmarkEnd w:id="808"/>
      <w:bookmarkEnd w:id="809"/>
    </w:p>
    <w:p w14:paraId="0F37F9DA">
      <w:pPr>
        <w:snapToGrid w:val="0"/>
        <w:spacing w:line="460" w:lineRule="exact"/>
        <w:rPr>
          <w:rFonts w:hint="eastAsia" w:ascii="宋体" w:hAnsi="宋体" w:cs="宋体"/>
          <w:b/>
          <w:color w:val="auto"/>
          <w:szCs w:val="21"/>
        </w:rPr>
      </w:pPr>
      <w:r>
        <w:rPr>
          <w:rFonts w:hint="eastAsia" w:ascii="宋体" w:hAnsi="宋体" w:cs="宋体"/>
          <w:b/>
          <w:color w:val="auto"/>
          <w:szCs w:val="21"/>
        </w:rPr>
        <w:t>11.3发包人的工期延误</w:t>
      </w:r>
    </w:p>
    <w:p w14:paraId="0134ABA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0BDE0A4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即使由于上述原因造成工期延误，如果受影响的工程并非处在工程施工进度网络计划的关键线路上，则承包人无权要求延长总工期。</w:t>
      </w:r>
    </w:p>
    <w:p w14:paraId="33027FAA">
      <w:pPr>
        <w:snapToGrid w:val="0"/>
        <w:spacing w:line="460" w:lineRule="exact"/>
        <w:rPr>
          <w:rFonts w:hint="eastAsia" w:ascii="宋体" w:hAnsi="宋体" w:cs="宋体"/>
          <w:b/>
          <w:color w:val="auto"/>
          <w:szCs w:val="21"/>
        </w:rPr>
      </w:pPr>
      <w:r>
        <w:rPr>
          <w:rFonts w:hint="eastAsia" w:ascii="宋体" w:hAnsi="宋体" w:cs="宋体"/>
          <w:b/>
          <w:color w:val="auto"/>
          <w:szCs w:val="21"/>
        </w:rPr>
        <w:t>11.4异常恶劣的气候条件</w:t>
      </w:r>
    </w:p>
    <w:p w14:paraId="3D69AE8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09F2EDA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异常气候条件是指项目所在地30年一遇的罕见气候现象（包括温度、降水、降雪、风等）。异常恶劣的气候条件在项目专用合同条款中作具体规定。</w:t>
      </w:r>
    </w:p>
    <w:p w14:paraId="12AD6D30">
      <w:pPr>
        <w:snapToGrid w:val="0"/>
        <w:spacing w:line="460" w:lineRule="exact"/>
        <w:rPr>
          <w:rFonts w:hint="eastAsia" w:ascii="宋体" w:hAnsi="宋体" w:cs="宋体"/>
          <w:b/>
          <w:color w:val="auto"/>
          <w:szCs w:val="21"/>
        </w:rPr>
      </w:pPr>
      <w:r>
        <w:rPr>
          <w:rFonts w:hint="eastAsia" w:ascii="宋体" w:hAnsi="宋体" w:cs="宋体"/>
          <w:b/>
          <w:color w:val="auto"/>
          <w:szCs w:val="21"/>
        </w:rPr>
        <w:t>11.5承包人的工期延误</w:t>
      </w:r>
    </w:p>
    <w:p w14:paraId="24F1DE6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14:paraId="5B97DFD3">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严格执行监理人批准的合同进度计划，对工程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49BA13B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如果承包人在接到监理人通知后的7天内，未能采取加快工程进度的措施，致使实际工程进度进一步滞后，或承包人虽采取了一些措施，仍无法按预计工期交工时，监理人应立即通知发包人。发包人在向承包人发出书面警告通知7天后，发包人可按第22.1款解除承包人的合同。</w:t>
      </w:r>
    </w:p>
    <w:p w14:paraId="4D5E7F44">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（3）由于承包人原因造成工期延误，承包人应支付逾期交工违约金。逾期交工违约金的计算方法在项目专用合同条款数据表中约定，时间自预定的交工日期起到交工验收</w:t>
      </w:r>
      <w:r>
        <w:rPr>
          <w:rFonts w:hint="eastAsia" w:ascii="宋体" w:hAnsi="宋体" w:cs="宋体"/>
          <w:color w:val="auto"/>
          <w:szCs w:val="21"/>
          <w:lang w:eastAsia="zh-CN"/>
        </w:rPr>
        <w:t>证书</w:t>
      </w:r>
      <w:r>
        <w:rPr>
          <w:rFonts w:hint="eastAsia" w:ascii="宋体" w:hAnsi="宋体" w:cs="宋体"/>
          <w:color w:val="auto"/>
          <w:szCs w:val="21"/>
        </w:rPr>
        <w:t>：每逾期一天支付</w:t>
      </w:r>
      <w:r>
        <w:rPr>
          <w:rFonts w:hint="eastAsia" w:ascii="宋体" w:hAnsi="宋体" w:cs="宋体"/>
          <w:color w:val="auto"/>
          <w:szCs w:val="21"/>
          <w:u w:val="single"/>
        </w:rPr>
        <w:t xml:space="preserve"> 1000</w:t>
      </w:r>
      <w:r>
        <w:rPr>
          <w:rFonts w:hint="eastAsia" w:ascii="宋体" w:hAnsi="宋体" w:cs="宋体"/>
          <w:color w:val="auto"/>
          <w:szCs w:val="21"/>
        </w:rPr>
        <w:t>元人民币 ，时间自预定的交工日期起到工程接收证书中写明的实际交工日期止（扣除已批准的延长工期），按天计算。逾期交工违约金累计金额最高不超过签约合同价的10%。发包人可以从应付或到期应付给承包人的任何款项中或采用其他方法扣除此违约金。</w:t>
      </w:r>
    </w:p>
    <w:p w14:paraId="0C66C15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承包人支付逾期交工违约金，不免除承包人完成工程及修补缺陷的义务。</w:t>
      </w:r>
    </w:p>
    <w:p w14:paraId="3ABB36E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如果在合同工作完工之前，已对合同工程内按时完工的单位工程签发了工程接收证书，则合同工程的逾期交工违约金，应按已签发工程接收证书的单位工程的价值占合同工程价值的比例予以减少，但本规定不应影响逾期交工违约金的规定限额。</w:t>
      </w:r>
    </w:p>
    <w:p w14:paraId="05116C9F">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（4）逾期交工违约金的计算方法：</w:t>
      </w:r>
      <w:r>
        <w:rPr>
          <w:rFonts w:hint="eastAsia" w:ascii="宋体" w:hAnsi="宋体" w:cs="宋体"/>
          <w:bCs/>
          <w:color w:val="auto"/>
          <w:szCs w:val="21"/>
        </w:rPr>
        <w:t>承包人不能按照协议书约定的交工日期交工的，每延期1日，承包人向发包人支付</w:t>
      </w:r>
      <w:r>
        <w:rPr>
          <w:rFonts w:hint="eastAsia" w:ascii="宋体" w:hAnsi="宋体" w:cs="宋体"/>
          <w:bCs/>
          <w:color w:val="auto"/>
          <w:szCs w:val="21"/>
          <w:u w:val="single"/>
        </w:rPr>
        <w:softHyphen/>
      </w:r>
      <w:r>
        <w:rPr>
          <w:rFonts w:hint="eastAsia" w:ascii="宋体" w:hAnsi="宋体" w:cs="宋体"/>
          <w:color w:val="auto"/>
          <w:szCs w:val="21"/>
          <w:u w:val="single"/>
        </w:rPr>
        <w:t>人民币1000.00元/天</w:t>
      </w:r>
      <w:r>
        <w:rPr>
          <w:rFonts w:hint="eastAsia" w:ascii="宋体" w:hAnsi="宋体" w:cs="宋体"/>
          <w:bCs/>
          <w:color w:val="auto"/>
          <w:szCs w:val="21"/>
        </w:rPr>
        <w:t>违约金；</w:t>
      </w:r>
      <w:r>
        <w:rPr>
          <w:rFonts w:hint="eastAsia" w:ascii="宋体" w:hAnsi="宋体" w:cs="宋体"/>
          <w:color w:val="auto"/>
          <w:szCs w:val="21"/>
        </w:rPr>
        <w:t>逾期交工违约金限额：合同价的10%</w:t>
      </w:r>
      <w:r>
        <w:rPr>
          <w:rFonts w:hint="eastAsia" w:ascii="宋体" w:hAnsi="宋体" w:cs="宋体"/>
          <w:bCs/>
          <w:color w:val="auto"/>
          <w:szCs w:val="21"/>
        </w:rPr>
        <w:t>。</w:t>
      </w:r>
    </w:p>
    <w:p w14:paraId="5D54D46A">
      <w:pPr>
        <w:snapToGrid w:val="0"/>
        <w:spacing w:line="460" w:lineRule="exact"/>
        <w:rPr>
          <w:rFonts w:hint="eastAsia" w:ascii="宋体" w:hAnsi="宋体" w:cs="宋体"/>
          <w:b/>
          <w:color w:val="auto"/>
          <w:szCs w:val="21"/>
        </w:rPr>
      </w:pPr>
      <w:r>
        <w:rPr>
          <w:rFonts w:hint="eastAsia" w:ascii="宋体" w:hAnsi="宋体" w:cs="宋体"/>
          <w:b/>
          <w:color w:val="auto"/>
          <w:szCs w:val="21"/>
        </w:rPr>
        <w:t>11.6工期提前</w:t>
      </w:r>
    </w:p>
    <w:p w14:paraId="1F66246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工期提前的奖金：</w:t>
      </w:r>
      <w:r>
        <w:rPr>
          <w:rFonts w:hint="eastAsia" w:ascii="宋体" w:hAnsi="宋体" w:cs="宋体"/>
          <w:color w:val="auto"/>
          <w:szCs w:val="21"/>
          <w:u w:val="single"/>
        </w:rPr>
        <w:t xml:space="preserve">   无      </w:t>
      </w:r>
      <w:r>
        <w:rPr>
          <w:rFonts w:hint="eastAsia" w:ascii="宋体" w:hAnsi="宋体" w:cs="宋体"/>
          <w:color w:val="auto"/>
          <w:szCs w:val="21"/>
        </w:rPr>
        <w:t>。</w:t>
      </w:r>
    </w:p>
    <w:p w14:paraId="3242FC4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发包人不得随意要求承包人提前竣（交）工，承包人也不得随意提出提前竣（交）工的建议。如遇特殊情况，确需将工期提前的，发包人和承包人必须采取有效措施，确保工程质量。</w:t>
      </w:r>
    </w:p>
    <w:p w14:paraId="20DB8224">
      <w:pPr>
        <w:snapToGrid w:val="0"/>
        <w:spacing w:line="460" w:lineRule="exact"/>
        <w:rPr>
          <w:rFonts w:hint="eastAsia" w:ascii="宋体" w:hAnsi="宋体" w:cs="宋体"/>
          <w:b/>
          <w:color w:val="auto"/>
          <w:szCs w:val="21"/>
        </w:rPr>
      </w:pPr>
      <w:r>
        <w:rPr>
          <w:rFonts w:hint="eastAsia" w:ascii="宋体" w:hAnsi="宋体" w:cs="宋体"/>
          <w:b/>
          <w:color w:val="auto"/>
          <w:szCs w:val="21"/>
        </w:rPr>
        <w:t>11.7工作时间的限制</w:t>
      </w:r>
    </w:p>
    <w:p w14:paraId="4F49D85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承包人在夜间或国家规定的节假日进行永久工程的施工，应向监理人报告，以便监理</w:t>
      </w:r>
      <w:r>
        <w:rPr>
          <w:rFonts w:hint="eastAsia" w:ascii="宋体" w:hAnsi="宋体" w:cs="宋体"/>
          <w:color w:val="auto"/>
          <w:szCs w:val="21"/>
          <w:lang w:eastAsia="zh-CN"/>
        </w:rPr>
        <w:t>人履行监理</w:t>
      </w:r>
      <w:r>
        <w:rPr>
          <w:rFonts w:hint="eastAsia" w:ascii="宋体" w:hAnsi="宋体" w:cs="宋体"/>
          <w:color w:val="auto"/>
          <w:szCs w:val="21"/>
        </w:rPr>
        <w:t>职责和义务。</w:t>
      </w:r>
    </w:p>
    <w:p w14:paraId="2413F31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但是，为了抢救生命或保护财产，或为了工程的安全、质量而不可避免地短暂作业，则不必事先向监理人报告。但承包人应在事后立即向监理人报告。</w:t>
      </w:r>
    </w:p>
    <w:p w14:paraId="09BBEFF5">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本款规定不适用于习惯上或施工本身要求实行连续生产的作业。</w:t>
      </w:r>
    </w:p>
    <w:p w14:paraId="0B65356C">
      <w:pPr>
        <w:pStyle w:val="5"/>
        <w:snapToGrid w:val="0"/>
        <w:spacing w:before="0" w:after="0" w:line="460" w:lineRule="exact"/>
        <w:rPr>
          <w:rFonts w:hint="eastAsia" w:ascii="宋体" w:hAnsi="宋体" w:cs="宋体"/>
          <w:snapToGrid w:val="0"/>
          <w:color w:val="auto"/>
          <w:sz w:val="24"/>
          <w:szCs w:val="22"/>
        </w:rPr>
      </w:pPr>
      <w:bookmarkStart w:id="810" w:name="_Toc22366"/>
      <w:bookmarkStart w:id="811" w:name="_Toc480790543"/>
      <w:r>
        <w:rPr>
          <w:rFonts w:hint="eastAsia" w:ascii="宋体" w:hAnsi="宋体" w:cs="宋体"/>
          <w:snapToGrid w:val="0"/>
          <w:color w:val="auto"/>
          <w:sz w:val="24"/>
          <w:szCs w:val="22"/>
        </w:rPr>
        <w:t>12.暂停施工</w:t>
      </w:r>
      <w:bookmarkEnd w:id="810"/>
      <w:bookmarkEnd w:id="811"/>
    </w:p>
    <w:p w14:paraId="0E6DB5A1">
      <w:pPr>
        <w:snapToGrid w:val="0"/>
        <w:spacing w:line="460" w:lineRule="exact"/>
        <w:rPr>
          <w:rFonts w:hint="eastAsia" w:ascii="宋体" w:hAnsi="宋体" w:cs="宋体"/>
          <w:b/>
          <w:color w:val="auto"/>
          <w:szCs w:val="21"/>
        </w:rPr>
      </w:pPr>
      <w:r>
        <w:rPr>
          <w:rFonts w:hint="eastAsia" w:ascii="宋体" w:hAnsi="宋体" w:cs="宋体"/>
          <w:b/>
          <w:color w:val="auto"/>
          <w:szCs w:val="21"/>
        </w:rPr>
        <w:t>12.1承包人暂停施工的责任</w:t>
      </w:r>
    </w:p>
    <w:p w14:paraId="3506FAF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本款第（5）项细化为：</w:t>
      </w:r>
    </w:p>
    <w:p w14:paraId="52BA3593">
      <w:pPr>
        <w:spacing w:line="460" w:lineRule="exact"/>
        <w:rPr>
          <w:rFonts w:hint="eastAsia" w:ascii="宋体" w:hAnsi="宋体" w:cs="宋体"/>
          <w:color w:val="auto"/>
        </w:rPr>
      </w:pPr>
      <w:bookmarkStart w:id="812" w:name="_Toc372010118"/>
      <w:r>
        <w:rPr>
          <w:rFonts w:hint="eastAsia" w:ascii="宋体" w:hAnsi="宋体" w:cs="宋体"/>
          <w:color w:val="auto"/>
        </w:rPr>
        <w:t xml:space="preserve">    </w:t>
      </w:r>
      <w:r>
        <w:rPr>
          <w:rFonts w:hint="eastAsia" w:ascii="宋体" w:hAnsi="宋体" w:cs="宋体"/>
          <w:color w:val="auto"/>
          <w:szCs w:val="21"/>
        </w:rPr>
        <w:t>（1）</w:t>
      </w:r>
      <w:r>
        <w:rPr>
          <w:rFonts w:hint="eastAsia" w:ascii="宋体" w:hAnsi="宋体" w:cs="宋体"/>
          <w:color w:val="auto"/>
        </w:rPr>
        <w:t>现场气候条件导致的必要停工（第11.4款规定的异常恶劣的气候条件除外）；</w:t>
      </w:r>
      <w:bookmarkEnd w:id="812"/>
    </w:p>
    <w:p w14:paraId="654F7041">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（2）项目专用合同条款约定的由承包人承担的其他暂停施工。</w:t>
      </w:r>
    </w:p>
    <w:p w14:paraId="395E7C3F">
      <w:pPr>
        <w:pStyle w:val="5"/>
        <w:snapToGrid w:val="0"/>
        <w:spacing w:before="0" w:after="0" w:line="460" w:lineRule="exact"/>
        <w:rPr>
          <w:rFonts w:hint="eastAsia" w:ascii="宋体" w:hAnsi="宋体" w:cs="宋体"/>
          <w:snapToGrid w:val="0"/>
          <w:color w:val="auto"/>
          <w:sz w:val="24"/>
          <w:szCs w:val="22"/>
        </w:rPr>
      </w:pPr>
      <w:bookmarkStart w:id="813" w:name="_Toc7085"/>
      <w:bookmarkStart w:id="814" w:name="_Toc480790544"/>
      <w:r>
        <w:rPr>
          <w:rFonts w:hint="eastAsia" w:ascii="宋体" w:hAnsi="宋体" w:cs="宋体"/>
          <w:snapToGrid w:val="0"/>
          <w:color w:val="auto"/>
          <w:sz w:val="24"/>
          <w:szCs w:val="22"/>
        </w:rPr>
        <w:t>13.工程质量</w:t>
      </w:r>
      <w:bookmarkEnd w:id="813"/>
      <w:bookmarkEnd w:id="814"/>
    </w:p>
    <w:p w14:paraId="7F8E4EF0">
      <w:pPr>
        <w:snapToGrid w:val="0"/>
        <w:spacing w:line="460" w:lineRule="exact"/>
        <w:rPr>
          <w:rFonts w:hint="eastAsia" w:ascii="宋体" w:hAnsi="宋体" w:cs="宋体"/>
          <w:b/>
          <w:color w:val="auto"/>
          <w:szCs w:val="21"/>
        </w:rPr>
      </w:pPr>
      <w:r>
        <w:rPr>
          <w:rFonts w:hint="eastAsia" w:ascii="宋体" w:hAnsi="宋体" w:cs="宋体"/>
          <w:b/>
          <w:color w:val="auto"/>
          <w:szCs w:val="21"/>
        </w:rPr>
        <w:t>13.1工程质量要求</w:t>
      </w:r>
    </w:p>
    <w:p w14:paraId="3FE7CB66">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工程质量验收按技术规范及《公路工程质量检验评定标准》执行。</w:t>
      </w:r>
    </w:p>
    <w:p w14:paraId="366D506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13.1.4发包人和承包人应严格遵守《关于严格落实公路工程质量责任制的若干意见》的相关规定，认真执行工程质量责任登记制度并按要求填写工程质量责任登记表。</w:t>
      </w:r>
    </w:p>
    <w:p w14:paraId="641A2D52">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13.1.5本项目严格执行质量责任追究制度。质量事故处理实行“四不放过”原则：事故原因调查不清不放过；事故责任者没有受到教育不放过；没有防范措施不放过；相关责任人</w:t>
      </w:r>
      <w:r>
        <w:rPr>
          <w:rFonts w:hint="eastAsia" w:ascii="宋体" w:hAnsi="宋体" w:cs="宋体"/>
          <w:color w:val="auto"/>
          <w:szCs w:val="21"/>
          <w:lang w:eastAsia="zh-CN"/>
        </w:rPr>
        <w:t>没有</w:t>
      </w:r>
      <w:r>
        <w:rPr>
          <w:rFonts w:hint="eastAsia" w:ascii="宋体" w:hAnsi="宋体" w:cs="宋体"/>
          <w:color w:val="auto"/>
          <w:szCs w:val="21"/>
        </w:rPr>
        <w:t>受到处理不放过。</w:t>
      </w:r>
    </w:p>
    <w:p w14:paraId="309FA9A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严格遵守并执行《重庆市农村公路建设管理办法》的相关规定。</w:t>
      </w:r>
    </w:p>
    <w:p w14:paraId="54F3D165">
      <w:pPr>
        <w:snapToGrid w:val="0"/>
        <w:spacing w:line="460" w:lineRule="exact"/>
        <w:rPr>
          <w:rFonts w:hint="eastAsia" w:ascii="宋体" w:hAnsi="宋体" w:cs="宋体"/>
          <w:b/>
          <w:color w:val="auto"/>
          <w:szCs w:val="21"/>
        </w:rPr>
      </w:pPr>
      <w:r>
        <w:rPr>
          <w:rFonts w:hint="eastAsia" w:ascii="宋体" w:hAnsi="宋体" w:cs="宋体"/>
          <w:b/>
          <w:color w:val="auto"/>
          <w:szCs w:val="21"/>
        </w:rPr>
        <w:t>13.2承包人的质量管理</w:t>
      </w:r>
    </w:p>
    <w:p w14:paraId="12ACCCD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第13.2.1项补充：</w:t>
      </w:r>
    </w:p>
    <w:p w14:paraId="7FC9791A">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承包人提交工程质量保证措施文件的期限：签订合同协议书后14天之内。</w:t>
      </w:r>
    </w:p>
    <w:p w14:paraId="3D750D48">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本款补充第13.2.3项～第13.2.6项：</w:t>
      </w:r>
    </w:p>
    <w:p w14:paraId="7D1F54AD">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13.2.3承包人必须遵守国家有关法律、法规和规章，严格执行公路工程强制性技术标准、各类技术规范及规程，全面履行工程合同义务，依法对公路工程质量负责。</w:t>
      </w:r>
    </w:p>
    <w:p w14:paraId="54B1554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13.2.4承包人应加强质量监控，确保规范规定的检验、抽检频率，现场质检的原始资料必须真实、准确、可靠，不得追记，接受质量检查时必须出示原始资料。</w:t>
      </w:r>
    </w:p>
    <w:p w14:paraId="1DB1AF8A">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13.2.5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14:paraId="298A0025">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13.2.6承包人驻工程现场机构应在现场驻地和重要的分部、分项工程施工现场设置明显的工程质量责任登记表公示牌。</w:t>
      </w:r>
    </w:p>
    <w:p w14:paraId="3E7A28BF">
      <w:pPr>
        <w:snapToGrid w:val="0"/>
        <w:spacing w:line="440" w:lineRule="exact"/>
        <w:rPr>
          <w:rFonts w:hint="eastAsia" w:ascii="宋体" w:hAnsi="宋体" w:cs="宋体"/>
          <w:b/>
          <w:color w:val="auto"/>
          <w:szCs w:val="21"/>
        </w:rPr>
      </w:pPr>
      <w:r>
        <w:rPr>
          <w:rFonts w:hint="eastAsia" w:ascii="宋体" w:hAnsi="宋体" w:cs="宋体"/>
          <w:b/>
          <w:color w:val="auto"/>
          <w:szCs w:val="21"/>
        </w:rPr>
        <w:t>13.4监理人的质量检查</w:t>
      </w:r>
    </w:p>
    <w:p w14:paraId="643E7EC8">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3B0B11B5">
      <w:pPr>
        <w:spacing w:line="440" w:lineRule="exact"/>
        <w:ind w:firstLine="388" w:firstLineChars="200"/>
        <w:rPr>
          <w:rFonts w:hint="eastAsia" w:ascii="宋体" w:hAnsi="宋体" w:cs="宋体"/>
          <w:color w:val="auto"/>
          <w:spacing w:val="-8"/>
          <w:szCs w:val="21"/>
        </w:rPr>
      </w:pPr>
      <w:r>
        <w:rPr>
          <w:rFonts w:hint="eastAsia" w:ascii="宋体" w:hAnsi="宋体" w:cs="宋体"/>
          <w:color w:val="auto"/>
          <w:spacing w:val="-8"/>
          <w:szCs w:val="21"/>
        </w:rPr>
        <w:t>监理人及其委派的检验人员，应能进入工程现场，以及材料或工程设备的制造、加工或制配的车间和场所，包括不属于承包人的车间或场所进行检查，承包人应为此提供便利和协助。</w:t>
      </w:r>
    </w:p>
    <w:p w14:paraId="5A46AE8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监理人可以将材料或工程设备的检查委托给一家独立的有质量检验认证资格的检验单位。该独立检验单位的检验结果应视为监理人完成的。监理人应将这种委托的通知书不少于7天交给承包人。</w:t>
      </w:r>
    </w:p>
    <w:p w14:paraId="5F3F0333">
      <w:pPr>
        <w:snapToGrid w:val="0"/>
        <w:spacing w:line="440" w:lineRule="exact"/>
        <w:rPr>
          <w:rFonts w:hint="eastAsia" w:ascii="宋体" w:hAnsi="宋体" w:cs="宋体"/>
          <w:b/>
          <w:color w:val="auto"/>
          <w:szCs w:val="21"/>
        </w:rPr>
      </w:pPr>
      <w:r>
        <w:rPr>
          <w:rFonts w:hint="eastAsia" w:ascii="宋体" w:hAnsi="宋体" w:cs="宋体"/>
          <w:b/>
          <w:color w:val="auto"/>
          <w:szCs w:val="21"/>
        </w:rPr>
        <w:t>13.5工程隐蔽部位覆盖前的检查</w:t>
      </w:r>
    </w:p>
    <w:p w14:paraId="617D02BC">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第13.5.1项补充：</w:t>
      </w:r>
    </w:p>
    <w:p w14:paraId="08CF4CD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通知监理人检查的期限：承包人应至少提前24小时，当监理人有指示时，承包人应对重要隐蔽工程进行拍摄或照相并应保证监理人有充分的机会对将要覆盖或隐蔽的工程进行检查或量测，特别是在基础以上的任一部分工程修筑之前，对该基础进行检查。</w:t>
      </w:r>
    </w:p>
    <w:p w14:paraId="57B16BA1">
      <w:pPr>
        <w:snapToGrid w:val="0"/>
        <w:spacing w:line="440" w:lineRule="exact"/>
        <w:rPr>
          <w:rFonts w:hint="eastAsia" w:ascii="宋体" w:hAnsi="宋体" w:cs="宋体"/>
          <w:b/>
          <w:color w:val="auto"/>
          <w:szCs w:val="21"/>
        </w:rPr>
      </w:pPr>
      <w:r>
        <w:rPr>
          <w:rFonts w:hint="eastAsia" w:ascii="宋体" w:hAnsi="宋体" w:cs="宋体"/>
          <w:b/>
          <w:color w:val="auto"/>
          <w:szCs w:val="21"/>
        </w:rPr>
        <w:t>13.6清除不合格工程</w:t>
      </w:r>
    </w:p>
    <w:p w14:paraId="390D69BA">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第13.6.1项细化为：</w:t>
      </w:r>
    </w:p>
    <w:p w14:paraId="4E17C5B7">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21AB551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（2）如果承包人未在规定时间内执行监理人的指示，发包人有权雇用他人执行，由此增加的费用和（或）工期延误由承包人承担。</w:t>
      </w:r>
    </w:p>
    <w:p w14:paraId="0ECDFB21">
      <w:pPr>
        <w:pStyle w:val="6"/>
        <w:snapToGrid w:val="0"/>
        <w:spacing w:before="0" w:after="0" w:line="44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14.试验和检验费用</w:t>
      </w:r>
    </w:p>
    <w:p w14:paraId="0A5C40B2">
      <w:pPr>
        <w:spacing w:line="440" w:lineRule="exact"/>
        <w:ind w:firstLine="420" w:firstLineChars="200"/>
        <w:rPr>
          <w:rFonts w:hint="eastAsia" w:ascii="宋体" w:hAnsi="宋体" w:cs="宋体"/>
          <w:color w:val="auto"/>
        </w:rPr>
      </w:pPr>
      <w:r>
        <w:rPr>
          <w:rFonts w:hint="eastAsia" w:ascii="宋体" w:hAnsi="宋体" w:cs="宋体"/>
          <w:color w:val="auto"/>
        </w:rPr>
        <w:t>补充14.4试验和检验费用</w:t>
      </w:r>
    </w:p>
    <w:p w14:paraId="1AB82545">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（1）承包人应负责提供合同和技术规范规定的试验和检验所需的全部样品，并承担其费用。</w:t>
      </w:r>
    </w:p>
    <w:p w14:paraId="4E7A9EE1">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（2）在合同中明确规定的试验和检验，包括无须在工程量清单中单独列项和已在工程量清单中单独列项的试验和检验，其试验和检验的费用由承包人承担。</w:t>
      </w:r>
    </w:p>
    <w:p w14:paraId="1DC29C07">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54CD3CFA">
      <w:pPr>
        <w:pStyle w:val="5"/>
        <w:snapToGrid w:val="0"/>
        <w:spacing w:before="0" w:after="0" w:line="440" w:lineRule="exact"/>
        <w:rPr>
          <w:rFonts w:hint="eastAsia" w:ascii="宋体" w:hAnsi="宋体" w:cs="宋体"/>
          <w:snapToGrid w:val="0"/>
          <w:color w:val="auto"/>
          <w:sz w:val="24"/>
          <w:szCs w:val="22"/>
        </w:rPr>
      </w:pPr>
      <w:bookmarkStart w:id="815" w:name="_Toc15308"/>
      <w:bookmarkStart w:id="816" w:name="_Toc480790545"/>
      <w:r>
        <w:rPr>
          <w:rFonts w:hint="eastAsia" w:ascii="宋体" w:hAnsi="宋体" w:cs="宋体"/>
          <w:snapToGrid w:val="0"/>
          <w:color w:val="auto"/>
          <w:sz w:val="24"/>
          <w:szCs w:val="22"/>
        </w:rPr>
        <w:t>15.变更</w:t>
      </w:r>
      <w:bookmarkEnd w:id="815"/>
      <w:r>
        <w:rPr>
          <w:rFonts w:hint="eastAsia" w:ascii="宋体" w:hAnsi="宋体" w:cs="宋体"/>
          <w:snapToGrid w:val="0"/>
          <w:color w:val="auto"/>
          <w:sz w:val="24"/>
          <w:szCs w:val="22"/>
        </w:rPr>
        <w:t>估价</w:t>
      </w:r>
      <w:bookmarkEnd w:id="816"/>
    </w:p>
    <w:p w14:paraId="3C73D569">
      <w:pPr>
        <w:spacing w:line="440" w:lineRule="exact"/>
        <w:rPr>
          <w:rFonts w:hint="eastAsia" w:ascii="宋体" w:hAnsi="宋体" w:cs="宋体"/>
          <w:color w:val="auto"/>
          <w:szCs w:val="21"/>
        </w:rPr>
      </w:pPr>
      <w:r>
        <w:rPr>
          <w:rFonts w:hint="eastAsia" w:ascii="宋体" w:hAnsi="宋体" w:cs="宋体"/>
          <w:color w:val="auto"/>
          <w:szCs w:val="21"/>
        </w:rPr>
        <w:t xml:space="preserve">    监理人收到承包人变更报价书后的14 天内，根据第15.1款约定的估价原则，但不得超过审计单位核准的设计变更预算。</w:t>
      </w:r>
    </w:p>
    <w:p w14:paraId="1E402479">
      <w:p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15.4工程量变更的估价原则</w:t>
      </w:r>
    </w:p>
    <w:p w14:paraId="1CF4DBDC">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设计变更及增减工程量计价原则 ：</w:t>
      </w:r>
    </w:p>
    <w:p w14:paraId="73072452">
      <w:pPr>
        <w:spacing w:line="440" w:lineRule="exact"/>
        <w:ind w:firstLine="420" w:firstLineChars="200"/>
        <w:rPr>
          <w:rFonts w:hint="eastAsia" w:ascii="宋体" w:hAnsi="宋体" w:cs="宋体"/>
          <w:color w:val="auto"/>
        </w:rPr>
      </w:pPr>
      <w:r>
        <w:rPr>
          <w:rFonts w:hint="eastAsia" w:ascii="宋体" w:hAnsi="宋体" w:cs="宋体"/>
          <w:color w:val="auto"/>
          <w:szCs w:val="21"/>
        </w:rPr>
        <w:t>（1）</w:t>
      </w:r>
      <w:r>
        <w:rPr>
          <w:rFonts w:hint="eastAsia" w:ascii="宋体" w:hAnsi="宋体" w:cs="宋体"/>
          <w:color w:val="auto"/>
        </w:rPr>
        <w:t>本工程工程量必须经抽选人、中选人和监理人三方签证认可。</w:t>
      </w:r>
      <w:r>
        <w:rPr>
          <w:rFonts w:hint="eastAsia" w:ascii="宋体" w:hAnsi="宋体" w:cs="宋体"/>
          <w:color w:val="auto"/>
          <w:szCs w:val="21"/>
        </w:rPr>
        <w:t>增减（变更）</w:t>
      </w:r>
      <w:r>
        <w:rPr>
          <w:rFonts w:hint="eastAsia" w:ascii="宋体" w:hAnsi="宋体" w:cs="仿宋"/>
          <w:color w:val="auto"/>
          <w:szCs w:val="21"/>
        </w:rPr>
        <w:t>工程内容如有与已标价工程量清单中相同的子项或类似子项，则按已标价的相同子项或类似子项的综合单价执行（类似子项的综合单价由</w:t>
      </w:r>
      <w:r>
        <w:rPr>
          <w:rFonts w:hint="eastAsia" w:ascii="新宋体" w:hAnsi="新宋体" w:eastAsia="新宋体" w:cs="新宋体"/>
          <w:color w:val="auto"/>
          <w:kern w:val="0"/>
        </w:rPr>
        <w:t>发包</w:t>
      </w:r>
      <w:r>
        <w:rPr>
          <w:rFonts w:hint="eastAsia" w:ascii="宋体" w:hAnsi="宋体" w:cs="仿宋"/>
          <w:color w:val="auto"/>
          <w:szCs w:val="21"/>
        </w:rPr>
        <w:t>人审定）；</w:t>
      </w:r>
    </w:p>
    <w:p w14:paraId="5E34C746">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（2）增减（变更）工程内容如有与已标价工程量清单中不同的子项（既无相同子项，又无类似子项），则按照</w:t>
      </w:r>
      <w:r>
        <w:rPr>
          <w:rFonts w:hint="eastAsia" w:ascii="宋体" w:hAnsi="宋体" w:cs="宋体"/>
          <w:color w:val="auto"/>
          <w:szCs w:val="21"/>
          <w:lang w:eastAsia="zh-CN"/>
        </w:rPr>
        <w:t>交通运输部</w:t>
      </w:r>
      <w:r>
        <w:rPr>
          <w:rFonts w:hint="eastAsia" w:ascii="宋体" w:hAnsi="宋体" w:cs="宋体"/>
          <w:color w:val="auto"/>
          <w:szCs w:val="21"/>
        </w:rPr>
        <w:t>交公发</w:t>
      </w:r>
      <w:r>
        <w:rPr>
          <w:rFonts w:hint="eastAsia" w:ascii="宋体" w:hAnsi="宋体" w:cs="宋体"/>
          <w:color w:val="auto"/>
          <w:szCs w:val="21"/>
          <w:lang w:eastAsia="zh-CN"/>
        </w:rPr>
        <w:t>〔2018〕86号</w:t>
      </w:r>
      <w:r>
        <w:rPr>
          <w:rFonts w:hint="eastAsia" w:ascii="宋体" w:hAnsi="宋体" w:cs="宋体"/>
          <w:color w:val="auto"/>
          <w:szCs w:val="21"/>
        </w:rPr>
        <w:t>文发布的《公路工程基本建设项目概算预算编制办法》</w:t>
      </w:r>
      <w:r>
        <w:rPr>
          <w:rFonts w:hint="eastAsia" w:ascii="宋体" w:hAnsi="宋体" w:cs="宋体"/>
          <w:color w:val="auto"/>
          <w:szCs w:val="21"/>
          <w:lang w:eastAsia="zh-CN"/>
        </w:rPr>
        <w:t>（</w:t>
      </w:r>
      <w:r>
        <w:rPr>
          <w:rFonts w:hint="eastAsia" w:ascii="宋体" w:hAnsi="宋体" w:cs="宋体"/>
          <w:color w:val="auto"/>
          <w:szCs w:val="21"/>
        </w:rPr>
        <w:t>JTG 3830-2018）、《公路工程预算定额 》</w:t>
      </w:r>
      <w:r>
        <w:rPr>
          <w:rFonts w:hint="eastAsia" w:ascii="宋体" w:hAnsi="宋体" w:cs="宋体"/>
          <w:color w:val="auto"/>
          <w:szCs w:val="21"/>
          <w:lang w:eastAsia="zh-CN"/>
        </w:rPr>
        <w:t>（</w:t>
      </w:r>
      <w:r>
        <w:rPr>
          <w:rFonts w:hint="eastAsia" w:ascii="宋体" w:hAnsi="宋体" w:cs="宋体"/>
          <w:color w:val="auto"/>
          <w:szCs w:val="21"/>
        </w:rPr>
        <w:t>JTG/T 3832-2018）、《公路工程机械台班费用定额》</w:t>
      </w:r>
      <w:r>
        <w:rPr>
          <w:rFonts w:hint="eastAsia" w:ascii="宋体" w:hAnsi="宋体" w:cs="宋体"/>
          <w:color w:val="auto"/>
          <w:szCs w:val="21"/>
          <w:lang w:eastAsia="zh-CN"/>
        </w:rPr>
        <w:t>（</w:t>
      </w:r>
      <w:r>
        <w:rPr>
          <w:rFonts w:hint="eastAsia" w:ascii="宋体" w:hAnsi="宋体" w:cs="宋体"/>
          <w:color w:val="auto"/>
          <w:szCs w:val="21"/>
        </w:rPr>
        <w:t>JTG/T 3833-2018 ），交通运输部发《公路工程营业税改征增值税计价依据调整方案》（交办公路［2016]66号），交通运输部发［2019]26号《关于调整〈公路工程建设项目投资估算编制办法〉(JTG3820-2018）和〈公路工程建设项目概算预算编制办法〉(JTG3830-2018）中：“税金”有关规定的公告》，重庆市交通局《重庆市交通局关于发布重庆市公路工程补充性造价依据（2019-1）的通知》（渝交路〔2019〕29号）及相关配套文件计算后，下浮10%后结算。【其中：人工单价按渝交路</w:t>
      </w:r>
      <w:r>
        <w:rPr>
          <w:rFonts w:hint="eastAsia" w:ascii="宋体" w:hAnsi="宋体" w:cs="宋体"/>
          <w:color w:val="auto"/>
          <w:szCs w:val="21"/>
          <w:lang w:eastAsia="zh-CN"/>
        </w:rPr>
        <w:t>〔2019〕29号</w:t>
      </w:r>
      <w:r>
        <w:rPr>
          <w:rFonts w:hint="eastAsia" w:ascii="宋体" w:hAnsi="宋体" w:cs="宋体"/>
          <w:color w:val="auto"/>
          <w:szCs w:val="21"/>
        </w:rPr>
        <w:t>通知规定的101元/工日标准执行，材料单价参照</w:t>
      </w:r>
      <w:r>
        <w:rPr>
          <w:rFonts w:hint="eastAsia" w:ascii="宋体" w:hAnsi="宋体" w:cs="宋体"/>
          <w:color w:val="auto"/>
          <w:szCs w:val="21"/>
          <w:lang w:eastAsia="zh-CN"/>
        </w:rPr>
        <w:t>铜梁区2025年第8期《重庆市交通工程材料价格信息》，部分材料按当地市场询价及重庆市材料价计算</w:t>
      </w:r>
      <w:r>
        <w:rPr>
          <w:rFonts w:hint="eastAsia" w:ascii="宋体" w:hAnsi="宋体" w:cs="宋体"/>
          <w:color w:val="auto"/>
          <w:szCs w:val="21"/>
        </w:rPr>
        <w:t>】。</w:t>
      </w:r>
    </w:p>
    <w:p w14:paraId="67021614">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3.安全生产费用结算办法：按《重庆市公路水运工程安全生产费用管理办法（试行）》（渝交委安</w:t>
      </w:r>
      <w:r>
        <w:rPr>
          <w:rFonts w:hint="eastAsia" w:ascii="宋体" w:hAnsi="宋体" w:cs="宋体"/>
          <w:color w:val="auto"/>
          <w:szCs w:val="21"/>
          <w:lang w:eastAsia="zh-CN"/>
        </w:rPr>
        <w:t>〔2014〕32号</w:t>
      </w:r>
      <w:r>
        <w:rPr>
          <w:rFonts w:hint="eastAsia" w:ascii="宋体" w:hAnsi="宋体" w:cs="宋体"/>
          <w:color w:val="auto"/>
          <w:szCs w:val="21"/>
        </w:rPr>
        <w:t>）执行。</w:t>
      </w:r>
    </w:p>
    <w:p w14:paraId="7B58F987">
      <w:pPr>
        <w:snapToGrid w:val="0"/>
        <w:spacing w:line="400" w:lineRule="exact"/>
        <w:rPr>
          <w:rFonts w:hint="eastAsia" w:ascii="宋体" w:hAnsi="宋体" w:cs="宋体"/>
          <w:b/>
          <w:color w:val="auto"/>
          <w:szCs w:val="21"/>
        </w:rPr>
      </w:pPr>
      <w:r>
        <w:rPr>
          <w:rFonts w:hint="eastAsia" w:ascii="宋体" w:hAnsi="宋体" w:cs="宋体"/>
          <w:b/>
          <w:color w:val="auto"/>
          <w:szCs w:val="21"/>
        </w:rPr>
        <w:t>15.5承包人的合理化建议</w:t>
      </w:r>
    </w:p>
    <w:p w14:paraId="1E3FF0ED">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承包人提出的合理化建议缩短了工期，发包人按第11.6款的规定办理。</w:t>
      </w:r>
    </w:p>
    <w:p w14:paraId="3F5FC04B">
      <w:pPr>
        <w:pStyle w:val="5"/>
        <w:snapToGrid w:val="0"/>
        <w:spacing w:before="0" w:after="0" w:line="460" w:lineRule="exact"/>
        <w:rPr>
          <w:rFonts w:hint="eastAsia" w:ascii="宋体" w:hAnsi="宋体" w:cs="宋体"/>
          <w:snapToGrid w:val="0"/>
          <w:color w:val="auto"/>
          <w:sz w:val="24"/>
          <w:szCs w:val="22"/>
        </w:rPr>
      </w:pPr>
      <w:bookmarkStart w:id="817" w:name="_Toc480790546"/>
      <w:bookmarkStart w:id="818" w:name="_Toc1975"/>
      <w:r>
        <w:rPr>
          <w:rFonts w:hint="eastAsia" w:ascii="宋体" w:hAnsi="宋体" w:cs="宋体"/>
          <w:snapToGrid w:val="0"/>
          <w:color w:val="auto"/>
          <w:sz w:val="24"/>
          <w:szCs w:val="22"/>
        </w:rPr>
        <w:t>16.价格调整</w:t>
      </w:r>
      <w:bookmarkEnd w:id="817"/>
      <w:bookmarkEnd w:id="818"/>
    </w:p>
    <w:p w14:paraId="42E2500B">
      <w:pPr>
        <w:snapToGrid w:val="0"/>
        <w:spacing w:line="460" w:lineRule="exact"/>
        <w:rPr>
          <w:rFonts w:hint="eastAsia" w:ascii="宋体" w:hAnsi="宋体" w:cs="宋体"/>
          <w:b/>
          <w:color w:val="auto"/>
          <w:szCs w:val="21"/>
        </w:rPr>
      </w:pPr>
      <w:r>
        <w:rPr>
          <w:rFonts w:hint="eastAsia" w:ascii="宋体" w:hAnsi="宋体" w:cs="宋体"/>
          <w:b/>
          <w:color w:val="auto"/>
          <w:szCs w:val="21"/>
        </w:rPr>
        <w:t>16.1物价波动引起的价格调整</w:t>
      </w:r>
    </w:p>
    <w:p w14:paraId="06B1F6C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本款约定为：不调整</w:t>
      </w:r>
    </w:p>
    <w:p w14:paraId="60666591">
      <w:pPr>
        <w:pStyle w:val="5"/>
        <w:snapToGrid w:val="0"/>
        <w:spacing w:before="0" w:after="0" w:line="460" w:lineRule="exact"/>
        <w:rPr>
          <w:rFonts w:hint="eastAsia" w:ascii="宋体" w:hAnsi="宋体" w:cs="宋体"/>
          <w:snapToGrid w:val="0"/>
          <w:color w:val="auto"/>
          <w:sz w:val="24"/>
          <w:szCs w:val="22"/>
        </w:rPr>
      </w:pPr>
      <w:bookmarkStart w:id="819" w:name="_Toc480790547"/>
      <w:bookmarkStart w:id="820" w:name="_Toc14623"/>
      <w:r>
        <w:rPr>
          <w:rFonts w:hint="eastAsia" w:ascii="宋体" w:hAnsi="宋体" w:cs="宋体"/>
          <w:snapToGrid w:val="0"/>
          <w:color w:val="auto"/>
          <w:sz w:val="24"/>
          <w:szCs w:val="22"/>
        </w:rPr>
        <w:t>17.计量与支付</w:t>
      </w:r>
      <w:bookmarkEnd w:id="819"/>
      <w:bookmarkEnd w:id="820"/>
    </w:p>
    <w:p w14:paraId="18B074E4">
      <w:pPr>
        <w:snapToGrid w:val="0"/>
        <w:spacing w:line="460" w:lineRule="exact"/>
        <w:rPr>
          <w:rFonts w:hint="eastAsia" w:ascii="宋体" w:hAnsi="宋体" w:cs="宋体"/>
          <w:b/>
          <w:color w:val="auto"/>
          <w:szCs w:val="21"/>
        </w:rPr>
      </w:pPr>
      <w:bookmarkStart w:id="821" w:name="_Toc1376"/>
      <w:bookmarkStart w:id="822" w:name="_Toc480790548"/>
      <w:r>
        <w:rPr>
          <w:rFonts w:hint="eastAsia" w:ascii="宋体" w:hAnsi="宋体" w:cs="宋体"/>
          <w:b/>
          <w:color w:val="auto"/>
          <w:szCs w:val="21"/>
        </w:rPr>
        <w:t>17.1 计量</w:t>
      </w:r>
      <w:bookmarkEnd w:id="821"/>
      <w:bookmarkEnd w:id="822"/>
    </w:p>
    <w:p w14:paraId="5FFFA66F">
      <w:pPr>
        <w:spacing w:line="460" w:lineRule="exact"/>
        <w:rPr>
          <w:rFonts w:hint="eastAsia" w:ascii="宋体" w:hAnsi="宋体" w:cs="宋体"/>
          <w:color w:val="auto"/>
        </w:rPr>
      </w:pPr>
      <w:r>
        <w:rPr>
          <w:rFonts w:hint="eastAsia" w:ascii="宋体" w:hAnsi="宋体" w:cs="宋体"/>
          <w:color w:val="auto"/>
          <w:szCs w:val="21"/>
        </w:rPr>
        <w:t xml:space="preserve">    </w:t>
      </w:r>
      <w:r>
        <w:rPr>
          <w:rFonts w:hint="eastAsia" w:ascii="宋体" w:hAnsi="宋体" w:cs="宋体"/>
          <w:color w:val="auto"/>
          <w:spacing w:val="2"/>
          <w:szCs w:val="21"/>
        </w:rPr>
        <w:t>发包人代表参加监理的收方计量，做到</w:t>
      </w:r>
      <w:r>
        <w:rPr>
          <w:rFonts w:hint="eastAsia" w:ascii="宋体" w:hAnsi="宋体" w:cs="宋体"/>
          <w:color w:val="auto"/>
          <w:szCs w:val="21"/>
        </w:rPr>
        <w:t>发包人、承包人和监理人</w:t>
      </w:r>
      <w:r>
        <w:rPr>
          <w:rFonts w:hint="eastAsia" w:ascii="宋体" w:hAnsi="宋体" w:cs="宋体"/>
          <w:color w:val="auto"/>
          <w:spacing w:val="2"/>
          <w:szCs w:val="21"/>
        </w:rPr>
        <w:t>“三方到场计量”，并在原始的收方单上签字，一式叁份，三方各自保存，否则，计量无效。并且采集图片及摄影资料。</w:t>
      </w:r>
    </w:p>
    <w:p w14:paraId="0E9D3D34">
      <w:pPr>
        <w:snapToGrid w:val="0"/>
        <w:spacing w:line="460" w:lineRule="exact"/>
        <w:rPr>
          <w:rFonts w:hint="eastAsia" w:ascii="宋体" w:hAnsi="宋体" w:cs="宋体"/>
          <w:b/>
          <w:color w:val="auto"/>
          <w:szCs w:val="21"/>
        </w:rPr>
      </w:pPr>
      <w:r>
        <w:rPr>
          <w:rFonts w:hint="eastAsia" w:ascii="宋体" w:hAnsi="宋体" w:cs="宋体"/>
          <w:b/>
          <w:color w:val="auto"/>
          <w:szCs w:val="21"/>
        </w:rPr>
        <w:t>17.2 预付款</w:t>
      </w:r>
    </w:p>
    <w:p w14:paraId="3EAC1183">
      <w:pPr>
        <w:spacing w:line="460" w:lineRule="exact"/>
        <w:ind w:firstLine="411" w:firstLineChars="196"/>
        <w:rPr>
          <w:rFonts w:hint="eastAsia" w:ascii="宋体" w:hAnsi="宋体" w:cs="宋体"/>
          <w:color w:val="auto"/>
          <w:szCs w:val="21"/>
        </w:rPr>
      </w:pPr>
      <w:r>
        <w:rPr>
          <w:rFonts w:hint="eastAsia" w:ascii="宋体" w:hAnsi="宋体" w:cs="宋体"/>
          <w:color w:val="auto"/>
          <w:szCs w:val="21"/>
        </w:rPr>
        <w:t>本工程不支付预付款。</w:t>
      </w:r>
    </w:p>
    <w:p w14:paraId="79F28D33">
      <w:pPr>
        <w:snapToGrid w:val="0"/>
        <w:spacing w:line="4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17.3付款方式  </w:t>
      </w:r>
    </w:p>
    <w:p w14:paraId="10E397FE">
      <w:pPr>
        <w:snapToGrid w:val="0"/>
        <w:spacing w:line="460" w:lineRule="exact"/>
        <w:ind w:firstLine="428" w:firstLineChars="200"/>
        <w:rPr>
          <w:rFonts w:hint="eastAsia" w:ascii="宋体" w:hAnsi="宋体" w:eastAsia="宋体" w:cs="宋体"/>
          <w:color w:val="auto"/>
          <w:spacing w:val="2"/>
          <w:szCs w:val="21"/>
          <w:lang w:val="en-US" w:eastAsia="zh-CN"/>
        </w:rPr>
      </w:pPr>
      <w:bookmarkStart w:id="823" w:name="_Toc264797285"/>
      <w:bookmarkStart w:id="824" w:name="_Toc317156877"/>
      <w:bookmarkStart w:id="825" w:name="_Toc322559689"/>
      <w:r>
        <w:rPr>
          <w:rFonts w:hint="eastAsia" w:ascii="宋体" w:hAnsi="宋体" w:cs="宋体"/>
          <w:color w:val="auto"/>
          <w:spacing w:val="2"/>
          <w:szCs w:val="21"/>
          <w:lang w:val="en-US" w:eastAsia="zh-CN"/>
        </w:rPr>
        <w:t>本工程无预付款，竣工验收合格资金到位后支付至审定金额的97％，余下审定金额的3%作为工程质保金，缺陷责任期满后如无质量问题一次性无息付清。缺陷责任期为1年，从工程竣工验收合格之日起计算。</w:t>
      </w:r>
    </w:p>
    <w:p w14:paraId="7674CAE7">
      <w:pPr>
        <w:snapToGrid w:val="0"/>
        <w:spacing w:line="460" w:lineRule="exact"/>
        <w:ind w:firstLine="428" w:firstLineChars="200"/>
        <w:rPr>
          <w:rFonts w:hint="eastAsia" w:ascii="宋体" w:hAnsi="宋体" w:eastAsia="宋体" w:cs="宋体"/>
          <w:color w:val="auto"/>
          <w:spacing w:val="2"/>
          <w:szCs w:val="21"/>
          <w:lang w:val="en-US" w:eastAsia="zh-CN"/>
        </w:rPr>
      </w:pPr>
      <w:r>
        <w:rPr>
          <w:rFonts w:hint="eastAsia" w:ascii="宋体" w:hAnsi="宋体" w:eastAsia="宋体" w:cs="宋体"/>
          <w:color w:val="auto"/>
          <w:spacing w:val="2"/>
          <w:szCs w:val="21"/>
          <w:lang w:val="en-US" w:eastAsia="zh-CN"/>
        </w:rPr>
        <w:t>注：所有工程款均支付至中标人基本账户。</w:t>
      </w:r>
    </w:p>
    <w:p w14:paraId="43793225">
      <w:pPr>
        <w:snapToGrid w:val="0"/>
        <w:spacing w:line="460" w:lineRule="exact"/>
        <w:rPr>
          <w:rFonts w:hint="eastAsia" w:ascii="宋体" w:hAnsi="宋体" w:cs="宋体"/>
          <w:b/>
          <w:color w:val="auto"/>
          <w:szCs w:val="21"/>
        </w:rPr>
      </w:pPr>
      <w:r>
        <w:rPr>
          <w:rFonts w:hint="eastAsia" w:ascii="宋体" w:hAnsi="宋体" w:cs="宋体"/>
          <w:b/>
          <w:color w:val="auto"/>
          <w:szCs w:val="21"/>
        </w:rPr>
        <w:t>17.6最终结</w:t>
      </w:r>
      <w:bookmarkEnd w:id="823"/>
      <w:bookmarkEnd w:id="824"/>
      <w:bookmarkEnd w:id="825"/>
      <w:r>
        <w:rPr>
          <w:rFonts w:hint="eastAsia" w:ascii="宋体" w:hAnsi="宋体" w:cs="宋体"/>
          <w:b/>
          <w:color w:val="auto"/>
          <w:szCs w:val="21"/>
        </w:rPr>
        <w:t>算</w:t>
      </w:r>
    </w:p>
    <w:p w14:paraId="45D42AFB">
      <w:pPr>
        <w:tabs>
          <w:tab w:val="left" w:pos="3193"/>
        </w:tabs>
        <w:spacing w:line="460" w:lineRule="exact"/>
        <w:ind w:firstLine="420" w:firstLineChars="200"/>
        <w:rPr>
          <w:rFonts w:hint="eastAsia" w:hAnsi="宋体"/>
          <w:color w:val="auto"/>
          <w:spacing w:val="2"/>
          <w:szCs w:val="21"/>
        </w:rPr>
      </w:pPr>
      <w:bookmarkStart w:id="826" w:name="_Toc317156878"/>
      <w:bookmarkStart w:id="827" w:name="_Toc264797286"/>
      <w:bookmarkStart w:id="828" w:name="_Toc480790549"/>
      <w:bookmarkStart w:id="829" w:name="_Toc325910639"/>
      <w:bookmarkStart w:id="830" w:name="_Toc24414"/>
      <w:bookmarkStart w:id="831" w:name="_Toc322559690"/>
      <w:r>
        <w:rPr>
          <w:rFonts w:hint="eastAsia" w:ascii="宋体" w:hAnsi="宋体" w:cs="宋体"/>
          <w:color w:val="auto"/>
          <w:szCs w:val="21"/>
        </w:rPr>
        <w:t>最终结算以发包人委托的审计机构审核的金额为准。承包人要认真准确办理结算，若工程结算审减率在10%（含）以上的，则审计费用由承包人承担（审计费用按重庆市铜梁区审计局相关规定计算），并上缴重庆市铜梁区财政。</w:t>
      </w:r>
    </w:p>
    <w:p w14:paraId="14FCFA93">
      <w:pPr>
        <w:pStyle w:val="5"/>
        <w:snapToGrid w:val="0"/>
        <w:spacing w:before="0" w:after="0" w:line="460" w:lineRule="exact"/>
        <w:rPr>
          <w:rFonts w:hint="eastAsia" w:ascii="宋体" w:hAnsi="宋体" w:cs="宋体"/>
          <w:snapToGrid w:val="0"/>
          <w:color w:val="auto"/>
          <w:sz w:val="24"/>
          <w:szCs w:val="24"/>
        </w:rPr>
      </w:pPr>
      <w:r>
        <w:rPr>
          <w:rFonts w:hint="eastAsia" w:ascii="宋体" w:hAnsi="宋体" w:cs="宋体"/>
          <w:snapToGrid w:val="0"/>
          <w:color w:val="auto"/>
          <w:sz w:val="24"/>
          <w:szCs w:val="24"/>
        </w:rPr>
        <w:t>18.</w:t>
      </w:r>
      <w:r>
        <w:rPr>
          <w:rFonts w:hint="eastAsia" w:ascii="宋体" w:hAnsi="宋体" w:cs="宋体"/>
          <w:color w:val="auto"/>
          <w:szCs w:val="21"/>
        </w:rPr>
        <w:t xml:space="preserve"> </w:t>
      </w:r>
      <w:r>
        <w:rPr>
          <w:rFonts w:hint="eastAsia" w:ascii="宋体" w:hAnsi="宋体" w:cs="宋体"/>
          <w:snapToGrid w:val="0"/>
          <w:color w:val="auto"/>
          <w:sz w:val="24"/>
          <w:szCs w:val="24"/>
        </w:rPr>
        <w:t>竣工验收</w:t>
      </w:r>
      <w:bookmarkEnd w:id="826"/>
      <w:bookmarkEnd w:id="827"/>
      <w:bookmarkEnd w:id="828"/>
      <w:bookmarkEnd w:id="829"/>
      <w:bookmarkEnd w:id="830"/>
      <w:bookmarkEnd w:id="831"/>
    </w:p>
    <w:p w14:paraId="623F4812">
      <w:pPr>
        <w:pStyle w:val="6"/>
        <w:snapToGrid w:val="0"/>
        <w:spacing w:before="0" w:after="0"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18.2 竣工验收申请报告</w:t>
      </w:r>
    </w:p>
    <w:p w14:paraId="7F9D5A09">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本款第（2）项约定为：</w:t>
      </w:r>
    </w:p>
    <w:p w14:paraId="224D5045">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竣工资料的内容：承包人应按照《公路工程竣（交）工验收办法》和相关规定编制竣工资料。</w:t>
      </w:r>
    </w:p>
    <w:p w14:paraId="7E6DD8C2">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竣工资料的份数：</w:t>
      </w:r>
      <w:r>
        <w:rPr>
          <w:rFonts w:hint="eastAsia" w:ascii="宋体" w:hAnsi="宋体" w:cs="宋体"/>
          <w:color w:val="auto"/>
          <w:kern w:val="0"/>
          <w:szCs w:val="21"/>
          <w:u w:val="single"/>
          <w:lang w:bidi="ar"/>
        </w:rPr>
        <w:t>3份（另提供电子档一份）</w:t>
      </w:r>
      <w:r>
        <w:rPr>
          <w:rFonts w:hint="eastAsia" w:ascii="宋体" w:hAnsi="宋体" w:cs="宋体"/>
          <w:color w:val="auto"/>
          <w:kern w:val="0"/>
          <w:szCs w:val="21"/>
          <w:lang w:bidi="ar"/>
        </w:rPr>
        <w:t>。</w:t>
      </w:r>
    </w:p>
    <w:p w14:paraId="7F385CDC">
      <w:pPr>
        <w:pStyle w:val="6"/>
        <w:snapToGrid w:val="0"/>
        <w:spacing w:before="0" w:after="0"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验收</w:t>
      </w:r>
    </w:p>
    <w:p w14:paraId="5BDC70B6">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第18.3.2项补充：</w:t>
      </w:r>
    </w:p>
    <w:p w14:paraId="0EF424D8">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工程实行交、竣工合并验收，由区交通局、质量监督机构、发包人等组成验收委员会，对本项目的工程质量进行评定，设计、施工、监理、养护等单位代表参加验收工作，但不作为验收委员会成员。承包人应按发包人的要求提交（竣）工资料，完成验收准备工作。</w:t>
      </w:r>
    </w:p>
    <w:p w14:paraId="65338CD6">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第18.3.5项约定为：</w:t>
      </w:r>
    </w:p>
    <w:p w14:paraId="0CB20280">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经验收合格工程的实际竣工日期，以最终提交竣工验收申请报告的日期为准。</w:t>
      </w:r>
    </w:p>
    <w:p w14:paraId="2BC8667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本款补充第18.3.7项：</w:t>
      </w:r>
    </w:p>
    <w:p w14:paraId="70B985D4">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组织办理竣工验收的费用由发包人承担。但按照第18.3.4项规定达不到合格标准的竣工验收费用由承包人承担。</w:t>
      </w:r>
    </w:p>
    <w:p w14:paraId="44F01DDA">
      <w:pPr>
        <w:tabs>
          <w:tab w:val="left" w:pos="3193"/>
        </w:tabs>
        <w:spacing w:line="460" w:lineRule="exact"/>
        <w:ind w:firstLine="420" w:firstLineChars="200"/>
        <w:rPr>
          <w:rFonts w:hint="eastAsia" w:ascii="宋体" w:hAnsi="宋体" w:cs="宋体"/>
          <w:color w:val="auto"/>
          <w:szCs w:val="21"/>
          <w:highlight w:val="yellow"/>
        </w:rPr>
      </w:pPr>
      <w:r>
        <w:rPr>
          <w:rFonts w:hint="eastAsia" w:ascii="宋体" w:hAnsi="宋体" w:cs="宋体"/>
          <w:color w:val="auto"/>
          <w:szCs w:val="21"/>
        </w:rPr>
        <w:t>本条补充第18.9款：</w:t>
      </w:r>
    </w:p>
    <w:p w14:paraId="5D20D9FD">
      <w:pPr>
        <w:snapToGrid w:val="0"/>
        <w:spacing w:line="460" w:lineRule="exact"/>
        <w:rPr>
          <w:rFonts w:hint="eastAsia" w:ascii="宋体" w:hAnsi="宋体" w:cs="宋体"/>
          <w:b/>
          <w:color w:val="auto"/>
          <w:szCs w:val="21"/>
        </w:rPr>
      </w:pPr>
      <w:r>
        <w:rPr>
          <w:rFonts w:hint="eastAsia" w:ascii="宋体" w:hAnsi="宋体" w:cs="宋体"/>
          <w:b/>
          <w:color w:val="auto"/>
          <w:szCs w:val="21"/>
        </w:rPr>
        <w:t>18.9竣工文件</w:t>
      </w:r>
    </w:p>
    <w:p w14:paraId="7306D4D4">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承包人应按照《公路工程竣（交）工验收办法》中的相关规定，在缺陷责任期内为竣工验收补充竣工资料，并在签发缺陷责任期终止证书之前提交。</w:t>
      </w:r>
    </w:p>
    <w:p w14:paraId="66855918">
      <w:pPr>
        <w:pStyle w:val="5"/>
        <w:snapToGrid w:val="0"/>
        <w:spacing w:before="0" w:after="0" w:line="460" w:lineRule="exact"/>
        <w:rPr>
          <w:rFonts w:hint="eastAsia" w:ascii="宋体" w:hAnsi="宋体" w:cs="宋体"/>
          <w:snapToGrid w:val="0"/>
          <w:color w:val="auto"/>
          <w:sz w:val="24"/>
          <w:szCs w:val="22"/>
        </w:rPr>
      </w:pPr>
      <w:bookmarkStart w:id="832" w:name="_Toc480790550"/>
      <w:bookmarkStart w:id="833" w:name="_Toc13458"/>
      <w:r>
        <w:rPr>
          <w:rFonts w:hint="eastAsia" w:ascii="宋体" w:hAnsi="宋体" w:cs="宋体"/>
          <w:snapToGrid w:val="0"/>
          <w:color w:val="auto"/>
          <w:sz w:val="24"/>
          <w:szCs w:val="22"/>
          <w:lang w:eastAsia="zh-CN"/>
        </w:rPr>
        <w:t>19.</w:t>
      </w:r>
      <w:r>
        <w:rPr>
          <w:rFonts w:hint="eastAsia" w:ascii="宋体" w:hAnsi="宋体" w:cs="宋体"/>
          <w:snapToGrid w:val="0"/>
          <w:color w:val="auto"/>
          <w:sz w:val="24"/>
          <w:szCs w:val="22"/>
        </w:rPr>
        <w:t>缺陷责任与保修责任</w:t>
      </w:r>
      <w:bookmarkEnd w:id="832"/>
      <w:bookmarkEnd w:id="833"/>
    </w:p>
    <w:p w14:paraId="6EB5BEAC">
      <w:pPr>
        <w:snapToGrid w:val="0"/>
        <w:spacing w:line="460" w:lineRule="exact"/>
        <w:rPr>
          <w:rFonts w:hint="eastAsia" w:ascii="宋体" w:hAnsi="宋体" w:cs="宋体"/>
          <w:b/>
          <w:color w:val="auto"/>
          <w:szCs w:val="21"/>
        </w:rPr>
      </w:pPr>
      <w:r>
        <w:rPr>
          <w:rFonts w:hint="eastAsia" w:ascii="宋体" w:hAnsi="宋体" w:cs="宋体"/>
          <w:b/>
          <w:color w:val="auto"/>
          <w:szCs w:val="21"/>
        </w:rPr>
        <w:t>19.2缺陷责任</w:t>
      </w:r>
    </w:p>
    <w:p w14:paraId="75ED3E3B">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第19.2.2项补充：</w:t>
      </w:r>
    </w:p>
    <w:p w14:paraId="6C0E3402">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在缺陷责任期内，承包人应尽快完成在竣工验收证书中写明的未完成工作，并完成对本工程缺陷的修复或监理人指令的修补工作。</w:t>
      </w:r>
    </w:p>
    <w:p w14:paraId="14A7E199">
      <w:pPr>
        <w:snapToGrid w:val="0"/>
        <w:spacing w:line="460" w:lineRule="exact"/>
        <w:rPr>
          <w:rFonts w:hint="eastAsia" w:ascii="宋体" w:hAnsi="宋体" w:cs="宋体"/>
          <w:b/>
          <w:color w:val="auto"/>
          <w:szCs w:val="21"/>
        </w:rPr>
      </w:pPr>
      <w:r>
        <w:rPr>
          <w:rFonts w:hint="eastAsia" w:ascii="宋体" w:hAnsi="宋体" w:cs="宋体"/>
          <w:b/>
          <w:color w:val="auto"/>
          <w:szCs w:val="21"/>
        </w:rPr>
        <w:t>19.5承包人的进入权</w:t>
      </w:r>
    </w:p>
    <w:p w14:paraId="01863874">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14:paraId="6E5F3131">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承包人在缺陷修复施工过程中，应服从管养单位的有关安全管理规定，由于承包人自身原因造成的人员伤亡、设备和材料的损毁及罚款等责任由承包人自负。</w:t>
      </w:r>
    </w:p>
    <w:p w14:paraId="2CA06343">
      <w:pPr>
        <w:snapToGrid w:val="0"/>
        <w:spacing w:line="460" w:lineRule="exact"/>
        <w:rPr>
          <w:rFonts w:hint="eastAsia" w:ascii="宋体" w:hAnsi="宋体" w:cs="宋体"/>
          <w:b/>
          <w:color w:val="auto"/>
          <w:szCs w:val="21"/>
        </w:rPr>
      </w:pPr>
      <w:r>
        <w:rPr>
          <w:rFonts w:hint="eastAsia" w:ascii="宋体" w:hAnsi="宋体" w:cs="宋体"/>
          <w:b/>
          <w:color w:val="auto"/>
          <w:szCs w:val="21"/>
        </w:rPr>
        <w:t>19.7保修责任</w:t>
      </w:r>
    </w:p>
    <w:p w14:paraId="6FE2C7A0">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14:paraId="2F9DE86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1）保修期自建设行业主管部门出具的工程竣工验收报告之日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41CCFBA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（2）在全部工程竣（交）工验收前，已经发包人提前验收的单位工程，其保修期的起算日期相应提前。</w:t>
      </w:r>
    </w:p>
    <w:p w14:paraId="76135DC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（3）工程保修期终止后28天内，监理人签发保修期终止证书。</w:t>
      </w:r>
    </w:p>
    <w:p w14:paraId="07AEEFD1">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（4）若承包人不履行保修义务和责任，则承包人应承担由于违约造成的法律后果，并由发包人将其违约行为上报省级交通主管部门，作为不良记录纳入公路建设</w:t>
      </w:r>
      <w:r>
        <w:rPr>
          <w:rFonts w:hint="eastAsia" w:ascii="宋体" w:hAnsi="宋体" w:cs="宋体"/>
          <w:color w:val="auto"/>
          <w:szCs w:val="21"/>
          <w:lang w:eastAsia="zh-CN"/>
        </w:rPr>
        <w:t>市场</w:t>
      </w:r>
      <w:r>
        <w:rPr>
          <w:rFonts w:hint="eastAsia" w:ascii="宋体" w:hAnsi="宋体" w:cs="宋体"/>
          <w:color w:val="auto"/>
          <w:szCs w:val="21"/>
        </w:rPr>
        <w:t>信用信息管理系统。</w:t>
      </w:r>
    </w:p>
    <w:p w14:paraId="0C23762B">
      <w:pPr>
        <w:pStyle w:val="5"/>
        <w:snapToGrid w:val="0"/>
        <w:spacing w:before="0" w:after="0" w:line="460" w:lineRule="exact"/>
        <w:rPr>
          <w:rFonts w:hint="eastAsia" w:ascii="宋体" w:hAnsi="宋体" w:cs="宋体"/>
          <w:snapToGrid w:val="0"/>
          <w:color w:val="auto"/>
          <w:sz w:val="24"/>
          <w:szCs w:val="22"/>
        </w:rPr>
      </w:pPr>
      <w:bookmarkStart w:id="834" w:name="_Toc480790551"/>
      <w:bookmarkStart w:id="835" w:name="_Toc27937"/>
      <w:r>
        <w:rPr>
          <w:rFonts w:hint="eastAsia" w:ascii="宋体" w:hAnsi="宋体" w:cs="宋体"/>
          <w:snapToGrid w:val="0"/>
          <w:color w:val="auto"/>
          <w:sz w:val="24"/>
          <w:szCs w:val="22"/>
        </w:rPr>
        <w:t>20.保险</w:t>
      </w:r>
      <w:bookmarkEnd w:id="834"/>
      <w:bookmarkEnd w:id="835"/>
    </w:p>
    <w:p w14:paraId="206C30AB">
      <w:pPr>
        <w:snapToGrid w:val="0"/>
        <w:spacing w:line="460" w:lineRule="exact"/>
        <w:rPr>
          <w:rFonts w:hint="eastAsia" w:ascii="宋体" w:hAnsi="宋体" w:cs="宋体"/>
          <w:b/>
          <w:color w:val="auto"/>
          <w:szCs w:val="21"/>
        </w:rPr>
      </w:pPr>
      <w:bookmarkStart w:id="836" w:name="_Toc317156887"/>
      <w:bookmarkStart w:id="837" w:name="_Toc264797295"/>
      <w:bookmarkStart w:id="838" w:name="_Toc322559699"/>
      <w:r>
        <w:rPr>
          <w:rFonts w:hint="eastAsia" w:ascii="宋体" w:hAnsi="宋体" w:cs="宋体"/>
          <w:b/>
          <w:color w:val="auto"/>
          <w:szCs w:val="21"/>
        </w:rPr>
        <w:t>20.1工程保险</w:t>
      </w:r>
      <w:bookmarkEnd w:id="836"/>
      <w:bookmarkEnd w:id="837"/>
      <w:bookmarkEnd w:id="838"/>
    </w:p>
    <w:p w14:paraId="68826987">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投保人： </w:t>
      </w:r>
      <w:r>
        <w:rPr>
          <w:rFonts w:hint="eastAsia" w:ascii="宋体" w:hAnsi="宋体" w:cs="宋体"/>
          <w:b/>
          <w:color w:val="auto"/>
          <w:u w:val="single"/>
        </w:rPr>
        <w:t>承包人以发包人和承包人的共同名义向双方同意的保险人足额投保，费用由承包人负责。</w:t>
      </w:r>
    </w:p>
    <w:p w14:paraId="78C57D0E">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投保内容： </w:t>
      </w:r>
      <w:r>
        <w:rPr>
          <w:rFonts w:hint="eastAsia" w:ascii="宋体" w:hAnsi="宋体" w:cs="宋体"/>
          <w:b/>
          <w:color w:val="auto"/>
          <w:u w:val="single"/>
        </w:rPr>
        <w:t>按国家相关规定执行。</w:t>
      </w:r>
    </w:p>
    <w:p w14:paraId="7C126222">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rPr>
        <w:t xml:space="preserve">保险金额、保险费率和保险期限： </w:t>
      </w:r>
      <w:r>
        <w:rPr>
          <w:rFonts w:hint="eastAsia" w:ascii="宋体" w:hAnsi="宋体" w:cs="宋体"/>
          <w:b/>
          <w:color w:val="auto"/>
          <w:u w:val="single"/>
        </w:rPr>
        <w:t>保险期限为从工程开工之日至竣工验收合格之日终止证书颁发前，其他详见保险凭证。</w:t>
      </w:r>
    </w:p>
    <w:p w14:paraId="15C7AFBD">
      <w:pPr>
        <w:snapToGrid w:val="0"/>
        <w:spacing w:line="460" w:lineRule="exact"/>
        <w:rPr>
          <w:rFonts w:hint="eastAsia" w:ascii="宋体" w:hAnsi="宋体" w:cs="宋体"/>
          <w:b/>
          <w:color w:val="auto"/>
          <w:szCs w:val="21"/>
        </w:rPr>
      </w:pPr>
      <w:bookmarkStart w:id="839" w:name="_Toc264797296"/>
      <w:bookmarkStart w:id="840" w:name="_Toc317156888"/>
      <w:bookmarkStart w:id="841" w:name="_Toc322559700"/>
      <w:r>
        <w:rPr>
          <w:rFonts w:hint="eastAsia" w:ascii="宋体" w:hAnsi="宋体" w:cs="宋体"/>
          <w:b/>
          <w:color w:val="auto"/>
          <w:szCs w:val="21"/>
        </w:rPr>
        <w:t>20.4 第三者责任险</w:t>
      </w:r>
      <w:bookmarkEnd w:id="839"/>
      <w:bookmarkEnd w:id="840"/>
      <w:bookmarkEnd w:id="841"/>
    </w:p>
    <w:p w14:paraId="7F572A6A">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20.4.2</w:t>
      </w:r>
      <w:bookmarkStart w:id="842" w:name="_Toc264797297"/>
      <w:bookmarkStart w:id="843" w:name="_Toc322559701"/>
      <w:bookmarkStart w:id="844" w:name="_Toc317156889"/>
      <w:r>
        <w:rPr>
          <w:rFonts w:hint="eastAsia" w:ascii="宋体" w:hAnsi="宋体" w:cs="宋体"/>
          <w:color w:val="auto"/>
          <w:szCs w:val="21"/>
        </w:rPr>
        <w:t>在缺陷责任期终止证书颁发前，承包</w:t>
      </w:r>
      <w:r>
        <w:rPr>
          <w:rFonts w:hint="eastAsia" w:ascii="宋体" w:hAnsi="宋体" w:cs="宋体"/>
          <w:color w:val="auto"/>
          <w:spacing w:val="2"/>
          <w:szCs w:val="21"/>
        </w:rPr>
        <w:t>人应以承包人和发包人的共同名义，投保第20.4.1 项约定的第三者责任险，第三方责任险的投保金额：100万元人民币，事故次数不限</w:t>
      </w:r>
      <w:r>
        <w:rPr>
          <w:rFonts w:hint="eastAsia" w:ascii="宋体" w:hAnsi="宋体" w:cs="宋体"/>
          <w:color w:val="auto"/>
          <w:szCs w:val="21"/>
        </w:rPr>
        <w:t>，其费用计入工程量清单第100章中工程保险费中。</w:t>
      </w:r>
    </w:p>
    <w:p w14:paraId="6B7270EF">
      <w:pPr>
        <w:spacing w:line="400" w:lineRule="exact"/>
        <w:rPr>
          <w:rFonts w:hint="eastAsia" w:ascii="宋体" w:hAnsi="宋体" w:cs="宋体"/>
          <w:b/>
          <w:color w:val="auto"/>
        </w:rPr>
      </w:pPr>
      <w:r>
        <w:rPr>
          <w:rFonts w:hint="eastAsia" w:ascii="宋体" w:hAnsi="宋体" w:cs="宋体"/>
          <w:b/>
          <w:color w:val="auto"/>
        </w:rPr>
        <w:t>20.5 其他保险</w:t>
      </w:r>
    </w:p>
    <w:p w14:paraId="29915E3A">
      <w:pPr>
        <w:spacing w:line="400" w:lineRule="exact"/>
        <w:ind w:firstLine="420" w:firstLineChars="200"/>
        <w:rPr>
          <w:rFonts w:hint="eastAsia"/>
          <w:color w:val="auto"/>
        </w:rPr>
      </w:pPr>
      <w:r>
        <w:rPr>
          <w:rFonts w:hint="eastAsia" w:ascii="宋体" w:hAnsi="宋体" w:cs="宋体"/>
          <w:color w:val="auto"/>
        </w:rPr>
        <w:t xml:space="preserve">需要投保其他内容、保险金额、费率及期限等： </w:t>
      </w:r>
      <w:r>
        <w:rPr>
          <w:rFonts w:hint="eastAsia" w:ascii="宋体" w:hAnsi="宋体" w:cs="宋体"/>
          <w:b/>
          <w:color w:val="auto"/>
          <w:u w:val="single"/>
        </w:rPr>
        <w:t>由承包人负责。</w:t>
      </w:r>
    </w:p>
    <w:p w14:paraId="48C7C020">
      <w:pPr>
        <w:snapToGrid w:val="0"/>
        <w:spacing w:line="460" w:lineRule="exact"/>
        <w:rPr>
          <w:rFonts w:hint="eastAsia" w:ascii="宋体" w:hAnsi="宋体" w:cs="宋体"/>
          <w:b/>
          <w:color w:val="auto"/>
          <w:szCs w:val="21"/>
        </w:rPr>
      </w:pPr>
      <w:r>
        <w:rPr>
          <w:rFonts w:hint="eastAsia" w:ascii="宋体" w:hAnsi="宋体" w:cs="宋体"/>
          <w:b/>
          <w:color w:val="auto"/>
          <w:szCs w:val="21"/>
        </w:rPr>
        <w:t>20.6 对各项保险的一般要求</w:t>
      </w:r>
      <w:bookmarkEnd w:id="842"/>
      <w:bookmarkEnd w:id="843"/>
      <w:bookmarkEnd w:id="844"/>
    </w:p>
    <w:p w14:paraId="61D5A503">
      <w:pPr>
        <w:spacing w:line="400" w:lineRule="exact"/>
        <w:ind w:firstLine="420" w:firstLineChars="200"/>
        <w:rPr>
          <w:rFonts w:hint="eastAsia" w:ascii="宋体" w:hAnsi="宋体" w:cs="宋体"/>
          <w:color w:val="auto"/>
        </w:rPr>
      </w:pPr>
      <w:r>
        <w:rPr>
          <w:rFonts w:hint="eastAsia" w:ascii="宋体" w:hAnsi="宋体" w:cs="宋体"/>
          <w:color w:val="auto"/>
        </w:rPr>
        <w:t>20.6.1  保险凭证</w:t>
      </w:r>
    </w:p>
    <w:p w14:paraId="2C228020">
      <w:pPr>
        <w:spacing w:line="400" w:lineRule="exact"/>
        <w:ind w:firstLine="420" w:firstLineChars="200"/>
        <w:rPr>
          <w:rFonts w:hint="eastAsia" w:ascii="宋体" w:hAnsi="宋体" w:cs="宋体"/>
          <w:color w:val="auto"/>
        </w:rPr>
      </w:pPr>
      <w:r>
        <w:rPr>
          <w:rFonts w:hint="eastAsia" w:ascii="宋体" w:hAnsi="宋体" w:cs="宋体"/>
          <w:color w:val="auto"/>
        </w:rPr>
        <w:t>保险条件：</w:t>
      </w:r>
      <w:r>
        <w:rPr>
          <w:rFonts w:hint="eastAsia" w:ascii="宋体" w:hAnsi="宋体" w:cs="宋体"/>
          <w:b/>
          <w:color w:val="auto"/>
          <w:u w:val="single"/>
        </w:rPr>
        <w:t>按国家相关规定和发包人要求执行。</w:t>
      </w:r>
    </w:p>
    <w:p w14:paraId="345B6347">
      <w:pPr>
        <w:spacing w:line="400" w:lineRule="exact"/>
        <w:ind w:firstLine="420" w:firstLineChars="200"/>
        <w:rPr>
          <w:rFonts w:hint="eastAsia" w:ascii="宋体" w:hAnsi="宋体" w:cs="宋体"/>
          <w:color w:val="auto"/>
        </w:rPr>
      </w:pPr>
      <w:r>
        <w:rPr>
          <w:rFonts w:hint="eastAsia" w:ascii="宋体" w:hAnsi="宋体" w:cs="宋体"/>
          <w:color w:val="auto"/>
        </w:rPr>
        <w:t xml:space="preserve">承包人提交保险凭证的期限： </w:t>
      </w:r>
      <w:r>
        <w:rPr>
          <w:rFonts w:hint="eastAsia" w:ascii="宋体" w:hAnsi="宋体" w:cs="宋体"/>
          <w:b/>
          <w:color w:val="auto"/>
          <w:u w:val="single"/>
        </w:rPr>
        <w:t>工程开工前。</w:t>
      </w:r>
    </w:p>
    <w:p w14:paraId="47F25159">
      <w:pPr>
        <w:spacing w:line="400" w:lineRule="exact"/>
        <w:ind w:firstLine="420" w:firstLineChars="200"/>
        <w:rPr>
          <w:rFonts w:hint="eastAsia" w:ascii="宋体" w:hAnsi="宋体" w:cs="宋体"/>
          <w:color w:val="auto"/>
        </w:rPr>
      </w:pPr>
      <w:r>
        <w:rPr>
          <w:rFonts w:hint="eastAsia" w:ascii="宋体" w:hAnsi="宋体" w:cs="宋体"/>
          <w:color w:val="auto"/>
        </w:rPr>
        <w:t>20.6.4  对各项保险的一般要求</w:t>
      </w:r>
    </w:p>
    <w:p w14:paraId="5A54DC4A">
      <w:pPr>
        <w:spacing w:line="400" w:lineRule="exact"/>
        <w:ind w:firstLine="420" w:firstLineChars="200"/>
        <w:rPr>
          <w:rFonts w:hint="eastAsia" w:ascii="宋体" w:hAnsi="宋体" w:cs="宋体"/>
          <w:color w:val="auto"/>
          <w:szCs w:val="21"/>
        </w:rPr>
      </w:pPr>
      <w:r>
        <w:rPr>
          <w:rFonts w:hint="eastAsia" w:ascii="宋体" w:hAnsi="宋体" w:cs="宋体"/>
          <w:color w:val="auto"/>
        </w:rPr>
        <w:t xml:space="preserve">保险金不足以补偿损失时，应由承包人负责补偿的范围与金额： </w:t>
      </w:r>
      <w:r>
        <w:rPr>
          <w:rFonts w:hint="eastAsia" w:ascii="宋体" w:hAnsi="宋体" w:cs="宋体"/>
          <w:b/>
          <w:color w:val="auto"/>
          <w:u w:val="single"/>
        </w:rPr>
        <w:t>以发包人和承包人共同名义投保的，当保险金不足以补偿损失时，由承包人负责补偿；发包人、承包人以各自名义投保的，保险金不足以补偿损失时，由各自</w:t>
      </w:r>
      <w:r>
        <w:rPr>
          <w:rFonts w:hint="eastAsia" w:ascii="宋体" w:hAnsi="宋体" w:cs="宋体"/>
          <w:b/>
          <w:color w:val="auto"/>
          <w:u w:val="single"/>
          <w:lang w:eastAsia="zh-CN"/>
        </w:rPr>
        <w:t>负责</w:t>
      </w:r>
      <w:r>
        <w:rPr>
          <w:rFonts w:hint="eastAsia" w:ascii="宋体" w:hAnsi="宋体" w:cs="宋体"/>
          <w:b/>
          <w:color w:val="auto"/>
          <w:u w:val="single"/>
        </w:rPr>
        <w:t>补偿。</w:t>
      </w:r>
    </w:p>
    <w:p w14:paraId="6FA3D92B">
      <w:pPr>
        <w:pStyle w:val="5"/>
        <w:snapToGrid w:val="0"/>
        <w:spacing w:before="0" w:after="0" w:line="460" w:lineRule="exact"/>
        <w:rPr>
          <w:rFonts w:hint="eastAsia" w:ascii="宋体" w:hAnsi="宋体" w:cs="宋体"/>
          <w:snapToGrid w:val="0"/>
          <w:color w:val="auto"/>
          <w:sz w:val="24"/>
          <w:szCs w:val="22"/>
        </w:rPr>
      </w:pPr>
      <w:bookmarkStart w:id="845" w:name="_Toc13798"/>
      <w:bookmarkStart w:id="846" w:name="_Toc480790552"/>
      <w:r>
        <w:rPr>
          <w:rFonts w:hint="eastAsia" w:ascii="宋体" w:hAnsi="宋体" w:cs="宋体"/>
          <w:snapToGrid w:val="0"/>
          <w:color w:val="auto"/>
          <w:sz w:val="24"/>
          <w:szCs w:val="22"/>
          <w:lang w:eastAsia="zh-CN"/>
        </w:rPr>
        <w:t>21.</w:t>
      </w:r>
      <w:r>
        <w:rPr>
          <w:rFonts w:hint="eastAsia" w:ascii="宋体" w:hAnsi="宋体" w:cs="宋体"/>
          <w:snapToGrid w:val="0"/>
          <w:color w:val="auto"/>
          <w:sz w:val="24"/>
          <w:szCs w:val="22"/>
        </w:rPr>
        <w:t>不可抗力</w:t>
      </w:r>
      <w:bookmarkEnd w:id="845"/>
      <w:bookmarkEnd w:id="846"/>
    </w:p>
    <w:p w14:paraId="09A1C273">
      <w:pPr>
        <w:snapToGrid w:val="0"/>
        <w:spacing w:line="460" w:lineRule="exact"/>
        <w:rPr>
          <w:rFonts w:hint="eastAsia" w:ascii="宋体" w:hAnsi="宋体" w:cs="宋体"/>
          <w:b/>
          <w:color w:val="auto"/>
          <w:szCs w:val="21"/>
        </w:rPr>
      </w:pPr>
      <w:r>
        <w:rPr>
          <w:rFonts w:hint="eastAsia" w:ascii="宋体" w:hAnsi="宋体" w:cs="宋体"/>
          <w:b/>
          <w:color w:val="auto"/>
          <w:szCs w:val="21"/>
        </w:rPr>
        <w:t>21.1不可抗力的确认</w:t>
      </w:r>
    </w:p>
    <w:p w14:paraId="6F78D4E7">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21.1.1项细化为：</w:t>
      </w:r>
    </w:p>
    <w:p w14:paraId="07A0CE96">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不可抗力是指承包人和发包人在订立合同时不可预见，在工程施工过程中不可避免发生并不能克服的自然灾害和社会性突发事件。包括但不限于：</w:t>
      </w:r>
    </w:p>
    <w:p w14:paraId="32D3ADF0">
      <w:pPr>
        <w:spacing w:line="460" w:lineRule="exact"/>
        <w:rPr>
          <w:rFonts w:hint="eastAsia" w:ascii="宋体" w:hAnsi="宋体" w:cs="宋体"/>
          <w:color w:val="auto"/>
        </w:rPr>
      </w:pPr>
      <w:bookmarkStart w:id="847" w:name="_Toc372010130"/>
      <w:r>
        <w:rPr>
          <w:rFonts w:hint="eastAsia" w:ascii="宋体" w:hAnsi="宋体" w:cs="宋体"/>
          <w:color w:val="auto"/>
        </w:rPr>
        <w:t xml:space="preserve">    （1）地震、海啸、火山爆发、泥石流、暴雨（雪）、台风、龙卷风、水灾等自然灾害；</w:t>
      </w:r>
      <w:bookmarkEnd w:id="847"/>
    </w:p>
    <w:p w14:paraId="5046E688">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（2）战争、骚乱、暴动，但纯属承包人或其分包人派遣与雇用的人员由于本合同工程施工原因引起者除外；</w:t>
      </w:r>
    </w:p>
    <w:p w14:paraId="1B28872D">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（3）核反应、辐射或放射性污染；</w:t>
      </w:r>
    </w:p>
    <w:p w14:paraId="05FD58C0">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（4）空中飞行物体降落或非发包人或承包人责任造成的爆炸、火灾；</w:t>
      </w:r>
    </w:p>
    <w:p w14:paraId="6FEEBE74">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（5）瘟疫；</w:t>
      </w:r>
    </w:p>
    <w:p w14:paraId="5C4DCA6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（6）项目专用合同条款约定的其他情形。</w:t>
      </w:r>
    </w:p>
    <w:p w14:paraId="50DD29BB">
      <w:pPr>
        <w:snapToGrid w:val="0"/>
        <w:spacing w:line="460" w:lineRule="exact"/>
        <w:rPr>
          <w:rFonts w:hint="eastAsia" w:ascii="宋体" w:hAnsi="宋体" w:cs="宋体"/>
          <w:b/>
          <w:color w:val="auto"/>
          <w:szCs w:val="21"/>
        </w:rPr>
      </w:pPr>
      <w:r>
        <w:rPr>
          <w:rFonts w:hint="eastAsia" w:ascii="宋体" w:hAnsi="宋体" w:cs="宋体"/>
          <w:b/>
          <w:color w:val="auto"/>
          <w:szCs w:val="21"/>
        </w:rPr>
        <w:t>21.3不可抗力后果及其处理</w:t>
      </w:r>
    </w:p>
    <w:p w14:paraId="3BAAEF3F">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21.3.4因不可抗力解除合同</w:t>
      </w:r>
    </w:p>
    <w:p w14:paraId="1DCEE0E3">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14:paraId="51B7F7E3">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按时退货造成的损失由责任方承担。合同解除后的付款，参照第22.2.4 项约定，由监理人按第3.5款商定或确定，但由于解除合同应赔偿的承包人损失不予考虑。</w:t>
      </w:r>
    </w:p>
    <w:p w14:paraId="53CB3962">
      <w:pPr>
        <w:pStyle w:val="5"/>
        <w:snapToGrid w:val="0"/>
        <w:spacing w:before="0" w:after="0" w:line="460" w:lineRule="exact"/>
        <w:rPr>
          <w:rFonts w:hint="eastAsia" w:ascii="宋体" w:hAnsi="宋体" w:cs="宋体"/>
          <w:snapToGrid w:val="0"/>
          <w:color w:val="auto"/>
          <w:sz w:val="24"/>
          <w:szCs w:val="22"/>
        </w:rPr>
      </w:pPr>
      <w:bookmarkStart w:id="848" w:name="_Toc480790553"/>
      <w:bookmarkStart w:id="849" w:name="_Toc29552"/>
      <w:r>
        <w:rPr>
          <w:rFonts w:hint="eastAsia" w:ascii="宋体" w:hAnsi="宋体" w:cs="宋体"/>
          <w:snapToGrid w:val="0"/>
          <w:color w:val="auto"/>
          <w:sz w:val="24"/>
          <w:szCs w:val="22"/>
          <w:lang w:eastAsia="zh-CN"/>
        </w:rPr>
        <w:t>22.</w:t>
      </w:r>
      <w:r>
        <w:rPr>
          <w:rFonts w:hint="eastAsia" w:ascii="宋体" w:hAnsi="宋体" w:cs="宋体"/>
          <w:snapToGrid w:val="0"/>
          <w:color w:val="auto"/>
          <w:sz w:val="24"/>
          <w:szCs w:val="22"/>
        </w:rPr>
        <w:t>违约</w:t>
      </w:r>
      <w:bookmarkEnd w:id="848"/>
      <w:bookmarkEnd w:id="849"/>
    </w:p>
    <w:p w14:paraId="52592E1C">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22.1.1 (7)其他情况包括但不限于承包方提交的诚信行为承诺书中所罗列下列情形：</w:t>
      </w:r>
    </w:p>
    <w:p w14:paraId="27439696">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A.无正当原因停工十天或累计停工二十天以上，发包人有权解除合同，不退还履约保证金，承包人应立即清退出场。</w:t>
      </w:r>
    </w:p>
    <w:p w14:paraId="50681940">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B.恶意低价中选，施工期间以合同价款不足，拒不执行或拖延执行合同。</w:t>
      </w:r>
    </w:p>
    <w:p w14:paraId="711D6C17">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C.施工过程中，分项分部工程验收不合格拒不整改或整改后仍无法达到质量要求。</w:t>
      </w:r>
    </w:p>
    <w:p w14:paraId="5D590B68">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D.施工组织不力，又拒不整改或整改措施不力，致使工程已明显无法在规定工期内完成。</w:t>
      </w:r>
    </w:p>
    <w:p w14:paraId="6052FD99">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E.中选后不按期签订施工合同，不按抽选文件要求缴纳保证金，恶意低价中选，拒不执行或拖延执行合同的行为。</w:t>
      </w:r>
    </w:p>
    <w:p w14:paraId="0FF91661">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F.擅自变更项目经理、技术负责人和其他技术人员。</w:t>
      </w:r>
    </w:p>
    <w:p w14:paraId="48DBD8B9">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G.施工期间发生较大安全事故或三级重大质量事故。</w:t>
      </w:r>
    </w:p>
    <w:p w14:paraId="35932ACF">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H.施工组织不力，管理不善，进度缓慢或对公共秩序造成较大影响，又拒不整改或整改措施不力。</w:t>
      </w:r>
    </w:p>
    <w:p w14:paraId="710BFF19">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I.施工过程中，分项分部工程验收不合格拒不整改或整改后仍无法达到质量要求，以及因质量原因不能通过竣工验收。</w:t>
      </w:r>
    </w:p>
    <w:p w14:paraId="2D56587A">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J.项目经理、主要技术负责人要求一周在5天以上，不在5天也算违约处理。</w:t>
      </w:r>
    </w:p>
    <w:p w14:paraId="00D426D2">
      <w:pPr>
        <w:spacing w:line="460" w:lineRule="exact"/>
        <w:rPr>
          <w:rFonts w:hint="eastAsia" w:ascii="宋体" w:hAnsi="宋体" w:cs="宋体"/>
          <w:color w:val="auto"/>
        </w:rPr>
      </w:pPr>
      <w:bookmarkStart w:id="850" w:name="_Toc333404558"/>
      <w:bookmarkStart w:id="851" w:name="_Toc330980496"/>
      <w:r>
        <w:rPr>
          <w:rFonts w:hint="eastAsia" w:ascii="宋体" w:hAnsi="宋体" w:cs="宋体"/>
          <w:color w:val="auto"/>
        </w:rPr>
        <w:t xml:space="preserve">     </w:t>
      </w:r>
      <w:r>
        <w:rPr>
          <w:rFonts w:hint="eastAsia" w:ascii="宋体" w:hAnsi="宋体" w:cs="宋体"/>
          <w:color w:val="auto"/>
          <w:szCs w:val="21"/>
        </w:rPr>
        <w:t xml:space="preserve"> 22.1.2  </w:t>
      </w:r>
      <w:r>
        <w:rPr>
          <w:rFonts w:hint="eastAsia" w:ascii="宋体" w:hAnsi="宋体" w:cs="宋体"/>
          <w:color w:val="auto"/>
        </w:rPr>
        <w:t>对承包人违约的处理</w:t>
      </w:r>
      <w:bookmarkEnd w:id="850"/>
      <w:bookmarkEnd w:id="851"/>
    </w:p>
    <w:p w14:paraId="3E2CCF2B">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增加以下（4) 、(5) 、</w:t>
      </w:r>
      <w:r>
        <w:rPr>
          <w:rFonts w:hint="eastAsia" w:ascii="宋体" w:hAnsi="宋体" w:cs="宋体"/>
          <w:color w:val="auto"/>
          <w:szCs w:val="21"/>
          <w:lang w:eastAsia="zh-CN"/>
        </w:rPr>
        <w:t>（</w:t>
      </w:r>
      <w:r>
        <w:rPr>
          <w:rFonts w:hint="eastAsia" w:ascii="宋体" w:hAnsi="宋体" w:cs="宋体"/>
          <w:color w:val="auto"/>
          <w:szCs w:val="21"/>
        </w:rPr>
        <w:t>6) 条：</w:t>
      </w:r>
    </w:p>
    <w:p w14:paraId="5107FF64">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(4)承包人发生专用条款22.1.1.(7)中约定的违约情况时，发包人按有关法律、《诚信行为承诺书》处理。</w:t>
      </w:r>
    </w:p>
    <w:p w14:paraId="40C28643">
      <w:pPr>
        <w:spacing w:line="460" w:lineRule="exact"/>
        <w:ind w:firstLine="539" w:firstLineChars="257"/>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5)本工程必须达到一次验收达到合格标准，如不能一次验收达到合格标准，承包人除必须返修达到合格标准外，承担合同签约价</w:t>
      </w:r>
      <w:r>
        <w:rPr>
          <w:rFonts w:hint="eastAsia" w:ascii="宋体" w:hAnsi="宋体" w:cs="宋体"/>
          <w:color w:val="auto"/>
          <w:szCs w:val="21"/>
          <w:u w:val="single"/>
        </w:rPr>
        <w:t xml:space="preserve"> 5% </w:t>
      </w:r>
      <w:r>
        <w:rPr>
          <w:rFonts w:hint="eastAsia" w:ascii="宋体" w:hAnsi="宋体" w:cs="宋体"/>
          <w:color w:val="auto"/>
          <w:szCs w:val="21"/>
        </w:rPr>
        <w:t>的违约金。返修后仍不能合格，应继续返工，直到返修合格，所发生的费用由承包人负责。承包人还应按上述工期延误违约责任支付违约金。</w:t>
      </w:r>
    </w:p>
    <w:p w14:paraId="7658E197">
      <w:pPr>
        <w:spacing w:line="460" w:lineRule="exact"/>
        <w:ind w:firstLine="539" w:firstLineChars="257"/>
        <w:rPr>
          <w:rFonts w:hint="eastAsia" w:ascii="宋体" w:hAnsi="宋体" w:cs="宋体"/>
          <w:color w:val="auto"/>
          <w:szCs w:val="21"/>
        </w:rPr>
      </w:pPr>
      <w:bookmarkStart w:id="852" w:name="_Toc330980497"/>
      <w:bookmarkStart w:id="853" w:name="_Toc333404559"/>
      <w:r>
        <w:rPr>
          <w:rFonts w:hint="eastAsia" w:ascii="宋体" w:hAnsi="宋体" w:cs="宋体"/>
          <w:color w:val="auto"/>
          <w:szCs w:val="21"/>
        </w:rPr>
        <w:t>(6) 对承包人其他违约责任处理</w:t>
      </w:r>
      <w:bookmarkEnd w:id="852"/>
      <w:bookmarkEnd w:id="853"/>
    </w:p>
    <w:p w14:paraId="48DB8BAA">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A.如因承包人原因，造成拖欠民工工资，发包人</w:t>
      </w:r>
      <w:r>
        <w:rPr>
          <w:rFonts w:hint="eastAsia" w:ascii="宋体" w:hAnsi="宋体" w:cs="宋体"/>
          <w:color w:val="auto"/>
          <w:szCs w:val="21"/>
          <w:lang w:eastAsia="zh-CN"/>
        </w:rPr>
        <w:t>有权</w:t>
      </w:r>
      <w:r>
        <w:rPr>
          <w:rFonts w:hint="eastAsia" w:ascii="宋体" w:hAnsi="宋体" w:cs="宋体"/>
          <w:color w:val="auto"/>
          <w:szCs w:val="21"/>
        </w:rPr>
        <w:t>从承包人履约保证金中支付。每发生一次从承包人承担工程结算总价的0.5%作违约金。</w:t>
      </w:r>
    </w:p>
    <w:p w14:paraId="734C66D3">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B.承包人必须在竣工验收合格10日内，做竣工</w:t>
      </w:r>
      <w:r>
        <w:rPr>
          <w:rFonts w:hint="eastAsia" w:ascii="宋体" w:hAnsi="宋体" w:cs="宋体"/>
          <w:color w:val="auto"/>
          <w:szCs w:val="21"/>
          <w:lang w:eastAsia="zh-CN"/>
        </w:rPr>
        <w:t>现场</w:t>
      </w:r>
      <w:r>
        <w:rPr>
          <w:rFonts w:hint="eastAsia" w:ascii="宋体" w:hAnsi="宋体" w:cs="宋体"/>
          <w:color w:val="auto"/>
          <w:szCs w:val="21"/>
        </w:rPr>
        <w:t>清理，向发包人移交工程场地。否则发包人由此造成的结算和支付延误由承包人负责。</w:t>
      </w:r>
    </w:p>
    <w:p w14:paraId="3004201C">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项目经理及技术负责人工作时间因公外出，必须事前向发包人现场负责人通报，如不通报处承包人1000元/次的违约金。未经发包人同意，不得擅自更改参选文件中所报的项目经理、技术负责人，若发包人认可承包人申请的项目经理及技术负责人变更，处承包人20000元/人</w:t>
      </w:r>
      <w:r>
        <w:rPr>
          <w:rFonts w:hint="eastAsia" w:ascii="宋体" w:hAnsi="宋体" w:cs="宋体"/>
          <w:color w:val="auto"/>
          <w:szCs w:val="21"/>
          <w:lang w:eastAsia="zh-CN"/>
        </w:rPr>
        <w:t>。</w:t>
      </w:r>
      <w:r>
        <w:rPr>
          <w:rFonts w:hint="eastAsia" w:ascii="宋体" w:hAnsi="宋体" w:cs="宋体"/>
          <w:color w:val="auto"/>
          <w:szCs w:val="21"/>
        </w:rPr>
        <w:t>次的违约金，若发包人不认可承包人申请的项目经理及技术负责人变更，则承包人不得擅自变更。</w:t>
      </w:r>
    </w:p>
    <w:p w14:paraId="5501C834">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22.1.4 合同解除后实际完成工程结算方式：路基土石方按审计单位有关文件价格结算。其他工程只计已完成工程量所需的材料、人工和台班三项费用。材料、人工和台班耗量按定额计算，人工费、台班费价格按定额计算，但人工费不按市场价调差。材料单价由当地审计部门审定。结算价款须送当地审计部门审计后支付。</w:t>
      </w:r>
    </w:p>
    <w:p w14:paraId="7C18B941">
      <w:pPr>
        <w:pStyle w:val="5"/>
        <w:snapToGrid w:val="0"/>
        <w:spacing w:before="0" w:after="0" w:line="460" w:lineRule="exact"/>
        <w:rPr>
          <w:rFonts w:hint="eastAsia" w:ascii="宋体" w:hAnsi="宋体" w:cs="宋体"/>
          <w:snapToGrid w:val="0"/>
          <w:color w:val="auto"/>
          <w:sz w:val="24"/>
          <w:szCs w:val="22"/>
        </w:rPr>
      </w:pPr>
      <w:bookmarkStart w:id="854" w:name="_Toc26035"/>
      <w:bookmarkStart w:id="855" w:name="_Toc480790554"/>
      <w:r>
        <w:rPr>
          <w:rFonts w:hint="eastAsia" w:ascii="宋体" w:hAnsi="宋体" w:cs="宋体"/>
          <w:snapToGrid w:val="0"/>
          <w:color w:val="auto"/>
          <w:sz w:val="24"/>
          <w:szCs w:val="22"/>
        </w:rPr>
        <w:t>23.索赔</w:t>
      </w:r>
      <w:bookmarkEnd w:id="854"/>
      <w:bookmarkEnd w:id="855"/>
    </w:p>
    <w:p w14:paraId="2B9C8895">
      <w:pPr>
        <w:pStyle w:val="6"/>
        <w:snapToGrid w:val="0"/>
        <w:spacing w:before="0" w:after="0" w:line="460" w:lineRule="exact"/>
        <w:rPr>
          <w:rFonts w:hint="eastAsia" w:ascii="宋体" w:hAnsi="宋体" w:eastAsia="宋体" w:cs="宋体"/>
          <w:snapToGrid w:val="0"/>
          <w:color w:val="auto"/>
          <w:sz w:val="24"/>
          <w:szCs w:val="24"/>
        </w:rPr>
      </w:pPr>
      <w:bookmarkStart w:id="856" w:name="_Toc264797303"/>
      <w:bookmarkStart w:id="857" w:name="_Toc322559707"/>
      <w:bookmarkStart w:id="858" w:name="_Toc317156895"/>
      <w:r>
        <w:rPr>
          <w:rFonts w:hint="eastAsia" w:ascii="宋体" w:hAnsi="宋体" w:eastAsia="宋体" w:cs="宋体"/>
          <w:snapToGrid w:val="0"/>
          <w:color w:val="auto"/>
          <w:sz w:val="24"/>
          <w:szCs w:val="24"/>
        </w:rPr>
        <w:t>23.1承包人索赔的提出</w:t>
      </w:r>
      <w:bookmarkEnd w:id="856"/>
      <w:bookmarkEnd w:id="857"/>
      <w:bookmarkEnd w:id="858"/>
    </w:p>
    <w:p w14:paraId="5AF7CD9C">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本款第（4）项细化为：</w:t>
      </w:r>
    </w:p>
    <w:p w14:paraId="69C7FB4F">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（4）在索赔事件影响结束后的28天内，承包人应向监理人递交最终索赔通知书，说明最终要求索赔的追加付款金额和（或）延长的工期，并附必要的记录和证明材料。</w:t>
      </w:r>
    </w:p>
    <w:p w14:paraId="0AED1090">
      <w:pPr>
        <w:pStyle w:val="6"/>
        <w:snapToGrid w:val="0"/>
        <w:spacing w:before="0" w:after="0" w:line="460" w:lineRule="exact"/>
        <w:rPr>
          <w:rFonts w:hint="eastAsia" w:ascii="宋体" w:hAnsi="宋体" w:eastAsia="宋体" w:cs="宋体"/>
          <w:snapToGrid w:val="0"/>
          <w:color w:val="auto"/>
          <w:sz w:val="24"/>
          <w:szCs w:val="24"/>
        </w:rPr>
      </w:pPr>
      <w:bookmarkStart w:id="859" w:name="_Toc317156896"/>
      <w:bookmarkStart w:id="860" w:name="_Toc322559708"/>
      <w:bookmarkStart w:id="861" w:name="_Toc264797304"/>
      <w:r>
        <w:rPr>
          <w:rFonts w:hint="eastAsia" w:ascii="宋体" w:hAnsi="宋体" w:eastAsia="宋体" w:cs="宋体"/>
          <w:snapToGrid w:val="0"/>
          <w:color w:val="auto"/>
          <w:sz w:val="24"/>
          <w:szCs w:val="24"/>
        </w:rPr>
        <w:t>23.2承包人索赔处理程序</w:t>
      </w:r>
      <w:bookmarkEnd w:id="859"/>
      <w:bookmarkEnd w:id="860"/>
      <w:bookmarkEnd w:id="861"/>
    </w:p>
    <w:p w14:paraId="13BC8B4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本款第（2）项细化为：</w:t>
      </w:r>
    </w:p>
    <w:p w14:paraId="6724F459">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14:paraId="2684411D">
      <w:pPr>
        <w:pStyle w:val="5"/>
        <w:snapToGrid w:val="0"/>
        <w:spacing w:before="0" w:after="0" w:line="460" w:lineRule="exact"/>
        <w:rPr>
          <w:rFonts w:hint="eastAsia" w:ascii="宋体" w:hAnsi="宋体" w:cs="宋体"/>
          <w:snapToGrid w:val="0"/>
          <w:color w:val="auto"/>
          <w:sz w:val="24"/>
          <w:szCs w:val="22"/>
        </w:rPr>
      </w:pPr>
      <w:bookmarkStart w:id="862" w:name="_Toc30452"/>
      <w:bookmarkStart w:id="863" w:name="_Toc480790555"/>
      <w:r>
        <w:rPr>
          <w:rFonts w:hint="eastAsia" w:ascii="宋体" w:hAnsi="宋体" w:cs="宋体"/>
          <w:snapToGrid w:val="0"/>
          <w:color w:val="auto"/>
          <w:sz w:val="24"/>
          <w:szCs w:val="22"/>
        </w:rPr>
        <w:t>24.争议的解决</w:t>
      </w:r>
      <w:bookmarkEnd w:id="862"/>
      <w:bookmarkEnd w:id="863"/>
    </w:p>
    <w:p w14:paraId="57257BBC">
      <w:pPr>
        <w:pStyle w:val="6"/>
        <w:snapToGrid w:val="0"/>
        <w:spacing w:before="0" w:after="0" w:line="46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24.1 争议的解决方式</w:t>
      </w:r>
    </w:p>
    <w:p w14:paraId="66A749D9">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争议的解决方式：向重庆市铜梁区人民法院起诉。</w:t>
      </w:r>
    </w:p>
    <w:p w14:paraId="3E284789">
      <w:pPr>
        <w:pStyle w:val="5"/>
        <w:snapToGrid w:val="0"/>
        <w:spacing w:before="0" w:after="0" w:line="460" w:lineRule="exact"/>
        <w:rPr>
          <w:rFonts w:hint="eastAsia" w:ascii="宋体" w:hAnsi="宋体" w:cs="宋体"/>
          <w:snapToGrid w:val="0"/>
          <w:color w:val="auto"/>
          <w:sz w:val="24"/>
          <w:szCs w:val="22"/>
        </w:rPr>
      </w:pPr>
      <w:bookmarkStart w:id="864" w:name="_Toc480790556"/>
      <w:bookmarkStart w:id="865" w:name="_Toc4359"/>
      <w:r>
        <w:rPr>
          <w:rFonts w:hint="eastAsia" w:ascii="宋体" w:hAnsi="宋体" w:cs="宋体"/>
          <w:snapToGrid w:val="0"/>
          <w:color w:val="auto"/>
          <w:sz w:val="24"/>
          <w:szCs w:val="22"/>
        </w:rPr>
        <w:t>25.补充条款</w:t>
      </w:r>
      <w:bookmarkEnd w:id="864"/>
      <w:bookmarkEnd w:id="865"/>
    </w:p>
    <w:p w14:paraId="11C78720">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25.1承包人应在施工中注意排查地下管线，做到安全文明施工。发现地下管网等安全隐患时应采取措施加以保护。对突发隐患险情应积极组织力量排危抢险，并同时联络有关单位施救并及时通报监理单位和发包人。</w:t>
      </w:r>
    </w:p>
    <w:p w14:paraId="7D52983E">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25.2施工中实际发生的工程量和工程细目可能与抽选（合同）的工程量清单不一致，所以发包人有权对任何工程细目和工程量进行调整，承包人应无条件接受，不得停工、索赔和解除合同，否则应视为承包人严重违约。</w:t>
      </w:r>
    </w:p>
    <w:p w14:paraId="66FD284C">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rPr>
        <w:t>25.3发包人的主要权利义务：</w:t>
      </w:r>
    </w:p>
    <w:p w14:paraId="4E2C41BB">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完成工程立项、勘察、设计等施工图审查备案前的工作。</w:t>
      </w:r>
    </w:p>
    <w:p w14:paraId="312A35CD">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确定勘察设计、监理单位。</w:t>
      </w:r>
    </w:p>
    <w:p w14:paraId="1F3493B7">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委托有资质的造价机构对本工程进行概算审查、工程全过程造价管理和结（决）算审查。</w:t>
      </w:r>
    </w:p>
    <w:p w14:paraId="7D756FE8">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完成本项目的征地、房屋及其他拆迁工作。</w:t>
      </w:r>
    </w:p>
    <w:p w14:paraId="1ED84AFC">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监管建设项目进度，促使承包人在合同工期内完成项目建设。</w:t>
      </w:r>
    </w:p>
    <w:p w14:paraId="0F9C88FE">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按工程进度要求、监督本工程进度情况，定期或不定期抽查工程质量，抽查本工程监理部门的有关资料。</w:t>
      </w:r>
    </w:p>
    <w:p w14:paraId="09E1F861">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负责本项目投资控制工作，审定项目建设过程中新增建设内容和施工图重大设计变更内容，配合并接收审查单位对该项目的审查工作。</w:t>
      </w:r>
    </w:p>
    <w:p w14:paraId="67842422">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审定工程建设组织大纲，并监督承包人按批准的建设进度计划实施。</w:t>
      </w:r>
    </w:p>
    <w:p w14:paraId="3005B71B">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9.</w:t>
      </w:r>
      <w:r>
        <w:rPr>
          <w:rFonts w:hint="eastAsia" w:ascii="宋体" w:hAnsi="宋体" w:cs="宋体"/>
          <w:color w:val="auto"/>
          <w:szCs w:val="21"/>
        </w:rPr>
        <w:t>协调承包人与本工程相关部门的工作。</w:t>
      </w:r>
    </w:p>
    <w:p w14:paraId="55EB2A43">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委派项目管理人员处理相关事项。</w:t>
      </w:r>
    </w:p>
    <w:p w14:paraId="472DF8D8">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25.4承包人的主要义务与违约责任：</w:t>
      </w:r>
    </w:p>
    <w:p w14:paraId="354C6317">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负责工程建设施工并达到相关质量验收合格标准，全额承担因工程质量返工造成的经济损失，按国家有关法规政策承担各种安全责任。</w:t>
      </w:r>
    </w:p>
    <w:p w14:paraId="0DA31684">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配备能满足本项目实施要求的具有投资、建设、管理和施工经验的管理和技术人员，负责工程建设全过程管理、组织、协调，以确保工程质量符合国家、重庆市的有关技术标准和要求，对工程进度、质量、投资、安全和文明施工负责。</w:t>
      </w:r>
    </w:p>
    <w:p w14:paraId="13DE0E6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依法筹集和足额到位项目所需建设资金，编制资金使用计划，报发包人审批，确保建设资金按使用计划及时到位。</w:t>
      </w:r>
    </w:p>
    <w:p w14:paraId="16D30B44">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对发包人前期已经完成的所有工作成果和委托事项，承包人应无条件接受。</w:t>
      </w:r>
    </w:p>
    <w:p w14:paraId="36083F41">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根据相关合同约定向本工程相关单位支付合同款。</w:t>
      </w:r>
    </w:p>
    <w:p w14:paraId="0857708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负责办理工程建设相关手续，交纳相关费用。</w:t>
      </w:r>
    </w:p>
    <w:p w14:paraId="1F5FBDEB">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按设计文件组织工程建设，实施项目管理，负责组织工程竣工验收、资料归档并移交。</w:t>
      </w:r>
    </w:p>
    <w:p w14:paraId="3265AC2F">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配合并接受发包人及其委托的审计（或审查）机构对项目建设全过程的审计（或审查）监督。</w:t>
      </w:r>
    </w:p>
    <w:p w14:paraId="3D4E4A26">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u w:val="single"/>
        </w:rPr>
      </w:pPr>
      <w:r>
        <w:rPr>
          <w:rFonts w:hint="eastAsia" w:ascii="宋体" w:hAnsi="宋体" w:cs="宋体"/>
          <w:color w:val="auto"/>
          <w:szCs w:val="21"/>
          <w:lang w:eastAsia="zh-CN"/>
        </w:rPr>
        <w:t>9.</w:t>
      </w:r>
      <w:r>
        <w:rPr>
          <w:rFonts w:hint="eastAsia" w:ascii="宋体" w:hAnsi="宋体" w:cs="宋体"/>
          <w:color w:val="auto"/>
          <w:szCs w:val="21"/>
        </w:rPr>
        <w:t>投保建设期的相关保险，并缴纳因实施本合同项目所产生的一切税费。</w:t>
      </w:r>
    </w:p>
    <w:p w14:paraId="10816B31">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严格按照与工程建设相关的规范、标准、法律、法规等完成工程建设，确保质量和工期，负责组织工程竣工验收、资料归档，组织工程验收及移交工作。</w:t>
      </w:r>
    </w:p>
    <w:p w14:paraId="132EF492">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11.</w:t>
      </w:r>
      <w:r>
        <w:rPr>
          <w:rFonts w:hint="eastAsia" w:ascii="宋体" w:hAnsi="宋体" w:cs="宋体"/>
          <w:color w:val="auto"/>
          <w:szCs w:val="21"/>
        </w:rPr>
        <w:t>接受政府主管部门的监管。</w:t>
      </w:r>
    </w:p>
    <w:p w14:paraId="60AA470F">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12.</w:t>
      </w:r>
      <w:r>
        <w:rPr>
          <w:rFonts w:hint="eastAsia" w:ascii="宋体" w:hAnsi="宋体" w:cs="宋体"/>
          <w:color w:val="auto"/>
          <w:szCs w:val="21"/>
        </w:rPr>
        <w:t>履</w:t>
      </w:r>
      <w:r>
        <w:rPr>
          <w:rFonts w:hint="eastAsia" w:ascii="宋体" w:hAnsi="宋体" w:cs="宋体"/>
          <w:color w:val="auto"/>
          <w:szCs w:val="21"/>
          <w:lang w:eastAsia="zh-CN"/>
        </w:rPr>
        <w:t>行质</w:t>
      </w:r>
      <w:r>
        <w:rPr>
          <w:rFonts w:hint="eastAsia" w:ascii="宋体" w:hAnsi="宋体" w:cs="宋体"/>
          <w:color w:val="auto"/>
          <w:szCs w:val="21"/>
        </w:rPr>
        <w:t>量管理相关规定，承包人的法定代表人对工程质量实行终身负责制。</w:t>
      </w:r>
    </w:p>
    <w:p w14:paraId="465923AE">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13.</w:t>
      </w:r>
      <w:r>
        <w:rPr>
          <w:rFonts w:hint="eastAsia" w:ascii="宋体" w:hAnsi="宋体" w:cs="宋体"/>
          <w:color w:val="auto"/>
          <w:szCs w:val="21"/>
        </w:rPr>
        <w:t>基于平等自愿、相互信任原则，结算价经审计单位审定后，作为本合同建安工程费结算的依据。本合同签订后，即表示合同双方对此项内容无条件认可。</w:t>
      </w:r>
    </w:p>
    <w:p w14:paraId="1386C447">
      <w:pPr>
        <w:pStyle w:val="5"/>
        <w:snapToGrid w:val="0"/>
        <w:spacing w:before="0" w:after="0" w:line="46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866" w:name="_Toc480790557"/>
      <w:r>
        <w:rPr>
          <w:rFonts w:hint="eastAsia" w:ascii="宋体" w:hAnsi="宋体" w:cs="宋体"/>
          <w:b w:val="0"/>
          <w:color w:val="auto"/>
          <w:sz w:val="21"/>
          <w:szCs w:val="21"/>
        </w:rPr>
        <w:t>25.5 项目资金、质量、进度、安全、结算的监控措施</w:t>
      </w:r>
      <w:bookmarkEnd w:id="866"/>
    </w:p>
    <w:p w14:paraId="60CB93B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25.5.1 发包人每月25日检查承包人对工程进度、质量及安全的管理，一旦发现承包人因资金短缺或施工组织不力等造成工期延误，或存在严重质量问题，或发生连续的安全责任事故，发包人有权责令其整改直至清退出场。</w:t>
      </w:r>
    </w:p>
    <w:p w14:paraId="18DF19F7">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 xml:space="preserve"> 25.5.2 承包人应在工程竣工验收合格日起 90 天内办理完工程结算审核。</w:t>
      </w:r>
    </w:p>
    <w:p w14:paraId="794C89EA">
      <w:pPr>
        <w:pStyle w:val="6"/>
        <w:snapToGrid w:val="0"/>
        <w:spacing w:before="0" w:after="0" w:line="440" w:lineRule="exact"/>
        <w:rPr>
          <w:rFonts w:hint="eastAsia" w:ascii="宋体" w:hAnsi="宋体" w:eastAsia="宋体" w:cs="宋体"/>
          <w:b w:val="0"/>
          <w:snapToGrid w:val="0"/>
          <w:color w:val="auto"/>
          <w:sz w:val="21"/>
          <w:szCs w:val="21"/>
        </w:rPr>
      </w:pPr>
      <w:r>
        <w:rPr>
          <w:rFonts w:hint="eastAsia" w:ascii="宋体" w:hAnsi="宋体" w:eastAsia="宋体" w:cs="宋体"/>
          <w:b w:val="0"/>
          <w:snapToGrid w:val="0"/>
          <w:color w:val="auto"/>
          <w:sz w:val="21"/>
          <w:szCs w:val="21"/>
        </w:rPr>
        <w:t xml:space="preserve">     25.6 项目移交程序：双方应在工程移交前一个月举行会议，并就工程详细的移交程序达成一致意见。</w:t>
      </w:r>
    </w:p>
    <w:p w14:paraId="26787E19">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a.完成合同内约定的所有工程。</w:t>
      </w:r>
    </w:p>
    <w:p w14:paraId="64D70ED3">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b.完成所有工程档案的专项验收并移交档案馆。</w:t>
      </w:r>
    </w:p>
    <w:p w14:paraId="55D4B1A7">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c.经过初步验收合格，对初步验收各方提出的问题进行了整改，并验收合格。</w:t>
      </w:r>
    </w:p>
    <w:p w14:paraId="3BDEA415">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d.甲方组织的竣工验收合格。</w:t>
      </w:r>
    </w:p>
    <w:p w14:paraId="33D3DD01">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e.移交竣工文件和固定资产表。办理固定资产移交手续。</w:t>
      </w:r>
    </w:p>
    <w:p w14:paraId="17B60148">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25.7　项目建设过程中，因承包人资金不到位等原因引起项目停工等现象，承包人除承担20万元每次的违约金外，还承担由此给发包人带来的其他损失。</w:t>
      </w:r>
    </w:p>
    <w:p w14:paraId="2DB1DBBC">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承包人必须按月支付人工费，若因承包人资金不到位等原因导致拖欠民工工资，发包人有权从履约保证金扣除，直接支付人工工资，承包人还承担由此给发包人带来的其他损失。</w:t>
      </w:r>
    </w:p>
    <w:p w14:paraId="6E9CB80D">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25.8 承包人在施工过程中涉及的设计变更、签证与计量、材料价格核定以及工程款和竣工结算审核等工作，需严格按发包人相关管理办法以及程序执行。</w:t>
      </w:r>
    </w:p>
    <w:p w14:paraId="19D55416">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25.9 本合同未尽事宜，由双方另行协商解决。</w:t>
      </w:r>
    </w:p>
    <w:p w14:paraId="78FD04A8">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26.补充条款</w:t>
      </w:r>
    </w:p>
    <w:p w14:paraId="237CC789">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 xml:space="preserve"> 在进度款支付时，发包人因进度款未按时支付，承包人不得以任何方式停工。</w:t>
      </w:r>
    </w:p>
    <w:p w14:paraId="2237DAE7">
      <w:pPr>
        <w:spacing w:line="460" w:lineRule="exact"/>
        <w:ind w:firstLine="210" w:firstLineChars="100"/>
        <w:rPr>
          <w:rFonts w:hint="eastAsia" w:ascii="宋体" w:hAnsi="宋体" w:cs="宋体"/>
          <w:color w:val="auto"/>
        </w:rPr>
      </w:pPr>
      <w:r>
        <w:rPr>
          <w:rFonts w:hint="eastAsia" w:ascii="宋体" w:hAnsi="宋体" w:cs="宋体"/>
          <w:color w:val="auto"/>
        </w:rPr>
        <w:t>发包人：</w:t>
      </w:r>
      <w:r>
        <w:rPr>
          <w:rFonts w:hint="eastAsia" w:ascii="宋体" w:hAnsi="宋体" w:cs="宋体"/>
          <w:snapToGrid w:val="0"/>
          <w:color w:val="auto"/>
          <w:kern w:val="0"/>
          <w:szCs w:val="21"/>
          <w:u w:val="single"/>
        </w:rPr>
        <w:t xml:space="preserve"> </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14:paraId="3AEB5C80">
      <w:pPr>
        <w:spacing w:line="460" w:lineRule="exact"/>
        <w:ind w:firstLine="210" w:firstLineChars="100"/>
        <w:rPr>
          <w:rFonts w:hint="eastAsia" w:ascii="宋体" w:hAnsi="宋体" w:cs="宋体"/>
          <w:color w:val="auto"/>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w:t>
      </w:r>
    </w:p>
    <w:p w14:paraId="645E8E3D">
      <w:pPr>
        <w:spacing w:line="460" w:lineRule="exact"/>
        <w:ind w:firstLine="210" w:firstLineChars="100"/>
        <w:rPr>
          <w:rFonts w:hint="eastAsia" w:ascii="宋体" w:hAnsi="宋体" w:cs="宋体"/>
          <w:color w:val="auto"/>
        </w:rPr>
      </w:pPr>
      <w:r>
        <w:rPr>
          <w:rFonts w:hint="eastAsia" w:ascii="宋体" w:hAnsi="宋体" w:cs="宋体"/>
          <w:color w:val="auto"/>
        </w:rPr>
        <w:t>法定代表人或其　　　　　　　　　　　　　      法定代表人或其</w:t>
      </w:r>
    </w:p>
    <w:p w14:paraId="384A4F01">
      <w:pPr>
        <w:spacing w:line="460" w:lineRule="exact"/>
        <w:ind w:firstLine="210" w:firstLineChars="1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14:paraId="03984944">
      <w:pPr>
        <w:spacing w:line="460" w:lineRule="exact"/>
        <w:ind w:firstLine="210" w:firstLineChars="100"/>
        <w:rPr>
          <w:rFonts w:hint="eastAsia"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　</w:t>
      </w:r>
      <w:r>
        <w:rPr>
          <w:rFonts w:hint="eastAsia" w:ascii="宋体" w:hAnsi="宋体" w:cs="宋体"/>
          <w:snapToGrid w:val="0"/>
          <w:color w:val="auto"/>
          <w:kern w:val="0"/>
          <w:szCs w:val="21"/>
          <w:u w:val="single"/>
        </w:rPr>
        <w:t xml:space="preserve">               　　</w:t>
      </w:r>
      <w:r>
        <w:rPr>
          <w:rFonts w:hint="eastAsia" w:ascii="宋体" w:hAnsi="宋体" w:cs="宋体"/>
          <w:color w:val="auto"/>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14:paraId="471380BC">
      <w:pPr>
        <w:spacing w:line="460" w:lineRule="exact"/>
        <w:ind w:firstLine="210" w:firstLineChars="1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传真：____________________________</w:t>
      </w:r>
    </w:p>
    <w:p w14:paraId="4D57D5E7">
      <w:pPr>
        <w:spacing w:line="460" w:lineRule="exact"/>
        <w:ind w:firstLine="210" w:firstLineChars="1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开户银行：_________________________</w:t>
      </w:r>
    </w:p>
    <w:p w14:paraId="6E674A7F">
      <w:pPr>
        <w:spacing w:line="460" w:lineRule="exact"/>
        <w:ind w:firstLine="210" w:firstLineChars="1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14:paraId="57516D78">
      <w:pPr>
        <w:spacing w:line="460" w:lineRule="exact"/>
        <w:ind w:firstLine="210" w:firstLineChars="1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w:t>
      </w:r>
      <w:r>
        <w:rPr>
          <w:rFonts w:hint="eastAsia" w:ascii="宋体" w:hAnsi="宋体" w:cs="宋体"/>
          <w:color w:val="auto"/>
        </w:rPr>
        <w:t xml:space="preserve">　　　         　 邮政编码：_______________________ </w:t>
      </w:r>
    </w:p>
    <w:p w14:paraId="533FFD09">
      <w:pPr>
        <w:tabs>
          <w:tab w:val="left" w:pos="5010"/>
        </w:tabs>
        <w:autoSpaceDE w:val="0"/>
        <w:autoSpaceDN w:val="0"/>
        <w:adjustRightInd w:val="0"/>
        <w:snapToGrid w:val="0"/>
        <w:spacing w:line="460" w:lineRule="exact"/>
        <w:ind w:firstLine="3717" w:firstLineChars="1770"/>
        <w:rPr>
          <w:rFonts w:hint="eastAsia" w:ascii="宋体" w:hAnsi="宋体" w:eastAsia="宋体" w:cs="宋体"/>
          <w:color w:val="auto"/>
          <w:szCs w:val="21"/>
          <w:lang w:eastAsia="zh-CN"/>
        </w:rPr>
      </w:pPr>
      <w:r>
        <w:rPr>
          <w:rFonts w:hint="eastAsia" w:ascii="宋体" w:hAnsi="宋体" w:cs="宋体"/>
          <w:color w:val="auto"/>
          <w:szCs w:val="21"/>
        </w:rPr>
        <w:t xml:space="preserve">   年</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p>
    <w:p w14:paraId="60ECFC06">
      <w:pPr>
        <w:spacing w:line="500" w:lineRule="exact"/>
        <w:jc w:val="center"/>
        <w:rPr>
          <w:rFonts w:ascii="宋体"/>
          <w:b/>
          <w:color w:val="auto"/>
          <w:sz w:val="28"/>
          <w:szCs w:val="28"/>
          <w:highlight w:val="none"/>
        </w:rPr>
      </w:pPr>
      <w:r>
        <w:rPr>
          <w:rFonts w:ascii="宋体"/>
          <w:b/>
          <w:color w:val="auto"/>
          <w:sz w:val="28"/>
          <w:szCs w:val="28"/>
        </w:rPr>
        <w:br w:type="page"/>
      </w:r>
      <w:r>
        <w:rPr>
          <w:rFonts w:ascii="宋体"/>
          <w:b/>
          <w:color w:val="auto"/>
          <w:sz w:val="28"/>
          <w:szCs w:val="28"/>
          <w:highlight w:val="none"/>
        </w:rPr>
        <w:t>B</w:t>
      </w:r>
      <w:r>
        <w:rPr>
          <w:rFonts w:hint="eastAsia" w:ascii="宋体"/>
          <w:b/>
          <w:color w:val="auto"/>
          <w:sz w:val="28"/>
          <w:szCs w:val="28"/>
          <w:highlight w:val="none"/>
        </w:rPr>
        <w:t>.项目专用合同条款</w:t>
      </w:r>
      <w:bookmarkEnd w:id="768"/>
      <w:bookmarkEnd w:id="769"/>
    </w:p>
    <w:tbl>
      <w:tblPr>
        <w:tblStyle w:val="52"/>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1484"/>
        <w:gridCol w:w="7426"/>
      </w:tblGrid>
      <w:tr w14:paraId="673320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729" w:type="dxa"/>
            <w:noWrap w:val="0"/>
            <w:vAlign w:val="center"/>
          </w:tcPr>
          <w:p w14:paraId="7273BFC6">
            <w:pPr>
              <w:jc w:val="center"/>
              <w:rPr>
                <w:b/>
                <w:color w:val="auto"/>
                <w:sz w:val="20"/>
              </w:rPr>
            </w:pPr>
            <w:r>
              <w:rPr>
                <w:rFonts w:hint="eastAsia" w:hAnsi="宋体"/>
                <w:b/>
                <w:color w:val="auto"/>
                <w:sz w:val="20"/>
              </w:rPr>
              <w:t>序号</w:t>
            </w:r>
          </w:p>
        </w:tc>
        <w:tc>
          <w:tcPr>
            <w:tcW w:w="1484" w:type="dxa"/>
            <w:noWrap w:val="0"/>
            <w:vAlign w:val="center"/>
          </w:tcPr>
          <w:p w14:paraId="3A2ED9AB">
            <w:pPr>
              <w:jc w:val="center"/>
              <w:rPr>
                <w:b/>
                <w:color w:val="auto"/>
                <w:sz w:val="20"/>
              </w:rPr>
            </w:pPr>
            <w:r>
              <w:rPr>
                <w:rFonts w:hint="eastAsia" w:hAnsi="宋体"/>
                <w:b/>
                <w:color w:val="auto"/>
                <w:sz w:val="20"/>
              </w:rPr>
              <w:t>条款号</w:t>
            </w:r>
          </w:p>
        </w:tc>
        <w:tc>
          <w:tcPr>
            <w:tcW w:w="7426" w:type="dxa"/>
            <w:noWrap w:val="0"/>
            <w:vAlign w:val="center"/>
          </w:tcPr>
          <w:p w14:paraId="735A4B87">
            <w:pPr>
              <w:jc w:val="center"/>
              <w:rPr>
                <w:b/>
                <w:color w:val="auto"/>
                <w:sz w:val="20"/>
              </w:rPr>
            </w:pPr>
            <w:r>
              <w:rPr>
                <w:rFonts w:hint="eastAsia" w:hAnsi="宋体"/>
                <w:b/>
                <w:color w:val="auto"/>
                <w:sz w:val="20"/>
              </w:rPr>
              <w:t>信息或数据</w:t>
            </w:r>
          </w:p>
        </w:tc>
      </w:tr>
      <w:tr w14:paraId="6132D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blHeader/>
          <w:jc w:val="center"/>
        </w:trPr>
        <w:tc>
          <w:tcPr>
            <w:tcW w:w="729" w:type="dxa"/>
            <w:noWrap w:val="0"/>
            <w:vAlign w:val="center"/>
          </w:tcPr>
          <w:p w14:paraId="547DB764">
            <w:pPr>
              <w:jc w:val="center"/>
              <w:rPr>
                <w:color w:val="auto"/>
                <w:sz w:val="20"/>
              </w:rPr>
            </w:pPr>
            <w:r>
              <w:rPr>
                <w:color w:val="auto"/>
                <w:sz w:val="20"/>
              </w:rPr>
              <w:t>1</w:t>
            </w:r>
          </w:p>
        </w:tc>
        <w:tc>
          <w:tcPr>
            <w:tcW w:w="1484" w:type="dxa"/>
            <w:noWrap w:val="0"/>
            <w:vAlign w:val="center"/>
          </w:tcPr>
          <w:p w14:paraId="483E7C61">
            <w:pPr>
              <w:jc w:val="center"/>
              <w:rPr>
                <w:color w:val="auto"/>
                <w:sz w:val="20"/>
              </w:rPr>
            </w:pPr>
            <w:r>
              <w:rPr>
                <w:color w:val="auto"/>
                <w:sz w:val="20"/>
              </w:rPr>
              <w:t>1.1.2.2</w:t>
            </w:r>
          </w:p>
        </w:tc>
        <w:tc>
          <w:tcPr>
            <w:tcW w:w="7426" w:type="dxa"/>
            <w:noWrap w:val="0"/>
            <w:vAlign w:val="center"/>
          </w:tcPr>
          <w:p w14:paraId="20EB5940">
            <w:pPr>
              <w:rPr>
                <w:rFonts w:hint="eastAsia" w:ascii="宋体" w:hAnsi="宋体" w:eastAsia="宋体" w:cs="宋体"/>
                <w:b/>
                <w:color w:val="auto"/>
                <w:szCs w:val="21"/>
                <w:u w:val="single"/>
                <w:lang w:eastAsia="zh-CN"/>
              </w:rPr>
            </w:pPr>
            <w:r>
              <w:rPr>
                <w:rFonts w:hint="eastAsia" w:hAnsi="宋体"/>
                <w:color w:val="auto"/>
                <w:sz w:val="20"/>
              </w:rPr>
              <w:t>发</w:t>
            </w:r>
            <w:r>
              <w:rPr>
                <w:color w:val="auto"/>
                <w:sz w:val="20"/>
              </w:rPr>
              <w:t xml:space="preserve"> </w:t>
            </w:r>
            <w:r>
              <w:rPr>
                <w:rFonts w:hint="eastAsia" w:hAnsi="宋体"/>
                <w:color w:val="auto"/>
                <w:sz w:val="20"/>
              </w:rPr>
              <w:t>包</w:t>
            </w:r>
            <w:r>
              <w:rPr>
                <w:color w:val="auto"/>
                <w:sz w:val="20"/>
              </w:rPr>
              <w:t xml:space="preserve"> </w:t>
            </w:r>
            <w:r>
              <w:rPr>
                <w:rFonts w:hint="eastAsia" w:hAnsi="宋体"/>
                <w:color w:val="auto"/>
                <w:sz w:val="20"/>
              </w:rPr>
              <w:t>人：</w:t>
            </w:r>
            <w:r>
              <w:rPr>
                <w:rFonts w:hint="eastAsia" w:ascii="宋体" w:hAnsi="宋体" w:cs="宋体"/>
                <w:b/>
                <w:color w:val="auto"/>
                <w:szCs w:val="21"/>
                <w:u w:val="single"/>
                <w:lang w:eastAsia="zh-CN"/>
              </w:rPr>
              <w:t>重庆市铜梁区福果镇人民政府</w:t>
            </w:r>
          </w:p>
          <w:p w14:paraId="357508B3">
            <w:pPr>
              <w:rPr>
                <w:color w:val="auto"/>
                <w:sz w:val="20"/>
              </w:rPr>
            </w:pPr>
            <w:r>
              <w:rPr>
                <w:rFonts w:hint="eastAsia" w:hAnsi="宋体"/>
                <w:color w:val="auto"/>
                <w:sz w:val="20"/>
              </w:rPr>
              <w:t>地</w:t>
            </w:r>
            <w:r>
              <w:rPr>
                <w:color w:val="auto"/>
                <w:sz w:val="20"/>
              </w:rPr>
              <w:t xml:space="preserve">    </w:t>
            </w:r>
            <w:r>
              <w:rPr>
                <w:rFonts w:hint="eastAsia" w:cs="仿宋"/>
                <w:snapToGrid w:val="0"/>
                <w:color w:val="auto"/>
                <w:kern w:val="0"/>
                <w:szCs w:val="21"/>
              </w:rPr>
              <w:t>址：</w:t>
            </w:r>
          </w:p>
          <w:p w14:paraId="46580CAE">
            <w:pPr>
              <w:rPr>
                <w:color w:val="auto"/>
                <w:sz w:val="20"/>
              </w:rPr>
            </w:pPr>
            <w:r>
              <w:rPr>
                <w:color w:val="auto"/>
                <w:sz w:val="20"/>
              </w:rPr>
              <w:t xml:space="preserve"> </w:t>
            </w:r>
          </w:p>
        </w:tc>
      </w:tr>
      <w:tr w14:paraId="3A08F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blHeader/>
          <w:jc w:val="center"/>
        </w:trPr>
        <w:tc>
          <w:tcPr>
            <w:tcW w:w="729" w:type="dxa"/>
            <w:noWrap w:val="0"/>
            <w:vAlign w:val="center"/>
          </w:tcPr>
          <w:p w14:paraId="42758BD6">
            <w:pPr>
              <w:jc w:val="center"/>
              <w:rPr>
                <w:color w:val="auto"/>
                <w:sz w:val="20"/>
              </w:rPr>
            </w:pPr>
            <w:r>
              <w:rPr>
                <w:color w:val="auto"/>
                <w:sz w:val="20"/>
              </w:rPr>
              <w:t>2</w:t>
            </w:r>
          </w:p>
        </w:tc>
        <w:tc>
          <w:tcPr>
            <w:tcW w:w="1484" w:type="dxa"/>
            <w:noWrap w:val="0"/>
            <w:vAlign w:val="center"/>
          </w:tcPr>
          <w:p w14:paraId="1973BFF5">
            <w:pPr>
              <w:jc w:val="center"/>
              <w:rPr>
                <w:color w:val="auto"/>
                <w:sz w:val="20"/>
              </w:rPr>
            </w:pPr>
            <w:r>
              <w:rPr>
                <w:color w:val="auto"/>
                <w:sz w:val="20"/>
              </w:rPr>
              <w:t>1.1.2.6</w:t>
            </w:r>
          </w:p>
        </w:tc>
        <w:tc>
          <w:tcPr>
            <w:tcW w:w="7426" w:type="dxa"/>
            <w:noWrap w:val="0"/>
            <w:vAlign w:val="center"/>
          </w:tcPr>
          <w:p w14:paraId="7851EC18">
            <w:pPr>
              <w:rPr>
                <w:color w:val="auto"/>
                <w:sz w:val="20"/>
              </w:rPr>
            </w:pPr>
            <w:r>
              <w:rPr>
                <w:rFonts w:hint="eastAsia" w:hAnsi="宋体"/>
                <w:color w:val="auto"/>
                <w:sz w:val="20"/>
              </w:rPr>
              <w:t>监</w:t>
            </w:r>
            <w:r>
              <w:rPr>
                <w:color w:val="auto"/>
                <w:sz w:val="20"/>
              </w:rPr>
              <w:t xml:space="preserve"> </w:t>
            </w:r>
            <w:r>
              <w:rPr>
                <w:rFonts w:hint="eastAsia" w:hAnsi="宋体"/>
                <w:color w:val="auto"/>
                <w:sz w:val="20"/>
              </w:rPr>
              <w:t>理</w:t>
            </w:r>
            <w:r>
              <w:rPr>
                <w:color w:val="auto"/>
                <w:sz w:val="20"/>
              </w:rPr>
              <w:t xml:space="preserve"> </w:t>
            </w:r>
            <w:r>
              <w:rPr>
                <w:rFonts w:hint="eastAsia" w:hAnsi="宋体"/>
                <w:color w:val="auto"/>
                <w:sz w:val="20"/>
              </w:rPr>
              <w:t>人：</w:t>
            </w:r>
          </w:p>
          <w:p w14:paraId="05E3ACC3">
            <w:pPr>
              <w:rPr>
                <w:color w:val="auto"/>
                <w:sz w:val="20"/>
              </w:rPr>
            </w:pPr>
            <w:r>
              <w:rPr>
                <w:rFonts w:hint="eastAsia" w:hAnsi="宋体"/>
                <w:color w:val="auto"/>
                <w:sz w:val="20"/>
              </w:rPr>
              <w:t>地</w:t>
            </w:r>
            <w:r>
              <w:rPr>
                <w:color w:val="auto"/>
                <w:sz w:val="20"/>
              </w:rPr>
              <w:t xml:space="preserve">    </w:t>
            </w:r>
            <w:r>
              <w:rPr>
                <w:rFonts w:hint="eastAsia" w:hAnsi="宋体"/>
                <w:color w:val="auto"/>
                <w:sz w:val="20"/>
              </w:rPr>
              <w:t>址：</w:t>
            </w:r>
            <w:r>
              <w:rPr>
                <w:color w:val="auto"/>
                <w:sz w:val="20"/>
              </w:rPr>
              <w:t xml:space="preserve">                       </w:t>
            </w:r>
          </w:p>
        </w:tc>
      </w:tr>
      <w:tr w14:paraId="607D00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3A16E94C">
            <w:pPr>
              <w:jc w:val="center"/>
              <w:rPr>
                <w:color w:val="auto"/>
                <w:sz w:val="20"/>
              </w:rPr>
            </w:pPr>
            <w:r>
              <w:rPr>
                <w:color w:val="auto"/>
                <w:sz w:val="20"/>
              </w:rPr>
              <w:t>3</w:t>
            </w:r>
          </w:p>
        </w:tc>
        <w:tc>
          <w:tcPr>
            <w:tcW w:w="1484" w:type="dxa"/>
            <w:noWrap w:val="0"/>
            <w:vAlign w:val="center"/>
          </w:tcPr>
          <w:p w14:paraId="5CEBE9E1">
            <w:pPr>
              <w:jc w:val="center"/>
              <w:rPr>
                <w:color w:val="auto"/>
                <w:sz w:val="20"/>
              </w:rPr>
            </w:pPr>
            <w:r>
              <w:rPr>
                <w:color w:val="auto"/>
                <w:sz w:val="20"/>
              </w:rPr>
              <w:t>1.1.4.5</w:t>
            </w:r>
          </w:p>
        </w:tc>
        <w:tc>
          <w:tcPr>
            <w:tcW w:w="7426" w:type="dxa"/>
            <w:noWrap w:val="0"/>
            <w:vAlign w:val="center"/>
          </w:tcPr>
          <w:p w14:paraId="169AEDAE">
            <w:pPr>
              <w:rPr>
                <w:rFonts w:hint="default" w:eastAsia="宋体"/>
                <w:color w:val="auto"/>
                <w:sz w:val="20"/>
                <w:lang w:val="en-US" w:eastAsia="zh-CN"/>
              </w:rPr>
            </w:pPr>
            <w:r>
              <w:rPr>
                <w:rFonts w:hint="eastAsia" w:hAnsi="宋体"/>
                <w:color w:val="auto"/>
                <w:sz w:val="20"/>
              </w:rPr>
              <w:t>缺陷责任期：竣工验收合格之日</w:t>
            </w:r>
            <w:r>
              <w:rPr>
                <w:rFonts w:hAnsi="宋体"/>
                <w:color w:val="auto"/>
                <w:sz w:val="20"/>
              </w:rPr>
              <w:t>起计算</w:t>
            </w:r>
            <w:r>
              <w:rPr>
                <w:rFonts w:hint="eastAsia"/>
                <w:color w:val="auto"/>
                <w:sz w:val="20"/>
                <w:u w:val="single"/>
                <w:lang w:val="en-US" w:eastAsia="zh-CN"/>
              </w:rPr>
              <w:t>12</w:t>
            </w:r>
            <w:r>
              <w:rPr>
                <w:rFonts w:hint="eastAsia"/>
                <w:color w:val="auto"/>
                <w:sz w:val="20"/>
                <w:u w:val="none"/>
                <w:lang w:val="en-US" w:eastAsia="zh-CN"/>
              </w:rPr>
              <w:t>个月</w:t>
            </w:r>
          </w:p>
        </w:tc>
      </w:tr>
      <w:tr w14:paraId="3A943A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7" w:hRule="atLeast"/>
          <w:tblHeader/>
          <w:jc w:val="center"/>
        </w:trPr>
        <w:tc>
          <w:tcPr>
            <w:tcW w:w="729" w:type="dxa"/>
            <w:noWrap w:val="0"/>
            <w:vAlign w:val="center"/>
          </w:tcPr>
          <w:p w14:paraId="5597D82A">
            <w:pPr>
              <w:jc w:val="center"/>
              <w:rPr>
                <w:color w:val="auto"/>
                <w:sz w:val="20"/>
              </w:rPr>
            </w:pPr>
            <w:r>
              <w:rPr>
                <w:color w:val="auto"/>
                <w:sz w:val="20"/>
              </w:rPr>
              <w:t>4</w:t>
            </w:r>
          </w:p>
        </w:tc>
        <w:tc>
          <w:tcPr>
            <w:tcW w:w="1484" w:type="dxa"/>
            <w:noWrap w:val="0"/>
            <w:vAlign w:val="center"/>
          </w:tcPr>
          <w:p w14:paraId="219CABA6">
            <w:pPr>
              <w:jc w:val="center"/>
              <w:rPr>
                <w:color w:val="auto"/>
                <w:sz w:val="20"/>
              </w:rPr>
            </w:pPr>
            <w:r>
              <w:rPr>
                <w:color w:val="auto"/>
                <w:sz w:val="20"/>
              </w:rPr>
              <w:t>1.6.3</w:t>
            </w:r>
          </w:p>
        </w:tc>
        <w:tc>
          <w:tcPr>
            <w:tcW w:w="7426" w:type="dxa"/>
            <w:noWrap w:val="0"/>
            <w:vAlign w:val="center"/>
          </w:tcPr>
          <w:p w14:paraId="504C94D4">
            <w:pPr>
              <w:rPr>
                <w:color w:val="auto"/>
                <w:sz w:val="20"/>
              </w:rPr>
            </w:pPr>
            <w:r>
              <w:rPr>
                <w:rFonts w:hint="eastAsia" w:hAnsi="宋体"/>
                <w:color w:val="auto"/>
                <w:sz w:val="20"/>
              </w:rPr>
              <w:t>图纸需要修改和补充的，应由监理人取得发包人同意后，在该项工程或工程相应部位施工前</w:t>
            </w:r>
            <w:r>
              <w:rPr>
                <w:color w:val="auto"/>
                <w:sz w:val="20"/>
                <w:u w:val="single"/>
              </w:rPr>
              <w:t xml:space="preserve">  3  </w:t>
            </w:r>
            <w:r>
              <w:rPr>
                <w:rFonts w:hint="eastAsia" w:hAnsi="宋体"/>
                <w:color w:val="auto"/>
                <w:sz w:val="20"/>
              </w:rPr>
              <w:t>天签发图纸修改图给承包人</w:t>
            </w:r>
          </w:p>
        </w:tc>
      </w:tr>
      <w:tr w14:paraId="38A85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7" w:hRule="atLeast"/>
          <w:tblHeader/>
          <w:jc w:val="center"/>
        </w:trPr>
        <w:tc>
          <w:tcPr>
            <w:tcW w:w="729" w:type="dxa"/>
            <w:noWrap w:val="0"/>
            <w:vAlign w:val="center"/>
          </w:tcPr>
          <w:p w14:paraId="59B02ECE">
            <w:pPr>
              <w:jc w:val="center"/>
              <w:rPr>
                <w:color w:val="auto"/>
                <w:sz w:val="20"/>
              </w:rPr>
            </w:pPr>
            <w:r>
              <w:rPr>
                <w:color w:val="auto"/>
                <w:sz w:val="20"/>
              </w:rPr>
              <w:t>5</w:t>
            </w:r>
          </w:p>
        </w:tc>
        <w:tc>
          <w:tcPr>
            <w:tcW w:w="1484" w:type="dxa"/>
            <w:noWrap w:val="0"/>
            <w:vAlign w:val="center"/>
          </w:tcPr>
          <w:p w14:paraId="715D2D0D">
            <w:pPr>
              <w:jc w:val="center"/>
              <w:rPr>
                <w:color w:val="auto"/>
                <w:sz w:val="20"/>
              </w:rPr>
            </w:pPr>
            <w:r>
              <w:rPr>
                <w:color w:val="auto"/>
                <w:sz w:val="20"/>
              </w:rPr>
              <w:t>3.1.1</w:t>
            </w:r>
          </w:p>
        </w:tc>
        <w:tc>
          <w:tcPr>
            <w:tcW w:w="7426" w:type="dxa"/>
            <w:noWrap w:val="0"/>
            <w:vAlign w:val="center"/>
          </w:tcPr>
          <w:p w14:paraId="74736329">
            <w:pPr>
              <w:rPr>
                <w:color w:val="auto"/>
                <w:sz w:val="20"/>
              </w:rPr>
            </w:pPr>
            <w:r>
              <w:rPr>
                <w:rFonts w:hint="eastAsia" w:hAnsi="宋体"/>
                <w:color w:val="auto"/>
                <w:sz w:val="20"/>
              </w:rPr>
              <w:t>监理人在行使下列权利前需要经发包人事先批准：</w:t>
            </w:r>
          </w:p>
          <w:p w14:paraId="5FE81216">
            <w:pPr>
              <w:rPr>
                <w:color w:val="auto"/>
                <w:sz w:val="20"/>
              </w:rPr>
            </w:pPr>
            <w:r>
              <w:rPr>
                <w:rFonts w:hint="eastAsia" w:hAnsi="宋体"/>
                <w:color w:val="auto"/>
                <w:sz w:val="20"/>
              </w:rPr>
              <w:t>（</w:t>
            </w:r>
            <w:r>
              <w:rPr>
                <w:color w:val="auto"/>
                <w:sz w:val="20"/>
              </w:rPr>
              <w:t>6</w:t>
            </w:r>
            <w:r>
              <w:rPr>
                <w:rFonts w:hint="eastAsia" w:hAnsi="宋体"/>
                <w:color w:val="auto"/>
                <w:sz w:val="20"/>
              </w:rPr>
              <w:t>）根据第</w:t>
            </w:r>
            <w:r>
              <w:rPr>
                <w:color w:val="auto"/>
                <w:sz w:val="20"/>
              </w:rPr>
              <w:t>15.3</w:t>
            </w:r>
            <w:r>
              <w:rPr>
                <w:rFonts w:hint="eastAsia" w:hAnsi="宋体"/>
                <w:color w:val="auto"/>
                <w:sz w:val="20"/>
              </w:rPr>
              <w:t>款发出的变更指示，其单项工程变更涉及的金额超过了该单项工程签约时合同价的</w:t>
            </w:r>
            <w:r>
              <w:rPr>
                <w:color w:val="auto"/>
                <w:sz w:val="20"/>
                <w:u w:val="single"/>
              </w:rPr>
              <w:t xml:space="preserve">   /  </w:t>
            </w:r>
            <w:r>
              <w:rPr>
                <w:color w:val="auto"/>
                <w:sz w:val="20"/>
              </w:rPr>
              <w:t>%</w:t>
            </w:r>
            <w:r>
              <w:rPr>
                <w:rFonts w:hint="eastAsia" w:hAnsi="宋体"/>
                <w:color w:val="auto"/>
                <w:sz w:val="20"/>
              </w:rPr>
              <w:t>或累计变更超过了签约合同价的</w:t>
            </w:r>
            <w:r>
              <w:rPr>
                <w:color w:val="auto"/>
                <w:sz w:val="20"/>
                <w:u w:val="single"/>
              </w:rPr>
              <w:t xml:space="preserve">   /  </w:t>
            </w:r>
            <w:r>
              <w:rPr>
                <w:color w:val="auto"/>
                <w:sz w:val="20"/>
              </w:rPr>
              <w:t>%</w:t>
            </w:r>
          </w:p>
        </w:tc>
      </w:tr>
      <w:tr w14:paraId="29B34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10D36537">
            <w:pPr>
              <w:jc w:val="center"/>
              <w:rPr>
                <w:color w:val="auto"/>
                <w:sz w:val="20"/>
              </w:rPr>
            </w:pPr>
            <w:r>
              <w:rPr>
                <w:color w:val="auto"/>
                <w:sz w:val="20"/>
              </w:rPr>
              <w:t>6</w:t>
            </w:r>
          </w:p>
        </w:tc>
        <w:tc>
          <w:tcPr>
            <w:tcW w:w="1484" w:type="dxa"/>
            <w:noWrap w:val="0"/>
            <w:vAlign w:val="center"/>
          </w:tcPr>
          <w:p w14:paraId="4E1F588F">
            <w:pPr>
              <w:jc w:val="center"/>
              <w:rPr>
                <w:color w:val="auto"/>
                <w:sz w:val="20"/>
              </w:rPr>
            </w:pPr>
            <w:r>
              <w:rPr>
                <w:color w:val="auto"/>
                <w:sz w:val="20"/>
              </w:rPr>
              <w:t>5.2.4</w:t>
            </w:r>
          </w:p>
        </w:tc>
        <w:tc>
          <w:tcPr>
            <w:tcW w:w="7426" w:type="dxa"/>
            <w:noWrap w:val="0"/>
            <w:vAlign w:val="center"/>
          </w:tcPr>
          <w:p w14:paraId="5687966B">
            <w:pPr>
              <w:rPr>
                <w:color w:val="auto"/>
                <w:sz w:val="20"/>
                <w:u w:val="single"/>
              </w:rPr>
            </w:pPr>
            <w:r>
              <w:rPr>
                <w:rFonts w:hint="eastAsia" w:hAnsi="宋体"/>
                <w:color w:val="auto"/>
                <w:sz w:val="20"/>
              </w:rPr>
              <w:t>发包人是否提供材料或工程设备：</w:t>
            </w:r>
            <w:r>
              <w:rPr>
                <w:rFonts w:hint="eastAsia" w:hAnsi="宋体"/>
                <w:color w:val="auto"/>
                <w:sz w:val="20"/>
                <w:u w:val="single"/>
              </w:rPr>
              <w:t>否</w:t>
            </w:r>
          </w:p>
          <w:p w14:paraId="55531FB8">
            <w:pPr>
              <w:rPr>
                <w:color w:val="auto"/>
                <w:sz w:val="20"/>
              </w:rPr>
            </w:pPr>
            <w:r>
              <w:rPr>
                <w:rFonts w:hint="eastAsia" w:hAnsi="宋体"/>
                <w:color w:val="auto"/>
                <w:sz w:val="20"/>
              </w:rPr>
              <w:t>如发包人负责提供部分材料或工程设备，相关规定如下：</w:t>
            </w:r>
            <w:r>
              <w:rPr>
                <w:color w:val="auto"/>
                <w:sz w:val="20"/>
                <w:u w:val="single"/>
              </w:rPr>
              <w:t xml:space="preserve">   /       </w:t>
            </w:r>
          </w:p>
        </w:tc>
      </w:tr>
      <w:tr w14:paraId="0E689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5EADD370">
            <w:pPr>
              <w:jc w:val="center"/>
              <w:rPr>
                <w:color w:val="auto"/>
                <w:sz w:val="20"/>
              </w:rPr>
            </w:pPr>
            <w:r>
              <w:rPr>
                <w:color w:val="auto"/>
                <w:sz w:val="20"/>
              </w:rPr>
              <w:t>7</w:t>
            </w:r>
          </w:p>
        </w:tc>
        <w:tc>
          <w:tcPr>
            <w:tcW w:w="1484" w:type="dxa"/>
            <w:noWrap w:val="0"/>
            <w:vAlign w:val="center"/>
          </w:tcPr>
          <w:p w14:paraId="5D3165BB">
            <w:pPr>
              <w:jc w:val="center"/>
              <w:rPr>
                <w:color w:val="auto"/>
                <w:sz w:val="20"/>
              </w:rPr>
            </w:pPr>
            <w:r>
              <w:rPr>
                <w:color w:val="auto"/>
                <w:sz w:val="20"/>
              </w:rPr>
              <w:t>6.2</w:t>
            </w:r>
          </w:p>
        </w:tc>
        <w:tc>
          <w:tcPr>
            <w:tcW w:w="7426" w:type="dxa"/>
            <w:noWrap w:val="0"/>
            <w:vAlign w:val="center"/>
          </w:tcPr>
          <w:p w14:paraId="25AE1FBF">
            <w:pPr>
              <w:rPr>
                <w:color w:val="auto"/>
                <w:sz w:val="20"/>
              </w:rPr>
            </w:pPr>
            <w:r>
              <w:rPr>
                <w:rFonts w:hint="eastAsia" w:hAnsi="宋体"/>
                <w:color w:val="auto"/>
                <w:sz w:val="20"/>
              </w:rPr>
              <w:t>发包人是否提供施工设备和临时设施：</w:t>
            </w:r>
            <w:r>
              <w:rPr>
                <w:rFonts w:hint="eastAsia" w:hAnsi="宋体"/>
                <w:color w:val="auto"/>
                <w:sz w:val="20"/>
                <w:u w:val="single"/>
              </w:rPr>
              <w:t>否</w:t>
            </w:r>
          </w:p>
          <w:p w14:paraId="171A5666">
            <w:pPr>
              <w:rPr>
                <w:color w:val="auto"/>
                <w:sz w:val="20"/>
              </w:rPr>
            </w:pPr>
            <w:r>
              <w:rPr>
                <w:rFonts w:hint="eastAsia" w:hAnsi="宋体"/>
                <w:color w:val="auto"/>
                <w:sz w:val="20"/>
              </w:rPr>
              <w:t>如发包人负责提供部分施工设备和临时设施，相关规定如下：</w:t>
            </w:r>
            <w:r>
              <w:rPr>
                <w:color w:val="auto"/>
                <w:sz w:val="20"/>
                <w:u w:val="single"/>
              </w:rPr>
              <w:t xml:space="preserve">    /     </w:t>
            </w:r>
          </w:p>
        </w:tc>
      </w:tr>
      <w:tr w14:paraId="1D8878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1094BC06">
            <w:pPr>
              <w:jc w:val="center"/>
              <w:rPr>
                <w:color w:val="auto"/>
                <w:sz w:val="20"/>
              </w:rPr>
            </w:pPr>
            <w:r>
              <w:rPr>
                <w:color w:val="auto"/>
                <w:sz w:val="20"/>
              </w:rPr>
              <w:t>8</w:t>
            </w:r>
          </w:p>
        </w:tc>
        <w:tc>
          <w:tcPr>
            <w:tcW w:w="1484" w:type="dxa"/>
            <w:noWrap w:val="0"/>
            <w:vAlign w:val="center"/>
          </w:tcPr>
          <w:p w14:paraId="683A6EB4">
            <w:pPr>
              <w:jc w:val="center"/>
              <w:rPr>
                <w:color w:val="auto"/>
                <w:sz w:val="20"/>
              </w:rPr>
            </w:pPr>
            <w:r>
              <w:rPr>
                <w:color w:val="auto"/>
                <w:sz w:val="20"/>
              </w:rPr>
              <w:t>8.1.1</w:t>
            </w:r>
          </w:p>
        </w:tc>
        <w:tc>
          <w:tcPr>
            <w:tcW w:w="7426" w:type="dxa"/>
            <w:noWrap w:val="0"/>
            <w:vAlign w:val="center"/>
          </w:tcPr>
          <w:p w14:paraId="7524390B">
            <w:pPr>
              <w:rPr>
                <w:color w:val="auto"/>
                <w:sz w:val="20"/>
              </w:rPr>
            </w:pPr>
            <w:r>
              <w:rPr>
                <w:rFonts w:hint="eastAsia" w:hAnsi="宋体"/>
                <w:color w:val="auto"/>
                <w:sz w:val="20"/>
              </w:rPr>
              <w:t>发包人提供测量基准点、</w:t>
            </w:r>
            <w:r>
              <w:rPr>
                <w:rFonts w:hint="eastAsia" w:hAnsi="宋体"/>
                <w:color w:val="auto"/>
                <w:sz w:val="20"/>
                <w:lang w:eastAsia="zh-CN"/>
              </w:rPr>
              <w:t>基准线</w:t>
            </w:r>
            <w:r>
              <w:rPr>
                <w:rFonts w:hint="eastAsia" w:hAnsi="宋体"/>
                <w:color w:val="auto"/>
                <w:sz w:val="20"/>
              </w:rPr>
              <w:t>和水准点及其书面资料的期限：</w:t>
            </w:r>
            <w:r>
              <w:rPr>
                <w:color w:val="auto"/>
                <w:sz w:val="20"/>
                <w:u w:val="single"/>
              </w:rPr>
              <w:t xml:space="preserve">   /    </w:t>
            </w:r>
          </w:p>
          <w:p w14:paraId="433A8D0B">
            <w:pPr>
              <w:rPr>
                <w:color w:val="auto"/>
                <w:sz w:val="20"/>
              </w:rPr>
            </w:pPr>
            <w:r>
              <w:rPr>
                <w:rFonts w:hint="eastAsia" w:hAnsi="宋体"/>
                <w:color w:val="auto"/>
                <w:sz w:val="20"/>
              </w:rPr>
              <w:t>承包人将施工控制网资料报送监理人审批的期限：</w:t>
            </w:r>
            <w:r>
              <w:rPr>
                <w:color w:val="auto"/>
                <w:sz w:val="20"/>
                <w:u w:val="single"/>
              </w:rPr>
              <w:t xml:space="preserve">   3</w:t>
            </w:r>
            <w:r>
              <w:rPr>
                <w:rFonts w:hint="eastAsia" w:hAnsi="宋体"/>
                <w:color w:val="auto"/>
                <w:sz w:val="20"/>
                <w:u w:val="single"/>
              </w:rPr>
              <w:t>日</w:t>
            </w:r>
            <w:r>
              <w:rPr>
                <w:color w:val="auto"/>
                <w:sz w:val="20"/>
                <w:u w:val="single"/>
              </w:rPr>
              <w:t xml:space="preserve">      </w:t>
            </w:r>
          </w:p>
        </w:tc>
      </w:tr>
      <w:tr w14:paraId="729D25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4BB24A65">
            <w:pPr>
              <w:jc w:val="center"/>
              <w:rPr>
                <w:color w:val="auto"/>
                <w:sz w:val="20"/>
              </w:rPr>
            </w:pPr>
            <w:r>
              <w:rPr>
                <w:color w:val="auto"/>
                <w:sz w:val="20"/>
              </w:rPr>
              <w:t>9</w:t>
            </w:r>
          </w:p>
        </w:tc>
        <w:tc>
          <w:tcPr>
            <w:tcW w:w="1484" w:type="dxa"/>
            <w:noWrap w:val="0"/>
            <w:vAlign w:val="center"/>
          </w:tcPr>
          <w:p w14:paraId="127FBA32">
            <w:pPr>
              <w:jc w:val="center"/>
              <w:rPr>
                <w:color w:val="auto"/>
                <w:sz w:val="20"/>
              </w:rPr>
            </w:pPr>
            <w:r>
              <w:rPr>
                <w:color w:val="auto"/>
                <w:sz w:val="20"/>
              </w:rPr>
              <w:t>11.5</w:t>
            </w:r>
          </w:p>
        </w:tc>
        <w:tc>
          <w:tcPr>
            <w:tcW w:w="7426" w:type="dxa"/>
            <w:noWrap w:val="0"/>
            <w:vAlign w:val="center"/>
          </w:tcPr>
          <w:p w14:paraId="0D0629F4">
            <w:pPr>
              <w:rPr>
                <w:color w:val="auto"/>
                <w:sz w:val="20"/>
              </w:rPr>
            </w:pPr>
            <w:r>
              <w:rPr>
                <w:rFonts w:hint="eastAsia" w:hAnsi="宋体"/>
                <w:color w:val="auto"/>
                <w:sz w:val="20"/>
              </w:rPr>
              <w:t>逾期交工违约金：</w:t>
            </w:r>
            <w:r>
              <w:rPr>
                <w:color w:val="auto"/>
                <w:sz w:val="20"/>
                <w:u w:val="single"/>
              </w:rPr>
              <w:t xml:space="preserve"> 1000 </w:t>
            </w:r>
            <w:r>
              <w:rPr>
                <w:rFonts w:hint="eastAsia" w:hAnsi="宋体"/>
                <w:color w:val="auto"/>
                <w:sz w:val="20"/>
              </w:rPr>
              <w:t>元</w:t>
            </w:r>
            <w:r>
              <w:rPr>
                <w:color w:val="auto"/>
                <w:sz w:val="20"/>
              </w:rPr>
              <w:t>/</w:t>
            </w:r>
            <w:r>
              <w:rPr>
                <w:rFonts w:hint="eastAsia" w:hAnsi="宋体"/>
                <w:color w:val="auto"/>
                <w:sz w:val="20"/>
              </w:rPr>
              <w:t>天</w:t>
            </w:r>
          </w:p>
        </w:tc>
      </w:tr>
      <w:tr w14:paraId="5CE7C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5B371009">
            <w:pPr>
              <w:jc w:val="center"/>
              <w:rPr>
                <w:color w:val="auto"/>
                <w:sz w:val="20"/>
              </w:rPr>
            </w:pPr>
            <w:r>
              <w:rPr>
                <w:color w:val="auto"/>
                <w:sz w:val="20"/>
              </w:rPr>
              <w:t>10</w:t>
            </w:r>
          </w:p>
        </w:tc>
        <w:tc>
          <w:tcPr>
            <w:tcW w:w="1484" w:type="dxa"/>
            <w:noWrap w:val="0"/>
            <w:vAlign w:val="center"/>
          </w:tcPr>
          <w:p w14:paraId="576A6F69">
            <w:pPr>
              <w:jc w:val="center"/>
              <w:rPr>
                <w:color w:val="auto"/>
                <w:sz w:val="20"/>
              </w:rPr>
            </w:pPr>
            <w:r>
              <w:rPr>
                <w:color w:val="auto"/>
                <w:sz w:val="20"/>
              </w:rPr>
              <w:t>11.5</w:t>
            </w:r>
          </w:p>
        </w:tc>
        <w:tc>
          <w:tcPr>
            <w:tcW w:w="7426" w:type="dxa"/>
            <w:noWrap w:val="0"/>
            <w:vAlign w:val="center"/>
          </w:tcPr>
          <w:p w14:paraId="3316F990">
            <w:pPr>
              <w:rPr>
                <w:color w:val="auto"/>
                <w:sz w:val="20"/>
              </w:rPr>
            </w:pPr>
            <w:r>
              <w:rPr>
                <w:rFonts w:hint="eastAsia" w:hAnsi="宋体"/>
                <w:color w:val="auto"/>
                <w:sz w:val="20"/>
              </w:rPr>
              <w:t>逾期交工违约金限额：</w:t>
            </w:r>
            <w:r>
              <w:rPr>
                <w:color w:val="auto"/>
                <w:sz w:val="20"/>
                <w:u w:val="single"/>
              </w:rPr>
              <w:t xml:space="preserve">  10  </w:t>
            </w:r>
            <w:r>
              <w:rPr>
                <w:color w:val="auto"/>
                <w:sz w:val="20"/>
              </w:rPr>
              <w:t>%</w:t>
            </w:r>
            <w:r>
              <w:rPr>
                <w:rFonts w:hint="eastAsia" w:hAnsi="宋体"/>
                <w:color w:val="auto"/>
                <w:sz w:val="20"/>
              </w:rPr>
              <w:t>签约合同价</w:t>
            </w:r>
          </w:p>
        </w:tc>
      </w:tr>
      <w:tr w14:paraId="2C08EF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0308014B">
            <w:pPr>
              <w:jc w:val="center"/>
              <w:rPr>
                <w:color w:val="auto"/>
                <w:sz w:val="20"/>
              </w:rPr>
            </w:pPr>
            <w:r>
              <w:rPr>
                <w:color w:val="auto"/>
                <w:sz w:val="20"/>
              </w:rPr>
              <w:t>11</w:t>
            </w:r>
          </w:p>
        </w:tc>
        <w:tc>
          <w:tcPr>
            <w:tcW w:w="1484" w:type="dxa"/>
            <w:noWrap w:val="0"/>
            <w:vAlign w:val="center"/>
          </w:tcPr>
          <w:p w14:paraId="6DCE9E57">
            <w:pPr>
              <w:jc w:val="center"/>
              <w:rPr>
                <w:color w:val="auto"/>
                <w:sz w:val="20"/>
              </w:rPr>
            </w:pPr>
            <w:r>
              <w:rPr>
                <w:color w:val="auto"/>
                <w:sz w:val="20"/>
              </w:rPr>
              <w:t>11.6</w:t>
            </w:r>
          </w:p>
        </w:tc>
        <w:tc>
          <w:tcPr>
            <w:tcW w:w="7426" w:type="dxa"/>
            <w:noWrap w:val="0"/>
            <w:vAlign w:val="center"/>
          </w:tcPr>
          <w:p w14:paraId="68C49610">
            <w:pPr>
              <w:rPr>
                <w:color w:val="auto"/>
                <w:sz w:val="20"/>
              </w:rPr>
            </w:pPr>
            <w:r>
              <w:rPr>
                <w:rFonts w:hint="eastAsia" w:hAnsi="宋体"/>
                <w:color w:val="auto"/>
                <w:sz w:val="20"/>
              </w:rPr>
              <w:t>提前交工的奖金：</w:t>
            </w:r>
            <w:r>
              <w:rPr>
                <w:color w:val="auto"/>
                <w:sz w:val="20"/>
                <w:u w:val="single"/>
              </w:rPr>
              <w:t xml:space="preserve"> / </w:t>
            </w:r>
            <w:r>
              <w:rPr>
                <w:rFonts w:hint="eastAsia" w:hAnsi="宋体"/>
                <w:color w:val="auto"/>
                <w:sz w:val="20"/>
              </w:rPr>
              <w:t>元</w:t>
            </w:r>
            <w:r>
              <w:rPr>
                <w:color w:val="auto"/>
                <w:sz w:val="20"/>
              </w:rPr>
              <w:t>/</w:t>
            </w:r>
            <w:r>
              <w:rPr>
                <w:rFonts w:hint="eastAsia" w:hAnsi="宋体"/>
                <w:color w:val="auto"/>
                <w:sz w:val="20"/>
              </w:rPr>
              <w:t>天</w:t>
            </w:r>
          </w:p>
        </w:tc>
      </w:tr>
      <w:tr w14:paraId="03F8AD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03B42E72">
            <w:pPr>
              <w:jc w:val="center"/>
              <w:rPr>
                <w:color w:val="auto"/>
                <w:sz w:val="20"/>
              </w:rPr>
            </w:pPr>
            <w:r>
              <w:rPr>
                <w:color w:val="auto"/>
                <w:sz w:val="20"/>
              </w:rPr>
              <w:t>12</w:t>
            </w:r>
          </w:p>
        </w:tc>
        <w:tc>
          <w:tcPr>
            <w:tcW w:w="1484" w:type="dxa"/>
            <w:noWrap w:val="0"/>
            <w:vAlign w:val="center"/>
          </w:tcPr>
          <w:p w14:paraId="1E929599">
            <w:pPr>
              <w:jc w:val="center"/>
              <w:rPr>
                <w:color w:val="auto"/>
                <w:sz w:val="20"/>
              </w:rPr>
            </w:pPr>
            <w:r>
              <w:rPr>
                <w:color w:val="auto"/>
                <w:sz w:val="20"/>
              </w:rPr>
              <w:t>11.6</w:t>
            </w:r>
          </w:p>
        </w:tc>
        <w:tc>
          <w:tcPr>
            <w:tcW w:w="7426" w:type="dxa"/>
            <w:noWrap w:val="0"/>
            <w:vAlign w:val="center"/>
          </w:tcPr>
          <w:p w14:paraId="3F4ABA0D">
            <w:pPr>
              <w:rPr>
                <w:color w:val="auto"/>
                <w:sz w:val="20"/>
              </w:rPr>
            </w:pPr>
            <w:r>
              <w:rPr>
                <w:rFonts w:hint="eastAsia" w:hAnsi="宋体"/>
                <w:color w:val="auto"/>
                <w:sz w:val="20"/>
              </w:rPr>
              <w:t>提前交工的奖金限额：</w:t>
            </w:r>
            <w:r>
              <w:rPr>
                <w:color w:val="auto"/>
                <w:sz w:val="20"/>
                <w:u w:val="single"/>
              </w:rPr>
              <w:t xml:space="preserve"> / </w:t>
            </w:r>
            <w:r>
              <w:rPr>
                <w:color w:val="auto"/>
                <w:sz w:val="20"/>
              </w:rPr>
              <w:t>%</w:t>
            </w:r>
            <w:r>
              <w:rPr>
                <w:rFonts w:hint="eastAsia" w:hAnsi="宋体"/>
                <w:color w:val="auto"/>
                <w:sz w:val="20"/>
              </w:rPr>
              <w:t>签约合同价</w:t>
            </w:r>
          </w:p>
        </w:tc>
      </w:tr>
      <w:tr w14:paraId="1848DA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57FC7F52">
            <w:pPr>
              <w:jc w:val="center"/>
              <w:rPr>
                <w:color w:val="auto"/>
                <w:sz w:val="20"/>
              </w:rPr>
            </w:pPr>
            <w:r>
              <w:rPr>
                <w:color w:val="auto"/>
                <w:sz w:val="20"/>
              </w:rPr>
              <w:t>13</w:t>
            </w:r>
          </w:p>
        </w:tc>
        <w:tc>
          <w:tcPr>
            <w:tcW w:w="1484" w:type="dxa"/>
            <w:noWrap w:val="0"/>
            <w:vAlign w:val="center"/>
          </w:tcPr>
          <w:p w14:paraId="17463593">
            <w:pPr>
              <w:jc w:val="center"/>
              <w:rPr>
                <w:color w:val="auto"/>
                <w:sz w:val="20"/>
              </w:rPr>
            </w:pPr>
            <w:r>
              <w:rPr>
                <w:color w:val="auto"/>
                <w:sz w:val="20"/>
              </w:rPr>
              <w:t>15.2.2</w:t>
            </w:r>
          </w:p>
        </w:tc>
        <w:tc>
          <w:tcPr>
            <w:tcW w:w="7426" w:type="dxa"/>
            <w:noWrap w:val="0"/>
            <w:vAlign w:val="center"/>
          </w:tcPr>
          <w:p w14:paraId="515C13DC">
            <w:pPr>
              <w:rPr>
                <w:color w:val="auto"/>
                <w:sz w:val="20"/>
              </w:rPr>
            </w:pPr>
            <w:r>
              <w:rPr>
                <w:rFonts w:hint="eastAsia" w:hAnsi="宋体"/>
                <w:color w:val="auto"/>
                <w:sz w:val="20"/>
              </w:rPr>
              <w:t>承包人提出的合理化建议降低了合同价格或者提高了工程经济效益的，发包人按所节约成本的</w:t>
            </w:r>
            <w:r>
              <w:rPr>
                <w:color w:val="auto"/>
                <w:sz w:val="20"/>
                <w:u w:val="single"/>
              </w:rPr>
              <w:t xml:space="preserve"> / </w:t>
            </w:r>
            <w:r>
              <w:rPr>
                <w:color w:val="auto"/>
                <w:sz w:val="20"/>
              </w:rPr>
              <w:t>%</w:t>
            </w:r>
            <w:r>
              <w:rPr>
                <w:rFonts w:hint="eastAsia" w:hAnsi="宋体"/>
                <w:color w:val="auto"/>
                <w:sz w:val="20"/>
              </w:rPr>
              <w:t>或增加收益的</w:t>
            </w:r>
            <w:r>
              <w:rPr>
                <w:color w:val="auto"/>
                <w:sz w:val="20"/>
                <w:u w:val="single"/>
              </w:rPr>
              <w:t xml:space="preserve">  /  </w:t>
            </w:r>
            <w:r>
              <w:rPr>
                <w:color w:val="auto"/>
                <w:sz w:val="20"/>
              </w:rPr>
              <w:t>%</w:t>
            </w:r>
            <w:r>
              <w:rPr>
                <w:rFonts w:hint="eastAsia" w:hAnsi="宋体"/>
                <w:color w:val="auto"/>
                <w:sz w:val="20"/>
              </w:rPr>
              <w:t>给予奖励</w:t>
            </w:r>
          </w:p>
        </w:tc>
      </w:tr>
      <w:tr w14:paraId="1662BF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2" w:hRule="exact"/>
          <w:tblHeader/>
          <w:jc w:val="center"/>
        </w:trPr>
        <w:tc>
          <w:tcPr>
            <w:tcW w:w="729" w:type="dxa"/>
            <w:noWrap w:val="0"/>
            <w:vAlign w:val="center"/>
          </w:tcPr>
          <w:p w14:paraId="3358E181">
            <w:pPr>
              <w:jc w:val="center"/>
              <w:rPr>
                <w:color w:val="auto"/>
                <w:sz w:val="20"/>
              </w:rPr>
            </w:pPr>
            <w:r>
              <w:rPr>
                <w:color w:val="auto"/>
                <w:sz w:val="20"/>
              </w:rPr>
              <w:t>14</w:t>
            </w:r>
          </w:p>
        </w:tc>
        <w:tc>
          <w:tcPr>
            <w:tcW w:w="1484" w:type="dxa"/>
            <w:noWrap w:val="0"/>
            <w:vAlign w:val="center"/>
          </w:tcPr>
          <w:p w14:paraId="2C4FAAF1">
            <w:pPr>
              <w:jc w:val="center"/>
              <w:rPr>
                <w:color w:val="auto"/>
                <w:sz w:val="20"/>
              </w:rPr>
            </w:pPr>
            <w:r>
              <w:rPr>
                <w:color w:val="auto"/>
                <w:sz w:val="20"/>
              </w:rPr>
              <w:t>16.1</w:t>
            </w:r>
          </w:p>
        </w:tc>
        <w:tc>
          <w:tcPr>
            <w:tcW w:w="7426" w:type="dxa"/>
            <w:noWrap w:val="0"/>
            <w:vAlign w:val="center"/>
          </w:tcPr>
          <w:p w14:paraId="00B62A0C">
            <w:pPr>
              <w:spacing w:line="400" w:lineRule="exact"/>
              <w:rPr>
                <w:color w:val="auto"/>
                <w:sz w:val="20"/>
              </w:rPr>
            </w:pPr>
            <w:r>
              <w:rPr>
                <w:rFonts w:hint="eastAsia" w:hAnsi="宋体"/>
                <w:color w:val="auto"/>
                <w:sz w:val="20"/>
              </w:rPr>
              <w:t>合同期内不调价</w:t>
            </w:r>
          </w:p>
        </w:tc>
      </w:tr>
      <w:tr w14:paraId="28390E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74545EE9">
            <w:pPr>
              <w:jc w:val="center"/>
              <w:rPr>
                <w:color w:val="auto"/>
                <w:sz w:val="20"/>
              </w:rPr>
            </w:pPr>
            <w:r>
              <w:rPr>
                <w:color w:val="auto"/>
                <w:sz w:val="20"/>
              </w:rPr>
              <w:t>15</w:t>
            </w:r>
          </w:p>
        </w:tc>
        <w:tc>
          <w:tcPr>
            <w:tcW w:w="1484" w:type="dxa"/>
            <w:noWrap w:val="0"/>
            <w:vAlign w:val="center"/>
          </w:tcPr>
          <w:p w14:paraId="734118B3">
            <w:pPr>
              <w:jc w:val="center"/>
              <w:rPr>
                <w:color w:val="auto"/>
                <w:sz w:val="20"/>
              </w:rPr>
            </w:pPr>
            <w:r>
              <w:rPr>
                <w:color w:val="auto"/>
                <w:sz w:val="20"/>
              </w:rPr>
              <w:t>17.2.1</w:t>
            </w:r>
          </w:p>
        </w:tc>
        <w:tc>
          <w:tcPr>
            <w:tcW w:w="7426" w:type="dxa"/>
            <w:noWrap w:val="0"/>
            <w:vAlign w:val="center"/>
          </w:tcPr>
          <w:p w14:paraId="0D07241E">
            <w:pPr>
              <w:rPr>
                <w:color w:val="auto"/>
                <w:sz w:val="20"/>
              </w:rPr>
            </w:pPr>
            <w:r>
              <w:rPr>
                <w:rFonts w:hint="eastAsia" w:hAnsi="宋体"/>
                <w:color w:val="auto"/>
                <w:sz w:val="20"/>
              </w:rPr>
              <w:t>开工预付款金额：</w:t>
            </w:r>
            <w:r>
              <w:rPr>
                <w:rFonts w:hint="eastAsia" w:hAnsi="宋体"/>
                <w:color w:val="auto"/>
                <w:sz w:val="20"/>
                <w:u w:val="single"/>
              </w:rPr>
              <w:t>无</w:t>
            </w:r>
          </w:p>
        </w:tc>
      </w:tr>
      <w:tr w14:paraId="3FAF10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60F3B12E">
            <w:pPr>
              <w:jc w:val="center"/>
              <w:rPr>
                <w:color w:val="auto"/>
                <w:sz w:val="20"/>
              </w:rPr>
            </w:pPr>
            <w:r>
              <w:rPr>
                <w:color w:val="auto"/>
                <w:sz w:val="20"/>
              </w:rPr>
              <w:t>16</w:t>
            </w:r>
          </w:p>
        </w:tc>
        <w:tc>
          <w:tcPr>
            <w:tcW w:w="1484" w:type="dxa"/>
            <w:noWrap w:val="0"/>
            <w:vAlign w:val="center"/>
          </w:tcPr>
          <w:p w14:paraId="6A3E95E8">
            <w:pPr>
              <w:jc w:val="center"/>
              <w:rPr>
                <w:color w:val="auto"/>
                <w:sz w:val="20"/>
              </w:rPr>
            </w:pPr>
            <w:r>
              <w:rPr>
                <w:color w:val="auto"/>
                <w:sz w:val="20"/>
              </w:rPr>
              <w:t>17.2.1</w:t>
            </w:r>
          </w:p>
        </w:tc>
        <w:tc>
          <w:tcPr>
            <w:tcW w:w="7426" w:type="dxa"/>
            <w:noWrap w:val="0"/>
            <w:vAlign w:val="center"/>
          </w:tcPr>
          <w:p w14:paraId="1D11B1DA">
            <w:pPr>
              <w:rPr>
                <w:color w:val="auto"/>
                <w:sz w:val="20"/>
              </w:rPr>
            </w:pPr>
            <w:r>
              <w:rPr>
                <w:rFonts w:hint="eastAsia" w:hAnsi="宋体"/>
                <w:color w:val="auto"/>
                <w:sz w:val="20"/>
              </w:rPr>
              <w:t>材料、设备预付款比例：</w:t>
            </w:r>
            <w:r>
              <w:rPr>
                <w:color w:val="auto"/>
                <w:sz w:val="20"/>
                <w:u w:val="single"/>
              </w:rPr>
              <w:t xml:space="preserve">  /  </w:t>
            </w:r>
            <w:r>
              <w:rPr>
                <w:rFonts w:hint="eastAsia" w:hAnsi="宋体"/>
                <w:color w:val="auto"/>
                <w:sz w:val="20"/>
              </w:rPr>
              <w:t>等主要材料、设备单据所列费用的</w:t>
            </w:r>
            <w:r>
              <w:rPr>
                <w:color w:val="auto"/>
                <w:sz w:val="20"/>
                <w:u w:val="single"/>
              </w:rPr>
              <w:t xml:space="preserve">  /  </w:t>
            </w:r>
            <w:r>
              <w:rPr>
                <w:color w:val="auto"/>
                <w:sz w:val="20"/>
              </w:rPr>
              <w:t>%</w:t>
            </w:r>
          </w:p>
        </w:tc>
      </w:tr>
      <w:tr w14:paraId="50936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729" w:type="dxa"/>
            <w:noWrap w:val="0"/>
            <w:vAlign w:val="center"/>
          </w:tcPr>
          <w:p w14:paraId="7C7FDBB8">
            <w:pPr>
              <w:jc w:val="center"/>
              <w:rPr>
                <w:b/>
                <w:color w:val="auto"/>
                <w:sz w:val="20"/>
              </w:rPr>
            </w:pPr>
            <w:r>
              <w:rPr>
                <w:rFonts w:hint="eastAsia" w:hAnsi="宋体"/>
                <w:b/>
                <w:color w:val="auto"/>
                <w:sz w:val="20"/>
              </w:rPr>
              <w:t>序号</w:t>
            </w:r>
          </w:p>
        </w:tc>
        <w:tc>
          <w:tcPr>
            <w:tcW w:w="1484" w:type="dxa"/>
            <w:noWrap w:val="0"/>
            <w:vAlign w:val="center"/>
          </w:tcPr>
          <w:p w14:paraId="2035274E">
            <w:pPr>
              <w:jc w:val="center"/>
              <w:rPr>
                <w:b/>
                <w:color w:val="auto"/>
                <w:sz w:val="20"/>
              </w:rPr>
            </w:pPr>
            <w:r>
              <w:rPr>
                <w:rFonts w:hint="eastAsia" w:hAnsi="宋体"/>
                <w:b/>
                <w:color w:val="auto"/>
                <w:sz w:val="20"/>
              </w:rPr>
              <w:t>条款号</w:t>
            </w:r>
          </w:p>
        </w:tc>
        <w:tc>
          <w:tcPr>
            <w:tcW w:w="7426" w:type="dxa"/>
            <w:noWrap w:val="0"/>
            <w:vAlign w:val="center"/>
          </w:tcPr>
          <w:p w14:paraId="4DDB57E2">
            <w:pPr>
              <w:jc w:val="center"/>
              <w:rPr>
                <w:b/>
                <w:color w:val="auto"/>
                <w:sz w:val="20"/>
              </w:rPr>
            </w:pPr>
            <w:r>
              <w:rPr>
                <w:rFonts w:hint="eastAsia" w:hAnsi="宋体"/>
                <w:b/>
                <w:color w:val="auto"/>
                <w:sz w:val="20"/>
              </w:rPr>
              <w:t>信息或数据</w:t>
            </w:r>
          </w:p>
        </w:tc>
      </w:tr>
      <w:tr w14:paraId="351FA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5100A54D">
            <w:pPr>
              <w:jc w:val="center"/>
              <w:rPr>
                <w:color w:val="auto"/>
                <w:sz w:val="20"/>
              </w:rPr>
            </w:pPr>
            <w:r>
              <w:rPr>
                <w:color w:val="auto"/>
                <w:sz w:val="20"/>
              </w:rPr>
              <w:t>19</w:t>
            </w:r>
          </w:p>
        </w:tc>
        <w:tc>
          <w:tcPr>
            <w:tcW w:w="1484" w:type="dxa"/>
            <w:noWrap w:val="0"/>
            <w:vAlign w:val="center"/>
          </w:tcPr>
          <w:p w14:paraId="7D771A8C">
            <w:pPr>
              <w:jc w:val="center"/>
              <w:rPr>
                <w:color w:val="auto"/>
                <w:sz w:val="20"/>
              </w:rPr>
            </w:pPr>
            <w:r>
              <w:rPr>
                <w:color w:val="auto"/>
                <w:sz w:val="20"/>
              </w:rPr>
              <w:t>17.3.3</w:t>
            </w:r>
            <w:r>
              <w:rPr>
                <w:rFonts w:hint="eastAsia" w:hAnsi="宋体"/>
                <w:color w:val="auto"/>
                <w:sz w:val="20"/>
              </w:rPr>
              <w:t>（</w:t>
            </w:r>
            <w:r>
              <w:rPr>
                <w:color w:val="auto"/>
                <w:sz w:val="20"/>
              </w:rPr>
              <w:t>2</w:t>
            </w:r>
            <w:r>
              <w:rPr>
                <w:rFonts w:hint="eastAsia"/>
                <w:color w:val="auto"/>
                <w:sz w:val="20"/>
                <w:lang w:eastAsia="zh-CN"/>
              </w:rPr>
              <w:t>)</w:t>
            </w:r>
          </w:p>
        </w:tc>
        <w:tc>
          <w:tcPr>
            <w:tcW w:w="7426" w:type="dxa"/>
            <w:noWrap w:val="0"/>
            <w:vAlign w:val="center"/>
          </w:tcPr>
          <w:p w14:paraId="21AE9643">
            <w:pPr>
              <w:rPr>
                <w:color w:val="auto"/>
                <w:sz w:val="20"/>
              </w:rPr>
            </w:pPr>
            <w:r>
              <w:rPr>
                <w:rFonts w:hint="eastAsia" w:hAnsi="宋体"/>
                <w:color w:val="auto"/>
                <w:sz w:val="20"/>
              </w:rPr>
              <w:t>逾期付款违约金的利率：</w:t>
            </w:r>
            <w:r>
              <w:rPr>
                <w:color w:val="auto"/>
                <w:sz w:val="20"/>
                <w:u w:val="single"/>
              </w:rPr>
              <w:t xml:space="preserve">  /  </w:t>
            </w:r>
            <w:r>
              <w:rPr>
                <w:color w:val="auto"/>
                <w:sz w:val="20"/>
              </w:rPr>
              <w:t>‰/</w:t>
            </w:r>
            <w:r>
              <w:rPr>
                <w:rFonts w:hint="eastAsia" w:hAnsi="宋体"/>
                <w:color w:val="auto"/>
                <w:sz w:val="20"/>
              </w:rPr>
              <w:t>天</w:t>
            </w:r>
          </w:p>
        </w:tc>
      </w:tr>
      <w:tr w14:paraId="5CDA96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6EE9D710">
            <w:pPr>
              <w:jc w:val="center"/>
              <w:rPr>
                <w:color w:val="auto"/>
                <w:sz w:val="20"/>
              </w:rPr>
            </w:pPr>
            <w:r>
              <w:rPr>
                <w:color w:val="auto"/>
                <w:sz w:val="20"/>
              </w:rPr>
              <w:t>20</w:t>
            </w:r>
          </w:p>
        </w:tc>
        <w:tc>
          <w:tcPr>
            <w:tcW w:w="1484" w:type="dxa"/>
            <w:noWrap w:val="0"/>
            <w:vAlign w:val="center"/>
          </w:tcPr>
          <w:p w14:paraId="3B357D64">
            <w:pPr>
              <w:jc w:val="center"/>
              <w:rPr>
                <w:color w:val="auto"/>
                <w:sz w:val="20"/>
              </w:rPr>
            </w:pPr>
            <w:r>
              <w:rPr>
                <w:color w:val="auto"/>
                <w:sz w:val="20"/>
              </w:rPr>
              <w:t>17.4.1</w:t>
            </w:r>
          </w:p>
        </w:tc>
        <w:tc>
          <w:tcPr>
            <w:tcW w:w="7426" w:type="dxa"/>
            <w:noWrap w:val="0"/>
            <w:vAlign w:val="center"/>
          </w:tcPr>
          <w:p w14:paraId="08746F4A">
            <w:pPr>
              <w:rPr>
                <w:color w:val="auto"/>
                <w:sz w:val="20"/>
              </w:rPr>
            </w:pPr>
            <w:r>
              <w:rPr>
                <w:rFonts w:hint="eastAsia" w:hAnsi="宋体"/>
                <w:color w:val="auto"/>
                <w:sz w:val="20"/>
              </w:rPr>
              <w:t>质量保证金百分比：</w:t>
            </w:r>
            <w:r>
              <w:rPr>
                <w:rFonts w:hint="eastAsia" w:hAnsi="宋体"/>
                <w:color w:val="auto"/>
                <w:sz w:val="20"/>
                <w:lang w:val="en-US" w:eastAsia="zh-CN"/>
              </w:rPr>
              <w:t>结算</w:t>
            </w:r>
            <w:r>
              <w:rPr>
                <w:rFonts w:hint="eastAsia" w:hAnsi="宋体"/>
                <w:color w:val="auto"/>
                <w:sz w:val="20"/>
              </w:rPr>
              <w:t>审定金额的3</w:t>
            </w:r>
            <w:r>
              <w:rPr>
                <w:color w:val="auto"/>
                <w:sz w:val="20"/>
              </w:rPr>
              <w:t>%</w:t>
            </w:r>
          </w:p>
        </w:tc>
      </w:tr>
      <w:tr w14:paraId="05C21F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2C317C81">
            <w:pPr>
              <w:jc w:val="center"/>
              <w:rPr>
                <w:color w:val="auto"/>
                <w:sz w:val="20"/>
              </w:rPr>
            </w:pPr>
            <w:r>
              <w:rPr>
                <w:color w:val="auto"/>
                <w:sz w:val="20"/>
              </w:rPr>
              <w:t>22</w:t>
            </w:r>
          </w:p>
        </w:tc>
        <w:tc>
          <w:tcPr>
            <w:tcW w:w="1484" w:type="dxa"/>
            <w:noWrap w:val="0"/>
            <w:vAlign w:val="center"/>
          </w:tcPr>
          <w:p w14:paraId="6615D761">
            <w:pPr>
              <w:jc w:val="center"/>
              <w:rPr>
                <w:color w:val="auto"/>
                <w:sz w:val="20"/>
              </w:rPr>
            </w:pPr>
            <w:r>
              <w:rPr>
                <w:color w:val="auto"/>
                <w:sz w:val="20"/>
              </w:rPr>
              <w:t>17.5.1</w:t>
            </w:r>
          </w:p>
        </w:tc>
        <w:tc>
          <w:tcPr>
            <w:tcW w:w="7426" w:type="dxa"/>
            <w:noWrap w:val="0"/>
            <w:vAlign w:val="center"/>
          </w:tcPr>
          <w:p w14:paraId="3AF515A3">
            <w:pPr>
              <w:rPr>
                <w:color w:val="auto"/>
                <w:sz w:val="20"/>
              </w:rPr>
            </w:pPr>
            <w:r>
              <w:rPr>
                <w:rFonts w:hint="eastAsia" w:hAnsi="宋体"/>
                <w:color w:val="auto"/>
                <w:sz w:val="20"/>
              </w:rPr>
              <w:t>承包人向监理人提交竣（交）工付款申请单（包括相关证明材料）的份数：</w:t>
            </w:r>
            <w:r>
              <w:rPr>
                <w:color w:val="auto"/>
                <w:sz w:val="20"/>
                <w:u w:val="single"/>
              </w:rPr>
              <w:t xml:space="preserve">  3  </w:t>
            </w:r>
            <w:r>
              <w:rPr>
                <w:rFonts w:hint="eastAsia" w:hAnsi="宋体"/>
                <w:color w:val="auto"/>
                <w:sz w:val="20"/>
              </w:rPr>
              <w:t>份</w:t>
            </w:r>
          </w:p>
        </w:tc>
      </w:tr>
      <w:tr w14:paraId="3875F5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6780A900">
            <w:pPr>
              <w:jc w:val="center"/>
              <w:rPr>
                <w:color w:val="auto"/>
                <w:sz w:val="20"/>
              </w:rPr>
            </w:pPr>
            <w:r>
              <w:rPr>
                <w:color w:val="auto"/>
                <w:sz w:val="20"/>
              </w:rPr>
              <w:t>23</w:t>
            </w:r>
          </w:p>
        </w:tc>
        <w:tc>
          <w:tcPr>
            <w:tcW w:w="1484" w:type="dxa"/>
            <w:noWrap w:val="0"/>
            <w:vAlign w:val="center"/>
          </w:tcPr>
          <w:p w14:paraId="18A2403A">
            <w:pPr>
              <w:jc w:val="center"/>
              <w:rPr>
                <w:color w:val="auto"/>
                <w:sz w:val="20"/>
              </w:rPr>
            </w:pPr>
            <w:r>
              <w:rPr>
                <w:color w:val="auto"/>
                <w:sz w:val="20"/>
              </w:rPr>
              <w:t>17.6.1</w:t>
            </w:r>
          </w:p>
        </w:tc>
        <w:tc>
          <w:tcPr>
            <w:tcW w:w="7426" w:type="dxa"/>
            <w:noWrap w:val="0"/>
            <w:vAlign w:val="center"/>
          </w:tcPr>
          <w:p w14:paraId="0106A4FF">
            <w:pPr>
              <w:rPr>
                <w:color w:val="auto"/>
                <w:sz w:val="20"/>
              </w:rPr>
            </w:pPr>
            <w:r>
              <w:rPr>
                <w:rFonts w:hint="eastAsia" w:hAnsi="宋体"/>
                <w:color w:val="auto"/>
                <w:sz w:val="20"/>
              </w:rPr>
              <w:t>承包人向监理人提交最终结清申请单（包括相关证明材料）的份数：</w:t>
            </w:r>
            <w:r>
              <w:rPr>
                <w:color w:val="auto"/>
                <w:sz w:val="20"/>
                <w:u w:val="single"/>
              </w:rPr>
              <w:t xml:space="preserve">   3  </w:t>
            </w:r>
            <w:r>
              <w:rPr>
                <w:rFonts w:hint="eastAsia" w:hAnsi="宋体"/>
                <w:color w:val="auto"/>
                <w:sz w:val="20"/>
              </w:rPr>
              <w:t>份</w:t>
            </w:r>
          </w:p>
        </w:tc>
      </w:tr>
      <w:tr w14:paraId="5B7478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3BE0DE80">
            <w:pPr>
              <w:jc w:val="center"/>
              <w:rPr>
                <w:color w:val="auto"/>
                <w:sz w:val="20"/>
              </w:rPr>
            </w:pPr>
            <w:r>
              <w:rPr>
                <w:color w:val="auto"/>
                <w:sz w:val="20"/>
              </w:rPr>
              <w:t>24</w:t>
            </w:r>
          </w:p>
        </w:tc>
        <w:tc>
          <w:tcPr>
            <w:tcW w:w="1484" w:type="dxa"/>
            <w:noWrap w:val="0"/>
            <w:vAlign w:val="center"/>
          </w:tcPr>
          <w:p w14:paraId="68968900">
            <w:pPr>
              <w:jc w:val="center"/>
              <w:rPr>
                <w:color w:val="auto"/>
                <w:sz w:val="20"/>
              </w:rPr>
            </w:pPr>
            <w:r>
              <w:rPr>
                <w:color w:val="auto"/>
                <w:sz w:val="20"/>
              </w:rPr>
              <w:t>18.2</w:t>
            </w:r>
          </w:p>
        </w:tc>
        <w:tc>
          <w:tcPr>
            <w:tcW w:w="7426" w:type="dxa"/>
            <w:noWrap w:val="0"/>
            <w:vAlign w:val="center"/>
          </w:tcPr>
          <w:p w14:paraId="082B2A45">
            <w:pPr>
              <w:rPr>
                <w:color w:val="auto"/>
                <w:sz w:val="20"/>
              </w:rPr>
            </w:pPr>
            <w:r>
              <w:rPr>
                <w:rFonts w:hint="eastAsia" w:hAnsi="宋体"/>
                <w:color w:val="auto"/>
                <w:sz w:val="20"/>
              </w:rPr>
              <w:t>竣工资料的份数：</w:t>
            </w:r>
            <w:r>
              <w:rPr>
                <w:color w:val="auto"/>
                <w:sz w:val="20"/>
                <w:u w:val="single"/>
              </w:rPr>
              <w:t xml:space="preserve"> 4</w:t>
            </w:r>
            <w:r>
              <w:rPr>
                <w:rFonts w:hint="eastAsia" w:hAnsi="宋体"/>
                <w:color w:val="auto"/>
                <w:sz w:val="20"/>
              </w:rPr>
              <w:t>份</w:t>
            </w:r>
          </w:p>
        </w:tc>
      </w:tr>
      <w:tr w14:paraId="26BAFF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279458E6">
            <w:pPr>
              <w:jc w:val="center"/>
              <w:rPr>
                <w:color w:val="auto"/>
                <w:sz w:val="20"/>
              </w:rPr>
            </w:pPr>
            <w:r>
              <w:rPr>
                <w:color w:val="auto"/>
                <w:sz w:val="20"/>
              </w:rPr>
              <w:t>25</w:t>
            </w:r>
          </w:p>
        </w:tc>
        <w:tc>
          <w:tcPr>
            <w:tcW w:w="1484" w:type="dxa"/>
            <w:noWrap w:val="0"/>
            <w:vAlign w:val="center"/>
          </w:tcPr>
          <w:p w14:paraId="6F9A4BC3">
            <w:pPr>
              <w:jc w:val="center"/>
              <w:rPr>
                <w:color w:val="auto"/>
                <w:sz w:val="20"/>
              </w:rPr>
            </w:pPr>
            <w:r>
              <w:rPr>
                <w:color w:val="auto"/>
                <w:sz w:val="20"/>
              </w:rPr>
              <w:t>18.5.1</w:t>
            </w:r>
          </w:p>
        </w:tc>
        <w:tc>
          <w:tcPr>
            <w:tcW w:w="7426" w:type="dxa"/>
            <w:noWrap w:val="0"/>
            <w:vAlign w:val="center"/>
          </w:tcPr>
          <w:p w14:paraId="02314A51">
            <w:pPr>
              <w:rPr>
                <w:color w:val="auto"/>
                <w:sz w:val="20"/>
                <w:u w:val="single"/>
              </w:rPr>
            </w:pPr>
            <w:r>
              <w:rPr>
                <w:rFonts w:hint="eastAsia" w:hAnsi="宋体"/>
                <w:color w:val="auto"/>
                <w:sz w:val="20"/>
              </w:rPr>
              <w:t>单位工程或工程设备是否需投入施工期运行：</w:t>
            </w:r>
            <w:r>
              <w:rPr>
                <w:rFonts w:hint="eastAsia" w:hAnsi="宋体"/>
                <w:color w:val="auto"/>
                <w:sz w:val="20"/>
                <w:u w:val="single"/>
              </w:rPr>
              <w:t>否</w:t>
            </w:r>
          </w:p>
          <w:p w14:paraId="41EF2C1C">
            <w:pPr>
              <w:rPr>
                <w:color w:val="auto"/>
                <w:sz w:val="20"/>
              </w:rPr>
            </w:pPr>
            <w:r>
              <w:rPr>
                <w:rFonts w:hint="eastAsia" w:hAnsi="宋体"/>
                <w:color w:val="auto"/>
                <w:sz w:val="20"/>
              </w:rPr>
              <w:t>如单位工程或工程设备需要进行施工期运行，需要施工期运行的单位工程或工程设备规定如下：</w:t>
            </w:r>
          </w:p>
        </w:tc>
      </w:tr>
      <w:tr w14:paraId="22C81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14:paraId="71D9F82C">
            <w:pPr>
              <w:jc w:val="center"/>
              <w:rPr>
                <w:color w:val="auto"/>
                <w:sz w:val="20"/>
              </w:rPr>
            </w:pPr>
            <w:r>
              <w:rPr>
                <w:color w:val="auto"/>
                <w:sz w:val="20"/>
              </w:rPr>
              <w:t>26</w:t>
            </w:r>
          </w:p>
        </w:tc>
        <w:tc>
          <w:tcPr>
            <w:tcW w:w="1484" w:type="dxa"/>
            <w:noWrap w:val="0"/>
            <w:vAlign w:val="center"/>
          </w:tcPr>
          <w:p w14:paraId="11F6F97D">
            <w:pPr>
              <w:jc w:val="center"/>
              <w:rPr>
                <w:color w:val="auto"/>
                <w:sz w:val="20"/>
              </w:rPr>
            </w:pPr>
            <w:r>
              <w:rPr>
                <w:color w:val="auto"/>
                <w:sz w:val="20"/>
              </w:rPr>
              <w:t>18.6.1</w:t>
            </w:r>
          </w:p>
        </w:tc>
        <w:tc>
          <w:tcPr>
            <w:tcW w:w="7426" w:type="dxa"/>
            <w:noWrap w:val="0"/>
            <w:vAlign w:val="center"/>
          </w:tcPr>
          <w:p w14:paraId="0B675445">
            <w:pPr>
              <w:rPr>
                <w:color w:val="auto"/>
                <w:sz w:val="20"/>
                <w:u w:val="single"/>
              </w:rPr>
            </w:pPr>
            <w:r>
              <w:rPr>
                <w:rFonts w:hint="eastAsia" w:hAnsi="宋体"/>
                <w:color w:val="auto"/>
                <w:sz w:val="20"/>
              </w:rPr>
              <w:t>本工程及工程设备是否进行试运行：</w:t>
            </w:r>
            <w:r>
              <w:rPr>
                <w:rFonts w:hint="eastAsia" w:hAnsi="宋体"/>
                <w:color w:val="auto"/>
                <w:sz w:val="20"/>
                <w:u w:val="single"/>
              </w:rPr>
              <w:t>否</w:t>
            </w:r>
          </w:p>
          <w:p w14:paraId="02359631">
            <w:pPr>
              <w:rPr>
                <w:color w:val="auto"/>
                <w:sz w:val="20"/>
              </w:rPr>
            </w:pPr>
            <w:r>
              <w:rPr>
                <w:rFonts w:hint="eastAsia" w:hAnsi="宋体"/>
                <w:color w:val="auto"/>
                <w:sz w:val="20"/>
              </w:rPr>
              <w:t>如本工程及工程设备需要进行试运行，试运行的具体规定如下：</w:t>
            </w:r>
          </w:p>
        </w:tc>
      </w:tr>
      <w:tr w14:paraId="7ADF0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14:paraId="10BF2077">
            <w:pPr>
              <w:jc w:val="center"/>
              <w:rPr>
                <w:color w:val="auto"/>
                <w:sz w:val="20"/>
              </w:rPr>
            </w:pPr>
            <w:r>
              <w:rPr>
                <w:color w:val="auto"/>
                <w:sz w:val="20"/>
              </w:rPr>
              <w:t>27</w:t>
            </w:r>
          </w:p>
        </w:tc>
        <w:tc>
          <w:tcPr>
            <w:tcW w:w="1484" w:type="dxa"/>
            <w:noWrap w:val="0"/>
            <w:vAlign w:val="center"/>
          </w:tcPr>
          <w:p w14:paraId="4266F476">
            <w:pPr>
              <w:jc w:val="center"/>
              <w:rPr>
                <w:color w:val="auto"/>
                <w:sz w:val="20"/>
              </w:rPr>
            </w:pPr>
            <w:r>
              <w:rPr>
                <w:color w:val="auto"/>
                <w:sz w:val="20"/>
              </w:rPr>
              <w:t>19.7</w:t>
            </w:r>
          </w:p>
        </w:tc>
        <w:tc>
          <w:tcPr>
            <w:tcW w:w="7426" w:type="dxa"/>
            <w:noWrap w:val="0"/>
            <w:vAlign w:val="center"/>
          </w:tcPr>
          <w:p w14:paraId="5593295A">
            <w:pPr>
              <w:rPr>
                <w:color w:val="auto"/>
                <w:sz w:val="20"/>
              </w:rPr>
            </w:pPr>
            <w:r>
              <w:rPr>
                <w:rFonts w:hint="eastAsia" w:hAnsi="宋体"/>
                <w:color w:val="auto"/>
                <w:sz w:val="20"/>
              </w:rPr>
              <w:t>保修期：竣工验收合格之日</w:t>
            </w:r>
            <w:r>
              <w:rPr>
                <w:rFonts w:hAnsi="宋体"/>
                <w:color w:val="auto"/>
                <w:sz w:val="20"/>
              </w:rPr>
              <w:t>起计算</w:t>
            </w:r>
            <w:r>
              <w:rPr>
                <w:color w:val="auto"/>
                <w:sz w:val="20"/>
                <w:u w:val="single"/>
              </w:rPr>
              <w:t xml:space="preserve"> </w:t>
            </w:r>
            <w:r>
              <w:rPr>
                <w:rFonts w:hint="eastAsia"/>
                <w:color w:val="auto"/>
                <w:sz w:val="20"/>
                <w:u w:val="single"/>
                <w:lang w:val="en-US" w:eastAsia="zh-CN"/>
              </w:rPr>
              <w:t>2</w:t>
            </w:r>
            <w:r>
              <w:rPr>
                <w:color w:val="auto"/>
                <w:sz w:val="20"/>
                <w:u w:val="single"/>
              </w:rPr>
              <w:t xml:space="preserve"> </w:t>
            </w:r>
            <w:r>
              <w:rPr>
                <w:rFonts w:hAnsi="宋体"/>
                <w:color w:val="auto"/>
                <w:sz w:val="20"/>
              </w:rPr>
              <w:t>年</w:t>
            </w:r>
          </w:p>
        </w:tc>
      </w:tr>
      <w:tr w14:paraId="339CF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exact"/>
          <w:tblHeader/>
          <w:jc w:val="center"/>
        </w:trPr>
        <w:tc>
          <w:tcPr>
            <w:tcW w:w="729" w:type="dxa"/>
            <w:noWrap w:val="0"/>
            <w:vAlign w:val="center"/>
          </w:tcPr>
          <w:p w14:paraId="4F1D5F75">
            <w:pPr>
              <w:jc w:val="center"/>
              <w:rPr>
                <w:color w:val="auto"/>
                <w:sz w:val="20"/>
              </w:rPr>
            </w:pPr>
            <w:r>
              <w:rPr>
                <w:color w:val="auto"/>
                <w:sz w:val="20"/>
              </w:rPr>
              <w:t>28</w:t>
            </w:r>
          </w:p>
        </w:tc>
        <w:tc>
          <w:tcPr>
            <w:tcW w:w="1484" w:type="dxa"/>
            <w:noWrap w:val="0"/>
            <w:vAlign w:val="center"/>
          </w:tcPr>
          <w:p w14:paraId="0DF04216">
            <w:pPr>
              <w:jc w:val="center"/>
              <w:rPr>
                <w:color w:val="auto"/>
                <w:sz w:val="20"/>
              </w:rPr>
            </w:pPr>
            <w:r>
              <w:rPr>
                <w:color w:val="auto"/>
                <w:sz w:val="20"/>
              </w:rPr>
              <w:t>24.1</w:t>
            </w:r>
          </w:p>
        </w:tc>
        <w:tc>
          <w:tcPr>
            <w:tcW w:w="7426" w:type="dxa"/>
            <w:noWrap w:val="0"/>
            <w:vAlign w:val="center"/>
          </w:tcPr>
          <w:p w14:paraId="6E66BA89">
            <w:pPr>
              <w:rPr>
                <w:color w:val="auto"/>
                <w:sz w:val="20"/>
                <w:u w:val="single"/>
              </w:rPr>
            </w:pPr>
            <w:r>
              <w:rPr>
                <w:rFonts w:hint="eastAsia" w:hAnsi="宋体"/>
                <w:color w:val="auto"/>
                <w:sz w:val="20"/>
              </w:rPr>
              <w:t>争议的最终解决方式：向重庆市铜梁区人民法院起诉</w:t>
            </w:r>
          </w:p>
        </w:tc>
      </w:tr>
    </w:tbl>
    <w:p w14:paraId="5250143E">
      <w:pPr>
        <w:pStyle w:val="5"/>
        <w:snapToGrid w:val="0"/>
        <w:spacing w:before="156" w:beforeLines="50" w:after="0" w:line="360" w:lineRule="auto"/>
        <w:rPr>
          <w:snapToGrid w:val="0"/>
          <w:color w:val="auto"/>
          <w:sz w:val="28"/>
          <w:szCs w:val="24"/>
        </w:rPr>
      </w:pPr>
      <w:r>
        <w:rPr>
          <w:rFonts w:ascii="宋体" w:cs="仿宋"/>
          <w:snapToGrid w:val="0"/>
          <w:color w:val="auto"/>
        </w:rPr>
        <w:br w:type="page"/>
      </w:r>
      <w:bookmarkStart w:id="867" w:name="_Toc480790558"/>
      <w:bookmarkStart w:id="868" w:name="_Toc2942"/>
      <w:bookmarkStart w:id="869" w:name="_Toc325910649"/>
      <w:r>
        <w:rPr>
          <w:rFonts w:hint="eastAsia" w:hAnsi="宋体"/>
          <w:snapToGrid w:val="0"/>
          <w:color w:val="auto"/>
          <w:sz w:val="24"/>
          <w:szCs w:val="24"/>
        </w:rPr>
        <w:t>附件一：安全生产合同</w:t>
      </w:r>
      <w:bookmarkEnd w:id="867"/>
      <w:bookmarkEnd w:id="868"/>
    </w:p>
    <w:p w14:paraId="6B05D54B">
      <w:pPr>
        <w:jc w:val="center"/>
        <w:rPr>
          <w:rFonts w:hint="eastAsia" w:hAnsi="宋体"/>
          <w:color w:val="auto"/>
          <w:sz w:val="32"/>
          <w:szCs w:val="32"/>
        </w:rPr>
      </w:pPr>
      <w:r>
        <w:rPr>
          <w:rFonts w:hint="eastAsia" w:hAnsi="宋体"/>
          <w:b/>
          <w:color w:val="auto"/>
          <w:sz w:val="32"/>
          <w:szCs w:val="32"/>
        </w:rPr>
        <w:t>安全生产合同</w:t>
      </w:r>
    </w:p>
    <w:p w14:paraId="4BB3CAF7">
      <w:pPr>
        <w:spacing w:line="440" w:lineRule="exact"/>
        <w:ind w:firstLine="482"/>
        <w:rPr>
          <w:color w:val="auto"/>
          <w:szCs w:val="21"/>
        </w:rPr>
      </w:pPr>
      <w:r>
        <w:rPr>
          <w:rFonts w:hint="eastAsia" w:hAnsi="宋体"/>
          <w:color w:val="auto"/>
          <w:szCs w:val="21"/>
        </w:rPr>
        <w:t>为</w:t>
      </w:r>
      <w:r>
        <w:rPr>
          <w:rFonts w:hint="eastAsia" w:hAnsi="宋体"/>
          <w:b/>
          <w:bCs/>
          <w:color w:val="auto"/>
          <w:szCs w:val="21"/>
          <w:u w:val="single"/>
          <w:lang w:eastAsia="zh-CN"/>
        </w:rPr>
        <w:t>2025年度福果镇农村公路护栏建设项目（第二次）</w:t>
      </w:r>
      <w:r>
        <w:rPr>
          <w:rFonts w:hint="eastAsia" w:hAnsi="宋体"/>
          <w:color w:val="auto"/>
          <w:szCs w:val="21"/>
          <w:u w:val="single"/>
        </w:rPr>
        <w:t xml:space="preserve"> </w:t>
      </w:r>
      <w:r>
        <w:rPr>
          <w:rFonts w:hint="eastAsia" w:hAnsi="宋体"/>
          <w:color w:val="auto"/>
          <w:szCs w:val="21"/>
        </w:rPr>
        <w:t>施工合同的实施过程中创造安全、高效的施工环境，切实搞好本项目的安全管理工作，本项目发包人</w:t>
      </w:r>
      <w:bookmarkStart w:id="870" w:name="_Toc330980504"/>
      <w:r>
        <w:rPr>
          <w:rFonts w:hint="eastAsia"/>
          <w:color w:val="auto"/>
          <w:szCs w:val="21"/>
          <w:u w:val="single"/>
          <w:lang w:eastAsia="zh-CN"/>
        </w:rPr>
        <w:t>重庆市铜梁区福果镇人民政府</w:t>
      </w:r>
      <w:r>
        <w:rPr>
          <w:rFonts w:hint="eastAsia" w:hAnsi="宋体"/>
          <w:color w:val="auto"/>
          <w:szCs w:val="21"/>
        </w:rPr>
        <w:t>（发包人名称，以下简称</w:t>
      </w:r>
      <w:r>
        <w:rPr>
          <w:rFonts w:hint="eastAsia" w:ascii="宋体" w:hAnsi="宋体" w:cs="宋体"/>
          <w:color w:val="auto"/>
          <w:szCs w:val="21"/>
        </w:rPr>
        <w:t>“</w:t>
      </w:r>
      <w:r>
        <w:rPr>
          <w:rFonts w:hint="eastAsia" w:hAnsi="宋体"/>
          <w:color w:val="auto"/>
          <w:szCs w:val="21"/>
        </w:rPr>
        <w:t>发包人</w:t>
      </w:r>
      <w:r>
        <w:rPr>
          <w:rFonts w:hint="eastAsia" w:ascii="宋体" w:hAnsi="宋体" w:cs="宋体"/>
          <w:color w:val="auto"/>
          <w:szCs w:val="21"/>
        </w:rPr>
        <w:t>”</w:t>
      </w:r>
      <w:r>
        <w:rPr>
          <w:rFonts w:hint="eastAsia" w:hAnsi="宋体"/>
          <w:color w:val="auto"/>
          <w:szCs w:val="21"/>
        </w:rPr>
        <w:t>）与承包人</w:t>
      </w:r>
      <w:r>
        <w:rPr>
          <w:color w:val="auto"/>
          <w:szCs w:val="21"/>
          <w:u w:val="single"/>
        </w:rPr>
        <w:t xml:space="preserve">          </w:t>
      </w:r>
      <w:r>
        <w:rPr>
          <w:rFonts w:hint="eastAsia" w:hAnsi="宋体"/>
          <w:color w:val="auto"/>
          <w:szCs w:val="21"/>
        </w:rPr>
        <w:t>（承包人名称，以下简称</w:t>
      </w:r>
      <w:r>
        <w:rPr>
          <w:rFonts w:hint="eastAsia" w:ascii="宋体" w:hAnsi="宋体" w:cs="宋体"/>
          <w:color w:val="auto"/>
          <w:szCs w:val="21"/>
        </w:rPr>
        <w:t>“</w:t>
      </w:r>
      <w:r>
        <w:rPr>
          <w:rFonts w:hint="eastAsia" w:hAnsi="宋体"/>
          <w:color w:val="auto"/>
          <w:szCs w:val="21"/>
        </w:rPr>
        <w:t>承包人</w:t>
      </w:r>
      <w:r>
        <w:rPr>
          <w:rFonts w:hint="eastAsia" w:ascii="宋体" w:hAnsi="宋体" w:cs="宋体"/>
          <w:color w:val="auto"/>
          <w:szCs w:val="21"/>
        </w:rPr>
        <w:t>”</w:t>
      </w:r>
      <w:r>
        <w:rPr>
          <w:rFonts w:hint="eastAsia" w:hAnsi="宋体"/>
          <w:color w:val="auto"/>
          <w:szCs w:val="21"/>
        </w:rPr>
        <w:t>）特此签订安全生产合同：</w:t>
      </w:r>
    </w:p>
    <w:p w14:paraId="44788BB8">
      <w:pPr>
        <w:spacing w:line="440" w:lineRule="exact"/>
        <w:ind w:firstLine="482"/>
        <w:rPr>
          <w:color w:val="auto"/>
          <w:szCs w:val="21"/>
        </w:rPr>
      </w:pPr>
      <w:r>
        <w:rPr>
          <w:color w:val="auto"/>
          <w:szCs w:val="21"/>
        </w:rPr>
        <w:t>1</w:t>
      </w:r>
      <w:r>
        <w:rPr>
          <w:rFonts w:hint="eastAsia" w:ascii="宋体" w:hAnsi="宋体" w:cs="宋体"/>
          <w:color w:val="auto"/>
          <w:szCs w:val="21"/>
        </w:rPr>
        <w:t>.</w:t>
      </w:r>
      <w:r>
        <w:rPr>
          <w:rFonts w:hint="eastAsia" w:hAnsi="宋体"/>
          <w:color w:val="auto"/>
          <w:szCs w:val="21"/>
        </w:rPr>
        <w:t>发包人职责</w:t>
      </w:r>
      <w:bookmarkEnd w:id="870"/>
    </w:p>
    <w:p w14:paraId="4B22BC82">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）严格遵守国家有关安全生产的法律法规，认真执行工程承包合同中的有关安全要求。</w:t>
      </w:r>
    </w:p>
    <w:p w14:paraId="1CB446E3">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）按照</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和坚持</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的原则进行安全生产管理，做到生产与安全工作同时计划、布置、检查、总结和评比。</w:t>
      </w:r>
    </w:p>
    <w:p w14:paraId="1A4121EF">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）重要的安全设施必须坚持与主体工程</w:t>
      </w:r>
      <w:r>
        <w:rPr>
          <w:color w:val="auto"/>
          <w:szCs w:val="21"/>
        </w:rPr>
        <w:t>“</w:t>
      </w:r>
      <w:r>
        <w:rPr>
          <w:rFonts w:hint="eastAsia" w:hAnsi="宋体"/>
          <w:color w:val="auto"/>
          <w:szCs w:val="21"/>
        </w:rPr>
        <w:t>三同时</w:t>
      </w:r>
      <w:r>
        <w:rPr>
          <w:color w:val="auto"/>
          <w:szCs w:val="21"/>
        </w:rPr>
        <w:t>”</w:t>
      </w:r>
      <w:r>
        <w:rPr>
          <w:rFonts w:hint="eastAsia" w:hAnsi="宋体"/>
          <w:color w:val="auto"/>
          <w:szCs w:val="21"/>
        </w:rPr>
        <w:t>的原则，即：同时设计、审批，同时施工，同时验收，投入使用。</w:t>
      </w:r>
    </w:p>
    <w:p w14:paraId="07C0C0C8">
      <w:pPr>
        <w:spacing w:line="360" w:lineRule="auto"/>
        <w:ind w:firstLine="482"/>
        <w:rPr>
          <w:color w:val="auto"/>
          <w:szCs w:val="21"/>
        </w:rPr>
      </w:pPr>
      <w:r>
        <w:rPr>
          <w:rFonts w:hint="eastAsia" w:hAnsi="宋体"/>
          <w:color w:val="auto"/>
          <w:szCs w:val="21"/>
        </w:rPr>
        <w:t>（</w:t>
      </w:r>
      <w:r>
        <w:rPr>
          <w:color w:val="auto"/>
          <w:szCs w:val="21"/>
        </w:rPr>
        <w:t>4</w:t>
      </w:r>
      <w:r>
        <w:rPr>
          <w:rFonts w:hint="eastAsia" w:hAnsi="宋体"/>
          <w:color w:val="auto"/>
          <w:szCs w:val="21"/>
        </w:rPr>
        <w:t>）定期召开安全生产调度会，及时传达</w:t>
      </w:r>
      <w:r>
        <w:rPr>
          <w:rFonts w:hint="eastAsia" w:hAnsi="宋体"/>
          <w:color w:val="auto"/>
          <w:szCs w:val="21"/>
          <w:lang w:eastAsia="zh-CN"/>
        </w:rPr>
        <w:t>中央和地方</w:t>
      </w:r>
      <w:r>
        <w:rPr>
          <w:rFonts w:hint="eastAsia" w:hAnsi="宋体"/>
          <w:color w:val="auto"/>
          <w:szCs w:val="21"/>
        </w:rPr>
        <w:t>有关安全生产的精神。</w:t>
      </w:r>
    </w:p>
    <w:p w14:paraId="761C784F">
      <w:pPr>
        <w:spacing w:line="360" w:lineRule="auto"/>
        <w:ind w:firstLine="482"/>
        <w:rPr>
          <w:color w:val="auto"/>
          <w:szCs w:val="21"/>
        </w:rPr>
      </w:pPr>
      <w:r>
        <w:rPr>
          <w:rFonts w:hint="eastAsia" w:hAnsi="宋体"/>
          <w:color w:val="auto"/>
          <w:szCs w:val="21"/>
        </w:rPr>
        <w:t>（</w:t>
      </w:r>
      <w:r>
        <w:rPr>
          <w:color w:val="auto"/>
          <w:szCs w:val="21"/>
        </w:rPr>
        <w:t>5</w:t>
      </w:r>
      <w:r>
        <w:rPr>
          <w:rFonts w:hint="eastAsia" w:hAnsi="宋体"/>
          <w:color w:val="auto"/>
          <w:szCs w:val="21"/>
        </w:rPr>
        <w:t>）组织对承包人施工现场进行安全生产检查，监督承包人及时处理发现的各种安全隐患。</w:t>
      </w:r>
    </w:p>
    <w:p w14:paraId="25D9F5D7">
      <w:pPr>
        <w:pStyle w:val="269"/>
        <w:spacing w:line="360" w:lineRule="auto"/>
        <w:rPr>
          <w:color w:val="auto"/>
          <w:szCs w:val="21"/>
        </w:rPr>
      </w:pPr>
      <w:bookmarkStart w:id="871" w:name="_Toc330980505"/>
      <w:bookmarkStart w:id="872" w:name="_Toc333404566"/>
      <w:r>
        <w:rPr>
          <w:color w:val="auto"/>
          <w:szCs w:val="21"/>
        </w:rPr>
        <w:t xml:space="preserve">      </w:t>
      </w:r>
      <w:r>
        <w:rPr>
          <w:rFonts w:hint="eastAsia" w:ascii="宋体" w:hAnsi="宋体" w:cs="宋体"/>
          <w:color w:val="auto"/>
          <w:szCs w:val="21"/>
        </w:rPr>
        <w:t>2.</w:t>
      </w:r>
      <w:r>
        <w:rPr>
          <w:rFonts w:hint="eastAsia" w:hAnsi="宋体"/>
          <w:color w:val="auto"/>
          <w:szCs w:val="21"/>
        </w:rPr>
        <w:t>承包人职责</w:t>
      </w:r>
      <w:bookmarkEnd w:id="871"/>
      <w:bookmarkEnd w:id="872"/>
    </w:p>
    <w:p w14:paraId="5CF2C980">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）严格遵守《中华人民共和国安全生产法》、《建设工程安全生产管理条例》等国家有关安全生产的法律法规、《公路水运工程安全生产监督管理办法》、《公路工程施工安全技术规程》</w:t>
      </w:r>
      <w:r>
        <w:rPr>
          <w:rFonts w:hint="eastAsia" w:hAnsi="宋体"/>
          <w:color w:val="auto"/>
          <w:szCs w:val="21"/>
          <w:lang w:eastAsia="zh-CN"/>
        </w:rPr>
        <w:t>、</w:t>
      </w:r>
      <w:r>
        <w:rPr>
          <w:rFonts w:hint="eastAsia" w:hAnsi="宋体"/>
          <w:color w:val="auto"/>
          <w:szCs w:val="21"/>
        </w:rPr>
        <w:t>《公路筑养路机械操作规程》等有关安全生产的规定。认真执行工程承包合同中的有关安全要求。</w:t>
      </w:r>
    </w:p>
    <w:p w14:paraId="372D96D5">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）坚持</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加强安全生产宣传教育，增强全员安全生产意识，建立健全各项安全生产的管理机构和安全生产管理制度，配备专职及兼职安全检查人员，有组织有领导的开展安全生产活动。各级领导、工程技术人员、生产管理人员和具体操作人员，必须熟悉和遵守本合同的各项规定，做到生产与安全工作同时计划、布置、检查、总结和评比。</w:t>
      </w:r>
    </w:p>
    <w:p w14:paraId="417CAEF2">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建立健全安全生产责任制。从派往项目实施的项目经理到生产工人（包括临时聘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9DF92D6">
      <w:pPr>
        <w:spacing w:line="440" w:lineRule="exact"/>
        <w:ind w:firstLine="482"/>
        <w:rPr>
          <w:color w:val="auto"/>
          <w:szCs w:val="21"/>
        </w:rPr>
      </w:pPr>
      <w:r>
        <w:rPr>
          <w:rFonts w:hint="eastAsia" w:hAnsi="宋体"/>
          <w:color w:val="auto"/>
          <w:szCs w:val="21"/>
        </w:rPr>
        <w:t>（</w:t>
      </w:r>
      <w:r>
        <w:rPr>
          <w:color w:val="auto"/>
          <w:szCs w:val="21"/>
        </w:rPr>
        <w:t>4</w:t>
      </w:r>
      <w:r>
        <w:rPr>
          <w:rFonts w:hint="eastAsia" w:hAnsi="宋体"/>
          <w:color w:val="auto"/>
          <w:szCs w:val="21"/>
        </w:rPr>
        <w:t>）承包人在任何时候都应采取各种合理的预防措施，防止其员工发生任何违法、违禁、暴力或妨碍治安的行为。</w:t>
      </w:r>
    </w:p>
    <w:p w14:paraId="6D3FA36A">
      <w:pPr>
        <w:spacing w:line="440" w:lineRule="exact"/>
        <w:ind w:firstLine="482"/>
        <w:rPr>
          <w:color w:val="auto"/>
          <w:szCs w:val="21"/>
        </w:rPr>
      </w:pPr>
      <w:r>
        <w:rPr>
          <w:rFonts w:hint="eastAsia" w:hAnsi="宋体"/>
          <w:color w:val="auto"/>
          <w:szCs w:val="21"/>
        </w:rPr>
        <w:t>（</w:t>
      </w:r>
      <w:r>
        <w:rPr>
          <w:color w:val="auto"/>
          <w:szCs w:val="21"/>
        </w:rPr>
        <w:t>5</w:t>
      </w:r>
      <w:r>
        <w:rPr>
          <w:rFonts w:hint="eastAsia" w:hAnsi="宋体"/>
          <w:color w:val="auto"/>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hAnsi="宋体"/>
          <w:color w:val="auto"/>
          <w:szCs w:val="21"/>
          <w:lang w:eastAsia="zh-CN"/>
        </w:rPr>
        <w:t>建筑限高</w:t>
      </w:r>
      <w:r>
        <w:rPr>
          <w:rFonts w:hint="eastAsia" w:hAnsi="宋体"/>
          <w:color w:val="auto"/>
          <w:szCs w:val="21"/>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1056E46">
      <w:pPr>
        <w:spacing w:line="440" w:lineRule="exact"/>
        <w:ind w:firstLine="482"/>
        <w:rPr>
          <w:color w:val="auto"/>
          <w:szCs w:val="21"/>
        </w:rPr>
      </w:pPr>
      <w:r>
        <w:rPr>
          <w:rFonts w:hint="eastAsia" w:hAnsi="宋体"/>
          <w:color w:val="auto"/>
          <w:szCs w:val="21"/>
        </w:rPr>
        <w:t>（</w:t>
      </w:r>
      <w:r>
        <w:rPr>
          <w:color w:val="auto"/>
          <w:szCs w:val="21"/>
        </w:rPr>
        <w:t>6</w:t>
      </w:r>
      <w:r>
        <w:rPr>
          <w:rFonts w:hint="eastAsia" w:hAnsi="宋体"/>
          <w:color w:val="auto"/>
          <w:szCs w:val="21"/>
        </w:rPr>
        <w:t>）对于易燃易爆的材料除应专门妥善保管之外，还应配备有足够的消防设施，所有施工人员熟悉消防设备的性能和使用方法；承包人不得将任何种类的爆炸物给予、易货或以其他方式转让给任何其他人，或允许、容忍上述同样行为。</w:t>
      </w:r>
    </w:p>
    <w:p w14:paraId="480BFBBA">
      <w:pPr>
        <w:spacing w:line="440" w:lineRule="exact"/>
        <w:ind w:firstLine="482"/>
        <w:rPr>
          <w:color w:val="auto"/>
          <w:szCs w:val="21"/>
        </w:rPr>
      </w:pPr>
      <w:r>
        <w:rPr>
          <w:rFonts w:hint="eastAsia" w:hAnsi="宋体"/>
          <w:color w:val="auto"/>
          <w:szCs w:val="21"/>
        </w:rPr>
        <w:t>（</w:t>
      </w:r>
      <w:r>
        <w:rPr>
          <w:color w:val="auto"/>
          <w:szCs w:val="21"/>
        </w:rPr>
        <w:t>7</w:t>
      </w:r>
      <w:r>
        <w:rPr>
          <w:rFonts w:hint="eastAsia" w:hAnsi="宋体"/>
          <w:color w:val="auto"/>
          <w:szCs w:val="21"/>
        </w:rPr>
        <w:t>）操作人员上岗，必须按规定穿戴防护用品。施工负责人和安全检查员应随时检查劳动防护用品的穿戴情况，不按规定穿戴防护用品的人员不得上岗。</w:t>
      </w:r>
    </w:p>
    <w:p w14:paraId="37FC3A12">
      <w:pPr>
        <w:spacing w:line="440" w:lineRule="exact"/>
        <w:ind w:firstLine="482"/>
        <w:rPr>
          <w:color w:val="auto"/>
          <w:szCs w:val="21"/>
        </w:rPr>
      </w:pPr>
      <w:r>
        <w:rPr>
          <w:rFonts w:hint="eastAsia" w:hAnsi="宋体"/>
          <w:color w:val="auto"/>
          <w:szCs w:val="21"/>
        </w:rPr>
        <w:t>（</w:t>
      </w:r>
      <w:r>
        <w:rPr>
          <w:color w:val="auto"/>
          <w:szCs w:val="21"/>
        </w:rPr>
        <w:t>8</w:t>
      </w:r>
      <w:r>
        <w:rPr>
          <w:rFonts w:hint="eastAsia" w:hAnsi="宋体"/>
          <w:color w:val="auto"/>
          <w:szCs w:val="21"/>
        </w:rPr>
        <w:t>）所有施工机具设备和高空作业的设备均应定期检查，并有安全员的签字记录，保证其经常处于完好状态；不合格的机具、设备和劳动保护用品严禁使用。</w:t>
      </w:r>
    </w:p>
    <w:p w14:paraId="325B68F6">
      <w:pPr>
        <w:spacing w:line="440" w:lineRule="exact"/>
        <w:ind w:firstLine="482"/>
        <w:rPr>
          <w:color w:val="auto"/>
          <w:szCs w:val="21"/>
        </w:rPr>
      </w:pPr>
      <w:r>
        <w:rPr>
          <w:rFonts w:hint="eastAsia" w:hAnsi="宋体"/>
          <w:color w:val="auto"/>
          <w:szCs w:val="21"/>
        </w:rPr>
        <w:t>（</w:t>
      </w:r>
      <w:r>
        <w:rPr>
          <w:color w:val="auto"/>
          <w:szCs w:val="21"/>
        </w:rPr>
        <w:t>9</w:t>
      </w:r>
      <w:r>
        <w:rPr>
          <w:rFonts w:hint="eastAsia" w:hAnsi="宋体"/>
          <w:color w:val="auto"/>
          <w:szCs w:val="21"/>
        </w:rPr>
        <w:t>）施工中采用新技术、新工艺、新设备、新材料时，必须制定相应的安全技术措施，施工现场必须具有相关的安全标志牌。</w:t>
      </w:r>
    </w:p>
    <w:p w14:paraId="02682E00">
      <w:pPr>
        <w:spacing w:line="440" w:lineRule="exact"/>
        <w:ind w:firstLine="482"/>
        <w:rPr>
          <w:color w:val="auto"/>
          <w:szCs w:val="21"/>
        </w:rPr>
      </w:pPr>
      <w:r>
        <w:rPr>
          <w:rFonts w:hint="eastAsia" w:hAnsi="宋体"/>
          <w:color w:val="auto"/>
          <w:szCs w:val="21"/>
        </w:rPr>
        <w:t>（</w:t>
      </w:r>
      <w:r>
        <w:rPr>
          <w:color w:val="auto"/>
          <w:szCs w:val="21"/>
        </w:rPr>
        <w:t>10</w:t>
      </w:r>
      <w:r>
        <w:rPr>
          <w:rFonts w:hint="eastAsia" w:hAnsi="宋体"/>
          <w:color w:val="auto"/>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color w:val="auto"/>
          <w:szCs w:val="21"/>
        </w:rPr>
        <w:t>“</w:t>
      </w:r>
      <w:r>
        <w:rPr>
          <w:rFonts w:hint="eastAsia" w:hAnsi="宋体"/>
          <w:color w:val="auto"/>
          <w:szCs w:val="21"/>
        </w:rPr>
        <w:t>四不放过</w:t>
      </w:r>
      <w:r>
        <w:rPr>
          <w:color w:val="auto"/>
          <w:szCs w:val="21"/>
        </w:rPr>
        <w:t>”</w:t>
      </w:r>
      <w:r>
        <w:rPr>
          <w:rFonts w:hint="eastAsia" w:hAnsi="宋体"/>
          <w:color w:val="auto"/>
          <w:szCs w:val="21"/>
        </w:rPr>
        <w:t>的原则，严肃处理相关责任人。</w:t>
      </w:r>
    </w:p>
    <w:p w14:paraId="504D3CA3">
      <w:pPr>
        <w:spacing w:line="440" w:lineRule="exact"/>
        <w:ind w:firstLine="482"/>
        <w:rPr>
          <w:color w:val="auto"/>
          <w:szCs w:val="21"/>
        </w:rPr>
      </w:pPr>
      <w:r>
        <w:rPr>
          <w:rFonts w:hint="eastAsia" w:hAnsi="宋体"/>
          <w:color w:val="auto"/>
          <w:szCs w:val="21"/>
        </w:rPr>
        <w:t>（</w:t>
      </w:r>
      <w:r>
        <w:rPr>
          <w:color w:val="auto"/>
          <w:szCs w:val="21"/>
        </w:rPr>
        <w:t>11</w:t>
      </w:r>
      <w:r>
        <w:rPr>
          <w:rFonts w:hint="eastAsia" w:hAnsi="宋体"/>
          <w:color w:val="auto"/>
          <w:szCs w:val="21"/>
        </w:rPr>
        <w:t>）安全生产费用按照《公路水运工程安全生产监督管理办法》的相关规定使用和管理。</w:t>
      </w:r>
    </w:p>
    <w:p w14:paraId="398222A0">
      <w:pPr>
        <w:spacing w:line="400" w:lineRule="exact"/>
        <w:ind w:firstLine="420" w:firstLineChars="200"/>
        <w:rPr>
          <w:color w:val="auto"/>
          <w:szCs w:val="21"/>
        </w:rPr>
      </w:pPr>
      <w:r>
        <w:rPr>
          <w:rFonts w:hint="eastAsia" w:ascii="宋体" w:hAnsi="宋体" w:cs="宋体"/>
          <w:color w:val="auto"/>
          <w:szCs w:val="21"/>
        </w:rPr>
        <w:t>3.</w:t>
      </w:r>
      <w:r>
        <w:rPr>
          <w:rFonts w:hint="eastAsia" w:hAnsi="宋体"/>
          <w:color w:val="auto"/>
          <w:szCs w:val="21"/>
        </w:rPr>
        <w:t>违约责任</w:t>
      </w:r>
    </w:p>
    <w:p w14:paraId="6E379227">
      <w:pPr>
        <w:spacing w:line="440" w:lineRule="exact"/>
        <w:ind w:firstLine="482"/>
        <w:rPr>
          <w:color w:val="auto"/>
          <w:szCs w:val="21"/>
        </w:rPr>
      </w:pPr>
      <w:r>
        <w:rPr>
          <w:rFonts w:hint="eastAsia" w:hAnsi="宋体"/>
          <w:color w:val="auto"/>
          <w:szCs w:val="21"/>
        </w:rPr>
        <w:t>如因发包人或承包人违约造成安全事故，将依法追究责任。</w:t>
      </w:r>
    </w:p>
    <w:p w14:paraId="67D17858">
      <w:pPr>
        <w:spacing w:line="440" w:lineRule="exact"/>
        <w:ind w:firstLine="482"/>
        <w:rPr>
          <w:color w:val="auto"/>
          <w:szCs w:val="21"/>
        </w:rPr>
      </w:pPr>
      <w:r>
        <w:rPr>
          <w:color w:val="auto"/>
          <w:szCs w:val="21"/>
        </w:rPr>
        <w:t>4</w:t>
      </w:r>
      <w:r>
        <w:rPr>
          <w:rFonts w:hint="eastAsia" w:hAnsi="宋体"/>
          <w:color w:val="auto"/>
          <w:szCs w:val="21"/>
        </w:rPr>
        <w:t>．本合同由双方法定代表人或其授权的代理人签署并加盖单位公章后生效，全部工程竣工验收后失效。</w:t>
      </w:r>
    </w:p>
    <w:p w14:paraId="1CCF64F0">
      <w:pPr>
        <w:spacing w:line="440" w:lineRule="exact"/>
        <w:ind w:firstLine="482"/>
        <w:rPr>
          <w:color w:val="auto"/>
          <w:szCs w:val="21"/>
        </w:rPr>
      </w:pPr>
      <w:r>
        <w:rPr>
          <w:rFonts w:hint="eastAsia"/>
          <w:color w:val="auto"/>
          <w:szCs w:val="21"/>
          <w:lang w:eastAsia="zh-CN"/>
        </w:rPr>
        <w:t>5.</w:t>
      </w:r>
      <w:r>
        <w:rPr>
          <w:rFonts w:hint="eastAsia" w:hAnsi="宋体"/>
          <w:color w:val="auto"/>
          <w:szCs w:val="21"/>
        </w:rPr>
        <w:t>本合同正本二份、副本</w:t>
      </w:r>
      <w:r>
        <w:rPr>
          <w:color w:val="auto"/>
          <w:szCs w:val="21"/>
          <w:u w:val="single"/>
        </w:rPr>
        <w:t xml:space="preserve"> </w:t>
      </w:r>
      <w:r>
        <w:rPr>
          <w:rFonts w:hint="eastAsia"/>
          <w:color w:val="auto"/>
          <w:szCs w:val="21"/>
          <w:u w:val="single"/>
        </w:rPr>
        <w:t>肆</w:t>
      </w:r>
      <w:r>
        <w:rPr>
          <w:color w:val="auto"/>
          <w:szCs w:val="21"/>
          <w:u w:val="single"/>
        </w:rPr>
        <w:t xml:space="preserve">  </w:t>
      </w:r>
      <w:r>
        <w:rPr>
          <w:rFonts w:hint="eastAsia" w:hAnsi="宋体"/>
          <w:color w:val="auto"/>
          <w:szCs w:val="21"/>
        </w:rPr>
        <w:t>份，合同双方各执正本一份，副本</w:t>
      </w:r>
      <w:r>
        <w:rPr>
          <w:color w:val="auto"/>
          <w:szCs w:val="21"/>
          <w:u w:val="single"/>
        </w:rPr>
        <w:t xml:space="preserve">  </w:t>
      </w:r>
      <w:r>
        <w:rPr>
          <w:rFonts w:hint="eastAsia"/>
          <w:color w:val="auto"/>
          <w:szCs w:val="21"/>
          <w:u w:val="single"/>
        </w:rPr>
        <w:t>贰</w:t>
      </w:r>
      <w:r>
        <w:rPr>
          <w:color w:val="auto"/>
          <w:szCs w:val="21"/>
          <w:u w:val="single"/>
        </w:rPr>
        <w:t xml:space="preserve">  </w:t>
      </w:r>
      <w:r>
        <w:rPr>
          <w:rFonts w:hint="eastAsia" w:hAnsi="宋体"/>
          <w:color w:val="auto"/>
          <w:szCs w:val="21"/>
        </w:rPr>
        <w:t>份，当正本与副本的内容不一致时，以正本为准。</w:t>
      </w:r>
    </w:p>
    <w:p w14:paraId="64228F72">
      <w:pPr>
        <w:spacing w:line="440" w:lineRule="exact"/>
        <w:rPr>
          <w:rFonts w:hint="eastAsia" w:hAnsi="宋体"/>
          <w:color w:val="auto"/>
          <w:szCs w:val="21"/>
        </w:rPr>
      </w:pPr>
    </w:p>
    <w:p w14:paraId="4A7B2BBE">
      <w:pPr>
        <w:spacing w:line="440" w:lineRule="exact"/>
        <w:rPr>
          <w:color w:val="auto"/>
          <w:szCs w:val="21"/>
        </w:rPr>
      </w:pPr>
      <w:r>
        <w:rPr>
          <w:rFonts w:hint="eastAsia" w:hAnsi="宋体"/>
          <w:color w:val="auto"/>
          <w:szCs w:val="21"/>
        </w:rPr>
        <w:t>发包人：</w:t>
      </w:r>
      <w:r>
        <w:rPr>
          <w:color w:val="auto"/>
          <w:szCs w:val="21"/>
          <w:u w:val="single"/>
        </w:rPr>
        <w:t xml:space="preserve"> </w:t>
      </w:r>
      <w:r>
        <w:rPr>
          <w:rFonts w:hint="eastAsia" w:cs="仿宋"/>
          <w:b/>
          <w:snapToGrid w:val="0"/>
          <w:color w:val="auto"/>
          <w:kern w:val="0"/>
          <w:szCs w:val="21"/>
          <w:u w:val="single"/>
        </w:rPr>
        <w:t xml:space="preserve">                          </w:t>
      </w:r>
      <w:r>
        <w:rPr>
          <w:rFonts w:hint="eastAsia" w:hAnsi="宋体"/>
          <w:color w:val="auto"/>
          <w:szCs w:val="21"/>
        </w:rPr>
        <w:t>（单位盖章）</w:t>
      </w:r>
      <w:r>
        <w:rPr>
          <w:color w:val="auto"/>
          <w:szCs w:val="21"/>
        </w:rPr>
        <w:t xml:space="preserve">   </w:t>
      </w:r>
      <w:r>
        <w:rPr>
          <w:rFonts w:hint="eastAsia" w:hAnsi="宋体"/>
          <w:color w:val="auto"/>
          <w:szCs w:val="21"/>
        </w:rPr>
        <w:t>承包人：</w:t>
      </w:r>
      <w:r>
        <w:rPr>
          <w:color w:val="auto"/>
          <w:szCs w:val="21"/>
          <w:u w:val="single"/>
        </w:rPr>
        <w:t xml:space="preserve">                </w:t>
      </w:r>
      <w:r>
        <w:rPr>
          <w:rFonts w:hint="eastAsia" w:hAnsi="宋体"/>
          <w:color w:val="auto"/>
          <w:szCs w:val="21"/>
        </w:rPr>
        <w:t>（单位盖章）</w:t>
      </w:r>
    </w:p>
    <w:p w14:paraId="0AA411E2">
      <w:pPr>
        <w:spacing w:line="440" w:lineRule="exact"/>
        <w:rPr>
          <w:color w:val="auto"/>
          <w:szCs w:val="21"/>
        </w:rPr>
      </w:pP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p>
    <w:p w14:paraId="1DABD45C">
      <w:pPr>
        <w:spacing w:line="440" w:lineRule="exact"/>
        <w:ind w:firstLine="482"/>
        <w:rPr>
          <w:color w:val="auto"/>
          <w:szCs w:val="21"/>
        </w:rPr>
      </w:pPr>
      <w:r>
        <w:rPr>
          <w:color w:val="auto"/>
          <w:szCs w:val="21"/>
        </w:rPr>
        <w:t xml:space="preserve">           </w:t>
      </w:r>
    </w:p>
    <w:p w14:paraId="3BA4683D">
      <w:pPr>
        <w:spacing w:line="440" w:lineRule="exact"/>
        <w:ind w:firstLine="1108" w:firstLineChars="528"/>
        <w:rPr>
          <w:color w:val="auto"/>
          <w:szCs w:val="21"/>
        </w:rPr>
      </w:pPr>
      <w:r>
        <w:rPr>
          <w:color w:val="auto"/>
          <w:szCs w:val="21"/>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r>
        <w:rPr>
          <w:color w:val="auto"/>
          <w:szCs w:val="21"/>
        </w:rPr>
        <w:t xml:space="preserve">                   </w:t>
      </w:r>
      <w:r>
        <w:rPr>
          <w:color w:val="auto"/>
          <w:szCs w:val="21"/>
          <w:u w:val="single"/>
        </w:rPr>
        <w:t xml:space="preserve"> </w:t>
      </w:r>
      <w:r>
        <w:rPr>
          <w:rFonts w:hint="eastAsia"/>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p>
    <w:p w14:paraId="464B8012">
      <w:pPr>
        <w:spacing w:line="440" w:lineRule="exact"/>
        <w:ind w:firstLine="482"/>
        <w:rPr>
          <w:color w:val="auto"/>
          <w:szCs w:val="21"/>
        </w:rPr>
      </w:pPr>
    </w:p>
    <w:p w14:paraId="43C46D10">
      <w:pPr>
        <w:spacing w:line="440" w:lineRule="exact"/>
        <w:ind w:firstLine="482"/>
        <w:rPr>
          <w:color w:val="auto"/>
          <w:szCs w:val="21"/>
        </w:rPr>
      </w:pPr>
    </w:p>
    <w:p w14:paraId="265ECAD8">
      <w:pPr>
        <w:spacing w:line="440" w:lineRule="exact"/>
        <w:ind w:firstLine="482"/>
        <w:rPr>
          <w:color w:val="auto"/>
          <w:szCs w:val="21"/>
        </w:rPr>
      </w:pPr>
    </w:p>
    <w:p w14:paraId="1FD36F79">
      <w:pPr>
        <w:pStyle w:val="2"/>
        <w:rPr>
          <w:color w:val="auto"/>
          <w:szCs w:val="21"/>
        </w:rPr>
      </w:pPr>
    </w:p>
    <w:p w14:paraId="5E030F7B">
      <w:pPr>
        <w:rPr>
          <w:color w:val="auto"/>
          <w:szCs w:val="21"/>
        </w:rPr>
      </w:pPr>
    </w:p>
    <w:p w14:paraId="729EDF88">
      <w:pPr>
        <w:pStyle w:val="2"/>
        <w:rPr>
          <w:color w:val="auto"/>
          <w:szCs w:val="21"/>
        </w:rPr>
      </w:pPr>
    </w:p>
    <w:p w14:paraId="237F9D2E">
      <w:pPr>
        <w:rPr>
          <w:color w:val="auto"/>
        </w:rPr>
      </w:pPr>
    </w:p>
    <w:p w14:paraId="0682C6E2">
      <w:pPr>
        <w:spacing w:line="440" w:lineRule="exact"/>
        <w:rPr>
          <w:color w:val="auto"/>
          <w:szCs w:val="21"/>
        </w:rPr>
      </w:pPr>
    </w:p>
    <w:bookmarkEnd w:id="869"/>
    <w:p w14:paraId="14D6BC52">
      <w:pPr>
        <w:pStyle w:val="3"/>
        <w:spacing w:before="156" w:beforeLines="50" w:after="156" w:afterLines="50" w:line="400" w:lineRule="exact"/>
        <w:rPr>
          <w:rFonts w:hint="eastAsia" w:ascii="宋体" w:hAnsi="宋体" w:cs="宋体"/>
          <w:color w:val="auto"/>
          <w:sz w:val="24"/>
          <w:szCs w:val="24"/>
        </w:rPr>
      </w:pPr>
      <w:bookmarkStart w:id="873" w:name="_Toc234382945"/>
      <w:bookmarkStart w:id="874" w:name="_Toc480790559"/>
      <w:bookmarkStart w:id="875" w:name="_Toc448913855"/>
      <w:r>
        <w:rPr>
          <w:rFonts w:hint="eastAsia" w:ascii="宋体" w:hAnsi="宋体" w:cs="宋体"/>
          <w:color w:val="auto"/>
          <w:sz w:val="24"/>
          <w:szCs w:val="24"/>
        </w:rPr>
        <w:t>附件二   廉政合同</w:t>
      </w:r>
      <w:bookmarkEnd w:id="873"/>
      <w:bookmarkEnd w:id="874"/>
      <w:bookmarkEnd w:id="875"/>
    </w:p>
    <w:p w14:paraId="64B19D81">
      <w:pPr>
        <w:spacing w:before="120" w:after="120"/>
        <w:jc w:val="center"/>
        <w:rPr>
          <w:rFonts w:hint="eastAsia" w:ascii="宋体" w:hAnsi="宋体" w:cs="宋体"/>
          <w:b/>
          <w:color w:val="auto"/>
          <w:sz w:val="32"/>
          <w:szCs w:val="32"/>
        </w:rPr>
      </w:pPr>
      <w:r>
        <w:rPr>
          <w:rFonts w:hint="eastAsia" w:ascii="宋体" w:hAnsi="宋体" w:cs="宋体"/>
          <w:b/>
          <w:color w:val="auto"/>
          <w:sz w:val="32"/>
          <w:szCs w:val="32"/>
        </w:rPr>
        <w:t>廉政合同</w:t>
      </w:r>
    </w:p>
    <w:p w14:paraId="05E789A0">
      <w:pPr>
        <w:spacing w:line="440" w:lineRule="exact"/>
        <w:ind w:firstLine="482"/>
        <w:rPr>
          <w:rFonts w:hAnsi="宋体"/>
          <w:color w:val="auto"/>
          <w:szCs w:val="21"/>
        </w:rPr>
      </w:pPr>
      <w:r>
        <w:rPr>
          <w:rFonts w:hint="eastAsia" w:hAnsi="宋体"/>
          <w:color w:val="auto"/>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MingLiU"/>
          <w:snapToGrid w:val="0"/>
          <w:color w:val="auto"/>
          <w:kern w:val="0"/>
          <w:szCs w:val="21"/>
          <w:u w:val="single"/>
          <w:lang w:eastAsia="zh-CN"/>
        </w:rPr>
        <w:t>2025年度福果镇农村公路护栏建设项目（第二次）</w:t>
      </w:r>
      <w:r>
        <w:rPr>
          <w:rFonts w:hint="eastAsia" w:ascii="宋体" w:hAnsi="宋体" w:cs="MingLiU"/>
          <w:snapToGrid w:val="0"/>
          <w:color w:val="auto"/>
          <w:kern w:val="0"/>
          <w:szCs w:val="21"/>
          <w:u w:val="single"/>
        </w:rPr>
        <w:t xml:space="preserve"> </w:t>
      </w:r>
      <w:r>
        <w:rPr>
          <w:rFonts w:hint="eastAsia" w:hAnsi="宋体"/>
          <w:color w:val="auto"/>
          <w:szCs w:val="21"/>
        </w:rPr>
        <w:t>项目法人</w:t>
      </w:r>
      <w:r>
        <w:rPr>
          <w:rFonts w:hint="eastAsia" w:hAnsi="宋体"/>
          <w:color w:val="auto"/>
          <w:szCs w:val="21"/>
          <w:u w:val="single"/>
        </w:rPr>
        <w:t xml:space="preserve"> </w:t>
      </w:r>
      <w:r>
        <w:rPr>
          <w:rFonts w:hint="eastAsia" w:hAnsi="宋体"/>
          <w:color w:val="auto"/>
          <w:szCs w:val="21"/>
          <w:u w:val="single"/>
          <w:lang w:eastAsia="zh-CN"/>
        </w:rPr>
        <w:t>重庆市铜梁区福果镇人民政府</w:t>
      </w:r>
      <w:r>
        <w:rPr>
          <w:rFonts w:hint="eastAsia" w:hAnsi="宋体"/>
          <w:color w:val="auto"/>
          <w:szCs w:val="21"/>
          <w:u w:val="single"/>
        </w:rPr>
        <w:t xml:space="preserve"> </w:t>
      </w:r>
      <w:r>
        <w:rPr>
          <w:rFonts w:hint="eastAsia" w:hAnsi="宋体"/>
          <w:color w:val="auto"/>
          <w:szCs w:val="21"/>
        </w:rPr>
        <w:t>（项目法人名称，以下简称“发包人”）与该项目的施工单位</w:t>
      </w:r>
      <w:r>
        <w:rPr>
          <w:rFonts w:hAnsi="宋体"/>
          <w:color w:val="auto"/>
          <w:szCs w:val="21"/>
          <w:u w:val="single"/>
        </w:rPr>
        <w:t xml:space="preserve">   </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（施工单位名称，以下简称“承包人”），特订立如下合同。</w:t>
      </w:r>
    </w:p>
    <w:p w14:paraId="707E7369">
      <w:pPr>
        <w:spacing w:line="440" w:lineRule="exact"/>
        <w:ind w:firstLine="482"/>
        <w:rPr>
          <w:rFonts w:hAnsi="宋体"/>
          <w:color w:val="auto"/>
          <w:szCs w:val="21"/>
        </w:rPr>
      </w:pPr>
      <w:r>
        <w:rPr>
          <w:rFonts w:hint="eastAsia" w:hAnsi="宋体"/>
          <w:color w:val="auto"/>
          <w:szCs w:val="21"/>
          <w:lang w:eastAsia="zh-CN"/>
        </w:rPr>
        <w:t>1.</w:t>
      </w:r>
      <w:r>
        <w:rPr>
          <w:rFonts w:hint="eastAsia" w:hAnsi="宋体"/>
          <w:color w:val="auto"/>
          <w:szCs w:val="21"/>
        </w:rPr>
        <w:t>发包人和承包人双方的权利和义务</w:t>
      </w:r>
    </w:p>
    <w:p w14:paraId="25C1B5E0">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）严格遵守党的政策规定和国家有关法律法规及交通运输部的有关规定。</w:t>
      </w:r>
    </w:p>
    <w:p w14:paraId="391A8D99">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）严格执行</w:t>
      </w:r>
      <w:r>
        <w:rPr>
          <w:rFonts w:hint="eastAsia" w:hAnsi="宋体"/>
          <w:color w:val="auto"/>
          <w:szCs w:val="21"/>
          <w:u w:val="single"/>
          <w:lang w:eastAsia="zh-CN"/>
        </w:rPr>
        <w:t>2025年度福果镇农村公路护栏建设项目（第二次）</w:t>
      </w:r>
      <w:r>
        <w:rPr>
          <w:rFonts w:hint="eastAsia" w:hAnsi="宋体"/>
          <w:color w:val="auto"/>
          <w:szCs w:val="21"/>
          <w:u w:val="single"/>
        </w:rPr>
        <w:t xml:space="preserve"> </w:t>
      </w:r>
      <w:r>
        <w:rPr>
          <w:rFonts w:hint="eastAsia" w:hAnsi="宋体"/>
          <w:color w:val="auto"/>
          <w:szCs w:val="21"/>
        </w:rPr>
        <w:t>施工合同文件，自觉按合同办事。</w:t>
      </w:r>
    </w:p>
    <w:p w14:paraId="0CF5AC6D">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）双方的业务活动坚持公开、公正、诚信、透明的原则（法律认定的商业秘密和合同文件另有规定除外），不得损害国家和集体利益，不得违反工程建设管理规章制度。</w:t>
      </w:r>
    </w:p>
    <w:p w14:paraId="29FC933F">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）建立健全廉政制度，开展廉政教育，设立廉政告示牌，公布举报电话，监督并认真查处违法违纪行为。</w:t>
      </w:r>
    </w:p>
    <w:p w14:paraId="2511D552">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）发现对方在业务活动中有违反廉政规定的行为，有及时提醒对方纠正的权利和义务。</w:t>
      </w:r>
    </w:p>
    <w:p w14:paraId="64091C08">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）发现对方严重违反本合同义务条款的行为，有向其上级有关部门举报、建议给予处理并要求告知处理结果的权利。</w:t>
      </w:r>
    </w:p>
    <w:p w14:paraId="6CCAE2B8">
      <w:pPr>
        <w:spacing w:line="440" w:lineRule="exact"/>
        <w:ind w:firstLine="482"/>
        <w:rPr>
          <w:rFonts w:hAnsi="宋体"/>
          <w:color w:val="auto"/>
          <w:szCs w:val="21"/>
        </w:rPr>
      </w:pPr>
      <w:r>
        <w:rPr>
          <w:rFonts w:hint="eastAsia" w:hAnsi="宋体"/>
          <w:color w:val="auto"/>
          <w:szCs w:val="21"/>
          <w:lang w:eastAsia="zh-CN"/>
        </w:rPr>
        <w:t>2.</w:t>
      </w:r>
      <w:r>
        <w:rPr>
          <w:rFonts w:hint="eastAsia" w:hAnsi="宋体"/>
          <w:color w:val="auto"/>
          <w:szCs w:val="21"/>
        </w:rPr>
        <w:t>发包人的义务</w:t>
      </w:r>
    </w:p>
    <w:p w14:paraId="0A54BE5C">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）发包人及其工作人员不得索要或接受承包人的礼金、有价证券和贵重物品，不得让承包人报销任何应由发包人或发包人工作人员个人支付的费用等。</w:t>
      </w:r>
    </w:p>
    <w:p w14:paraId="28522439">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）发包人工作人员不得参加承包人安排的超标准宴请和娱乐活动；不得接受承包人提供的通讯工具、交通工具和高档办公用品等。</w:t>
      </w:r>
    </w:p>
    <w:p w14:paraId="52395455">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）发包人及其工作人员不利要求或者接受承包人为其住房装修、婚丧嫁娶活动、配偶子女的工作安排以及出国出境、旅游等提供方便等。</w:t>
      </w:r>
    </w:p>
    <w:p w14:paraId="6196744C">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）发包人工作人员及其配偶、子女不得从事与发包人工作有关的材料设备供应、工程分包、劳务等经济活动等。</w:t>
      </w:r>
    </w:p>
    <w:p w14:paraId="38D61CE6">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）发包人及其工作人员不得以任何理由向承包人推荐分包单位或推销材料，不得要求承包人购买合同规定外的材料和设备。</w:t>
      </w:r>
    </w:p>
    <w:p w14:paraId="1CCECDEA">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）发包人工作人员要秉公办事，不准营私舞弊，不准利用职权从事各种个人有偿中介活动和安排个人施工队伍。</w:t>
      </w:r>
    </w:p>
    <w:p w14:paraId="6AE07DC7">
      <w:pPr>
        <w:spacing w:line="440" w:lineRule="exact"/>
        <w:ind w:firstLine="482"/>
        <w:rPr>
          <w:rFonts w:hAnsi="宋体"/>
          <w:color w:val="auto"/>
          <w:szCs w:val="21"/>
        </w:rPr>
      </w:pPr>
      <w:r>
        <w:rPr>
          <w:rFonts w:hAnsi="宋体"/>
          <w:color w:val="auto"/>
          <w:szCs w:val="21"/>
        </w:rPr>
        <w:t>3</w:t>
      </w:r>
      <w:r>
        <w:rPr>
          <w:rFonts w:hint="eastAsia" w:hAnsi="宋体"/>
          <w:color w:val="auto"/>
          <w:szCs w:val="21"/>
        </w:rPr>
        <w:t>．承包人的义务</w:t>
      </w:r>
    </w:p>
    <w:p w14:paraId="6D944D5A">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）承包人不得以任何理由向发包人及其工作人员行贿或馈赠礼金、有价证券、贵重礼品。</w:t>
      </w:r>
    </w:p>
    <w:p w14:paraId="0ED6FEAD">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）承包人不得以任何名义为发包人及其工作人员报销应由发包人单位或个人支付的任何费用。</w:t>
      </w:r>
    </w:p>
    <w:p w14:paraId="326A517D">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）承包人不得以任何理由安排发包人工作人员参加超标准宴请及娱乐活动。</w:t>
      </w:r>
    </w:p>
    <w:p w14:paraId="4845C249">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）承包人不得为发包人单位和个人购置或提供通讯工具、交通工具和高档办公用品等。</w:t>
      </w:r>
    </w:p>
    <w:p w14:paraId="68195721">
      <w:pPr>
        <w:spacing w:line="440" w:lineRule="exact"/>
        <w:ind w:firstLine="482"/>
        <w:rPr>
          <w:rFonts w:hAnsi="宋体"/>
          <w:color w:val="auto"/>
          <w:szCs w:val="21"/>
        </w:rPr>
      </w:pPr>
      <w:r>
        <w:rPr>
          <w:rFonts w:hAnsi="宋体"/>
          <w:color w:val="auto"/>
          <w:szCs w:val="21"/>
        </w:rPr>
        <w:t>4</w:t>
      </w:r>
      <w:r>
        <w:rPr>
          <w:rFonts w:hint="eastAsia" w:hAnsi="宋体"/>
          <w:color w:val="auto"/>
          <w:szCs w:val="21"/>
        </w:rPr>
        <w:t>．违约责任</w:t>
      </w:r>
    </w:p>
    <w:p w14:paraId="13FDE3B0">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）发包人及其工作人员违反本合同第</w:t>
      </w:r>
      <w:r>
        <w:rPr>
          <w:rFonts w:hAnsi="宋体"/>
          <w:color w:val="auto"/>
          <w:szCs w:val="21"/>
        </w:rPr>
        <w:t>1</w:t>
      </w:r>
      <w:r>
        <w:rPr>
          <w:rFonts w:hint="eastAsia" w:hAnsi="宋体"/>
          <w:color w:val="auto"/>
          <w:szCs w:val="21"/>
        </w:rPr>
        <w:t>、</w:t>
      </w:r>
      <w:r>
        <w:rPr>
          <w:rFonts w:hAnsi="宋体"/>
          <w:color w:val="auto"/>
          <w:szCs w:val="21"/>
        </w:rPr>
        <w:t>2</w:t>
      </w:r>
      <w:r>
        <w:rPr>
          <w:rFonts w:hint="eastAsia" w:hAnsi="宋体"/>
          <w:color w:val="auto"/>
          <w:szCs w:val="21"/>
        </w:rPr>
        <w:t>条，按管理权限，依据有关规定给予党纪、政纪或组织处理；涉嫌犯罪的，移交司法机关追究刑事责任；给承包人单位造成经济损失的，应予以赔偿。</w:t>
      </w:r>
    </w:p>
    <w:p w14:paraId="4DF8A0BF">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）承包人及其工作人员违反本合同第</w:t>
      </w:r>
      <w:r>
        <w:rPr>
          <w:rFonts w:hAnsi="宋体"/>
          <w:color w:val="auto"/>
          <w:szCs w:val="21"/>
        </w:rPr>
        <w:t>1</w:t>
      </w:r>
      <w:r>
        <w:rPr>
          <w:rFonts w:hint="eastAsia" w:hAnsi="宋体"/>
          <w:color w:val="auto"/>
          <w:szCs w:val="21"/>
        </w:rPr>
        <w:t>、</w:t>
      </w:r>
      <w:r>
        <w:rPr>
          <w:rFonts w:hAnsi="宋体"/>
          <w:color w:val="auto"/>
          <w:szCs w:val="21"/>
        </w:rPr>
        <w:t>3</w:t>
      </w:r>
      <w:r>
        <w:rPr>
          <w:rFonts w:hint="eastAsia" w:hAnsi="宋体"/>
          <w:color w:val="auto"/>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14:paraId="28A80B39">
      <w:pPr>
        <w:spacing w:line="440" w:lineRule="exact"/>
        <w:ind w:firstLine="482"/>
        <w:rPr>
          <w:rFonts w:hAnsi="宋体"/>
          <w:color w:val="auto"/>
          <w:szCs w:val="21"/>
        </w:rPr>
      </w:pPr>
      <w:r>
        <w:rPr>
          <w:rFonts w:hAnsi="宋体"/>
          <w:color w:val="auto"/>
          <w:szCs w:val="21"/>
        </w:rPr>
        <w:t>5.</w:t>
      </w:r>
      <w:r>
        <w:rPr>
          <w:rFonts w:hint="eastAsia" w:hAnsi="宋体"/>
          <w:color w:val="auto"/>
          <w:szCs w:val="21"/>
        </w:rPr>
        <w:t>双方约定：本合同由双方或双方上级单位的纪检监察部门负责监督执行。由发包人或发包人上级单位的纪检监察部门约请承包人或承包人上级单</w:t>
      </w:r>
      <w:r>
        <w:rPr>
          <w:rFonts w:hint="eastAsia" w:hAnsi="宋体"/>
          <w:color w:val="auto"/>
          <w:szCs w:val="21"/>
          <w:lang w:eastAsia="zh-CN"/>
        </w:rPr>
        <w:t>位的</w:t>
      </w:r>
      <w:r>
        <w:rPr>
          <w:rFonts w:hint="eastAsia" w:hAnsi="宋体"/>
          <w:color w:val="auto"/>
          <w:szCs w:val="21"/>
        </w:rPr>
        <w:t>纪检监察部门对本合同执行情况进行检查，提出在本合同规定范围内的裁定意见。</w:t>
      </w:r>
    </w:p>
    <w:p w14:paraId="3BF4CE74">
      <w:pPr>
        <w:spacing w:line="440" w:lineRule="exact"/>
        <w:ind w:firstLine="482"/>
        <w:rPr>
          <w:rFonts w:hAnsi="宋体"/>
          <w:color w:val="auto"/>
          <w:szCs w:val="21"/>
        </w:rPr>
      </w:pPr>
      <w:r>
        <w:rPr>
          <w:rFonts w:hint="eastAsia" w:hAnsi="宋体"/>
          <w:color w:val="auto"/>
          <w:szCs w:val="21"/>
        </w:rPr>
        <w:t>6本合同有效期为发包人和承包人签署之日起至该工程项目竣工验收后止。</w:t>
      </w:r>
    </w:p>
    <w:p w14:paraId="74B97A7A">
      <w:pPr>
        <w:spacing w:line="440" w:lineRule="exact"/>
        <w:ind w:firstLine="482"/>
        <w:rPr>
          <w:rFonts w:hAnsi="宋体"/>
          <w:color w:val="auto"/>
          <w:szCs w:val="21"/>
        </w:rPr>
      </w:pPr>
      <w:r>
        <w:rPr>
          <w:rFonts w:hint="eastAsia" w:hAnsi="宋体"/>
          <w:color w:val="auto"/>
          <w:szCs w:val="21"/>
          <w:lang w:eastAsia="zh-CN"/>
        </w:rPr>
        <w:t>7.</w:t>
      </w:r>
      <w:r>
        <w:rPr>
          <w:rFonts w:hint="eastAsia" w:hAnsi="宋体"/>
          <w:color w:val="auto"/>
          <w:szCs w:val="21"/>
        </w:rPr>
        <w:t>本合同作为</w:t>
      </w:r>
      <w:r>
        <w:rPr>
          <w:rFonts w:hint="eastAsia" w:ascii="宋体" w:hAnsi="宋体" w:cs="MingLiU"/>
          <w:snapToGrid w:val="0"/>
          <w:color w:val="auto"/>
          <w:kern w:val="0"/>
          <w:szCs w:val="21"/>
          <w:u w:val="single"/>
          <w:lang w:eastAsia="zh-CN"/>
        </w:rPr>
        <w:t>2025年度福果镇农村公路护栏建设项目（第二次）</w:t>
      </w:r>
      <w:r>
        <w:rPr>
          <w:rFonts w:hint="eastAsia" w:ascii="宋体" w:hAnsi="宋体" w:cs="MingLiU"/>
          <w:snapToGrid w:val="0"/>
          <w:color w:val="auto"/>
          <w:kern w:val="0"/>
          <w:szCs w:val="21"/>
          <w:u w:val="single"/>
        </w:rPr>
        <w:t xml:space="preserve"> </w:t>
      </w:r>
      <w:r>
        <w:rPr>
          <w:rFonts w:hint="eastAsia" w:hAnsi="宋体"/>
          <w:color w:val="auto"/>
          <w:szCs w:val="21"/>
        </w:rPr>
        <w:t>施工合同的附件，与工程施工合同具有同等的法律效力，经合同双方签署后立即生效。</w:t>
      </w:r>
    </w:p>
    <w:p w14:paraId="3665CD74">
      <w:pPr>
        <w:spacing w:line="440" w:lineRule="exact"/>
        <w:ind w:firstLine="482"/>
        <w:rPr>
          <w:rFonts w:hAnsi="宋体"/>
          <w:color w:val="auto"/>
          <w:szCs w:val="21"/>
        </w:rPr>
      </w:pPr>
      <w:r>
        <w:rPr>
          <w:rFonts w:hint="eastAsia" w:hAnsi="宋体"/>
          <w:color w:val="auto"/>
          <w:szCs w:val="21"/>
          <w:lang w:eastAsia="zh-CN"/>
        </w:rPr>
        <w:t>8.</w:t>
      </w:r>
      <w:r>
        <w:rPr>
          <w:rFonts w:hint="eastAsia" w:hAnsi="宋体"/>
          <w:color w:val="auto"/>
          <w:szCs w:val="21"/>
        </w:rPr>
        <w:t>本合同一式四份，由发包人和承包人各执</w:t>
      </w:r>
      <w:r>
        <w:rPr>
          <w:rFonts w:hAnsi="宋体"/>
          <w:color w:val="auto"/>
          <w:szCs w:val="21"/>
        </w:rPr>
        <w:t>—</w:t>
      </w:r>
      <w:r>
        <w:rPr>
          <w:rFonts w:hint="eastAsia" w:hAnsi="宋体"/>
          <w:color w:val="auto"/>
          <w:szCs w:val="21"/>
        </w:rPr>
        <w:t>份，送交发包人和承包人的监督单位各一份</w:t>
      </w:r>
    </w:p>
    <w:p w14:paraId="4CB76CB4">
      <w:pPr>
        <w:spacing w:line="440" w:lineRule="exact"/>
        <w:ind w:firstLine="482"/>
        <w:rPr>
          <w:rFonts w:hint="eastAsia" w:hAnsi="宋体"/>
          <w:color w:val="auto"/>
          <w:szCs w:val="21"/>
        </w:rPr>
      </w:pPr>
    </w:p>
    <w:p w14:paraId="01DBC367">
      <w:pPr>
        <w:spacing w:line="440" w:lineRule="exact"/>
        <w:ind w:firstLine="482"/>
        <w:rPr>
          <w:rFonts w:hint="eastAsia" w:hAnsi="宋体"/>
          <w:color w:val="auto"/>
          <w:szCs w:val="21"/>
        </w:rPr>
      </w:pPr>
    </w:p>
    <w:p w14:paraId="779D527E">
      <w:pPr>
        <w:spacing w:line="440" w:lineRule="exact"/>
        <w:rPr>
          <w:rFonts w:hAnsi="宋体"/>
          <w:color w:val="auto"/>
          <w:szCs w:val="21"/>
        </w:rPr>
      </w:pPr>
      <w:r>
        <w:rPr>
          <w:rFonts w:hint="eastAsia" w:hAnsi="宋体"/>
          <w:color w:val="auto"/>
          <w:szCs w:val="21"/>
        </w:rPr>
        <w:t>发包人：</w:t>
      </w:r>
      <w:r>
        <w:rPr>
          <w:rFonts w:hAnsi="宋体"/>
          <w:color w:val="auto"/>
          <w:szCs w:val="21"/>
        </w:rPr>
        <w:t xml:space="preserve">  </w:t>
      </w:r>
      <w:r>
        <w:rPr>
          <w:rFonts w:hint="eastAsia" w:cs="仿宋"/>
          <w:b/>
          <w:snapToGrid w:val="0"/>
          <w:color w:val="auto"/>
          <w:kern w:val="0"/>
          <w:szCs w:val="21"/>
          <w:u w:val="single"/>
        </w:rPr>
        <w:t xml:space="preserve">                         </w:t>
      </w:r>
      <w:r>
        <w:rPr>
          <w:rFonts w:hint="eastAsia" w:hAnsi="宋体"/>
          <w:color w:val="auto"/>
          <w:szCs w:val="21"/>
        </w:rPr>
        <w:t>（盖单位章）</w:t>
      </w:r>
      <w:r>
        <w:rPr>
          <w:rFonts w:hAnsi="宋体"/>
          <w:color w:val="auto"/>
          <w:szCs w:val="21"/>
        </w:rPr>
        <w:t xml:space="preserve">  </w:t>
      </w:r>
      <w:r>
        <w:rPr>
          <w:rFonts w:hint="eastAsia" w:hAnsi="宋体"/>
          <w:color w:val="auto"/>
          <w:szCs w:val="21"/>
        </w:rPr>
        <w:t>承包人：</w:t>
      </w:r>
      <w:r>
        <w:rPr>
          <w:rFonts w:hAnsi="宋体"/>
          <w:color w:val="auto"/>
          <w:szCs w:val="21"/>
          <w:u w:val="single"/>
        </w:rPr>
        <w:t xml:space="preserve">                </w:t>
      </w:r>
      <w:r>
        <w:rPr>
          <w:rFonts w:hint="eastAsia" w:hAnsi="宋体"/>
          <w:color w:val="auto"/>
          <w:szCs w:val="21"/>
        </w:rPr>
        <w:t>（盖单位章）</w:t>
      </w:r>
      <w:r>
        <w:rPr>
          <w:rFonts w:hAnsi="宋体"/>
          <w:color w:val="auto"/>
          <w:szCs w:val="21"/>
        </w:rPr>
        <w:t xml:space="preserve"> </w:t>
      </w:r>
    </w:p>
    <w:p w14:paraId="714D6E1A">
      <w:pPr>
        <w:spacing w:line="440" w:lineRule="exact"/>
        <w:rPr>
          <w:rFonts w:hAnsi="宋体"/>
          <w:color w:val="auto"/>
          <w:szCs w:val="21"/>
        </w:rPr>
      </w:pP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p>
    <w:p w14:paraId="6C4BB01B">
      <w:pPr>
        <w:spacing w:line="440" w:lineRule="exact"/>
        <w:ind w:firstLine="482"/>
        <w:rPr>
          <w:rFonts w:hint="eastAsia" w:hAnsi="宋体"/>
          <w:color w:val="auto"/>
          <w:szCs w:val="21"/>
        </w:rPr>
      </w:pPr>
      <w:r>
        <w:rPr>
          <w:rFonts w:hAnsi="宋体"/>
          <w:color w:val="auto"/>
          <w:szCs w:val="21"/>
        </w:rPr>
        <w:t xml:space="preserve">      </w:t>
      </w:r>
      <w:r>
        <w:rPr>
          <w:rFonts w:hint="eastAsia" w:hAnsi="宋体"/>
          <w:color w:val="auto"/>
          <w:szCs w:val="21"/>
        </w:rPr>
        <w:t xml:space="preserve"> </w:t>
      </w:r>
    </w:p>
    <w:p w14:paraId="52255519">
      <w:pPr>
        <w:spacing w:line="440" w:lineRule="exact"/>
        <w:ind w:firstLine="482"/>
        <w:rPr>
          <w:rFonts w:hAnsi="宋体"/>
          <w:color w:val="auto"/>
          <w:szCs w:val="21"/>
        </w:rPr>
      </w:pPr>
      <w:r>
        <w:rPr>
          <w:rFonts w:hAnsi="宋体"/>
          <w:color w:val="auto"/>
          <w:szCs w:val="21"/>
        </w:rPr>
        <w:t xml:space="preserve">  </w:t>
      </w:r>
      <w:r>
        <w:rPr>
          <w:rFonts w:hint="eastAsia" w:hAnsi="宋体"/>
          <w:color w:val="auto"/>
          <w:szCs w:val="21"/>
        </w:rPr>
        <w:t xml:space="preserve">    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r>
        <w:rPr>
          <w:rFonts w:hAnsi="宋体"/>
          <w:color w:val="auto"/>
          <w:szCs w:val="21"/>
        </w:rPr>
        <w:t xml:space="preserve">                          </w:t>
      </w:r>
      <w:r>
        <w:rPr>
          <w:rFonts w:hint="eastAsia" w:hAnsi="宋体"/>
          <w:color w:val="auto"/>
          <w:szCs w:val="21"/>
        </w:rPr>
        <w:t xml:space="preserve">     </w:t>
      </w:r>
      <w:r>
        <w:rPr>
          <w:rFonts w:hAnsi="宋体"/>
          <w:color w:val="auto"/>
          <w:szCs w:val="21"/>
        </w:rPr>
        <w:t xml:space="preserve"> </w:t>
      </w:r>
      <w:r>
        <w:rPr>
          <w:rFonts w:hint="eastAsia" w:hAnsi="宋体"/>
          <w:color w:val="auto"/>
          <w:szCs w:val="21"/>
        </w:rPr>
        <w:t>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p>
    <w:p w14:paraId="3853D399">
      <w:pPr>
        <w:spacing w:line="440" w:lineRule="exact"/>
        <w:ind w:firstLine="482"/>
        <w:rPr>
          <w:rFonts w:hAnsi="宋体"/>
          <w:color w:val="auto"/>
          <w:szCs w:val="21"/>
        </w:rPr>
      </w:pPr>
    </w:p>
    <w:p w14:paraId="781A9214">
      <w:pPr>
        <w:spacing w:line="440" w:lineRule="exact"/>
        <w:ind w:firstLine="482"/>
        <w:rPr>
          <w:rFonts w:hAnsi="宋体"/>
          <w:color w:val="auto"/>
          <w:szCs w:val="21"/>
        </w:rPr>
      </w:pPr>
    </w:p>
    <w:p w14:paraId="6E175C15">
      <w:pPr>
        <w:spacing w:line="440" w:lineRule="exact"/>
        <w:ind w:firstLine="482"/>
        <w:rPr>
          <w:rFonts w:hAnsi="宋体"/>
          <w:color w:val="auto"/>
          <w:szCs w:val="21"/>
        </w:rPr>
      </w:pPr>
    </w:p>
    <w:p w14:paraId="40528435">
      <w:pPr>
        <w:spacing w:line="440" w:lineRule="exact"/>
        <w:ind w:firstLine="482"/>
        <w:rPr>
          <w:rFonts w:hAnsi="宋体"/>
          <w:color w:val="auto"/>
          <w:szCs w:val="21"/>
        </w:rPr>
      </w:pPr>
    </w:p>
    <w:p w14:paraId="5E190E34">
      <w:pPr>
        <w:rPr>
          <w:color w:val="auto"/>
        </w:rPr>
      </w:pPr>
    </w:p>
    <w:p w14:paraId="2E86E826">
      <w:pPr>
        <w:rPr>
          <w:color w:val="auto"/>
        </w:rPr>
      </w:pPr>
    </w:p>
    <w:p w14:paraId="018F46A9">
      <w:pPr>
        <w:rPr>
          <w:color w:val="auto"/>
        </w:rPr>
      </w:pPr>
    </w:p>
    <w:p w14:paraId="30D4F943">
      <w:pPr>
        <w:rPr>
          <w:color w:val="auto"/>
        </w:rPr>
      </w:pPr>
    </w:p>
    <w:p w14:paraId="64C5EB0B">
      <w:pPr>
        <w:rPr>
          <w:color w:val="auto"/>
        </w:rPr>
      </w:pPr>
    </w:p>
    <w:p w14:paraId="753BF657">
      <w:pPr>
        <w:rPr>
          <w:color w:val="auto"/>
        </w:rPr>
      </w:pPr>
    </w:p>
    <w:p w14:paraId="289FD081">
      <w:pPr>
        <w:pStyle w:val="3"/>
        <w:spacing w:before="156" w:beforeLines="50" w:after="156" w:afterLines="50" w:line="400" w:lineRule="exact"/>
        <w:rPr>
          <w:rFonts w:hint="eastAsia" w:ascii="宋体" w:hAnsi="宋体" w:cs="宋体"/>
          <w:color w:val="auto"/>
          <w:sz w:val="24"/>
          <w:szCs w:val="24"/>
        </w:rPr>
      </w:pPr>
      <w:bookmarkStart w:id="876" w:name="_Toc322559718"/>
      <w:bookmarkStart w:id="877" w:name="_Toc325910650"/>
      <w:bookmarkStart w:id="878" w:name="_Toc317156906"/>
      <w:bookmarkStart w:id="879" w:name="_Toc362250667"/>
      <w:bookmarkStart w:id="880" w:name="_Toc413400292"/>
    </w:p>
    <w:p w14:paraId="0D5A3781">
      <w:pPr>
        <w:pStyle w:val="3"/>
        <w:spacing w:before="156" w:beforeLines="50" w:after="156" w:afterLines="50" w:line="400" w:lineRule="exact"/>
        <w:rPr>
          <w:rFonts w:hint="eastAsia" w:ascii="宋体" w:hAnsi="宋体" w:cs="宋体"/>
          <w:color w:val="auto"/>
          <w:sz w:val="24"/>
          <w:szCs w:val="24"/>
        </w:rPr>
      </w:pPr>
    </w:p>
    <w:p w14:paraId="567D3E3B">
      <w:pPr>
        <w:pStyle w:val="3"/>
        <w:spacing w:before="156" w:beforeLines="50" w:after="156" w:afterLines="50" w:line="400" w:lineRule="exact"/>
        <w:rPr>
          <w:rFonts w:hint="eastAsia" w:ascii="宋体" w:hAnsi="宋体" w:cs="宋体"/>
          <w:color w:val="auto"/>
          <w:sz w:val="24"/>
          <w:szCs w:val="24"/>
        </w:rPr>
      </w:pPr>
      <w:r>
        <w:rPr>
          <w:rFonts w:hint="eastAsia" w:ascii="宋体" w:hAnsi="宋体" w:cs="宋体"/>
          <w:color w:val="auto"/>
          <w:sz w:val="24"/>
          <w:szCs w:val="24"/>
        </w:rPr>
        <w:t>附件三：</w:t>
      </w:r>
      <w:bookmarkEnd w:id="876"/>
      <w:bookmarkEnd w:id="877"/>
      <w:bookmarkEnd w:id="878"/>
      <w:bookmarkStart w:id="881" w:name="_Toc317156907"/>
      <w:bookmarkStart w:id="882" w:name="_Toc322559719"/>
      <w:bookmarkStart w:id="883" w:name="_Toc325910651"/>
      <w:r>
        <w:rPr>
          <w:rFonts w:hint="eastAsia" w:ascii="宋体" w:hAnsi="宋体" w:cs="宋体"/>
          <w:color w:val="auto"/>
          <w:sz w:val="24"/>
          <w:szCs w:val="24"/>
        </w:rPr>
        <w:t>工程质量保修书</w:t>
      </w:r>
      <w:bookmarkEnd w:id="879"/>
      <w:bookmarkEnd w:id="880"/>
      <w:bookmarkEnd w:id="881"/>
      <w:bookmarkEnd w:id="882"/>
      <w:bookmarkEnd w:id="883"/>
    </w:p>
    <w:p w14:paraId="19CEF4B5">
      <w:pPr>
        <w:spacing w:before="156" w:beforeLines="50" w:after="156" w:afterLines="50" w:line="360" w:lineRule="auto"/>
        <w:jc w:val="center"/>
        <w:rPr>
          <w:rFonts w:ascii="宋体" w:hAnsi="宋体" w:cs="宋体"/>
          <w:b/>
          <w:color w:val="auto"/>
          <w:sz w:val="32"/>
          <w:szCs w:val="32"/>
        </w:rPr>
      </w:pPr>
      <w:r>
        <w:rPr>
          <w:rFonts w:hint="eastAsia" w:ascii="宋体" w:hAnsi="宋体" w:cs="宋体"/>
          <w:b/>
          <w:color w:val="auto"/>
          <w:sz w:val="32"/>
          <w:szCs w:val="32"/>
        </w:rPr>
        <w:t>工程质量保修书</w:t>
      </w:r>
    </w:p>
    <w:p w14:paraId="410762A2">
      <w:pPr>
        <w:spacing w:line="360" w:lineRule="auto"/>
        <w:rPr>
          <w:rFonts w:hint="eastAsia" w:ascii="宋体" w:hAnsi="宋体" w:cs="宋体"/>
          <w:color w:val="auto"/>
          <w:u w:val="single"/>
        </w:rPr>
      </w:pPr>
      <w:r>
        <w:rPr>
          <w:rFonts w:hint="eastAsia" w:ascii="宋体" w:hAnsi="宋体" w:cs="宋体"/>
          <w:color w:val="auto"/>
        </w:rPr>
        <w:t>发包人（全称）：</w:t>
      </w:r>
      <w:r>
        <w:rPr>
          <w:rFonts w:hint="eastAsia" w:ascii="宋体" w:hAnsi="宋体" w:cs="宋体"/>
          <w:b/>
          <w:color w:val="auto"/>
          <w:u w:val="single"/>
          <w:lang w:eastAsia="zh-CN"/>
        </w:rPr>
        <w:t>重庆市铜梁区福果镇人民政府</w:t>
      </w:r>
      <w:r>
        <w:rPr>
          <w:rFonts w:hint="eastAsia" w:ascii="宋体" w:hAnsi="宋体" w:cs="宋体"/>
          <w:b/>
          <w:color w:val="auto"/>
          <w:u w:val="single"/>
        </w:rPr>
        <w:t xml:space="preserve">  </w:t>
      </w:r>
    </w:p>
    <w:p w14:paraId="0CA274DC">
      <w:pPr>
        <w:spacing w:line="360" w:lineRule="auto"/>
        <w:rPr>
          <w:rFonts w:hint="eastAsia" w:ascii="宋体" w:hAnsi="宋体" w:cs="宋体"/>
          <w:color w:val="auto"/>
        </w:rPr>
      </w:pPr>
      <w:r>
        <w:rPr>
          <w:rFonts w:hint="eastAsia" w:ascii="宋体" w:hAnsi="宋体" w:cs="宋体"/>
          <w:color w:val="auto"/>
        </w:rPr>
        <w:t>承包人（全称）：</w:t>
      </w:r>
      <w:r>
        <w:rPr>
          <w:rFonts w:hint="eastAsia" w:ascii="宋体" w:hAnsi="宋体"/>
          <w:b/>
          <w:color w:val="auto"/>
          <w:u w:val="single"/>
        </w:rPr>
        <w:t xml:space="preserve">                            </w:t>
      </w:r>
      <w:r>
        <w:rPr>
          <w:rFonts w:ascii="宋体" w:hAnsi="宋体" w:cs="宋体"/>
          <w:color w:val="auto"/>
        </w:rPr>
        <w:t xml:space="preserve">                 </w:t>
      </w:r>
    </w:p>
    <w:p w14:paraId="3FB9612A">
      <w:pPr>
        <w:spacing w:line="360" w:lineRule="auto"/>
        <w:rPr>
          <w:rFonts w:ascii="宋体" w:hAnsi="宋体" w:cs="宋体"/>
          <w:color w:val="auto"/>
        </w:rPr>
      </w:pPr>
      <w:r>
        <w:rPr>
          <w:rFonts w:hint="eastAsia" w:ascii="宋体" w:hAnsi="宋体" w:cs="宋体"/>
          <w:color w:val="auto"/>
        </w:rPr>
        <w:t>　　发包人和承包人根据《中华人民共和国建筑法》、《建设工程质量管理条例》，经协商一致对</w:t>
      </w:r>
      <w:r>
        <w:rPr>
          <w:rFonts w:hint="eastAsia" w:ascii="宋体" w:hAnsi="宋体" w:cs="宋体"/>
          <w:b/>
          <w:color w:val="auto"/>
          <w:u w:val="single"/>
          <w:lang w:eastAsia="zh-CN"/>
        </w:rPr>
        <w:t>2025年度福果镇农村公路护栏建设项目（第二次）</w:t>
      </w:r>
      <w:r>
        <w:rPr>
          <w:rFonts w:hint="eastAsia" w:ascii="宋体" w:hAnsi="宋体" w:cs="宋体"/>
          <w:b/>
          <w:color w:val="auto"/>
          <w:u w:val="single"/>
        </w:rPr>
        <w:t xml:space="preserve"> </w:t>
      </w:r>
      <w:r>
        <w:rPr>
          <w:rFonts w:hint="eastAsia" w:ascii="宋体" w:hAnsi="宋体" w:cs="宋体"/>
          <w:color w:val="auto"/>
        </w:rPr>
        <w:t>签订工程质量保修书。</w:t>
      </w:r>
    </w:p>
    <w:p w14:paraId="76A1CB3E">
      <w:pPr>
        <w:spacing w:line="360" w:lineRule="auto"/>
        <w:rPr>
          <w:rFonts w:ascii="宋体" w:hAnsi="宋体" w:cs="宋体"/>
          <w:b/>
          <w:color w:val="auto"/>
        </w:rPr>
      </w:pPr>
      <w:r>
        <w:rPr>
          <w:rFonts w:hint="eastAsia" w:ascii="宋体" w:hAnsi="宋体" w:cs="宋体"/>
          <w:b/>
          <w:color w:val="auto"/>
        </w:rPr>
        <w:t>一、工程质量保修范围和内容</w:t>
      </w:r>
    </w:p>
    <w:p w14:paraId="6FD7FEFC">
      <w:pPr>
        <w:spacing w:line="360" w:lineRule="auto"/>
        <w:ind w:firstLine="405"/>
        <w:rPr>
          <w:rFonts w:hint="eastAsia" w:ascii="宋体" w:hAnsi="宋体" w:cs="宋体"/>
          <w:color w:val="auto"/>
          <w:u w:val="single"/>
        </w:rPr>
      </w:pPr>
      <w:r>
        <w:rPr>
          <w:rFonts w:hint="eastAsia" w:ascii="宋体" w:hAnsi="宋体" w:cs="宋体"/>
          <w:color w:val="auto"/>
        </w:rPr>
        <w:t>承包人在质量保修期内，按照有关法律规定和合同约定，承担工程质量保修责任。具体保修的内容，双方约定如下：</w:t>
      </w:r>
      <w:r>
        <w:rPr>
          <w:rFonts w:hint="eastAsia" w:ascii="宋体" w:hAnsi="宋体" w:cs="宋体"/>
          <w:color w:val="auto"/>
          <w:u w:val="single"/>
        </w:rPr>
        <w:t>承包人所有施工的内容均属于保修范围。</w:t>
      </w:r>
    </w:p>
    <w:p w14:paraId="0EDF0AD5">
      <w:pPr>
        <w:spacing w:line="360" w:lineRule="auto"/>
        <w:rPr>
          <w:rFonts w:ascii="宋体" w:hAnsi="宋体" w:cs="宋体"/>
          <w:color w:val="auto"/>
        </w:rPr>
      </w:pPr>
      <w:r>
        <w:rPr>
          <w:rFonts w:hint="eastAsia" w:ascii="宋体" w:hAnsi="宋体" w:cs="宋体"/>
          <w:b/>
          <w:color w:val="auto"/>
        </w:rPr>
        <w:t>二、质量保修期</w:t>
      </w:r>
    </w:p>
    <w:p w14:paraId="2B8E384F">
      <w:pPr>
        <w:spacing w:line="360" w:lineRule="auto"/>
        <w:ind w:firstLine="420" w:firstLineChars="200"/>
        <w:rPr>
          <w:rFonts w:ascii="宋体" w:hAnsi="宋体" w:cs="宋体"/>
          <w:color w:val="auto"/>
        </w:rPr>
      </w:pPr>
      <w:r>
        <w:rPr>
          <w:rFonts w:hint="eastAsia" w:ascii="宋体" w:hAnsi="宋体" w:cs="宋体"/>
          <w:color w:val="auto"/>
        </w:rPr>
        <w:t>根据《建设工程质量管理条例》及有关规定，工程的质量保修期如下：</w:t>
      </w:r>
    </w:p>
    <w:p w14:paraId="77A477D1">
      <w:pPr>
        <w:spacing w:line="360" w:lineRule="auto"/>
        <w:ind w:firstLine="420" w:firstLineChars="200"/>
        <w:rPr>
          <w:rFonts w:ascii="宋体" w:hAnsi="宋体" w:cs="宋体"/>
          <w:color w:val="auto"/>
        </w:rPr>
      </w:pPr>
      <w:r>
        <w:rPr>
          <w:rFonts w:hint="eastAsia" w:ascii="宋体" w:hAnsi="宋体" w:cs="宋体"/>
          <w:color w:val="auto"/>
          <w:lang w:eastAsia="zh-CN"/>
        </w:rPr>
        <w:t>1.</w:t>
      </w:r>
      <w:r>
        <w:rPr>
          <w:rFonts w:hint="eastAsia" w:ascii="宋体" w:hAnsi="宋体" w:cs="宋体"/>
          <w:color w:val="auto"/>
        </w:rPr>
        <w:t>地基基础工程和主体结构工程为设计文件规定的工程合理使用年限；</w:t>
      </w:r>
    </w:p>
    <w:p w14:paraId="4379DACB">
      <w:pPr>
        <w:spacing w:line="360" w:lineRule="auto"/>
        <w:ind w:firstLine="420" w:firstLineChars="200"/>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屋面防水工程、有防水要求的卫生间、房间和外墙面的防渗为</w:t>
      </w:r>
      <w:r>
        <w:rPr>
          <w:rFonts w:ascii="宋体" w:hAnsi="宋体" w:cs="宋体"/>
          <w:color w:val="auto"/>
          <w:u w:val="single"/>
        </w:rPr>
        <w:t xml:space="preserve"> </w:t>
      </w:r>
      <w:r>
        <w:rPr>
          <w:rFonts w:hint="eastAsia" w:ascii="宋体" w:hAnsi="宋体" w:cs="宋体"/>
          <w:color w:val="auto"/>
          <w:u w:val="single"/>
        </w:rPr>
        <w:t>5</w:t>
      </w:r>
      <w:r>
        <w:rPr>
          <w:rFonts w:ascii="宋体" w:hAnsi="宋体" w:cs="宋体"/>
          <w:color w:val="auto"/>
          <w:u w:val="single"/>
        </w:rPr>
        <w:t xml:space="preserve">  </w:t>
      </w:r>
      <w:r>
        <w:rPr>
          <w:rFonts w:hint="eastAsia" w:ascii="宋体" w:hAnsi="宋体" w:cs="宋体"/>
          <w:color w:val="auto"/>
        </w:rPr>
        <w:t>年；</w:t>
      </w:r>
    </w:p>
    <w:p w14:paraId="5AB5A12E">
      <w:pPr>
        <w:spacing w:line="360" w:lineRule="auto"/>
        <w:ind w:firstLine="420" w:firstLineChars="200"/>
        <w:rPr>
          <w:rFonts w:ascii="宋体" w:hAnsi="宋体" w:cs="宋体"/>
          <w:color w:val="auto"/>
        </w:rPr>
      </w:pPr>
      <w:r>
        <w:rPr>
          <w:rFonts w:hint="eastAsia" w:ascii="宋体" w:hAnsi="宋体" w:cs="宋体"/>
          <w:color w:val="auto"/>
          <w:lang w:eastAsia="zh-CN"/>
        </w:rPr>
        <w:t>3.</w:t>
      </w:r>
      <w:r>
        <w:rPr>
          <w:rFonts w:hint="eastAsia" w:ascii="宋体" w:hAnsi="宋体" w:cs="宋体"/>
          <w:color w:val="auto"/>
        </w:rPr>
        <w:t>装修工程为</w:t>
      </w:r>
      <w:r>
        <w:rPr>
          <w:rFonts w:ascii="宋体" w:hAnsi="宋体" w:cs="宋体"/>
          <w:color w:val="auto"/>
          <w:u w:val="single"/>
        </w:rPr>
        <w:t xml:space="preserve"> </w:t>
      </w:r>
      <w:r>
        <w:rPr>
          <w:rFonts w:hint="eastAsia" w:ascii="宋体" w:hAnsi="宋体" w:cs="宋体"/>
          <w:color w:val="auto"/>
          <w:u w:val="single"/>
        </w:rPr>
        <w:t>2</w:t>
      </w:r>
      <w:r>
        <w:rPr>
          <w:rFonts w:ascii="宋体" w:hAnsi="宋体" w:cs="宋体"/>
          <w:color w:val="auto"/>
          <w:u w:val="single"/>
        </w:rPr>
        <w:t xml:space="preserve">  </w:t>
      </w:r>
      <w:r>
        <w:rPr>
          <w:rFonts w:hint="eastAsia" w:ascii="宋体" w:hAnsi="宋体" w:cs="宋体"/>
          <w:color w:val="auto"/>
        </w:rPr>
        <w:t>年；</w:t>
      </w:r>
    </w:p>
    <w:p w14:paraId="1D0393EF">
      <w:pPr>
        <w:spacing w:line="360" w:lineRule="auto"/>
        <w:ind w:firstLine="420" w:firstLineChars="200"/>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电气管线、给排水管道、设备安装工程为</w:t>
      </w:r>
      <w:r>
        <w:rPr>
          <w:rFonts w:hint="eastAsia" w:ascii="宋体" w:hAnsi="宋体" w:cs="宋体"/>
          <w:color w:val="auto"/>
          <w:u w:val="single"/>
        </w:rPr>
        <w:t xml:space="preserve">2 </w:t>
      </w:r>
      <w:r>
        <w:rPr>
          <w:rFonts w:hint="eastAsia" w:ascii="宋体" w:hAnsi="宋体" w:cs="宋体"/>
          <w:color w:val="auto"/>
        </w:rPr>
        <w:t>年；</w:t>
      </w:r>
    </w:p>
    <w:p w14:paraId="6E79BB17">
      <w:pPr>
        <w:spacing w:line="360" w:lineRule="auto"/>
        <w:ind w:firstLine="420" w:firstLineChars="200"/>
        <w:rPr>
          <w:rFonts w:ascii="宋体" w:hAnsi="宋体" w:cs="宋体"/>
          <w:color w:val="auto"/>
        </w:rPr>
      </w:pPr>
      <w:r>
        <w:rPr>
          <w:rFonts w:hint="eastAsia" w:ascii="宋体" w:hAnsi="宋体" w:cs="宋体"/>
          <w:color w:val="auto"/>
          <w:lang w:eastAsia="zh-CN"/>
        </w:rPr>
        <w:t>5.</w:t>
      </w:r>
      <w:r>
        <w:rPr>
          <w:rFonts w:hint="eastAsia" w:ascii="宋体" w:hAnsi="宋体" w:cs="宋体"/>
          <w:color w:val="auto"/>
        </w:rPr>
        <w:t>供热与供冷系统为</w:t>
      </w:r>
      <w:r>
        <w:rPr>
          <w:rFonts w:ascii="宋体" w:hAnsi="宋体" w:cs="宋体"/>
          <w:color w:val="auto"/>
          <w:u w:val="single"/>
        </w:rPr>
        <w:t xml:space="preserve"> </w:t>
      </w:r>
      <w:r>
        <w:rPr>
          <w:rFonts w:hint="eastAsia" w:ascii="宋体" w:hAnsi="宋体" w:cs="宋体"/>
          <w:color w:val="auto"/>
          <w:u w:val="single"/>
        </w:rPr>
        <w:t xml:space="preserve">2 </w:t>
      </w:r>
      <w:r>
        <w:rPr>
          <w:rFonts w:hint="eastAsia" w:ascii="宋体" w:hAnsi="宋体" w:cs="宋体"/>
          <w:color w:val="auto"/>
        </w:rPr>
        <w:t>个采暖期、供冷期；</w:t>
      </w:r>
    </w:p>
    <w:p w14:paraId="7902F09F">
      <w:pPr>
        <w:spacing w:line="360" w:lineRule="auto"/>
        <w:ind w:firstLine="420" w:firstLineChars="200"/>
        <w:rPr>
          <w:rFonts w:ascii="宋体" w:hAnsi="宋体" w:cs="宋体"/>
          <w:color w:val="auto"/>
        </w:rPr>
      </w:pPr>
      <w:r>
        <w:rPr>
          <w:rFonts w:hint="eastAsia" w:ascii="宋体" w:hAnsi="宋体" w:cs="宋体"/>
          <w:color w:val="auto"/>
          <w:lang w:eastAsia="zh-CN"/>
        </w:rPr>
        <w:t>6.</w:t>
      </w:r>
      <w:r>
        <w:rPr>
          <w:rFonts w:hint="eastAsia" w:ascii="宋体" w:hAnsi="宋体" w:cs="宋体"/>
          <w:color w:val="auto"/>
        </w:rPr>
        <w:t>道路工程为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年；</w:t>
      </w:r>
    </w:p>
    <w:p w14:paraId="6E3136EF">
      <w:pPr>
        <w:spacing w:line="360" w:lineRule="auto"/>
        <w:ind w:firstLine="420" w:firstLineChars="200"/>
        <w:rPr>
          <w:rFonts w:hint="eastAsia" w:ascii="宋体" w:hAnsi="宋体" w:cs="宋体"/>
          <w:color w:val="auto"/>
        </w:rPr>
      </w:pPr>
      <w:r>
        <w:rPr>
          <w:rFonts w:hint="eastAsia" w:ascii="宋体" w:hAnsi="宋体" w:cs="宋体"/>
          <w:color w:val="auto"/>
          <w:lang w:eastAsia="zh-CN"/>
        </w:rPr>
        <w:t>7.</w:t>
      </w:r>
      <w:r>
        <w:rPr>
          <w:rFonts w:hint="eastAsia" w:ascii="宋体" w:hAnsi="宋体" w:cs="宋体"/>
          <w:color w:val="auto"/>
        </w:rPr>
        <w:t>其他项目保修期限为</w:t>
      </w:r>
      <w:r>
        <w:rPr>
          <w:rFonts w:hint="eastAsia" w:ascii="宋体" w:hAnsi="宋体" w:cs="宋体"/>
          <w:color w:val="auto"/>
          <w:u w:val="single"/>
          <w:lang w:val="en-US" w:eastAsia="zh-CN"/>
        </w:rPr>
        <w:t>2</w:t>
      </w:r>
      <w:r>
        <w:rPr>
          <w:rFonts w:hint="eastAsia" w:ascii="宋体" w:hAnsi="宋体" w:cs="宋体"/>
          <w:color w:val="auto"/>
        </w:rPr>
        <w:t>年；</w:t>
      </w:r>
    </w:p>
    <w:p w14:paraId="0E891915">
      <w:pPr>
        <w:spacing w:line="360" w:lineRule="auto"/>
        <w:ind w:firstLine="405"/>
        <w:rPr>
          <w:rFonts w:hint="eastAsia" w:ascii="宋体" w:hAnsi="宋体" w:cs="宋体"/>
          <w:color w:val="auto"/>
        </w:rPr>
      </w:pPr>
      <w:r>
        <w:rPr>
          <w:rFonts w:hint="eastAsia" w:ascii="宋体" w:hAnsi="宋体" w:cs="宋体"/>
          <w:color w:val="auto"/>
        </w:rPr>
        <w:t>质量保修期自工程竣工验收合格之日起计算。</w:t>
      </w:r>
    </w:p>
    <w:p w14:paraId="483C1D8D">
      <w:pPr>
        <w:spacing w:line="360" w:lineRule="auto"/>
        <w:rPr>
          <w:rFonts w:hint="eastAsia" w:ascii="宋体" w:hAnsi="宋体" w:cs="宋体"/>
          <w:color w:val="auto"/>
        </w:rPr>
      </w:pPr>
      <w:r>
        <w:rPr>
          <w:rFonts w:hint="eastAsia" w:ascii="宋体" w:hAnsi="宋体" w:cs="宋体"/>
          <w:b/>
          <w:color w:val="auto"/>
        </w:rPr>
        <w:t>三、质量保修责任</w:t>
      </w:r>
    </w:p>
    <w:p w14:paraId="7B453AB7">
      <w:pPr>
        <w:spacing w:line="360" w:lineRule="auto"/>
        <w:ind w:firstLine="405"/>
        <w:rPr>
          <w:rFonts w:hint="eastAsia" w:ascii="宋体" w:hAnsi="宋体" w:cs="宋体"/>
          <w:color w:val="auto"/>
        </w:rPr>
      </w:pPr>
      <w:r>
        <w:rPr>
          <w:rFonts w:hint="eastAsia" w:ascii="宋体" w:hAnsi="宋体" w:cs="宋体"/>
          <w:color w:val="auto"/>
          <w:lang w:eastAsia="zh-CN"/>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14:paraId="13DE136E">
      <w:pPr>
        <w:spacing w:line="360" w:lineRule="auto"/>
        <w:ind w:firstLine="405"/>
        <w:rPr>
          <w:rFonts w:hint="eastAsia" w:ascii="宋体" w:hAnsi="宋体" w:cs="宋体"/>
          <w:color w:val="auto"/>
        </w:rPr>
      </w:pPr>
      <w:r>
        <w:rPr>
          <w:rFonts w:hint="eastAsia" w:ascii="宋体" w:hAnsi="宋体" w:cs="宋体"/>
          <w:color w:val="auto"/>
          <w:lang w:eastAsia="zh-CN"/>
        </w:rPr>
        <w:t>2.</w:t>
      </w:r>
      <w:r>
        <w:rPr>
          <w:rFonts w:hint="eastAsia" w:ascii="宋体" w:hAnsi="宋体" w:cs="宋体"/>
          <w:color w:val="auto"/>
        </w:rPr>
        <w:t>发生紧急事故需抢修的，承包人在接到事故通知后，应当立即到达事故现场抢修。</w:t>
      </w:r>
    </w:p>
    <w:p w14:paraId="5B495CD7">
      <w:pPr>
        <w:spacing w:line="360" w:lineRule="auto"/>
        <w:ind w:firstLine="405"/>
        <w:rPr>
          <w:rFonts w:hint="eastAsia" w:ascii="宋体" w:hAnsi="宋体" w:cs="宋体"/>
          <w:color w:val="auto"/>
        </w:rPr>
      </w:pPr>
      <w:r>
        <w:rPr>
          <w:rFonts w:hint="eastAsia" w:ascii="宋体" w:hAnsi="宋体" w:cs="宋体"/>
          <w:color w:val="auto"/>
          <w:lang w:eastAsia="zh-CN"/>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14:paraId="42F7B63C">
      <w:pPr>
        <w:spacing w:line="360" w:lineRule="auto"/>
        <w:ind w:firstLine="405"/>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质量保修完成后，由发包人组织验收。</w:t>
      </w:r>
    </w:p>
    <w:p w14:paraId="1F9922D2">
      <w:pPr>
        <w:spacing w:line="360" w:lineRule="auto"/>
        <w:rPr>
          <w:rFonts w:ascii="宋体" w:hAnsi="宋体" w:cs="宋体"/>
          <w:b/>
          <w:color w:val="auto"/>
        </w:rPr>
      </w:pPr>
      <w:r>
        <w:rPr>
          <w:rFonts w:hint="eastAsia" w:ascii="宋体" w:hAnsi="宋体" w:cs="宋体"/>
          <w:b/>
          <w:color w:val="auto"/>
        </w:rPr>
        <w:t>四、保修费用</w:t>
      </w:r>
    </w:p>
    <w:p w14:paraId="742799C1">
      <w:pPr>
        <w:spacing w:line="360" w:lineRule="auto"/>
        <w:ind w:firstLine="420"/>
        <w:rPr>
          <w:rFonts w:hint="eastAsia" w:ascii="宋体" w:hAnsi="宋体" w:cs="宋体"/>
          <w:color w:val="auto"/>
        </w:rPr>
      </w:pPr>
      <w:r>
        <w:rPr>
          <w:rFonts w:hint="eastAsia" w:ascii="宋体" w:hAnsi="宋体" w:cs="宋体"/>
          <w:color w:val="auto"/>
        </w:rPr>
        <w:t>保修费用由造成质量缺陷的责任方承担。</w:t>
      </w:r>
    </w:p>
    <w:p w14:paraId="4E16FACE">
      <w:pPr>
        <w:spacing w:line="360" w:lineRule="auto"/>
        <w:rPr>
          <w:rFonts w:hint="eastAsia" w:ascii="宋体" w:hAnsi="宋体" w:cs="宋体"/>
          <w:b/>
          <w:color w:val="auto"/>
        </w:rPr>
      </w:pPr>
      <w:r>
        <w:rPr>
          <w:rFonts w:hint="eastAsia" w:ascii="宋体" w:hAnsi="宋体" w:cs="宋体"/>
          <w:b/>
          <w:color w:val="auto"/>
        </w:rPr>
        <w:t>五、其他</w:t>
      </w:r>
    </w:p>
    <w:p w14:paraId="0DE94308">
      <w:pPr>
        <w:spacing w:line="360" w:lineRule="auto"/>
        <w:ind w:firstLine="420"/>
        <w:rPr>
          <w:rFonts w:hint="eastAsia"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14:paraId="168285C7">
      <w:pPr>
        <w:spacing w:line="360" w:lineRule="auto"/>
        <w:ind w:firstLine="420"/>
        <w:rPr>
          <w:rFonts w:hint="eastAsia" w:ascii="宋体" w:hAnsi="宋体" w:cs="宋体"/>
          <w:color w:val="auto"/>
        </w:rPr>
      </w:pPr>
    </w:p>
    <w:p w14:paraId="412968A7">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盖单位章）    承包人：</w:t>
      </w:r>
      <w:r>
        <w:rPr>
          <w:rFonts w:hint="eastAsia" w:ascii="宋体" w:hAnsi="宋体"/>
          <w:color w:val="auto"/>
          <w:u w:val="single"/>
        </w:rPr>
        <w:t>　　　　　　　　　　（</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14:paraId="365FE6A5">
      <w:pPr>
        <w:spacing w:line="460" w:lineRule="exact"/>
        <w:ind w:firstLine="525" w:firstLineChars="2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14:paraId="50385C7E">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14:paraId="7B992CDF">
      <w:pPr>
        <w:spacing w:line="460" w:lineRule="exact"/>
        <w:ind w:firstLine="525" w:firstLineChars="2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14:paraId="2181BA92">
      <w:pPr>
        <w:spacing w:line="460" w:lineRule="exact"/>
        <w:ind w:firstLine="525" w:firstLineChars="2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14:paraId="52CDAE2B">
      <w:pPr>
        <w:spacing w:line="460" w:lineRule="exact"/>
        <w:ind w:firstLine="525" w:firstLineChars="2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14:paraId="5BE76CFF">
      <w:pPr>
        <w:spacing w:line="460" w:lineRule="exact"/>
        <w:ind w:firstLine="525" w:firstLineChars="2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14:paraId="3DF80F57">
      <w:pPr>
        <w:spacing w:line="460" w:lineRule="exact"/>
        <w:ind w:firstLine="525" w:firstLineChars="2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14:paraId="7F19C26F">
      <w:pPr>
        <w:spacing w:line="460" w:lineRule="exact"/>
        <w:ind w:firstLine="525" w:firstLineChars="2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14:paraId="4151F5B3">
      <w:pPr>
        <w:spacing w:line="460" w:lineRule="exact"/>
        <w:ind w:firstLine="105" w:firstLineChars="50"/>
        <w:rPr>
          <w:rFonts w:hint="eastAsia" w:ascii="宋体" w:hAnsi="宋体"/>
          <w:color w:val="auto"/>
          <w:u w:val="single"/>
        </w:rPr>
      </w:pPr>
    </w:p>
    <w:p w14:paraId="7A60184D">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02A7C456">
      <w:pPr>
        <w:spacing w:line="440" w:lineRule="exact"/>
        <w:ind w:firstLine="420" w:firstLineChars="200"/>
        <w:rPr>
          <w:rFonts w:hint="eastAsia" w:ascii="宋体" w:cs="仿宋"/>
          <w:color w:val="auto"/>
          <w:szCs w:val="21"/>
        </w:rPr>
      </w:pPr>
    </w:p>
    <w:bookmarkEnd w:id="137"/>
    <w:bookmarkEnd w:id="138"/>
    <w:bookmarkEnd w:id="139"/>
    <w:bookmarkEnd w:id="140"/>
    <w:bookmarkEnd w:id="141"/>
    <w:bookmarkEnd w:id="142"/>
    <w:bookmarkEnd w:id="143"/>
    <w:bookmarkEnd w:id="144"/>
    <w:bookmarkEnd w:id="145"/>
    <w:bookmarkEnd w:id="770"/>
    <w:bookmarkEnd w:id="771"/>
    <w:p w14:paraId="3A282A7C">
      <w:pPr>
        <w:widowControl/>
        <w:adjustRightInd w:val="0"/>
        <w:snapToGrid w:val="0"/>
        <w:spacing w:line="500" w:lineRule="exact"/>
        <w:jc w:val="left"/>
        <w:rPr>
          <w:rFonts w:hint="eastAsia" w:ascii="黑体" w:hAnsi="宋体" w:eastAsia="黑体" w:cs="宋体"/>
          <w:b/>
          <w:color w:val="auto"/>
          <w:kern w:val="0"/>
          <w:sz w:val="44"/>
          <w:szCs w:val="44"/>
        </w:rPr>
      </w:pPr>
    </w:p>
    <w:p w14:paraId="2DACA288">
      <w:pPr>
        <w:rPr>
          <w:color w:val="auto"/>
        </w:rPr>
      </w:pPr>
    </w:p>
    <w:p w14:paraId="5D99C592">
      <w:pPr>
        <w:rPr>
          <w:rFonts w:hint="eastAsia"/>
          <w:color w:val="auto"/>
          <w:sz w:val="36"/>
          <w:szCs w:val="36"/>
        </w:rPr>
      </w:pPr>
      <w:r>
        <w:rPr>
          <w:rFonts w:hint="eastAsia"/>
          <w:color w:val="auto"/>
          <w:sz w:val="36"/>
          <w:szCs w:val="36"/>
        </w:rPr>
        <w:br w:type="page"/>
      </w:r>
    </w:p>
    <w:p w14:paraId="5B618C36">
      <w:pPr>
        <w:pStyle w:val="3"/>
        <w:adjustRightInd w:val="0"/>
        <w:snapToGrid w:val="0"/>
        <w:spacing w:before="0" w:after="0" w:line="360" w:lineRule="exact"/>
        <w:jc w:val="center"/>
        <w:rPr>
          <w:color w:val="auto"/>
          <w:sz w:val="36"/>
          <w:szCs w:val="36"/>
        </w:rPr>
      </w:pPr>
      <w:r>
        <w:rPr>
          <w:rFonts w:hint="eastAsia"/>
          <w:color w:val="auto"/>
          <w:sz w:val="36"/>
          <w:szCs w:val="36"/>
        </w:rPr>
        <w:t>第五章 工程量清单</w:t>
      </w:r>
      <w:bookmarkEnd w:id="123"/>
      <w:bookmarkEnd w:id="124"/>
      <w:bookmarkEnd w:id="125"/>
      <w:bookmarkEnd w:id="126"/>
    </w:p>
    <w:bookmarkEnd w:id="127"/>
    <w:p w14:paraId="0D5A65AA">
      <w:pPr>
        <w:spacing w:line="360" w:lineRule="exact"/>
        <w:jc w:val="center"/>
        <w:rPr>
          <w:color w:val="auto"/>
        </w:rPr>
      </w:pPr>
      <w:bookmarkStart w:id="884" w:name="招标文件05章工程量清单01"/>
      <w:bookmarkEnd w:id="884"/>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14:paraId="2A2A255A">
      <w:pPr>
        <w:spacing w:line="360" w:lineRule="exact"/>
        <w:rPr>
          <w:color w:val="auto"/>
        </w:rPr>
      </w:pPr>
    </w:p>
    <w:p w14:paraId="7A2D8567">
      <w:pPr>
        <w:pStyle w:val="3"/>
        <w:spacing w:before="0" w:after="0" w:line="500" w:lineRule="exact"/>
        <w:jc w:val="center"/>
        <w:rPr>
          <w:color w:val="auto"/>
          <w:sz w:val="36"/>
          <w:szCs w:val="36"/>
        </w:rPr>
      </w:pPr>
      <w:bookmarkStart w:id="885" w:name="招标文件07章技术标准和要求"/>
      <w:bookmarkEnd w:id="885"/>
      <w:bookmarkStart w:id="886" w:name="_Hlt269644941"/>
      <w:bookmarkEnd w:id="886"/>
      <w:bookmarkStart w:id="887" w:name="_Toc452058740"/>
      <w:bookmarkStart w:id="888" w:name="_Toc513492492"/>
      <w:r>
        <w:rPr>
          <w:rFonts w:hint="eastAsia"/>
          <w:color w:val="auto"/>
          <w:sz w:val="36"/>
          <w:szCs w:val="36"/>
        </w:rPr>
        <w:br w:type="page"/>
      </w:r>
      <w:r>
        <w:rPr>
          <w:rFonts w:hint="eastAsia"/>
          <w:color w:val="auto"/>
          <w:sz w:val="36"/>
          <w:szCs w:val="36"/>
        </w:rPr>
        <w:t>第六章  图纸</w:t>
      </w:r>
      <w:bookmarkEnd w:id="887"/>
      <w:bookmarkEnd w:id="888"/>
    </w:p>
    <w:p w14:paraId="073F1E45">
      <w:pPr>
        <w:rPr>
          <w:color w:val="auto"/>
        </w:rPr>
      </w:pPr>
    </w:p>
    <w:p w14:paraId="71F60E0D">
      <w:pPr>
        <w:jc w:val="center"/>
        <w:rPr>
          <w:rFonts w:eastAsia="黑体"/>
          <w:b/>
          <w:color w:val="auto"/>
          <w:sz w:val="44"/>
          <w:szCs w:val="44"/>
        </w:rPr>
      </w:pPr>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14:paraId="6ECCA05A">
      <w:pPr>
        <w:jc w:val="center"/>
        <w:rPr>
          <w:rFonts w:eastAsia="黑体"/>
          <w:b/>
          <w:color w:val="auto"/>
          <w:sz w:val="44"/>
          <w:szCs w:val="44"/>
        </w:rPr>
      </w:pPr>
    </w:p>
    <w:p w14:paraId="5AB0FE74">
      <w:pPr>
        <w:jc w:val="center"/>
        <w:rPr>
          <w:rFonts w:eastAsia="黑体"/>
          <w:b/>
          <w:color w:val="auto"/>
          <w:sz w:val="44"/>
          <w:szCs w:val="44"/>
        </w:rPr>
      </w:pPr>
    </w:p>
    <w:p w14:paraId="59684496">
      <w:pPr>
        <w:jc w:val="center"/>
        <w:rPr>
          <w:rFonts w:eastAsia="黑体"/>
          <w:b/>
          <w:color w:val="auto"/>
          <w:sz w:val="44"/>
          <w:szCs w:val="44"/>
        </w:rPr>
      </w:pPr>
    </w:p>
    <w:p w14:paraId="54146350">
      <w:pPr>
        <w:jc w:val="center"/>
        <w:rPr>
          <w:rFonts w:eastAsia="黑体"/>
          <w:b/>
          <w:color w:val="auto"/>
          <w:sz w:val="44"/>
          <w:szCs w:val="44"/>
        </w:rPr>
      </w:pPr>
    </w:p>
    <w:p w14:paraId="17F869DF">
      <w:pPr>
        <w:jc w:val="center"/>
        <w:rPr>
          <w:rFonts w:eastAsia="黑体"/>
          <w:b/>
          <w:color w:val="auto"/>
          <w:sz w:val="44"/>
          <w:szCs w:val="44"/>
        </w:rPr>
      </w:pPr>
    </w:p>
    <w:p w14:paraId="7B17369B">
      <w:pPr>
        <w:jc w:val="center"/>
        <w:rPr>
          <w:rFonts w:eastAsia="黑体"/>
          <w:b/>
          <w:color w:val="auto"/>
          <w:sz w:val="44"/>
          <w:szCs w:val="44"/>
        </w:rPr>
      </w:pPr>
    </w:p>
    <w:p w14:paraId="295FD73F">
      <w:pPr>
        <w:jc w:val="center"/>
        <w:rPr>
          <w:rFonts w:eastAsia="黑体"/>
          <w:b/>
          <w:color w:val="auto"/>
          <w:sz w:val="44"/>
          <w:szCs w:val="44"/>
        </w:rPr>
      </w:pPr>
    </w:p>
    <w:p w14:paraId="3CE3891F">
      <w:pPr>
        <w:jc w:val="center"/>
        <w:rPr>
          <w:rFonts w:eastAsia="黑体"/>
          <w:b/>
          <w:color w:val="auto"/>
          <w:sz w:val="44"/>
          <w:szCs w:val="44"/>
        </w:rPr>
      </w:pPr>
    </w:p>
    <w:p w14:paraId="58A1EA08">
      <w:pPr>
        <w:jc w:val="center"/>
        <w:rPr>
          <w:rFonts w:eastAsia="黑体"/>
          <w:b/>
          <w:color w:val="auto"/>
          <w:sz w:val="44"/>
          <w:szCs w:val="44"/>
        </w:rPr>
      </w:pPr>
    </w:p>
    <w:p w14:paraId="0C78A5CD">
      <w:pPr>
        <w:jc w:val="center"/>
        <w:rPr>
          <w:rFonts w:eastAsia="黑体"/>
          <w:b/>
          <w:color w:val="auto"/>
          <w:sz w:val="44"/>
          <w:szCs w:val="44"/>
        </w:rPr>
      </w:pPr>
    </w:p>
    <w:p w14:paraId="521D6BDD">
      <w:pPr>
        <w:jc w:val="center"/>
        <w:rPr>
          <w:rFonts w:eastAsia="黑体"/>
          <w:b/>
          <w:color w:val="auto"/>
          <w:sz w:val="44"/>
          <w:szCs w:val="44"/>
        </w:rPr>
      </w:pPr>
    </w:p>
    <w:p w14:paraId="7715638C">
      <w:pPr>
        <w:jc w:val="center"/>
        <w:rPr>
          <w:rFonts w:eastAsia="黑体"/>
          <w:b/>
          <w:color w:val="auto"/>
          <w:sz w:val="44"/>
          <w:szCs w:val="44"/>
        </w:rPr>
      </w:pPr>
    </w:p>
    <w:p w14:paraId="3A63EC5A">
      <w:pPr>
        <w:jc w:val="center"/>
        <w:rPr>
          <w:rFonts w:eastAsia="黑体"/>
          <w:b/>
          <w:color w:val="auto"/>
          <w:sz w:val="44"/>
          <w:szCs w:val="44"/>
        </w:rPr>
      </w:pPr>
    </w:p>
    <w:p w14:paraId="2648F164">
      <w:pPr>
        <w:jc w:val="center"/>
        <w:rPr>
          <w:rFonts w:eastAsia="黑体"/>
          <w:b/>
          <w:color w:val="auto"/>
          <w:sz w:val="44"/>
          <w:szCs w:val="44"/>
        </w:rPr>
      </w:pPr>
    </w:p>
    <w:p w14:paraId="7666481F">
      <w:pPr>
        <w:jc w:val="center"/>
        <w:rPr>
          <w:rFonts w:eastAsia="黑体"/>
          <w:b/>
          <w:color w:val="auto"/>
          <w:sz w:val="44"/>
          <w:szCs w:val="44"/>
        </w:rPr>
      </w:pPr>
    </w:p>
    <w:p w14:paraId="264221D1">
      <w:pPr>
        <w:jc w:val="center"/>
        <w:rPr>
          <w:rFonts w:eastAsia="黑体"/>
          <w:b/>
          <w:color w:val="auto"/>
          <w:sz w:val="44"/>
          <w:szCs w:val="44"/>
        </w:rPr>
      </w:pPr>
    </w:p>
    <w:p w14:paraId="47E4FD10">
      <w:pPr>
        <w:jc w:val="center"/>
        <w:rPr>
          <w:rFonts w:eastAsia="黑体"/>
          <w:b/>
          <w:color w:val="auto"/>
          <w:sz w:val="44"/>
          <w:szCs w:val="44"/>
        </w:rPr>
      </w:pPr>
    </w:p>
    <w:p w14:paraId="22868180">
      <w:pPr>
        <w:jc w:val="center"/>
        <w:rPr>
          <w:rFonts w:eastAsia="黑体"/>
          <w:b/>
          <w:color w:val="auto"/>
          <w:sz w:val="44"/>
          <w:szCs w:val="44"/>
        </w:rPr>
      </w:pPr>
    </w:p>
    <w:p w14:paraId="1168D22A">
      <w:pPr>
        <w:jc w:val="center"/>
        <w:rPr>
          <w:rFonts w:eastAsia="黑体"/>
          <w:b/>
          <w:color w:val="auto"/>
          <w:sz w:val="44"/>
          <w:szCs w:val="44"/>
        </w:rPr>
      </w:pPr>
    </w:p>
    <w:p w14:paraId="24B9CF8F">
      <w:pPr>
        <w:jc w:val="center"/>
        <w:rPr>
          <w:rFonts w:eastAsia="黑体"/>
          <w:b/>
          <w:color w:val="auto"/>
          <w:sz w:val="44"/>
          <w:szCs w:val="44"/>
        </w:rPr>
      </w:pPr>
    </w:p>
    <w:p w14:paraId="596C3899">
      <w:pPr>
        <w:jc w:val="center"/>
        <w:rPr>
          <w:rFonts w:eastAsia="黑体"/>
          <w:b/>
          <w:color w:val="auto"/>
          <w:sz w:val="44"/>
          <w:szCs w:val="44"/>
        </w:rPr>
      </w:pPr>
    </w:p>
    <w:p w14:paraId="6BDC817C">
      <w:pPr>
        <w:jc w:val="center"/>
        <w:rPr>
          <w:rFonts w:eastAsia="黑体"/>
          <w:b/>
          <w:color w:val="auto"/>
          <w:sz w:val="44"/>
          <w:szCs w:val="44"/>
        </w:rPr>
      </w:pPr>
    </w:p>
    <w:p w14:paraId="374F14AA">
      <w:pPr>
        <w:jc w:val="center"/>
        <w:rPr>
          <w:rFonts w:eastAsia="黑体"/>
          <w:b/>
          <w:color w:val="auto"/>
          <w:sz w:val="44"/>
          <w:szCs w:val="44"/>
        </w:rPr>
      </w:pPr>
    </w:p>
    <w:p w14:paraId="1BEAFDEC">
      <w:pPr>
        <w:jc w:val="center"/>
        <w:rPr>
          <w:rFonts w:eastAsia="黑体"/>
          <w:b/>
          <w:color w:val="auto"/>
          <w:sz w:val="44"/>
          <w:szCs w:val="44"/>
        </w:rPr>
      </w:pPr>
    </w:p>
    <w:p w14:paraId="6A79FEE7">
      <w:pPr>
        <w:pStyle w:val="3"/>
        <w:spacing w:line="360" w:lineRule="auto"/>
        <w:jc w:val="center"/>
        <w:rPr>
          <w:rFonts w:ascii="宋体" w:hAnsi="宋体"/>
          <w:color w:val="auto"/>
          <w:sz w:val="32"/>
          <w:szCs w:val="32"/>
        </w:rPr>
      </w:pPr>
      <w:bookmarkStart w:id="889" w:name="_Toc452058741"/>
      <w:bookmarkStart w:id="890" w:name="_Toc513492493"/>
      <w:r>
        <w:rPr>
          <w:rFonts w:hint="eastAsia"/>
          <w:color w:val="auto"/>
          <w:sz w:val="36"/>
          <w:szCs w:val="36"/>
        </w:rPr>
        <w:br w:type="page"/>
      </w:r>
      <w:r>
        <w:rPr>
          <w:rFonts w:hint="eastAsia"/>
          <w:color w:val="auto"/>
          <w:sz w:val="36"/>
          <w:szCs w:val="36"/>
        </w:rPr>
        <w:t xml:space="preserve">第七章  </w:t>
      </w:r>
      <w:bookmarkEnd w:id="889"/>
      <w:bookmarkEnd w:id="890"/>
      <w:r>
        <w:rPr>
          <w:rFonts w:hint="eastAsia"/>
          <w:color w:val="auto"/>
          <w:sz w:val="36"/>
          <w:szCs w:val="36"/>
        </w:rPr>
        <w:t>技术标准和要求</w:t>
      </w:r>
      <w:bookmarkStart w:id="891" w:name="招标文件07章技术标准和要求01"/>
      <w:bookmarkEnd w:id="891"/>
      <w:bookmarkStart w:id="892" w:name="_Toc287620808"/>
      <w:bookmarkStart w:id="893" w:name="_Toc430530524"/>
    </w:p>
    <w:bookmarkEnd w:id="892"/>
    <w:bookmarkEnd w:id="893"/>
    <w:p w14:paraId="3108171A">
      <w:pPr>
        <w:spacing w:line="360" w:lineRule="auto"/>
        <w:ind w:firstLine="420" w:firstLineChars="200"/>
        <w:jc w:val="left"/>
        <w:rPr>
          <w:rStyle w:val="59"/>
          <w:rFonts w:hint="eastAsia"/>
          <w:color w:val="auto"/>
        </w:rPr>
      </w:pPr>
      <w:r>
        <w:rPr>
          <w:rStyle w:val="59"/>
          <w:rFonts w:hint="eastAsia"/>
          <w:color w:val="auto"/>
        </w:rPr>
        <w:t>一、技术标准和要求以本工程设计</w:t>
      </w:r>
      <w:r>
        <w:rPr>
          <w:rStyle w:val="59"/>
          <w:rFonts w:hint="eastAsia"/>
          <w:color w:val="auto"/>
          <w:lang w:eastAsia="zh-CN"/>
        </w:rPr>
        <w:t>招标人</w:t>
      </w:r>
      <w:r>
        <w:rPr>
          <w:rStyle w:val="59"/>
          <w:rFonts w:hint="eastAsia"/>
          <w:color w:val="auto"/>
        </w:rPr>
        <w:t>要求为准。</w:t>
      </w:r>
    </w:p>
    <w:p w14:paraId="08763E5D">
      <w:pPr>
        <w:spacing w:line="360" w:lineRule="auto"/>
        <w:ind w:firstLine="420" w:firstLineChars="200"/>
        <w:jc w:val="left"/>
        <w:rPr>
          <w:rStyle w:val="59"/>
          <w:color w:val="auto"/>
        </w:rPr>
      </w:pPr>
      <w:r>
        <w:rPr>
          <w:rStyle w:val="59"/>
          <w:rFonts w:hint="eastAsia"/>
          <w:color w:val="auto"/>
        </w:rPr>
        <w:t>二、按国家及重庆市相关设计、施工验收规范及标准执行。</w:t>
      </w:r>
    </w:p>
    <w:p w14:paraId="52948DC3">
      <w:pPr>
        <w:jc w:val="center"/>
        <w:rPr>
          <w:b/>
          <w:bCs/>
          <w:color w:val="auto"/>
          <w:kern w:val="44"/>
          <w:sz w:val="36"/>
          <w:szCs w:val="36"/>
        </w:rPr>
      </w:pPr>
      <w:r>
        <w:rPr>
          <w:rFonts w:ascii="宋体" w:hAnsi="宋体"/>
          <w:color w:val="auto"/>
        </w:rPr>
        <w:br w:type="page"/>
      </w:r>
      <w:bookmarkStart w:id="894" w:name="_Toc4492"/>
      <w:bookmarkStart w:id="895" w:name="_Toc430530528"/>
      <w:bookmarkStart w:id="896" w:name="_Toc534185829"/>
      <w:bookmarkStart w:id="897" w:name="_Toc509218852"/>
      <w:r>
        <w:rPr>
          <w:rFonts w:hint="eastAsia"/>
          <w:b/>
          <w:bCs/>
          <w:color w:val="auto"/>
          <w:kern w:val="44"/>
          <w:sz w:val="36"/>
          <w:szCs w:val="36"/>
        </w:rPr>
        <w:t>第八章  投标文件格式</w:t>
      </w:r>
      <w:bookmarkEnd w:id="894"/>
      <w:bookmarkEnd w:id="895"/>
      <w:bookmarkEnd w:id="896"/>
      <w:bookmarkEnd w:id="897"/>
    </w:p>
    <w:p w14:paraId="2B65132F">
      <w:pPr>
        <w:spacing w:line="360" w:lineRule="auto"/>
        <w:rPr>
          <w:rFonts w:ascii="宋体" w:hAnsi="宋体"/>
          <w:color w:val="auto"/>
          <w:sz w:val="32"/>
          <w:szCs w:val="32"/>
        </w:rPr>
      </w:pPr>
    </w:p>
    <w:p w14:paraId="26A43C9F">
      <w:pPr>
        <w:spacing w:line="360" w:lineRule="auto"/>
        <w:jc w:val="center"/>
        <w:rPr>
          <w:rFonts w:ascii="宋体" w:hAnsi="宋体"/>
          <w:b/>
          <w:bCs/>
          <w:color w:val="auto"/>
          <w:sz w:val="32"/>
          <w:szCs w:val="32"/>
        </w:rPr>
      </w:pPr>
      <w:r>
        <w:rPr>
          <w:rFonts w:ascii="宋体" w:hAnsi="宋体"/>
          <w:color w:val="auto"/>
        </w:rPr>
        <w:br w:type="page"/>
      </w:r>
      <w:bookmarkStart w:id="898" w:name="_Toc224103493"/>
      <w:r>
        <w:rPr>
          <w:rFonts w:hint="eastAsia" w:ascii="宋体" w:hAnsi="宋体"/>
          <w:b/>
          <w:bCs/>
          <w:color w:val="auto"/>
          <w:sz w:val="32"/>
          <w:szCs w:val="32"/>
        </w:rPr>
        <w:t>目  录</w:t>
      </w:r>
      <w:bookmarkEnd w:id="898"/>
    </w:p>
    <w:p w14:paraId="59B3F049">
      <w:pPr>
        <w:spacing w:line="360" w:lineRule="auto"/>
        <w:jc w:val="center"/>
        <w:rPr>
          <w:rFonts w:ascii="宋体" w:hAnsi="宋体"/>
          <w:color w:val="auto"/>
        </w:rPr>
      </w:pPr>
    </w:p>
    <w:p w14:paraId="7903E931">
      <w:pPr>
        <w:spacing w:line="700" w:lineRule="exact"/>
        <w:rPr>
          <w:rFonts w:ascii="宋体" w:hAnsi="宋体"/>
          <w:b/>
          <w:color w:val="auto"/>
          <w:sz w:val="24"/>
          <w:szCs w:val="24"/>
        </w:rPr>
      </w:pPr>
      <w:r>
        <w:rPr>
          <w:rFonts w:hint="eastAsia" w:ascii="宋体" w:hAnsi="宋体"/>
          <w:b/>
          <w:color w:val="auto"/>
          <w:sz w:val="24"/>
          <w:szCs w:val="24"/>
        </w:rPr>
        <w:t>一</w:t>
      </w:r>
      <w:r>
        <w:rPr>
          <w:rFonts w:ascii="宋体" w:hAnsi="宋体"/>
          <w:b/>
          <w:color w:val="auto"/>
          <w:sz w:val="24"/>
          <w:szCs w:val="24"/>
        </w:rPr>
        <w:t>、投标函部分</w:t>
      </w:r>
    </w:p>
    <w:p w14:paraId="671A96C0">
      <w:pPr>
        <w:spacing w:line="700" w:lineRule="exact"/>
        <w:ind w:firstLine="480" w:firstLineChars="200"/>
        <w:rPr>
          <w:rFonts w:ascii="宋体" w:hAnsi="宋体"/>
          <w:color w:val="auto"/>
          <w:sz w:val="24"/>
          <w:szCs w:val="24"/>
        </w:rPr>
      </w:pPr>
      <w:r>
        <w:rPr>
          <w:rFonts w:ascii="宋体" w:hAnsi="宋体"/>
          <w:color w:val="auto"/>
          <w:sz w:val="24"/>
          <w:szCs w:val="24"/>
        </w:rPr>
        <w:t>（一）投标函</w:t>
      </w:r>
    </w:p>
    <w:p w14:paraId="595BAD4C">
      <w:pPr>
        <w:spacing w:line="700" w:lineRule="exact"/>
        <w:ind w:firstLine="480" w:firstLineChars="200"/>
        <w:rPr>
          <w:rFonts w:ascii="宋体" w:hAnsi="宋体"/>
          <w:color w:val="auto"/>
          <w:sz w:val="24"/>
          <w:szCs w:val="24"/>
        </w:rPr>
      </w:pPr>
      <w:r>
        <w:rPr>
          <w:rFonts w:hint="eastAsia" w:ascii="宋体" w:hAnsi="宋体"/>
          <w:color w:val="auto"/>
          <w:sz w:val="24"/>
          <w:szCs w:val="24"/>
        </w:rPr>
        <w:t>（二）投标函附录</w:t>
      </w:r>
    </w:p>
    <w:p w14:paraId="5DD7BC66">
      <w:pPr>
        <w:spacing w:line="700" w:lineRule="exact"/>
        <w:ind w:firstLine="480" w:firstLineChars="200"/>
        <w:rPr>
          <w:rFonts w:hint="eastAsia" w:ascii="宋体" w:hAnsi="宋体"/>
          <w:color w:val="auto"/>
          <w:sz w:val="24"/>
          <w:szCs w:val="24"/>
        </w:rPr>
      </w:pPr>
      <w:r>
        <w:rPr>
          <w:rFonts w:hint="eastAsia" w:ascii="宋体" w:hAnsi="宋体"/>
          <w:color w:val="auto"/>
          <w:sz w:val="24"/>
          <w:szCs w:val="24"/>
        </w:rPr>
        <w:t>（三）法定代表人身份证明或附有法定代表人身份证明的授权委托书</w:t>
      </w:r>
    </w:p>
    <w:p w14:paraId="5B9EB688">
      <w:pPr>
        <w:spacing w:line="700" w:lineRule="exact"/>
        <w:rPr>
          <w:rFonts w:ascii="宋体" w:hAnsi="宋体"/>
          <w:b/>
          <w:color w:val="auto"/>
          <w:sz w:val="24"/>
          <w:szCs w:val="24"/>
        </w:rPr>
      </w:pPr>
      <w:r>
        <w:rPr>
          <w:rFonts w:hint="eastAsia" w:ascii="宋体" w:hAnsi="宋体"/>
          <w:b/>
          <w:color w:val="auto"/>
          <w:sz w:val="24"/>
          <w:szCs w:val="24"/>
        </w:rPr>
        <w:t>二</w:t>
      </w:r>
      <w:r>
        <w:rPr>
          <w:rFonts w:ascii="宋体" w:hAnsi="宋体"/>
          <w:b/>
          <w:color w:val="auto"/>
          <w:sz w:val="24"/>
          <w:szCs w:val="24"/>
        </w:rPr>
        <w:t>、</w:t>
      </w:r>
      <w:r>
        <w:rPr>
          <w:rFonts w:hint="eastAsia" w:ascii="宋体" w:hAnsi="宋体"/>
          <w:b/>
          <w:color w:val="auto"/>
          <w:sz w:val="24"/>
          <w:szCs w:val="24"/>
        </w:rPr>
        <w:t>经济</w:t>
      </w:r>
      <w:r>
        <w:rPr>
          <w:rFonts w:ascii="宋体" w:hAnsi="宋体"/>
          <w:b/>
          <w:color w:val="auto"/>
          <w:sz w:val="24"/>
          <w:szCs w:val="24"/>
        </w:rPr>
        <w:t>部分</w:t>
      </w:r>
    </w:p>
    <w:p w14:paraId="1047BC7D">
      <w:pPr>
        <w:spacing w:line="700" w:lineRule="exact"/>
        <w:ind w:firstLine="480" w:firstLineChars="200"/>
        <w:rPr>
          <w:rFonts w:ascii="宋体" w:hAnsi="宋体"/>
          <w:color w:val="auto"/>
          <w:sz w:val="24"/>
          <w:szCs w:val="24"/>
        </w:rPr>
      </w:pPr>
      <w:r>
        <w:rPr>
          <w:rFonts w:ascii="宋体" w:hAnsi="宋体"/>
          <w:color w:val="auto"/>
          <w:sz w:val="24"/>
          <w:szCs w:val="24"/>
        </w:rPr>
        <w:t>已标价工程量清单</w:t>
      </w:r>
    </w:p>
    <w:p w14:paraId="50AA95C9">
      <w:pPr>
        <w:spacing w:line="700" w:lineRule="exact"/>
        <w:rPr>
          <w:rFonts w:ascii="宋体" w:hAnsi="宋体"/>
          <w:b/>
          <w:color w:val="auto"/>
          <w:sz w:val="24"/>
          <w:szCs w:val="24"/>
        </w:rPr>
      </w:pPr>
      <w:r>
        <w:rPr>
          <w:rFonts w:hint="eastAsia" w:ascii="宋体" w:hAnsi="宋体"/>
          <w:b/>
          <w:color w:val="auto"/>
          <w:sz w:val="24"/>
          <w:szCs w:val="24"/>
        </w:rPr>
        <w:t>三</w:t>
      </w:r>
      <w:r>
        <w:rPr>
          <w:rFonts w:ascii="宋体" w:hAnsi="宋体"/>
          <w:b/>
          <w:color w:val="auto"/>
          <w:sz w:val="24"/>
          <w:szCs w:val="24"/>
        </w:rPr>
        <w:t>、</w:t>
      </w:r>
      <w:r>
        <w:rPr>
          <w:rFonts w:hint="eastAsia" w:ascii="宋体" w:hAnsi="宋体"/>
          <w:b/>
          <w:color w:val="auto"/>
          <w:sz w:val="24"/>
          <w:szCs w:val="24"/>
        </w:rPr>
        <w:t>资格审查部分</w:t>
      </w:r>
    </w:p>
    <w:p w14:paraId="5C0E9E09">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28584668">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14:paraId="5FA53342">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14:paraId="18AD5B96">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14:paraId="2829D3A9">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14:paraId="3354370E">
      <w:pPr>
        <w:autoSpaceDE w:val="0"/>
        <w:autoSpaceDN w:val="0"/>
        <w:adjustRightInd w:val="0"/>
        <w:spacing w:line="276" w:lineRule="auto"/>
        <w:ind w:right="-23"/>
        <w:jc w:val="left"/>
        <w:rPr>
          <w:rFonts w:ascii="宋体" w:hAnsi="宋体"/>
          <w:color w:val="auto"/>
          <w:kern w:val="0"/>
          <w:sz w:val="24"/>
          <w:szCs w:val="24"/>
          <w:u w:val="single"/>
        </w:rPr>
      </w:pPr>
      <w:r>
        <w:rPr>
          <w:rFonts w:ascii="宋体" w:hAnsi="宋体"/>
          <w:b/>
          <w:color w:val="auto"/>
          <w:kern w:val="0"/>
          <w:sz w:val="24"/>
          <w:szCs w:val="24"/>
        </w:rPr>
        <w:br w:type="page"/>
      </w:r>
      <w:bookmarkStart w:id="899" w:name="_Toc430530529"/>
      <w:bookmarkStart w:id="900" w:name="_Toc287607866"/>
      <w:bookmarkStart w:id="901" w:name="_Toc224103494"/>
      <w:bookmarkStart w:id="902" w:name="_Toc277082642"/>
      <w:bookmarkStart w:id="903" w:name="_Toc287620813"/>
    </w:p>
    <w:p w14:paraId="010E469A">
      <w:pPr>
        <w:pStyle w:val="4"/>
        <w:jc w:val="center"/>
        <w:rPr>
          <w:rFonts w:ascii="宋体" w:hAnsi="宋体"/>
          <w:b w:val="0"/>
          <w:bCs w:val="0"/>
          <w:color w:val="auto"/>
        </w:rPr>
      </w:pPr>
      <w:bookmarkStart w:id="904" w:name="_Toc18666"/>
      <w:bookmarkStart w:id="905" w:name="_Toc21513"/>
      <w:r>
        <w:rPr>
          <w:rFonts w:hint="eastAsia" w:ascii="宋体" w:hAnsi="宋体"/>
          <w:b w:val="0"/>
          <w:bCs w:val="0"/>
          <w:color w:val="auto"/>
        </w:rPr>
        <w:t>一、投标函部分</w:t>
      </w:r>
      <w:bookmarkEnd w:id="899"/>
      <w:bookmarkEnd w:id="900"/>
      <w:bookmarkEnd w:id="901"/>
      <w:bookmarkEnd w:id="902"/>
      <w:bookmarkEnd w:id="903"/>
      <w:bookmarkEnd w:id="904"/>
      <w:bookmarkEnd w:id="905"/>
    </w:p>
    <w:p w14:paraId="2E11D07D">
      <w:pPr>
        <w:spacing w:line="360" w:lineRule="auto"/>
        <w:jc w:val="center"/>
        <w:rPr>
          <w:rFonts w:ascii="宋体" w:hAnsi="宋体"/>
          <w:color w:val="auto"/>
          <w:kern w:val="0"/>
          <w:sz w:val="28"/>
          <w:szCs w:val="28"/>
          <w:u w:val="single"/>
        </w:rPr>
      </w:pPr>
    </w:p>
    <w:p w14:paraId="76B777B5">
      <w:pPr>
        <w:spacing w:line="360" w:lineRule="auto"/>
        <w:jc w:val="center"/>
        <w:rPr>
          <w:rFonts w:ascii="宋体" w:hAnsi="宋体"/>
          <w:color w:val="auto"/>
          <w:kern w:val="0"/>
          <w:sz w:val="28"/>
          <w:szCs w:val="28"/>
          <w:u w:val="single"/>
        </w:rPr>
      </w:pPr>
    </w:p>
    <w:p w14:paraId="7EEF1870">
      <w:pPr>
        <w:spacing w:line="360" w:lineRule="auto"/>
        <w:jc w:val="center"/>
        <w:rPr>
          <w:rFonts w:ascii="宋体" w:hAnsi="宋体"/>
          <w:color w:val="auto"/>
          <w:kern w:val="0"/>
          <w:sz w:val="28"/>
          <w:szCs w:val="28"/>
          <w:u w:val="single"/>
        </w:rPr>
      </w:pPr>
    </w:p>
    <w:p w14:paraId="1ADA43EC">
      <w:pPr>
        <w:spacing w:line="360" w:lineRule="auto"/>
        <w:jc w:val="center"/>
        <w:rPr>
          <w:rFonts w:ascii="宋体" w:hAnsi="宋体"/>
          <w:color w:val="auto"/>
          <w:kern w:val="0"/>
          <w:sz w:val="28"/>
          <w:szCs w:val="28"/>
          <w:u w:val="single"/>
        </w:rPr>
      </w:pPr>
    </w:p>
    <w:p w14:paraId="43028427">
      <w:pPr>
        <w:spacing w:line="360" w:lineRule="auto"/>
        <w:jc w:val="center"/>
        <w:rPr>
          <w:rFonts w:ascii="宋体" w:hAnsi="宋体"/>
          <w:color w:val="auto"/>
          <w:kern w:val="0"/>
          <w:sz w:val="28"/>
          <w:szCs w:val="28"/>
          <w:u w:val="single"/>
        </w:rPr>
      </w:pPr>
    </w:p>
    <w:p w14:paraId="26574E07">
      <w:pPr>
        <w:spacing w:line="360" w:lineRule="auto"/>
        <w:jc w:val="center"/>
        <w:rPr>
          <w:rFonts w:ascii="宋体" w:hAnsi="宋体"/>
          <w:color w:val="auto"/>
          <w:kern w:val="0"/>
          <w:sz w:val="28"/>
          <w:szCs w:val="28"/>
          <w:u w:val="single"/>
        </w:rPr>
      </w:pPr>
    </w:p>
    <w:p w14:paraId="5960C025">
      <w:pPr>
        <w:spacing w:line="360" w:lineRule="auto"/>
        <w:jc w:val="center"/>
        <w:rPr>
          <w:rFonts w:ascii="宋体" w:hAnsi="宋体"/>
          <w:color w:val="auto"/>
          <w:kern w:val="0"/>
          <w:sz w:val="28"/>
          <w:szCs w:val="28"/>
          <w:u w:val="single"/>
        </w:rPr>
      </w:pPr>
    </w:p>
    <w:p w14:paraId="2A39C3D4">
      <w:pPr>
        <w:spacing w:line="360" w:lineRule="auto"/>
        <w:jc w:val="center"/>
        <w:rPr>
          <w:rFonts w:ascii="宋体" w:hAnsi="宋体"/>
          <w:color w:val="auto"/>
          <w:kern w:val="0"/>
          <w:sz w:val="28"/>
          <w:szCs w:val="28"/>
          <w:u w:val="single"/>
        </w:rPr>
      </w:pPr>
    </w:p>
    <w:p w14:paraId="6D50CE3F">
      <w:pPr>
        <w:spacing w:line="360" w:lineRule="auto"/>
        <w:jc w:val="center"/>
        <w:rPr>
          <w:rFonts w:ascii="宋体" w:hAnsi="宋体"/>
          <w:color w:val="auto"/>
          <w:kern w:val="0"/>
          <w:sz w:val="28"/>
          <w:szCs w:val="28"/>
          <w:u w:val="single"/>
        </w:rPr>
      </w:pPr>
    </w:p>
    <w:p w14:paraId="6543F3DF">
      <w:pPr>
        <w:spacing w:line="360" w:lineRule="auto"/>
        <w:jc w:val="center"/>
        <w:rPr>
          <w:rFonts w:ascii="宋体" w:hAnsi="宋体"/>
          <w:color w:val="auto"/>
          <w:kern w:val="0"/>
          <w:sz w:val="28"/>
          <w:szCs w:val="28"/>
          <w:u w:val="single"/>
        </w:rPr>
      </w:pPr>
    </w:p>
    <w:p w14:paraId="347DCBE1">
      <w:pPr>
        <w:spacing w:line="360" w:lineRule="auto"/>
        <w:jc w:val="center"/>
        <w:rPr>
          <w:rFonts w:ascii="宋体" w:hAnsi="宋体"/>
          <w:color w:val="auto"/>
          <w:kern w:val="0"/>
          <w:sz w:val="28"/>
          <w:szCs w:val="28"/>
          <w:u w:val="single"/>
        </w:rPr>
      </w:pPr>
    </w:p>
    <w:p w14:paraId="24942C47">
      <w:pPr>
        <w:spacing w:line="360" w:lineRule="auto"/>
        <w:jc w:val="center"/>
        <w:rPr>
          <w:rFonts w:ascii="宋体" w:hAnsi="宋体"/>
          <w:color w:val="auto"/>
          <w:kern w:val="0"/>
          <w:sz w:val="28"/>
          <w:szCs w:val="28"/>
          <w:u w:val="single"/>
        </w:rPr>
      </w:pPr>
    </w:p>
    <w:p w14:paraId="05D9496F">
      <w:pPr>
        <w:spacing w:line="360" w:lineRule="auto"/>
        <w:jc w:val="center"/>
        <w:rPr>
          <w:rFonts w:ascii="宋体" w:hAnsi="宋体"/>
          <w:color w:val="auto"/>
          <w:kern w:val="0"/>
          <w:sz w:val="28"/>
          <w:szCs w:val="28"/>
          <w:u w:val="single"/>
        </w:rPr>
      </w:pPr>
    </w:p>
    <w:p w14:paraId="0F35865E">
      <w:pPr>
        <w:spacing w:line="360" w:lineRule="auto"/>
        <w:jc w:val="center"/>
        <w:rPr>
          <w:rFonts w:ascii="宋体" w:hAnsi="宋体"/>
          <w:color w:val="auto"/>
          <w:kern w:val="0"/>
          <w:sz w:val="28"/>
          <w:szCs w:val="28"/>
          <w:u w:val="single"/>
        </w:rPr>
      </w:pPr>
    </w:p>
    <w:p w14:paraId="1CF99124">
      <w:pPr>
        <w:spacing w:line="360" w:lineRule="auto"/>
        <w:jc w:val="center"/>
        <w:rPr>
          <w:rFonts w:ascii="宋体" w:hAnsi="宋体"/>
          <w:color w:val="auto"/>
          <w:kern w:val="0"/>
          <w:sz w:val="28"/>
          <w:szCs w:val="28"/>
          <w:u w:val="single"/>
        </w:rPr>
      </w:pPr>
    </w:p>
    <w:p w14:paraId="087EF687">
      <w:pPr>
        <w:spacing w:line="360" w:lineRule="auto"/>
        <w:jc w:val="center"/>
        <w:rPr>
          <w:rFonts w:ascii="宋体" w:hAnsi="宋体"/>
          <w:color w:val="auto"/>
          <w:kern w:val="0"/>
          <w:sz w:val="28"/>
          <w:szCs w:val="28"/>
          <w:u w:val="single"/>
        </w:rPr>
      </w:pPr>
    </w:p>
    <w:p w14:paraId="71BAEC3B">
      <w:pPr>
        <w:pStyle w:val="2"/>
        <w:rPr>
          <w:rFonts w:ascii="宋体" w:hAnsi="宋体"/>
          <w:color w:val="auto"/>
          <w:kern w:val="0"/>
          <w:sz w:val="28"/>
          <w:szCs w:val="28"/>
          <w:u w:val="single"/>
        </w:rPr>
      </w:pPr>
    </w:p>
    <w:p w14:paraId="77BC9C35">
      <w:pPr>
        <w:pStyle w:val="64"/>
        <w:rPr>
          <w:rFonts w:ascii="宋体" w:hAnsi="宋体"/>
          <w:color w:val="auto"/>
          <w:kern w:val="0"/>
          <w:sz w:val="28"/>
          <w:szCs w:val="28"/>
          <w:u w:val="single"/>
        </w:rPr>
      </w:pPr>
    </w:p>
    <w:p w14:paraId="71F6CCD2">
      <w:pPr>
        <w:rPr>
          <w:rFonts w:ascii="宋体" w:hAnsi="宋体"/>
          <w:color w:val="auto"/>
          <w:kern w:val="0"/>
          <w:sz w:val="28"/>
          <w:szCs w:val="28"/>
          <w:u w:val="single"/>
        </w:rPr>
      </w:pPr>
    </w:p>
    <w:p w14:paraId="41F11F26">
      <w:pPr>
        <w:pStyle w:val="2"/>
        <w:rPr>
          <w:rFonts w:ascii="宋体" w:hAnsi="宋体"/>
          <w:color w:val="auto"/>
          <w:kern w:val="0"/>
          <w:sz w:val="28"/>
          <w:szCs w:val="28"/>
          <w:u w:val="single"/>
        </w:rPr>
      </w:pPr>
    </w:p>
    <w:p w14:paraId="2DC2062E">
      <w:pPr>
        <w:pStyle w:val="64"/>
        <w:rPr>
          <w:color w:val="auto"/>
        </w:rPr>
      </w:pPr>
    </w:p>
    <w:p w14:paraId="478FA2A8">
      <w:pPr>
        <w:spacing w:line="360" w:lineRule="auto"/>
        <w:jc w:val="center"/>
        <w:rPr>
          <w:rFonts w:ascii="宋体" w:hAnsi="宋体"/>
          <w:color w:val="auto"/>
          <w:kern w:val="0"/>
          <w:sz w:val="28"/>
          <w:szCs w:val="28"/>
          <w:u w:val="single"/>
        </w:rPr>
      </w:pPr>
    </w:p>
    <w:p w14:paraId="7C6EF11D">
      <w:pPr>
        <w:spacing w:line="360" w:lineRule="auto"/>
        <w:jc w:val="center"/>
        <w:rPr>
          <w:rFonts w:ascii="宋体" w:hAnsi="宋体"/>
          <w:color w:val="auto"/>
          <w:kern w:val="0"/>
          <w:sz w:val="28"/>
          <w:szCs w:val="28"/>
          <w:u w:val="single"/>
        </w:rPr>
      </w:pPr>
    </w:p>
    <w:p w14:paraId="4A432B23">
      <w:pPr>
        <w:spacing w:line="360" w:lineRule="auto"/>
        <w:jc w:val="center"/>
        <w:rPr>
          <w:rFonts w:ascii="宋体" w:hAnsi="宋体"/>
          <w:color w:val="auto"/>
          <w:kern w:val="0"/>
          <w:sz w:val="28"/>
          <w:szCs w:val="28"/>
          <w:u w:val="single"/>
        </w:rPr>
      </w:pPr>
    </w:p>
    <w:p w14:paraId="7AF98B63">
      <w:pPr>
        <w:spacing w:line="360" w:lineRule="auto"/>
        <w:jc w:val="center"/>
        <w:rPr>
          <w:rFonts w:ascii="宋体" w:hAnsi="宋体"/>
          <w:color w:val="auto"/>
          <w:kern w:val="0"/>
          <w:sz w:val="28"/>
          <w:szCs w:val="28"/>
          <w:u w:val="single"/>
        </w:rPr>
      </w:pPr>
    </w:p>
    <w:p w14:paraId="79FC6BA4">
      <w:pPr>
        <w:spacing w:line="360" w:lineRule="auto"/>
        <w:jc w:val="center"/>
        <w:rPr>
          <w:rFonts w:ascii="宋体" w:hAnsi="宋体"/>
          <w:color w:val="auto"/>
          <w:kern w:val="0"/>
          <w:sz w:val="28"/>
          <w:szCs w:val="28"/>
          <w:u w:val="single"/>
        </w:rPr>
      </w:pPr>
    </w:p>
    <w:p w14:paraId="57930FB6">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14:paraId="4525013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558549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CCB0AD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85B5DC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5D359B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606D180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30EBFF30">
      <w:pPr>
        <w:autoSpaceDE w:val="0"/>
        <w:autoSpaceDN w:val="0"/>
        <w:adjustRightInd w:val="0"/>
        <w:snapToGrid w:val="0"/>
        <w:spacing w:line="360" w:lineRule="auto"/>
        <w:jc w:val="left"/>
        <w:rPr>
          <w:rFonts w:ascii="宋体" w:hAnsi="宋体"/>
          <w:color w:val="auto"/>
          <w:kern w:val="0"/>
          <w:sz w:val="16"/>
          <w:szCs w:val="16"/>
        </w:rPr>
      </w:pPr>
    </w:p>
    <w:p w14:paraId="009853DC">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14:paraId="18AFF40C">
      <w:pPr>
        <w:autoSpaceDE w:val="0"/>
        <w:autoSpaceDN w:val="0"/>
        <w:adjustRightInd w:val="0"/>
        <w:snapToGrid w:val="0"/>
        <w:spacing w:line="360" w:lineRule="auto"/>
        <w:jc w:val="left"/>
        <w:rPr>
          <w:rFonts w:ascii="宋体" w:hAnsi="宋体"/>
          <w:b/>
          <w:color w:val="auto"/>
          <w:kern w:val="0"/>
          <w:sz w:val="20"/>
        </w:rPr>
      </w:pPr>
    </w:p>
    <w:p w14:paraId="29A4E6EB">
      <w:pPr>
        <w:autoSpaceDE w:val="0"/>
        <w:autoSpaceDN w:val="0"/>
        <w:adjustRightInd w:val="0"/>
        <w:snapToGrid w:val="0"/>
        <w:spacing w:line="360" w:lineRule="auto"/>
        <w:jc w:val="left"/>
        <w:rPr>
          <w:rFonts w:ascii="宋体" w:hAnsi="宋体"/>
          <w:b/>
          <w:color w:val="auto"/>
          <w:kern w:val="0"/>
          <w:sz w:val="20"/>
        </w:rPr>
      </w:pPr>
    </w:p>
    <w:p w14:paraId="0DDB6003">
      <w:pPr>
        <w:autoSpaceDE w:val="0"/>
        <w:autoSpaceDN w:val="0"/>
        <w:adjustRightInd w:val="0"/>
        <w:snapToGrid w:val="0"/>
        <w:spacing w:line="360" w:lineRule="auto"/>
        <w:jc w:val="left"/>
        <w:rPr>
          <w:rFonts w:ascii="宋体" w:hAnsi="宋体"/>
          <w:b/>
          <w:color w:val="auto"/>
          <w:kern w:val="0"/>
          <w:sz w:val="20"/>
        </w:rPr>
      </w:pPr>
    </w:p>
    <w:p w14:paraId="7D6463F8">
      <w:pPr>
        <w:autoSpaceDE w:val="0"/>
        <w:autoSpaceDN w:val="0"/>
        <w:adjustRightInd w:val="0"/>
        <w:snapToGrid w:val="0"/>
        <w:spacing w:line="360" w:lineRule="auto"/>
        <w:jc w:val="left"/>
        <w:rPr>
          <w:rFonts w:ascii="宋体" w:hAnsi="宋体"/>
          <w:b/>
          <w:color w:val="auto"/>
          <w:kern w:val="0"/>
          <w:sz w:val="20"/>
        </w:rPr>
      </w:pPr>
    </w:p>
    <w:p w14:paraId="73FF7ABC">
      <w:pPr>
        <w:autoSpaceDE w:val="0"/>
        <w:autoSpaceDN w:val="0"/>
        <w:adjustRightInd w:val="0"/>
        <w:snapToGrid w:val="0"/>
        <w:spacing w:line="360" w:lineRule="auto"/>
        <w:jc w:val="left"/>
        <w:rPr>
          <w:rFonts w:ascii="宋体" w:hAnsi="宋体"/>
          <w:b/>
          <w:color w:val="auto"/>
          <w:kern w:val="0"/>
          <w:sz w:val="20"/>
        </w:rPr>
      </w:pPr>
    </w:p>
    <w:p w14:paraId="2B639ED7">
      <w:pPr>
        <w:autoSpaceDE w:val="0"/>
        <w:autoSpaceDN w:val="0"/>
        <w:adjustRightInd w:val="0"/>
        <w:snapToGrid w:val="0"/>
        <w:spacing w:line="360" w:lineRule="auto"/>
        <w:jc w:val="left"/>
        <w:rPr>
          <w:rFonts w:ascii="宋体" w:hAnsi="宋体"/>
          <w:b/>
          <w:color w:val="auto"/>
          <w:kern w:val="0"/>
          <w:sz w:val="20"/>
        </w:rPr>
      </w:pPr>
    </w:p>
    <w:p w14:paraId="673B199A">
      <w:pPr>
        <w:autoSpaceDE w:val="0"/>
        <w:autoSpaceDN w:val="0"/>
        <w:adjustRightInd w:val="0"/>
        <w:snapToGrid w:val="0"/>
        <w:spacing w:line="360" w:lineRule="auto"/>
        <w:jc w:val="left"/>
        <w:rPr>
          <w:rFonts w:ascii="宋体" w:hAnsi="宋体"/>
          <w:b/>
          <w:color w:val="auto"/>
          <w:kern w:val="0"/>
          <w:sz w:val="20"/>
        </w:rPr>
      </w:pPr>
    </w:p>
    <w:p w14:paraId="3E3FED7E">
      <w:pPr>
        <w:autoSpaceDE w:val="0"/>
        <w:autoSpaceDN w:val="0"/>
        <w:adjustRightInd w:val="0"/>
        <w:snapToGrid w:val="0"/>
        <w:spacing w:line="360" w:lineRule="auto"/>
        <w:jc w:val="left"/>
        <w:rPr>
          <w:rFonts w:ascii="宋体" w:hAnsi="宋体"/>
          <w:b/>
          <w:color w:val="auto"/>
          <w:kern w:val="0"/>
          <w:sz w:val="20"/>
        </w:rPr>
      </w:pPr>
    </w:p>
    <w:p w14:paraId="2E7F8D0A">
      <w:pPr>
        <w:autoSpaceDE w:val="0"/>
        <w:autoSpaceDN w:val="0"/>
        <w:adjustRightInd w:val="0"/>
        <w:snapToGrid w:val="0"/>
        <w:spacing w:line="360" w:lineRule="auto"/>
        <w:jc w:val="left"/>
        <w:rPr>
          <w:rFonts w:ascii="宋体" w:hAnsi="宋体"/>
          <w:b/>
          <w:color w:val="auto"/>
          <w:kern w:val="0"/>
          <w:sz w:val="20"/>
        </w:rPr>
      </w:pPr>
    </w:p>
    <w:p w14:paraId="204856A1">
      <w:pPr>
        <w:autoSpaceDE w:val="0"/>
        <w:autoSpaceDN w:val="0"/>
        <w:adjustRightInd w:val="0"/>
        <w:snapToGrid w:val="0"/>
        <w:spacing w:line="360" w:lineRule="auto"/>
        <w:jc w:val="left"/>
        <w:rPr>
          <w:rFonts w:ascii="宋体" w:hAnsi="宋体"/>
          <w:b/>
          <w:color w:val="auto"/>
          <w:kern w:val="0"/>
          <w:sz w:val="20"/>
        </w:rPr>
      </w:pPr>
    </w:p>
    <w:p w14:paraId="49A3D167">
      <w:pPr>
        <w:autoSpaceDE w:val="0"/>
        <w:autoSpaceDN w:val="0"/>
        <w:adjustRightInd w:val="0"/>
        <w:snapToGrid w:val="0"/>
        <w:spacing w:line="360" w:lineRule="auto"/>
        <w:jc w:val="left"/>
        <w:rPr>
          <w:rFonts w:ascii="宋体" w:hAnsi="宋体"/>
          <w:b/>
          <w:color w:val="auto"/>
          <w:kern w:val="0"/>
          <w:sz w:val="20"/>
        </w:rPr>
      </w:pPr>
    </w:p>
    <w:p w14:paraId="0B8A8B52">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5CE85098">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4C64E02F">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14:paraId="7C907526">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14:paraId="076A554F">
      <w:pPr>
        <w:autoSpaceDE w:val="0"/>
        <w:autoSpaceDN w:val="0"/>
        <w:adjustRightInd w:val="0"/>
        <w:snapToGrid w:val="0"/>
        <w:spacing w:line="360" w:lineRule="auto"/>
        <w:jc w:val="left"/>
        <w:rPr>
          <w:rFonts w:ascii="宋体" w:hAnsi="宋体"/>
          <w:color w:val="auto"/>
          <w:kern w:val="0"/>
          <w:sz w:val="24"/>
          <w:szCs w:val="21"/>
        </w:rPr>
      </w:pPr>
    </w:p>
    <w:p w14:paraId="044445EB">
      <w:pPr>
        <w:autoSpaceDE w:val="0"/>
        <w:autoSpaceDN w:val="0"/>
        <w:adjustRightInd w:val="0"/>
        <w:spacing w:line="700" w:lineRule="exact"/>
        <w:ind w:firstLine="480" w:firstLineChars="200"/>
        <w:jc w:val="left"/>
        <w:rPr>
          <w:rFonts w:ascii="宋体" w:hAnsi="宋体"/>
          <w:color w:val="auto"/>
          <w:kern w:val="0"/>
          <w:sz w:val="24"/>
          <w:szCs w:val="24"/>
        </w:rPr>
      </w:pPr>
      <w:r>
        <w:rPr>
          <w:rFonts w:ascii="宋体" w:hAnsi="宋体"/>
          <w:color w:val="auto"/>
          <w:kern w:val="0"/>
          <w:sz w:val="24"/>
          <w:szCs w:val="24"/>
        </w:rPr>
        <w:t>（一）投标函</w:t>
      </w:r>
    </w:p>
    <w:p w14:paraId="16A360CD">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（二）投标函附录</w:t>
      </w:r>
    </w:p>
    <w:p w14:paraId="37365A91">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（三）法定代表人身份证明或附有法定代表人身份证明的授权委托书</w:t>
      </w:r>
    </w:p>
    <w:p w14:paraId="514803CC">
      <w:pPr>
        <w:rPr>
          <w:rFonts w:hint="eastAsia" w:ascii="宋体" w:hAnsi="宋体"/>
          <w:b w:val="0"/>
          <w:bCs w:val="0"/>
          <w:color w:val="auto"/>
        </w:rPr>
      </w:pPr>
      <w:bookmarkStart w:id="906" w:name="_Toc287620814"/>
      <w:bookmarkStart w:id="907" w:name="_Toc224103495"/>
      <w:bookmarkStart w:id="908" w:name="_Toc430530530"/>
      <w:bookmarkStart w:id="909" w:name="_Toc509218854"/>
      <w:bookmarkStart w:id="910" w:name="_Toc277082643"/>
      <w:bookmarkStart w:id="911" w:name="_Toc534185831"/>
      <w:bookmarkStart w:id="912" w:name="_Toc21159"/>
      <w:bookmarkStart w:id="913" w:name="_Toc287607867"/>
      <w:bookmarkStart w:id="914" w:name="_Toc24900"/>
    </w:p>
    <w:p w14:paraId="37FF5ED7">
      <w:pPr>
        <w:rPr>
          <w:rFonts w:hint="eastAsia" w:ascii="宋体" w:hAnsi="宋体"/>
          <w:b w:val="0"/>
          <w:bCs w:val="0"/>
          <w:color w:val="auto"/>
        </w:rPr>
      </w:pPr>
      <w:r>
        <w:rPr>
          <w:rFonts w:hint="eastAsia" w:ascii="宋体" w:hAnsi="宋体"/>
          <w:b w:val="0"/>
          <w:bCs w:val="0"/>
          <w:color w:val="auto"/>
        </w:rPr>
        <w:br w:type="page"/>
      </w:r>
    </w:p>
    <w:bookmarkEnd w:id="906"/>
    <w:bookmarkEnd w:id="907"/>
    <w:bookmarkEnd w:id="908"/>
    <w:bookmarkEnd w:id="909"/>
    <w:bookmarkEnd w:id="910"/>
    <w:bookmarkEnd w:id="911"/>
    <w:bookmarkEnd w:id="912"/>
    <w:bookmarkEnd w:id="913"/>
    <w:bookmarkEnd w:id="914"/>
    <w:p w14:paraId="6008EDC4">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cs="宋体"/>
          <w:b w:val="0"/>
          <w:color w:val="auto"/>
          <w:highlight w:val="none"/>
        </w:rPr>
      </w:pPr>
      <w:bookmarkStart w:id="915" w:name="_Toc57796008"/>
      <w:bookmarkStart w:id="916" w:name="_Toc536800772"/>
      <w:r>
        <w:rPr>
          <w:rFonts w:hint="eastAsia" w:ascii="宋体" w:hAnsi="宋体" w:cs="宋体"/>
          <w:b w:val="0"/>
          <w:bCs w:val="0"/>
          <w:color w:val="auto"/>
          <w:highlight w:val="none"/>
        </w:rPr>
        <w:t>（一）投标函</w:t>
      </w:r>
      <w:bookmarkEnd w:id="915"/>
      <w:bookmarkEnd w:id="916"/>
    </w:p>
    <w:p w14:paraId="0DB74FD6">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（招标人名称）</w:t>
      </w:r>
      <w:r>
        <w:rPr>
          <w:rFonts w:hint="eastAsia" w:ascii="宋体" w:hAnsi="宋体" w:cs="宋体"/>
          <w:snapToGrid w:val="0"/>
          <w:color w:val="auto"/>
          <w:kern w:val="0"/>
          <w:szCs w:val="21"/>
          <w:highlight w:val="none"/>
        </w:rPr>
        <w:t>：</w:t>
      </w:r>
    </w:p>
    <w:p w14:paraId="26F363F6">
      <w:pPr>
        <w:keepNext w:val="0"/>
        <w:keepLines w:val="0"/>
        <w:pageBreakBefore w:val="0"/>
        <w:widowControl w:val="0"/>
        <w:kinsoku/>
        <w:wordWrap/>
        <w:overflowPunct/>
        <w:topLinePunct w:val="0"/>
        <w:bidi w:val="0"/>
        <w:snapToGrid/>
        <w:spacing w:line="380" w:lineRule="exact"/>
        <w:ind w:firstLine="420" w:firstLineChars="200"/>
        <w:textAlignment w:val="auto"/>
        <w:rPr>
          <w:rFonts w:ascii="宋体" w:hAnsi="宋体"/>
          <w:color w:val="auto"/>
          <w:szCs w:val="21"/>
          <w:highlight w:val="none"/>
        </w:rPr>
      </w:pPr>
      <w:r>
        <w:rPr>
          <w:rFonts w:hint="eastAsia" w:ascii="宋体" w:hAnsi="宋体" w:cs="宋体"/>
          <w:snapToGrid w:val="0"/>
          <w:color w:val="auto"/>
          <w:kern w:val="0"/>
          <w:szCs w:val="21"/>
          <w:highlight w:val="none"/>
        </w:rPr>
        <w:t xml:space="preserve">1. </w:t>
      </w:r>
      <w:r>
        <w:rPr>
          <w:rFonts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项目名称</w:t>
      </w:r>
      <w:r>
        <w:rPr>
          <w:rFonts w:hint="eastAsia" w:ascii="宋体" w:hAnsi="宋体"/>
          <w:color w:val="auto"/>
          <w:highlight w:val="none"/>
          <w:u w:val="single"/>
        </w:rPr>
        <w:t>）</w:t>
      </w:r>
      <w:r>
        <w:rPr>
          <w:rFonts w:ascii="宋体" w:hAnsi="宋体"/>
          <w:color w:val="auto"/>
          <w:szCs w:val="21"/>
          <w:highlight w:val="none"/>
        </w:rPr>
        <w:t>招标文件的全部内容，</w:t>
      </w:r>
      <w:r>
        <w:rPr>
          <w:rFonts w:ascii="宋体" w:hAnsi="宋体"/>
          <w:snapToGrid w:val="0"/>
          <w:color w:val="auto"/>
          <w:kern w:val="0"/>
          <w:szCs w:val="21"/>
          <w:highlight w:val="none"/>
        </w:rPr>
        <w:t>愿意以人民币（大写）</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w:t>
      </w:r>
      <w:r>
        <w:rPr>
          <w:rFonts w:hint="eastAsia" w:ascii="宋体" w:hAnsi="宋体"/>
          <w:snapToGrid w:val="0"/>
          <w:color w:val="auto"/>
          <w:kern w:val="0"/>
          <w:szCs w:val="21"/>
          <w:highlight w:val="none"/>
        </w:rPr>
        <w:t>进行报价</w:t>
      </w:r>
      <w:r>
        <w:rPr>
          <w:rFonts w:ascii="宋体" w:hAnsi="宋体"/>
          <w:color w:val="auto"/>
          <w:szCs w:val="21"/>
          <w:highlight w:val="none"/>
        </w:rPr>
        <w:t>，</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highlight w:val="none"/>
        </w:rPr>
        <w:t>，项目总工为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rPr>
        <w:t>工期：</w:t>
      </w:r>
      <w:r>
        <w:rPr>
          <w:rFonts w:hint="eastAsia" w:ascii="宋体" w:hAnsi="宋体"/>
          <w:color w:val="auto"/>
          <w:szCs w:val="21"/>
          <w:highlight w:val="none"/>
          <w:u w:val="single"/>
        </w:rPr>
        <w:t xml:space="preserve">        </w:t>
      </w:r>
      <w:r>
        <w:rPr>
          <w:rFonts w:hint="eastAsia" w:ascii="宋体" w:hAnsi="宋体"/>
          <w:color w:val="auto"/>
          <w:szCs w:val="21"/>
          <w:highlight w:val="none"/>
        </w:rPr>
        <w:t>，缺陷责任期：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按合同约定实施和完成承包工程，修补工程中的任何缺陷</w:t>
      </w:r>
      <w:r>
        <w:rPr>
          <w:rFonts w:hint="eastAsia" w:ascii="宋体" w:hAnsi="宋体"/>
          <w:color w:val="auto"/>
          <w:szCs w:val="21"/>
          <w:highlight w:val="none"/>
        </w:rPr>
        <w:t>，</w:t>
      </w:r>
      <w:r>
        <w:rPr>
          <w:rFonts w:ascii="宋体" w:hAnsi="宋体"/>
          <w:color w:val="auto"/>
          <w:szCs w:val="21"/>
          <w:highlight w:val="none"/>
        </w:rPr>
        <w:t xml:space="preserve"> 工程质量</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rPr>
        <w:t>。</w:t>
      </w:r>
    </w:p>
    <w:p w14:paraId="6E6B12F7">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 我方承诺响应招标文件规定的投标有效期，在投标有效期内不修改、撤销投标文件。</w:t>
      </w:r>
    </w:p>
    <w:p w14:paraId="5162C853">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hint="eastAsia" w:ascii="宋体" w:hAnsi="宋体"/>
          <w:color w:val="auto"/>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u w:val="single"/>
        </w:rPr>
        <w:t>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14:paraId="7FFD1B80">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706A4F51">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311EDC89">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2C28B2E1">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14:paraId="6DE216CB">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6FCF3F7D">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我方承诺以不低于招标文件</w:t>
      </w:r>
      <w:r>
        <w:rPr>
          <w:rFonts w:hint="eastAsia" w:ascii="宋体" w:hAnsi="宋体"/>
          <w:snapToGrid w:val="0"/>
          <w:color w:val="auto"/>
          <w:kern w:val="0"/>
          <w:szCs w:val="21"/>
          <w:highlight w:val="none"/>
        </w:rPr>
        <w:t>第七章</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技术标准和要求</w:t>
      </w:r>
      <w:r>
        <w:rPr>
          <w:rFonts w:hint="eastAsia" w:ascii="宋体" w:hAnsi="宋体"/>
          <w:snapToGrid w:val="0"/>
          <w:color w:val="auto"/>
          <w:kern w:val="0"/>
          <w:szCs w:val="21"/>
          <w:highlight w:val="none"/>
          <w:lang w:val="en-US" w:eastAsia="zh-CN"/>
        </w:rPr>
        <w:t>中所列的技术指标和参数要求完成全部合同工程。</w:t>
      </w:r>
    </w:p>
    <w:p w14:paraId="6B3F3A8A">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snapToGrid w:val="0"/>
          <w:color w:val="auto"/>
          <w:kern w:val="0"/>
          <w:szCs w:val="21"/>
          <w:highlight w:val="none"/>
          <w:u w:val="single"/>
          <w:lang w:val="en-US" w:eastAsia="zh-CN"/>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rPr>
        <w:t>“</w:t>
      </w:r>
      <w:r>
        <w:rPr>
          <w:rFonts w:ascii="宋体" w:hAnsi="宋体"/>
          <w:snapToGrid w:val="0"/>
          <w:color w:val="auto"/>
          <w:spacing w:val="-2"/>
          <w:kern w:val="0"/>
          <w:szCs w:val="21"/>
          <w:highlight w:val="none"/>
        </w:rPr>
        <w:t>投标人</w:t>
      </w:r>
      <w:r>
        <w:rPr>
          <w:rFonts w:ascii="宋体" w:hAnsi="宋体"/>
          <w:snapToGrid w:val="0"/>
          <w:color w:val="auto"/>
          <w:kern w:val="0"/>
          <w:szCs w:val="21"/>
          <w:highlight w:val="none"/>
        </w:rPr>
        <w:t>须知</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4A762345">
      <w:pPr>
        <w:keepNext w:val="0"/>
        <w:keepLines w:val="0"/>
        <w:pageBreakBefore w:val="0"/>
        <w:widowControl w:val="0"/>
        <w:tabs>
          <w:tab w:val="left" w:pos="5985"/>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hint="default" w:ascii="宋体" w:hAnsi="宋体"/>
          <w:snapToGrid w:val="0"/>
          <w:color w:val="auto"/>
          <w:kern w:val="0"/>
          <w:szCs w:val="21"/>
          <w:highlight w:val="none"/>
          <w:lang w:val="en-US"/>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0D00BBEE">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2DD2BB9D">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14:paraId="6C7D36AC">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5E33A9E">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2F5EE23A">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4B87A021">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E3674A6">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E83CEB9">
      <w:pPr>
        <w:tabs>
          <w:tab w:val="left" w:pos="8300"/>
        </w:tabs>
        <w:autoSpaceDE w:val="0"/>
        <w:autoSpaceDN w:val="0"/>
        <w:adjustRightInd w:val="0"/>
        <w:spacing w:line="480" w:lineRule="exact"/>
        <w:ind w:firstLine="420" w:firstLineChars="200"/>
        <w:jc w:val="right"/>
        <w:rPr>
          <w:rFonts w:ascii="宋体" w:hAnsi="宋体"/>
          <w:color w:val="auto"/>
          <w:kern w:val="0"/>
          <w:szCs w:val="21"/>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193A776F">
      <w:pPr>
        <w:pStyle w:val="5"/>
        <w:numPr>
          <w:ilvl w:val="0"/>
          <w:numId w:val="7"/>
        </w:numPr>
        <w:spacing w:line="240" w:lineRule="auto"/>
        <w:rPr>
          <w:rFonts w:ascii="宋体" w:hAnsi="宋体"/>
          <w:b w:val="0"/>
          <w:bCs w:val="0"/>
          <w:color w:val="auto"/>
        </w:rPr>
      </w:pPr>
      <w:bookmarkStart w:id="917" w:name="_Toc287607868"/>
      <w:bookmarkStart w:id="918" w:name="_Toc224103496"/>
      <w:bookmarkStart w:id="919" w:name="_Toc430530531"/>
      <w:bookmarkStart w:id="920" w:name="_Toc277082644"/>
      <w:bookmarkStart w:id="921" w:name="_Toc287620815"/>
      <w:r>
        <w:rPr>
          <w:rFonts w:ascii="宋体" w:hAnsi="宋体"/>
          <w:color w:val="auto"/>
          <w:sz w:val="28"/>
        </w:rPr>
        <w:br w:type="page"/>
      </w:r>
      <w:bookmarkStart w:id="922" w:name="_Toc509218855"/>
      <w:bookmarkStart w:id="923" w:name="_Toc14835"/>
      <w:bookmarkStart w:id="924" w:name="_Toc534185832"/>
      <w:bookmarkStart w:id="925" w:name="_Toc18360"/>
      <w:r>
        <w:rPr>
          <w:rFonts w:ascii="宋体" w:hAnsi="宋体"/>
          <w:b w:val="0"/>
          <w:bCs w:val="0"/>
          <w:color w:val="auto"/>
        </w:rPr>
        <w:t>投标函附录</w:t>
      </w:r>
      <w:bookmarkEnd w:id="917"/>
      <w:bookmarkEnd w:id="918"/>
      <w:bookmarkEnd w:id="919"/>
      <w:bookmarkEnd w:id="920"/>
      <w:bookmarkEnd w:id="921"/>
      <w:bookmarkEnd w:id="922"/>
      <w:bookmarkEnd w:id="923"/>
      <w:bookmarkEnd w:id="924"/>
      <w:bookmarkEnd w:id="925"/>
    </w:p>
    <w:p w14:paraId="43B4E13F">
      <w:pPr>
        <w:rPr>
          <w:color w:val="auto"/>
        </w:rPr>
      </w:pPr>
    </w:p>
    <w:tbl>
      <w:tblPr>
        <w:tblStyle w:val="52"/>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14:paraId="02F645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14:paraId="64EC0A86">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451" w:type="dxa"/>
            <w:vAlign w:val="center"/>
          </w:tcPr>
          <w:p w14:paraId="6383ADC3">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14:paraId="3B046DBC">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14:paraId="02ABA6C9">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084" w:type="dxa"/>
            <w:vAlign w:val="center"/>
          </w:tcPr>
          <w:p w14:paraId="607604F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14:paraId="4FF2D2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23384997">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451" w:type="dxa"/>
            <w:vAlign w:val="center"/>
          </w:tcPr>
          <w:p w14:paraId="57BC32CE">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14:paraId="46F1C0BD">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14:paraId="033B5D0D">
            <w:pPr>
              <w:tabs>
                <w:tab w:val="left" w:pos="1560"/>
              </w:tabs>
              <w:autoSpaceDE w:val="0"/>
              <w:autoSpaceDN w:val="0"/>
              <w:adjustRightInd w:val="0"/>
              <w:jc w:val="center"/>
              <w:rPr>
                <w:rFonts w:ascii="宋体" w:hAnsi="宋体"/>
                <w:snapToGrid w:val="0"/>
                <w:color w:val="auto"/>
                <w:kern w:val="0"/>
                <w:szCs w:val="21"/>
              </w:rPr>
            </w:pPr>
          </w:p>
        </w:tc>
        <w:tc>
          <w:tcPr>
            <w:tcW w:w="1084" w:type="dxa"/>
            <w:vAlign w:val="center"/>
          </w:tcPr>
          <w:p w14:paraId="6B65D5B4">
            <w:pPr>
              <w:autoSpaceDE w:val="0"/>
              <w:autoSpaceDN w:val="0"/>
              <w:adjustRightInd w:val="0"/>
              <w:jc w:val="center"/>
              <w:rPr>
                <w:rFonts w:ascii="宋体" w:hAnsi="宋体"/>
                <w:snapToGrid w:val="0"/>
                <w:color w:val="auto"/>
                <w:kern w:val="0"/>
                <w:szCs w:val="21"/>
              </w:rPr>
            </w:pPr>
          </w:p>
        </w:tc>
      </w:tr>
      <w:tr w14:paraId="336ED4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57BDE1D8">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451" w:type="dxa"/>
            <w:vAlign w:val="center"/>
          </w:tcPr>
          <w:p w14:paraId="74020894">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14:paraId="6BFD3223">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14:paraId="6A9B4092">
            <w:pPr>
              <w:autoSpaceDE w:val="0"/>
              <w:autoSpaceDN w:val="0"/>
              <w:adjustRightInd w:val="0"/>
              <w:jc w:val="center"/>
              <w:rPr>
                <w:rFonts w:ascii="宋体" w:hAnsi="宋体"/>
                <w:snapToGrid w:val="0"/>
                <w:color w:val="auto"/>
                <w:kern w:val="0"/>
                <w:szCs w:val="21"/>
              </w:rPr>
            </w:pPr>
          </w:p>
        </w:tc>
        <w:tc>
          <w:tcPr>
            <w:tcW w:w="1084" w:type="dxa"/>
            <w:vAlign w:val="center"/>
          </w:tcPr>
          <w:p w14:paraId="4B9EC50A">
            <w:pPr>
              <w:autoSpaceDE w:val="0"/>
              <w:autoSpaceDN w:val="0"/>
              <w:adjustRightInd w:val="0"/>
              <w:jc w:val="center"/>
              <w:rPr>
                <w:rFonts w:ascii="宋体" w:hAnsi="宋体"/>
                <w:snapToGrid w:val="0"/>
                <w:color w:val="auto"/>
                <w:kern w:val="0"/>
                <w:szCs w:val="21"/>
              </w:rPr>
            </w:pPr>
          </w:p>
        </w:tc>
      </w:tr>
      <w:tr w14:paraId="3DB112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6E5D44E3">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451" w:type="dxa"/>
            <w:vAlign w:val="center"/>
          </w:tcPr>
          <w:p w14:paraId="7B1D64C5">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14:paraId="7FFAD2E5">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14:paraId="26134016">
            <w:pPr>
              <w:autoSpaceDE w:val="0"/>
              <w:autoSpaceDN w:val="0"/>
              <w:adjustRightInd w:val="0"/>
              <w:jc w:val="center"/>
              <w:rPr>
                <w:rFonts w:ascii="宋体" w:hAnsi="宋体"/>
                <w:snapToGrid w:val="0"/>
                <w:color w:val="auto"/>
                <w:kern w:val="0"/>
                <w:szCs w:val="21"/>
              </w:rPr>
            </w:pPr>
          </w:p>
        </w:tc>
        <w:tc>
          <w:tcPr>
            <w:tcW w:w="1084" w:type="dxa"/>
            <w:vAlign w:val="center"/>
          </w:tcPr>
          <w:p w14:paraId="15454D27">
            <w:pPr>
              <w:autoSpaceDE w:val="0"/>
              <w:autoSpaceDN w:val="0"/>
              <w:adjustRightInd w:val="0"/>
              <w:jc w:val="center"/>
              <w:rPr>
                <w:rFonts w:ascii="宋体" w:hAnsi="宋体"/>
                <w:snapToGrid w:val="0"/>
                <w:color w:val="auto"/>
                <w:kern w:val="0"/>
                <w:szCs w:val="21"/>
              </w:rPr>
            </w:pPr>
          </w:p>
        </w:tc>
      </w:tr>
      <w:tr w14:paraId="3944B5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3186694C">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14:paraId="41DE4336">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52877FA8">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3A23012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14:paraId="56C9CD5B">
            <w:pPr>
              <w:autoSpaceDE w:val="0"/>
              <w:autoSpaceDN w:val="0"/>
              <w:adjustRightInd w:val="0"/>
              <w:jc w:val="center"/>
              <w:rPr>
                <w:rFonts w:ascii="宋体" w:hAnsi="宋体"/>
                <w:snapToGrid w:val="0"/>
                <w:color w:val="auto"/>
                <w:kern w:val="0"/>
                <w:szCs w:val="21"/>
              </w:rPr>
            </w:pPr>
          </w:p>
        </w:tc>
      </w:tr>
      <w:tr w14:paraId="43BAB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14:paraId="65ED8564">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14:paraId="3CD8A208">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14:paraId="5F88E972">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14:paraId="3FCC16FD">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14:paraId="3A80E95E">
            <w:pPr>
              <w:autoSpaceDE w:val="0"/>
              <w:autoSpaceDN w:val="0"/>
              <w:adjustRightInd w:val="0"/>
              <w:jc w:val="center"/>
              <w:rPr>
                <w:rFonts w:ascii="宋体" w:hAnsi="宋体"/>
                <w:snapToGrid w:val="0"/>
                <w:color w:val="auto"/>
                <w:kern w:val="0"/>
                <w:szCs w:val="21"/>
              </w:rPr>
            </w:pPr>
          </w:p>
        </w:tc>
      </w:tr>
    </w:tbl>
    <w:p w14:paraId="2BF0D75B">
      <w:pPr>
        <w:spacing w:line="360" w:lineRule="auto"/>
        <w:rPr>
          <w:rFonts w:ascii="宋体" w:hAnsi="宋体"/>
          <w:snapToGrid w:val="0"/>
          <w:color w:val="auto"/>
          <w:w w:val="99"/>
        </w:rPr>
      </w:pPr>
    </w:p>
    <w:p w14:paraId="179B2B72">
      <w:pPr>
        <w:spacing w:line="360" w:lineRule="auto"/>
        <w:rPr>
          <w:rFonts w:ascii="宋体" w:hAnsi="宋体"/>
          <w:snapToGrid w:val="0"/>
          <w:color w:val="auto"/>
          <w:kern w:val="0"/>
          <w:sz w:val="32"/>
          <w:szCs w:val="32"/>
        </w:rPr>
      </w:pPr>
    </w:p>
    <w:p w14:paraId="67C59C8C">
      <w:pPr>
        <w:spacing w:line="360" w:lineRule="auto"/>
        <w:rPr>
          <w:rFonts w:ascii="宋体" w:hAnsi="宋体"/>
          <w:snapToGrid w:val="0"/>
          <w:color w:val="auto"/>
        </w:rPr>
      </w:pPr>
    </w:p>
    <w:p w14:paraId="1A9E5A9A">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14:paraId="1BB71A0B">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14:paraId="0089B933">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14:paraId="0CB2E4E7">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14:paraId="14C54926">
      <w:pPr>
        <w:pStyle w:val="5"/>
        <w:spacing w:line="240" w:lineRule="auto"/>
        <w:rPr>
          <w:rFonts w:ascii="宋体" w:hAnsi="宋体"/>
          <w:snapToGrid w:val="0"/>
          <w:color w:val="auto"/>
          <w:kern w:val="0"/>
          <w:szCs w:val="21"/>
        </w:rPr>
      </w:pPr>
      <w:r>
        <w:rPr>
          <w:rFonts w:ascii="宋体" w:hAnsi="宋体"/>
          <w:snapToGrid w:val="0"/>
          <w:color w:val="auto"/>
        </w:rPr>
        <w:br w:type="page"/>
      </w:r>
      <w:bookmarkStart w:id="926" w:name="_Toc27100"/>
      <w:bookmarkStart w:id="927" w:name="_Toc287620816"/>
      <w:bookmarkStart w:id="928" w:name="_Toc3126"/>
      <w:bookmarkStart w:id="929" w:name="_Toc287607869"/>
      <w:bookmarkStart w:id="930" w:name="_Toc277082645"/>
      <w:bookmarkStart w:id="931" w:name="_Toc430530532"/>
      <w:bookmarkStart w:id="932" w:name="_Toc224103497"/>
      <w:r>
        <w:rPr>
          <w:rFonts w:ascii="宋体" w:hAnsi="宋体"/>
          <w:b w:val="0"/>
          <w:bCs w:val="0"/>
          <w:color w:val="auto"/>
        </w:rPr>
        <w:t>（三）</w:t>
      </w:r>
      <w:r>
        <w:rPr>
          <w:rFonts w:hint="eastAsia" w:ascii="宋体" w:hAnsi="宋体"/>
          <w:b w:val="0"/>
          <w:bCs w:val="0"/>
          <w:color w:val="auto"/>
        </w:rPr>
        <w:t>法定代表人身份证明或附有法定代表人身份证明的授权委托书</w:t>
      </w:r>
      <w:bookmarkEnd w:id="926"/>
      <w:bookmarkEnd w:id="927"/>
      <w:bookmarkEnd w:id="928"/>
      <w:bookmarkEnd w:id="929"/>
      <w:bookmarkEnd w:id="930"/>
      <w:bookmarkEnd w:id="931"/>
      <w:bookmarkEnd w:id="932"/>
    </w:p>
    <w:p w14:paraId="025DFA57">
      <w:pPr>
        <w:spacing w:line="480" w:lineRule="auto"/>
        <w:jc w:val="center"/>
        <w:rPr>
          <w:rFonts w:ascii="宋体" w:hAnsi="宋体"/>
          <w:color w:val="auto"/>
          <w:sz w:val="28"/>
        </w:rPr>
      </w:pPr>
      <w:r>
        <w:rPr>
          <w:rFonts w:hint="eastAsia" w:ascii="宋体" w:hAnsi="宋体"/>
          <w:color w:val="auto"/>
          <w:sz w:val="28"/>
        </w:rPr>
        <w:t>法定代表人身份证明</w:t>
      </w:r>
    </w:p>
    <w:p w14:paraId="6DA6C47F">
      <w:pPr>
        <w:spacing w:line="480" w:lineRule="auto"/>
        <w:jc w:val="center"/>
        <w:rPr>
          <w:rFonts w:ascii="宋体" w:hAnsi="宋体"/>
          <w:color w:val="auto"/>
        </w:rPr>
      </w:pPr>
    </w:p>
    <w:p w14:paraId="66F40818">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09FF3C4A">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4C47E14">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42725F84">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21053A50">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1FBA2232">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45112983">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5FB27EC2">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14:paraId="4D69A1DC">
      <w:pPr>
        <w:autoSpaceDE w:val="0"/>
        <w:autoSpaceDN w:val="0"/>
        <w:adjustRightInd w:val="0"/>
        <w:snapToGrid w:val="0"/>
        <w:spacing w:line="700" w:lineRule="exact"/>
        <w:ind w:firstLine="810" w:firstLineChars="386"/>
        <w:jc w:val="left"/>
        <w:rPr>
          <w:rFonts w:ascii="宋体" w:hAnsi="宋体"/>
          <w:color w:val="auto"/>
          <w:kern w:val="0"/>
          <w:szCs w:val="21"/>
        </w:rPr>
      </w:pPr>
    </w:p>
    <w:p w14:paraId="31EF0C2A">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14:paraId="06CEC7B7">
      <w:pPr>
        <w:pStyle w:val="2"/>
        <w:spacing w:after="0" w:line="700" w:lineRule="exact"/>
        <w:rPr>
          <w:rFonts w:ascii="宋体" w:hAnsi="宋体"/>
          <w:color w:val="auto"/>
          <w:szCs w:val="21"/>
        </w:rPr>
      </w:pPr>
    </w:p>
    <w:p w14:paraId="7913A123">
      <w:pPr>
        <w:tabs>
          <w:tab w:val="left" w:pos="5475"/>
        </w:tabs>
        <w:autoSpaceDE w:val="0"/>
        <w:autoSpaceDN w:val="0"/>
        <w:adjustRightInd w:val="0"/>
        <w:snapToGrid w:val="0"/>
        <w:spacing w:line="700" w:lineRule="exact"/>
        <w:jc w:val="left"/>
        <w:rPr>
          <w:rFonts w:ascii="宋体" w:hAnsi="宋体"/>
          <w:color w:val="auto"/>
          <w:kern w:val="0"/>
          <w:sz w:val="20"/>
        </w:rPr>
      </w:pPr>
    </w:p>
    <w:p w14:paraId="195C114A">
      <w:pPr>
        <w:tabs>
          <w:tab w:val="left" w:pos="5460"/>
        </w:tabs>
        <w:autoSpaceDE w:val="0"/>
        <w:autoSpaceDN w:val="0"/>
        <w:adjustRightInd w:val="0"/>
        <w:snapToGrid w:val="0"/>
        <w:spacing w:line="700" w:lineRule="exact"/>
        <w:ind w:firstLine="21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65F94871">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34765469">
      <w:pPr>
        <w:autoSpaceDE w:val="0"/>
        <w:autoSpaceDN w:val="0"/>
        <w:adjustRightInd w:val="0"/>
        <w:snapToGrid w:val="0"/>
        <w:spacing w:line="700" w:lineRule="exact"/>
        <w:jc w:val="left"/>
        <w:rPr>
          <w:rFonts w:ascii="宋体" w:hAnsi="宋体"/>
          <w:color w:val="auto"/>
          <w:kern w:val="0"/>
        </w:rPr>
      </w:pPr>
    </w:p>
    <w:p w14:paraId="0C63126E">
      <w:pPr>
        <w:spacing w:line="700" w:lineRule="exact"/>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14:paraId="514BF823">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r>
        <w:rPr>
          <w:rFonts w:ascii="宋体" w:hAnsi="宋体"/>
          <w:color w:val="auto"/>
          <w:kern w:val="0"/>
        </w:rPr>
        <w:br w:type="page"/>
      </w:r>
      <w:r>
        <w:rPr>
          <w:rFonts w:ascii="宋体" w:hAnsi="宋体"/>
          <w:snapToGrid w:val="0"/>
          <w:color w:val="auto"/>
          <w:kern w:val="0"/>
          <w:sz w:val="32"/>
          <w:szCs w:val="32"/>
        </w:rPr>
        <w:t>授权委托书</w:t>
      </w:r>
    </w:p>
    <w:p w14:paraId="0C96211E">
      <w:pPr>
        <w:pStyle w:val="2"/>
        <w:rPr>
          <w:color w:val="auto"/>
        </w:rPr>
      </w:pPr>
    </w:p>
    <w:p w14:paraId="62A3DD40">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75AA84F6">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717449E7">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14:paraId="2F0EC8A2">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14:paraId="09E84572">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4F7858E3">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27B95D22">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7792BECB">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14:paraId="7B0246DB">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4ECD2D18">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7EB63E57">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0B91855A">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14:paraId="14F07217">
      <w:pPr>
        <w:tabs>
          <w:tab w:val="left" w:pos="4005"/>
          <w:tab w:val="left" w:pos="4100"/>
          <w:tab w:val="left" w:pos="5040"/>
        </w:tabs>
        <w:wordWrap w:val="0"/>
        <w:autoSpaceDE w:val="0"/>
        <w:autoSpaceDN w:val="0"/>
        <w:adjustRightInd w:val="0"/>
        <w:snapToGrid w:val="0"/>
        <w:spacing w:line="700" w:lineRule="exact"/>
        <w:ind w:firstLine="3780"/>
        <w:jc w:val="right"/>
        <w:rPr>
          <w:color w:val="auto"/>
        </w:rPr>
      </w:pPr>
      <w:r>
        <w:rPr>
          <w:rFonts w:hint="eastAsia" w:ascii="宋体" w:hAnsi="宋体"/>
          <w:color w:val="auto"/>
          <w:kern w:val="0"/>
          <w:szCs w:val="21"/>
          <w:lang w:val="en-US" w:eastAsia="zh-CN"/>
        </w:rPr>
        <w:t xml:space="preserve">  </w:t>
      </w:r>
      <w:r>
        <w:rPr>
          <w:rFonts w:ascii="宋体" w:hAnsi="宋体"/>
          <w:color w:val="auto"/>
          <w:kern w:val="0"/>
          <w:szCs w:val="21"/>
        </w:rPr>
        <w:t>年</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月</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日</w:t>
      </w:r>
      <w:r>
        <w:rPr>
          <w:rFonts w:hint="eastAsia" w:ascii="宋体" w:hAnsi="宋体"/>
          <w:color w:val="auto"/>
          <w:kern w:val="0"/>
          <w:szCs w:val="21"/>
        </w:rPr>
        <w:t xml:space="preserve"> </w:t>
      </w:r>
    </w:p>
    <w:p w14:paraId="4ED52B42">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034FC33C">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3CF30537">
      <w:pPr>
        <w:pStyle w:val="2"/>
        <w:rPr>
          <w:rFonts w:ascii="宋体" w:hAnsi="宋体"/>
          <w:snapToGrid w:val="0"/>
          <w:color w:val="auto"/>
          <w:kern w:val="0"/>
          <w:sz w:val="32"/>
          <w:szCs w:val="32"/>
        </w:rPr>
      </w:pPr>
      <w:bookmarkStart w:id="933" w:name="_Toc287607871"/>
      <w:bookmarkStart w:id="934" w:name="_Toc287620818"/>
      <w:bookmarkStart w:id="935" w:name="_Toc430530533"/>
      <w:bookmarkStart w:id="936" w:name="_Toc277082647"/>
      <w:bookmarkStart w:id="937" w:name="_Toc224103499"/>
    </w:p>
    <w:bookmarkEnd w:id="933"/>
    <w:bookmarkEnd w:id="934"/>
    <w:bookmarkEnd w:id="935"/>
    <w:bookmarkEnd w:id="936"/>
    <w:bookmarkEnd w:id="937"/>
    <w:p w14:paraId="5C9C83F8">
      <w:pPr>
        <w:pStyle w:val="4"/>
        <w:jc w:val="center"/>
        <w:rPr>
          <w:rFonts w:ascii="宋体" w:hAnsi="宋体"/>
          <w:b w:val="0"/>
          <w:bCs w:val="0"/>
          <w:color w:val="auto"/>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938" w:name="_Toc6971"/>
      <w:bookmarkStart w:id="939" w:name="_Toc430530534"/>
      <w:bookmarkStart w:id="940" w:name="_Toc287620819"/>
      <w:bookmarkStart w:id="941" w:name="_Toc224103500"/>
      <w:bookmarkStart w:id="942" w:name="_Toc6386"/>
      <w:bookmarkStart w:id="943" w:name="_Toc287607872"/>
    </w:p>
    <w:p w14:paraId="37CDBB9C">
      <w:pPr>
        <w:pStyle w:val="4"/>
        <w:jc w:val="center"/>
        <w:rPr>
          <w:rFonts w:hint="eastAsia" w:ascii="宋体" w:hAnsi="宋体"/>
          <w:b w:val="0"/>
          <w:bCs w:val="0"/>
          <w:color w:val="auto"/>
        </w:rPr>
      </w:pPr>
    </w:p>
    <w:p w14:paraId="64506153">
      <w:pPr>
        <w:pStyle w:val="4"/>
        <w:jc w:val="center"/>
        <w:rPr>
          <w:rFonts w:ascii="宋体" w:hAnsi="宋体"/>
          <w:b w:val="0"/>
          <w:bCs w:val="0"/>
          <w:color w:val="auto"/>
        </w:rPr>
      </w:pPr>
      <w:r>
        <w:rPr>
          <w:rFonts w:hint="eastAsia" w:ascii="宋体" w:hAnsi="宋体"/>
          <w:b w:val="0"/>
          <w:bCs w:val="0"/>
          <w:color w:val="auto"/>
        </w:rPr>
        <w:t>二、经济部分</w:t>
      </w:r>
      <w:bookmarkEnd w:id="938"/>
      <w:bookmarkEnd w:id="939"/>
      <w:bookmarkEnd w:id="940"/>
      <w:bookmarkEnd w:id="941"/>
      <w:bookmarkEnd w:id="942"/>
      <w:bookmarkEnd w:id="943"/>
    </w:p>
    <w:p w14:paraId="63DBB32A">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14:paraId="7CB354D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1F7A527B">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73FD96A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5AE64F84">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14:paraId="0FEFDE8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67D42CF7">
      <w:pPr>
        <w:autoSpaceDE w:val="0"/>
        <w:autoSpaceDN w:val="0"/>
        <w:adjustRightInd w:val="0"/>
        <w:snapToGrid w:val="0"/>
        <w:spacing w:line="360" w:lineRule="auto"/>
        <w:jc w:val="left"/>
        <w:rPr>
          <w:rFonts w:ascii="宋体" w:hAnsi="宋体"/>
          <w:color w:val="auto"/>
          <w:kern w:val="0"/>
          <w:sz w:val="16"/>
          <w:szCs w:val="16"/>
        </w:rPr>
      </w:pPr>
    </w:p>
    <w:p w14:paraId="3EC553E2">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14:paraId="7C41EFE3">
      <w:pPr>
        <w:autoSpaceDE w:val="0"/>
        <w:autoSpaceDN w:val="0"/>
        <w:adjustRightInd w:val="0"/>
        <w:snapToGrid w:val="0"/>
        <w:spacing w:line="360" w:lineRule="auto"/>
        <w:jc w:val="left"/>
        <w:rPr>
          <w:rFonts w:ascii="宋体" w:hAnsi="宋体"/>
          <w:b/>
          <w:color w:val="auto"/>
          <w:kern w:val="0"/>
          <w:sz w:val="20"/>
        </w:rPr>
      </w:pPr>
    </w:p>
    <w:p w14:paraId="64AD3248">
      <w:pPr>
        <w:autoSpaceDE w:val="0"/>
        <w:autoSpaceDN w:val="0"/>
        <w:adjustRightInd w:val="0"/>
        <w:snapToGrid w:val="0"/>
        <w:spacing w:line="360" w:lineRule="auto"/>
        <w:jc w:val="left"/>
        <w:rPr>
          <w:rFonts w:ascii="宋体" w:hAnsi="宋体"/>
          <w:b/>
          <w:color w:val="auto"/>
          <w:kern w:val="0"/>
          <w:sz w:val="20"/>
        </w:rPr>
      </w:pPr>
    </w:p>
    <w:p w14:paraId="1BA71140">
      <w:pPr>
        <w:autoSpaceDE w:val="0"/>
        <w:autoSpaceDN w:val="0"/>
        <w:adjustRightInd w:val="0"/>
        <w:snapToGrid w:val="0"/>
        <w:spacing w:line="360" w:lineRule="auto"/>
        <w:jc w:val="left"/>
        <w:rPr>
          <w:rFonts w:ascii="宋体" w:hAnsi="宋体"/>
          <w:b/>
          <w:color w:val="auto"/>
          <w:kern w:val="0"/>
          <w:sz w:val="20"/>
        </w:rPr>
      </w:pPr>
    </w:p>
    <w:p w14:paraId="1DB072FC">
      <w:pPr>
        <w:autoSpaceDE w:val="0"/>
        <w:autoSpaceDN w:val="0"/>
        <w:adjustRightInd w:val="0"/>
        <w:snapToGrid w:val="0"/>
        <w:spacing w:line="360" w:lineRule="auto"/>
        <w:jc w:val="left"/>
        <w:rPr>
          <w:rFonts w:ascii="宋体" w:hAnsi="宋体"/>
          <w:b/>
          <w:color w:val="auto"/>
          <w:kern w:val="0"/>
          <w:sz w:val="20"/>
        </w:rPr>
      </w:pPr>
    </w:p>
    <w:p w14:paraId="05828678">
      <w:pPr>
        <w:autoSpaceDE w:val="0"/>
        <w:autoSpaceDN w:val="0"/>
        <w:adjustRightInd w:val="0"/>
        <w:snapToGrid w:val="0"/>
        <w:spacing w:line="360" w:lineRule="auto"/>
        <w:jc w:val="left"/>
        <w:rPr>
          <w:rFonts w:ascii="宋体" w:hAnsi="宋体"/>
          <w:b/>
          <w:color w:val="auto"/>
          <w:kern w:val="0"/>
          <w:sz w:val="20"/>
        </w:rPr>
      </w:pPr>
    </w:p>
    <w:p w14:paraId="348C6A55">
      <w:pPr>
        <w:autoSpaceDE w:val="0"/>
        <w:autoSpaceDN w:val="0"/>
        <w:adjustRightInd w:val="0"/>
        <w:snapToGrid w:val="0"/>
        <w:spacing w:line="360" w:lineRule="auto"/>
        <w:jc w:val="left"/>
        <w:rPr>
          <w:rFonts w:ascii="宋体" w:hAnsi="宋体"/>
          <w:b/>
          <w:color w:val="auto"/>
          <w:kern w:val="0"/>
          <w:sz w:val="20"/>
        </w:rPr>
      </w:pPr>
    </w:p>
    <w:p w14:paraId="0AE767BC">
      <w:pPr>
        <w:autoSpaceDE w:val="0"/>
        <w:autoSpaceDN w:val="0"/>
        <w:adjustRightInd w:val="0"/>
        <w:snapToGrid w:val="0"/>
        <w:spacing w:line="360" w:lineRule="auto"/>
        <w:jc w:val="left"/>
        <w:rPr>
          <w:rFonts w:ascii="宋体" w:hAnsi="宋体"/>
          <w:b/>
          <w:color w:val="auto"/>
          <w:kern w:val="0"/>
          <w:sz w:val="20"/>
        </w:rPr>
      </w:pPr>
    </w:p>
    <w:p w14:paraId="4408FBFA">
      <w:pPr>
        <w:autoSpaceDE w:val="0"/>
        <w:autoSpaceDN w:val="0"/>
        <w:adjustRightInd w:val="0"/>
        <w:snapToGrid w:val="0"/>
        <w:spacing w:line="360" w:lineRule="auto"/>
        <w:jc w:val="left"/>
        <w:rPr>
          <w:rFonts w:ascii="宋体" w:hAnsi="宋体"/>
          <w:b/>
          <w:color w:val="auto"/>
          <w:kern w:val="0"/>
          <w:sz w:val="20"/>
        </w:rPr>
      </w:pPr>
    </w:p>
    <w:p w14:paraId="2006510C">
      <w:pPr>
        <w:autoSpaceDE w:val="0"/>
        <w:autoSpaceDN w:val="0"/>
        <w:adjustRightInd w:val="0"/>
        <w:snapToGrid w:val="0"/>
        <w:spacing w:line="360" w:lineRule="auto"/>
        <w:jc w:val="left"/>
        <w:rPr>
          <w:rFonts w:ascii="宋体" w:hAnsi="宋体"/>
          <w:b/>
          <w:color w:val="auto"/>
          <w:kern w:val="0"/>
          <w:sz w:val="20"/>
        </w:rPr>
      </w:pPr>
    </w:p>
    <w:p w14:paraId="445E43A9">
      <w:pPr>
        <w:autoSpaceDE w:val="0"/>
        <w:autoSpaceDN w:val="0"/>
        <w:adjustRightInd w:val="0"/>
        <w:snapToGrid w:val="0"/>
        <w:spacing w:line="360" w:lineRule="auto"/>
        <w:jc w:val="left"/>
        <w:rPr>
          <w:rFonts w:ascii="宋体" w:hAnsi="宋体"/>
          <w:b/>
          <w:color w:val="auto"/>
          <w:kern w:val="0"/>
          <w:sz w:val="20"/>
        </w:rPr>
      </w:pPr>
    </w:p>
    <w:p w14:paraId="7383020A">
      <w:pPr>
        <w:autoSpaceDE w:val="0"/>
        <w:autoSpaceDN w:val="0"/>
        <w:adjustRightInd w:val="0"/>
        <w:snapToGrid w:val="0"/>
        <w:spacing w:line="360" w:lineRule="auto"/>
        <w:jc w:val="left"/>
        <w:rPr>
          <w:rFonts w:ascii="宋体" w:hAnsi="宋体"/>
          <w:b/>
          <w:color w:val="auto"/>
          <w:kern w:val="0"/>
          <w:sz w:val="20"/>
        </w:rPr>
      </w:pPr>
    </w:p>
    <w:p w14:paraId="76DB00FD">
      <w:pPr>
        <w:autoSpaceDE w:val="0"/>
        <w:autoSpaceDN w:val="0"/>
        <w:adjustRightInd w:val="0"/>
        <w:snapToGrid w:val="0"/>
        <w:spacing w:line="360" w:lineRule="auto"/>
        <w:jc w:val="left"/>
        <w:rPr>
          <w:rFonts w:ascii="宋体" w:hAnsi="宋体"/>
          <w:b/>
          <w:color w:val="auto"/>
          <w:kern w:val="0"/>
          <w:sz w:val="20"/>
        </w:rPr>
      </w:pPr>
    </w:p>
    <w:p w14:paraId="2A8BBBDD">
      <w:pPr>
        <w:autoSpaceDE w:val="0"/>
        <w:autoSpaceDN w:val="0"/>
        <w:adjustRightInd w:val="0"/>
        <w:snapToGrid w:val="0"/>
        <w:spacing w:line="360" w:lineRule="auto"/>
        <w:jc w:val="left"/>
        <w:rPr>
          <w:rFonts w:ascii="宋体" w:hAnsi="宋体"/>
          <w:b/>
          <w:color w:val="auto"/>
          <w:kern w:val="0"/>
          <w:sz w:val="20"/>
        </w:rPr>
      </w:pPr>
    </w:p>
    <w:p w14:paraId="3EBFBF71">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52F84FCD">
      <w:pPr>
        <w:tabs>
          <w:tab w:val="left" w:pos="6080"/>
          <w:tab w:val="left" w:pos="6640"/>
        </w:tabs>
        <w:autoSpaceDE w:val="0"/>
        <w:autoSpaceDN w:val="0"/>
        <w:adjustRightInd w:val="0"/>
        <w:snapToGrid w:val="0"/>
        <w:spacing w:after="120"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6A5FD437">
      <w:pPr>
        <w:tabs>
          <w:tab w:val="left" w:pos="3280"/>
          <w:tab w:val="left" w:pos="4680"/>
          <w:tab w:val="left" w:pos="608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14:paraId="618613F8">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14:paraId="46AA822C">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14:paraId="7D0E8DA0">
      <w:pPr>
        <w:autoSpaceDE w:val="0"/>
        <w:autoSpaceDN w:val="0"/>
        <w:adjustRightInd w:val="0"/>
        <w:snapToGrid w:val="0"/>
        <w:spacing w:line="360" w:lineRule="auto"/>
        <w:jc w:val="left"/>
        <w:rPr>
          <w:rFonts w:ascii="宋体" w:hAnsi="宋体"/>
          <w:color w:val="auto"/>
          <w:kern w:val="0"/>
          <w:szCs w:val="21"/>
        </w:rPr>
      </w:pPr>
    </w:p>
    <w:p w14:paraId="0E6B5084">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14:paraId="38CBEA78">
      <w:pPr>
        <w:pStyle w:val="5"/>
        <w:spacing w:line="240" w:lineRule="auto"/>
        <w:rPr>
          <w:rFonts w:ascii="宋体" w:hAnsi="宋体"/>
          <w:b w:val="0"/>
          <w:bCs w:val="0"/>
          <w:color w:val="auto"/>
        </w:rPr>
      </w:pPr>
      <w:bookmarkStart w:id="944" w:name="_Toc287607873"/>
      <w:bookmarkStart w:id="945" w:name="_Toc224103501"/>
      <w:bookmarkStart w:id="946" w:name="_Toc430530535"/>
      <w:bookmarkStart w:id="947" w:name="_Toc277082648"/>
      <w:bookmarkStart w:id="948" w:name="_Toc287620820"/>
      <w:r>
        <w:rPr>
          <w:rFonts w:ascii="宋体" w:hAnsi="宋体"/>
          <w:b w:val="0"/>
          <w:bCs w:val="0"/>
          <w:color w:val="auto"/>
          <w:kern w:val="0"/>
          <w:sz w:val="21"/>
          <w:szCs w:val="21"/>
        </w:rPr>
        <w:br w:type="page"/>
      </w:r>
      <w:bookmarkStart w:id="949" w:name="_Toc31355"/>
      <w:bookmarkStart w:id="950" w:name="_Toc8771"/>
      <w:bookmarkStart w:id="951" w:name="_Toc29951"/>
      <w:r>
        <w:rPr>
          <w:rFonts w:hint="eastAsia" w:ascii="宋体" w:hAnsi="宋体"/>
          <w:b w:val="0"/>
          <w:bCs w:val="0"/>
          <w:color w:val="auto"/>
        </w:rPr>
        <w:t>（一）已标价工程量清单</w:t>
      </w:r>
      <w:bookmarkEnd w:id="944"/>
      <w:bookmarkEnd w:id="945"/>
      <w:bookmarkEnd w:id="946"/>
      <w:bookmarkEnd w:id="947"/>
      <w:bookmarkEnd w:id="948"/>
      <w:bookmarkEnd w:id="949"/>
      <w:bookmarkEnd w:id="950"/>
      <w:bookmarkEnd w:id="951"/>
    </w:p>
    <w:p w14:paraId="51B3992D">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14:paraId="30A19D4F">
      <w:pPr>
        <w:pStyle w:val="4"/>
        <w:rPr>
          <w:rFonts w:ascii="宋体" w:hAnsi="宋体"/>
          <w:color w:val="auto"/>
          <w:kern w:val="0"/>
          <w:sz w:val="24"/>
          <w:szCs w:val="21"/>
        </w:rPr>
      </w:pPr>
      <w:bookmarkStart w:id="952" w:name="_Toc224103502"/>
      <w:bookmarkStart w:id="953" w:name="_Toc287607874"/>
      <w:bookmarkStart w:id="954" w:name="_Toc287620821"/>
      <w:bookmarkStart w:id="955" w:name="_Toc430530536"/>
      <w:r>
        <w:rPr>
          <w:rFonts w:ascii="宋体" w:hAnsi="宋体"/>
          <w:color w:val="auto"/>
        </w:rPr>
        <w:br w:type="page"/>
      </w:r>
    </w:p>
    <w:p w14:paraId="6CBD31B2">
      <w:pPr>
        <w:pStyle w:val="4"/>
        <w:jc w:val="center"/>
        <w:rPr>
          <w:rFonts w:ascii="宋体" w:hAnsi="宋体"/>
          <w:b w:val="0"/>
          <w:bCs w:val="0"/>
          <w:color w:val="auto"/>
        </w:rPr>
      </w:pPr>
      <w:bookmarkStart w:id="956" w:name="_Toc13970"/>
      <w:bookmarkStart w:id="957" w:name="_Toc11334"/>
      <w:r>
        <w:rPr>
          <w:rFonts w:hint="eastAsia" w:ascii="宋体" w:hAnsi="宋体"/>
          <w:b w:val="0"/>
          <w:bCs w:val="0"/>
          <w:color w:val="auto"/>
        </w:rPr>
        <w:t>三、</w:t>
      </w:r>
      <w:bookmarkEnd w:id="952"/>
      <w:bookmarkEnd w:id="953"/>
      <w:bookmarkEnd w:id="954"/>
      <w:bookmarkEnd w:id="955"/>
      <w:r>
        <w:rPr>
          <w:rFonts w:hint="eastAsia" w:ascii="宋体" w:hAnsi="宋体"/>
          <w:b w:val="0"/>
          <w:bCs w:val="0"/>
          <w:color w:val="auto"/>
        </w:rPr>
        <w:t>资格审查部分</w:t>
      </w:r>
      <w:bookmarkEnd w:id="956"/>
      <w:bookmarkEnd w:id="957"/>
    </w:p>
    <w:p w14:paraId="504E8AB3">
      <w:pPr>
        <w:spacing w:line="360" w:lineRule="auto"/>
        <w:jc w:val="center"/>
        <w:rPr>
          <w:rFonts w:ascii="宋体" w:hAnsi="宋体"/>
          <w:color w:val="auto"/>
          <w:kern w:val="0"/>
          <w:sz w:val="32"/>
          <w:szCs w:val="32"/>
        </w:rPr>
      </w:pPr>
      <w:r>
        <w:rPr>
          <w:rFonts w:ascii="宋体" w:hAnsi="宋体"/>
          <w:color w:val="auto"/>
          <w:sz w:val="32"/>
          <w:szCs w:val="32"/>
        </w:rPr>
        <w:br w:type="page"/>
      </w:r>
      <w:r>
        <w:rPr>
          <w:rFonts w:hint="eastAsia" w:ascii="宋体" w:hAnsi="宋体"/>
          <w:color w:val="auto"/>
          <w:kern w:val="0"/>
          <w:sz w:val="32"/>
          <w:szCs w:val="32"/>
          <w:u w:val="single"/>
        </w:rPr>
        <w:t xml:space="preserve">                   （项目名称）</w:t>
      </w:r>
    </w:p>
    <w:p w14:paraId="643696B1">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7257547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12CF967C">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14:paraId="72CA86B2">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14:paraId="0260EF23">
      <w:pPr>
        <w:autoSpaceDE w:val="0"/>
        <w:autoSpaceDN w:val="0"/>
        <w:adjustRightInd w:val="0"/>
        <w:snapToGrid w:val="0"/>
        <w:spacing w:line="360" w:lineRule="auto"/>
        <w:jc w:val="left"/>
        <w:rPr>
          <w:rFonts w:ascii="宋体" w:hAnsi="宋体"/>
          <w:color w:val="auto"/>
          <w:kern w:val="0"/>
          <w:sz w:val="16"/>
          <w:szCs w:val="16"/>
        </w:rPr>
      </w:pPr>
    </w:p>
    <w:p w14:paraId="2AC94F8E">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14:paraId="6A5DDEC1">
      <w:pPr>
        <w:autoSpaceDE w:val="0"/>
        <w:autoSpaceDN w:val="0"/>
        <w:adjustRightInd w:val="0"/>
        <w:snapToGrid w:val="0"/>
        <w:spacing w:line="360" w:lineRule="auto"/>
        <w:jc w:val="left"/>
        <w:rPr>
          <w:rFonts w:ascii="宋体" w:hAnsi="宋体" w:cs="MingLiU"/>
          <w:color w:val="auto"/>
          <w:kern w:val="0"/>
          <w:sz w:val="20"/>
        </w:rPr>
      </w:pPr>
    </w:p>
    <w:p w14:paraId="0B7E1894">
      <w:pPr>
        <w:adjustRightInd w:val="0"/>
        <w:snapToGrid w:val="0"/>
        <w:spacing w:line="264" w:lineRule="auto"/>
        <w:rPr>
          <w:rFonts w:ascii="宋体" w:hAnsi="宋体"/>
          <w:color w:val="auto"/>
          <w:szCs w:val="21"/>
        </w:rPr>
      </w:pPr>
    </w:p>
    <w:p w14:paraId="55FF0620">
      <w:pPr>
        <w:autoSpaceDE w:val="0"/>
        <w:autoSpaceDN w:val="0"/>
        <w:adjustRightInd w:val="0"/>
        <w:snapToGrid w:val="0"/>
        <w:spacing w:line="360" w:lineRule="auto"/>
        <w:jc w:val="left"/>
        <w:rPr>
          <w:rFonts w:ascii="宋体" w:hAnsi="宋体" w:cs="MingLiU"/>
          <w:color w:val="auto"/>
          <w:kern w:val="0"/>
          <w:sz w:val="20"/>
        </w:rPr>
      </w:pPr>
    </w:p>
    <w:p w14:paraId="48ABFCBD">
      <w:pPr>
        <w:autoSpaceDE w:val="0"/>
        <w:autoSpaceDN w:val="0"/>
        <w:adjustRightInd w:val="0"/>
        <w:snapToGrid w:val="0"/>
        <w:spacing w:line="360" w:lineRule="auto"/>
        <w:jc w:val="left"/>
        <w:rPr>
          <w:rFonts w:ascii="宋体" w:hAnsi="宋体" w:cs="MingLiU"/>
          <w:color w:val="auto"/>
          <w:kern w:val="0"/>
          <w:sz w:val="20"/>
        </w:rPr>
      </w:pPr>
    </w:p>
    <w:p w14:paraId="759598B5">
      <w:pPr>
        <w:autoSpaceDE w:val="0"/>
        <w:autoSpaceDN w:val="0"/>
        <w:adjustRightInd w:val="0"/>
        <w:snapToGrid w:val="0"/>
        <w:spacing w:line="360" w:lineRule="auto"/>
        <w:jc w:val="left"/>
        <w:rPr>
          <w:rFonts w:ascii="宋体" w:hAnsi="宋体" w:cs="MingLiU"/>
          <w:color w:val="auto"/>
          <w:kern w:val="0"/>
          <w:sz w:val="20"/>
        </w:rPr>
      </w:pPr>
    </w:p>
    <w:p w14:paraId="44154CC7">
      <w:pPr>
        <w:autoSpaceDE w:val="0"/>
        <w:autoSpaceDN w:val="0"/>
        <w:adjustRightInd w:val="0"/>
        <w:snapToGrid w:val="0"/>
        <w:spacing w:line="360" w:lineRule="auto"/>
        <w:jc w:val="left"/>
        <w:rPr>
          <w:rFonts w:ascii="宋体" w:hAnsi="宋体" w:cs="MingLiU"/>
          <w:color w:val="auto"/>
          <w:kern w:val="0"/>
          <w:sz w:val="20"/>
        </w:rPr>
      </w:pPr>
    </w:p>
    <w:p w14:paraId="6F459D37">
      <w:pPr>
        <w:autoSpaceDE w:val="0"/>
        <w:autoSpaceDN w:val="0"/>
        <w:adjustRightInd w:val="0"/>
        <w:snapToGrid w:val="0"/>
        <w:spacing w:line="360" w:lineRule="auto"/>
        <w:jc w:val="left"/>
        <w:rPr>
          <w:rFonts w:ascii="宋体" w:hAnsi="宋体" w:cs="MingLiU"/>
          <w:color w:val="auto"/>
          <w:kern w:val="0"/>
          <w:sz w:val="20"/>
        </w:rPr>
      </w:pPr>
    </w:p>
    <w:p w14:paraId="5DA7BB8A">
      <w:pPr>
        <w:autoSpaceDE w:val="0"/>
        <w:autoSpaceDN w:val="0"/>
        <w:adjustRightInd w:val="0"/>
        <w:snapToGrid w:val="0"/>
        <w:spacing w:line="360" w:lineRule="auto"/>
        <w:jc w:val="left"/>
        <w:rPr>
          <w:rFonts w:ascii="宋体" w:hAnsi="宋体" w:cs="MingLiU"/>
          <w:color w:val="auto"/>
          <w:kern w:val="0"/>
          <w:sz w:val="20"/>
        </w:rPr>
      </w:pPr>
    </w:p>
    <w:p w14:paraId="475BA162">
      <w:pPr>
        <w:autoSpaceDE w:val="0"/>
        <w:autoSpaceDN w:val="0"/>
        <w:adjustRightInd w:val="0"/>
        <w:snapToGrid w:val="0"/>
        <w:spacing w:line="360" w:lineRule="auto"/>
        <w:jc w:val="left"/>
        <w:rPr>
          <w:rFonts w:ascii="宋体" w:hAnsi="宋体" w:cs="MingLiU"/>
          <w:color w:val="auto"/>
          <w:kern w:val="0"/>
          <w:sz w:val="20"/>
        </w:rPr>
      </w:pPr>
    </w:p>
    <w:p w14:paraId="55E92127">
      <w:pPr>
        <w:autoSpaceDE w:val="0"/>
        <w:autoSpaceDN w:val="0"/>
        <w:adjustRightInd w:val="0"/>
        <w:snapToGrid w:val="0"/>
        <w:spacing w:line="360" w:lineRule="auto"/>
        <w:jc w:val="left"/>
        <w:rPr>
          <w:rFonts w:ascii="宋体" w:hAnsi="宋体" w:cs="MingLiU"/>
          <w:color w:val="auto"/>
          <w:kern w:val="0"/>
          <w:sz w:val="20"/>
        </w:rPr>
      </w:pPr>
    </w:p>
    <w:p w14:paraId="05CBD98C">
      <w:pPr>
        <w:autoSpaceDE w:val="0"/>
        <w:autoSpaceDN w:val="0"/>
        <w:adjustRightInd w:val="0"/>
        <w:snapToGrid w:val="0"/>
        <w:spacing w:line="360" w:lineRule="auto"/>
        <w:jc w:val="left"/>
        <w:rPr>
          <w:rFonts w:ascii="宋体" w:hAnsi="宋体" w:cs="MingLiU"/>
          <w:color w:val="auto"/>
          <w:kern w:val="0"/>
          <w:sz w:val="20"/>
        </w:rPr>
      </w:pPr>
    </w:p>
    <w:p w14:paraId="013D33AE">
      <w:pPr>
        <w:autoSpaceDE w:val="0"/>
        <w:autoSpaceDN w:val="0"/>
        <w:adjustRightInd w:val="0"/>
        <w:snapToGrid w:val="0"/>
        <w:spacing w:line="360" w:lineRule="auto"/>
        <w:jc w:val="left"/>
        <w:rPr>
          <w:rFonts w:ascii="宋体" w:hAnsi="宋体" w:cs="MingLiU"/>
          <w:color w:val="auto"/>
          <w:kern w:val="0"/>
          <w:sz w:val="20"/>
        </w:rPr>
      </w:pPr>
    </w:p>
    <w:p w14:paraId="6B171C13">
      <w:pPr>
        <w:autoSpaceDE w:val="0"/>
        <w:autoSpaceDN w:val="0"/>
        <w:adjustRightInd w:val="0"/>
        <w:snapToGrid w:val="0"/>
        <w:spacing w:line="360" w:lineRule="auto"/>
        <w:jc w:val="left"/>
        <w:rPr>
          <w:rFonts w:ascii="宋体" w:hAnsi="宋体" w:cs="MingLiU"/>
          <w:color w:val="auto"/>
          <w:kern w:val="0"/>
          <w:sz w:val="20"/>
        </w:rPr>
      </w:pPr>
    </w:p>
    <w:p w14:paraId="0D277FD3">
      <w:pPr>
        <w:autoSpaceDE w:val="0"/>
        <w:autoSpaceDN w:val="0"/>
        <w:adjustRightInd w:val="0"/>
        <w:snapToGrid w:val="0"/>
        <w:spacing w:line="360" w:lineRule="auto"/>
        <w:jc w:val="left"/>
        <w:rPr>
          <w:rFonts w:ascii="宋体" w:hAnsi="宋体" w:cs="MingLiU"/>
          <w:color w:val="auto"/>
          <w:kern w:val="0"/>
          <w:sz w:val="20"/>
        </w:rPr>
      </w:pPr>
    </w:p>
    <w:p w14:paraId="24BAD48A">
      <w:pPr>
        <w:autoSpaceDE w:val="0"/>
        <w:autoSpaceDN w:val="0"/>
        <w:adjustRightInd w:val="0"/>
        <w:snapToGrid w:val="0"/>
        <w:spacing w:line="360" w:lineRule="auto"/>
        <w:jc w:val="left"/>
        <w:rPr>
          <w:rFonts w:ascii="宋体" w:hAnsi="宋体" w:cs="MingLiU"/>
          <w:color w:val="auto"/>
          <w:kern w:val="0"/>
          <w:sz w:val="20"/>
        </w:rPr>
      </w:pPr>
    </w:p>
    <w:p w14:paraId="4904B7C5">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14:paraId="66716F43">
      <w:pPr>
        <w:tabs>
          <w:tab w:val="left" w:pos="6080"/>
          <w:tab w:val="left" w:pos="6640"/>
        </w:tabs>
        <w:autoSpaceDE w:val="0"/>
        <w:autoSpaceDN w:val="0"/>
        <w:adjustRightInd w:val="0"/>
        <w:snapToGrid w:val="0"/>
        <w:spacing w:line="480" w:lineRule="auto"/>
        <w:ind w:firstLine="1108" w:firstLineChars="400"/>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14:paraId="034E6B63">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14:paraId="23C3E028">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99"/>
          <w:kern w:val="0"/>
          <w:sz w:val="28"/>
          <w:szCs w:val="28"/>
        </w:rPr>
        <w:br w:type="page"/>
      </w:r>
    </w:p>
    <w:p w14:paraId="1B361576">
      <w:pPr>
        <w:autoSpaceDE w:val="0"/>
        <w:autoSpaceDN w:val="0"/>
        <w:adjustRightInd w:val="0"/>
        <w:snapToGrid w:val="0"/>
        <w:jc w:val="center"/>
        <w:rPr>
          <w:rFonts w:ascii="宋体" w:hAnsi="宋体"/>
          <w:color w:val="auto"/>
          <w:kern w:val="0"/>
          <w:sz w:val="32"/>
          <w:szCs w:val="32"/>
        </w:rPr>
      </w:pPr>
      <w:r>
        <w:rPr>
          <w:rFonts w:hint="eastAsia" w:ascii="宋体" w:hAnsi="宋体"/>
          <w:color w:val="auto"/>
          <w:kern w:val="0"/>
          <w:sz w:val="32"/>
          <w:szCs w:val="32"/>
        </w:rPr>
        <w:t>目  录</w:t>
      </w:r>
    </w:p>
    <w:p w14:paraId="74D6A554">
      <w:pPr>
        <w:spacing w:line="360" w:lineRule="auto"/>
        <w:jc w:val="center"/>
        <w:rPr>
          <w:rFonts w:ascii="宋体" w:hAnsi="宋体"/>
          <w:b/>
          <w:color w:val="auto"/>
          <w:kern w:val="0"/>
          <w:sz w:val="32"/>
          <w:szCs w:val="32"/>
        </w:rPr>
      </w:pPr>
    </w:p>
    <w:p w14:paraId="1432EA50">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14:paraId="49F7C345">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14:paraId="330F1B11">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14:paraId="0DAB31DE">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14:paraId="12B32BA7">
      <w:pPr>
        <w:spacing w:line="700" w:lineRule="exact"/>
        <w:ind w:firstLine="480" w:firstLineChars="200"/>
        <w:jc w:val="left"/>
        <w:rPr>
          <w:rFonts w:ascii="宋体" w:hAnsi="宋体"/>
          <w:b/>
          <w:color w:val="auto"/>
          <w:kern w:val="0"/>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14:paraId="6944F29D">
      <w:pPr>
        <w:spacing w:line="360" w:lineRule="auto"/>
        <w:jc w:val="center"/>
        <w:rPr>
          <w:rFonts w:ascii="宋体" w:hAnsi="宋体"/>
          <w:b/>
          <w:color w:val="auto"/>
          <w:kern w:val="0"/>
          <w:sz w:val="32"/>
          <w:szCs w:val="32"/>
        </w:rPr>
      </w:pPr>
    </w:p>
    <w:p w14:paraId="2C816C4E">
      <w:pPr>
        <w:pStyle w:val="5"/>
        <w:spacing w:line="240" w:lineRule="auto"/>
        <w:rPr>
          <w:rFonts w:ascii="宋体" w:hAnsi="宋体"/>
          <w:color w:val="auto"/>
          <w:sz w:val="36"/>
          <w:szCs w:val="36"/>
        </w:rPr>
      </w:pPr>
      <w:r>
        <w:rPr>
          <w:rFonts w:ascii="宋体" w:hAnsi="宋体"/>
          <w:color w:val="auto"/>
        </w:rPr>
        <w:br w:type="page"/>
      </w:r>
      <w:bookmarkStart w:id="958" w:name="_Toc430530546"/>
      <w:bookmarkStart w:id="959" w:name="_Toc224103511"/>
      <w:bookmarkStart w:id="960" w:name="_Toc287620830"/>
      <w:bookmarkStart w:id="961" w:name="_Toc287607883"/>
      <w:bookmarkStart w:id="962" w:name="_Toc15507"/>
      <w:bookmarkStart w:id="963" w:name="_Toc19892"/>
      <w:bookmarkStart w:id="964" w:name="_Toc277082657"/>
      <w:r>
        <w:rPr>
          <w:rFonts w:hint="eastAsia" w:ascii="宋体" w:hAnsi="宋体"/>
          <w:b w:val="0"/>
          <w:bCs w:val="0"/>
          <w:color w:val="auto"/>
        </w:rPr>
        <w:t>（一）法定代表人身份证明或附有法定代表人身份证明的授权委托书</w:t>
      </w:r>
      <w:bookmarkEnd w:id="958"/>
      <w:bookmarkEnd w:id="959"/>
      <w:bookmarkEnd w:id="960"/>
      <w:bookmarkEnd w:id="961"/>
      <w:bookmarkEnd w:id="962"/>
      <w:bookmarkEnd w:id="963"/>
      <w:bookmarkEnd w:id="964"/>
    </w:p>
    <w:p w14:paraId="6F3E2D95">
      <w:pPr>
        <w:spacing w:line="480" w:lineRule="auto"/>
        <w:jc w:val="center"/>
        <w:rPr>
          <w:rFonts w:ascii="宋体" w:hAnsi="宋体"/>
          <w:color w:val="auto"/>
          <w:sz w:val="28"/>
        </w:rPr>
      </w:pPr>
      <w:r>
        <w:rPr>
          <w:rFonts w:hint="eastAsia" w:ascii="宋体" w:hAnsi="宋体"/>
          <w:color w:val="auto"/>
          <w:sz w:val="28"/>
        </w:rPr>
        <w:t>法定代表人身份证明</w:t>
      </w:r>
    </w:p>
    <w:p w14:paraId="26E5168F">
      <w:pPr>
        <w:spacing w:line="480" w:lineRule="auto"/>
        <w:jc w:val="center"/>
        <w:rPr>
          <w:rFonts w:ascii="宋体" w:hAnsi="宋体"/>
          <w:color w:val="auto"/>
        </w:rPr>
      </w:pPr>
    </w:p>
    <w:p w14:paraId="1681626C">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6E22510">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67E18BDB">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7460B003">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14:paraId="7CD2B1A4">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14:paraId="54BAC94C">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14:paraId="6B725696">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14:paraId="05E67B01">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14:paraId="20BBE26D">
      <w:pPr>
        <w:autoSpaceDE w:val="0"/>
        <w:autoSpaceDN w:val="0"/>
        <w:adjustRightInd w:val="0"/>
        <w:snapToGrid w:val="0"/>
        <w:spacing w:line="700" w:lineRule="exact"/>
        <w:ind w:firstLine="810" w:firstLineChars="386"/>
        <w:jc w:val="left"/>
        <w:rPr>
          <w:rFonts w:ascii="宋体" w:hAnsi="宋体"/>
          <w:color w:val="auto"/>
          <w:kern w:val="0"/>
          <w:szCs w:val="21"/>
        </w:rPr>
      </w:pPr>
    </w:p>
    <w:p w14:paraId="1C9C027A">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14:paraId="2C759AD9">
      <w:pPr>
        <w:autoSpaceDE w:val="0"/>
        <w:autoSpaceDN w:val="0"/>
        <w:adjustRightInd w:val="0"/>
        <w:snapToGrid w:val="0"/>
        <w:spacing w:line="700" w:lineRule="exact"/>
        <w:ind w:firstLine="420" w:firstLineChars="200"/>
        <w:jc w:val="right"/>
        <w:rPr>
          <w:rFonts w:ascii="宋体" w:hAnsi="宋体"/>
          <w:color w:val="auto"/>
          <w:kern w:val="0"/>
          <w:szCs w:val="21"/>
        </w:rPr>
      </w:pPr>
    </w:p>
    <w:p w14:paraId="102F3C93">
      <w:pPr>
        <w:autoSpaceDE w:val="0"/>
        <w:autoSpaceDN w:val="0"/>
        <w:adjustRightInd w:val="0"/>
        <w:snapToGrid w:val="0"/>
        <w:spacing w:line="700" w:lineRule="exact"/>
        <w:ind w:firstLine="420" w:firstLineChars="2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14:paraId="70093ED6">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14:paraId="3E2CD8B9">
      <w:pPr>
        <w:autoSpaceDE w:val="0"/>
        <w:autoSpaceDN w:val="0"/>
        <w:adjustRightInd w:val="0"/>
        <w:snapToGrid w:val="0"/>
        <w:spacing w:line="700" w:lineRule="exact"/>
        <w:jc w:val="left"/>
        <w:rPr>
          <w:rFonts w:ascii="宋体" w:hAnsi="宋体"/>
          <w:color w:val="auto"/>
          <w:kern w:val="0"/>
        </w:rPr>
      </w:pPr>
    </w:p>
    <w:p w14:paraId="5A34882F">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r>
        <w:rPr>
          <w:rFonts w:ascii="宋体" w:hAnsi="宋体"/>
          <w:color w:val="auto"/>
        </w:rPr>
        <w:t>注：法定代表人身份证明需按上述格式填写完整，不可缺少内容。在此基础上增加内容的不影响其有效性</w:t>
      </w:r>
      <w:r>
        <w:rPr>
          <w:rFonts w:hint="eastAsia" w:ascii="宋体" w:hAnsi="宋体"/>
          <w:color w:val="auto"/>
          <w:kern w:val="0"/>
          <w:szCs w:val="21"/>
        </w:rPr>
        <w:t>。</w:t>
      </w:r>
    </w:p>
    <w:p w14:paraId="2DFF7835">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p>
    <w:p w14:paraId="4C9D4C73">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b/>
          <w:color w:val="auto"/>
          <w:kern w:val="0"/>
          <w:sz w:val="28"/>
          <w:szCs w:val="28"/>
        </w:rPr>
        <w:br w:type="page"/>
      </w:r>
      <w:r>
        <w:rPr>
          <w:rFonts w:ascii="宋体" w:hAnsi="宋体"/>
          <w:snapToGrid w:val="0"/>
          <w:color w:val="auto"/>
          <w:kern w:val="0"/>
          <w:sz w:val="32"/>
          <w:szCs w:val="32"/>
        </w:rPr>
        <w:t>授权委托书</w:t>
      </w:r>
    </w:p>
    <w:p w14:paraId="0604E85A">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p>
    <w:p w14:paraId="04A87298">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14:paraId="1CF0F182">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14:paraId="0C1DF43B">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14:paraId="2D712FBF">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14:paraId="3A10386A">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14:paraId="174DB5A1">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14:paraId="41A0D855">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401B9B6D">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hint="eastAsia" w:ascii="宋体" w:hAnsi="宋体"/>
          <w:color w:val="auto"/>
          <w:spacing w:val="-1"/>
          <w:kern w:val="0"/>
          <w:szCs w:val="21"/>
        </w:rPr>
        <w:t>）</w:t>
      </w:r>
    </w:p>
    <w:p w14:paraId="3A71275D">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14:paraId="60702DF6">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14:paraId="290EB4C6">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14:paraId="1CBC617F">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14:paraId="747E6D3C">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color w:val="auto"/>
          <w:kern w:val="0"/>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月</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日</w:t>
      </w:r>
      <w:r>
        <w:rPr>
          <w:rFonts w:hint="eastAsia" w:ascii="宋体" w:hAnsi="宋体"/>
          <w:color w:val="auto"/>
          <w:kern w:val="0"/>
          <w:szCs w:val="21"/>
        </w:rPr>
        <w:t xml:space="preserve"> </w:t>
      </w:r>
    </w:p>
    <w:p w14:paraId="4235CD4F">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364C2E58">
      <w:pPr>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14:paraId="494390B1">
      <w:pPr>
        <w:autoSpaceDE w:val="0"/>
        <w:autoSpaceDN w:val="0"/>
        <w:adjustRightInd w:val="0"/>
        <w:snapToGrid w:val="0"/>
        <w:jc w:val="center"/>
        <w:rPr>
          <w:rFonts w:ascii="宋体" w:hAnsi="宋体"/>
          <w:color w:val="auto"/>
        </w:rPr>
      </w:pPr>
      <w:r>
        <w:rPr>
          <w:rFonts w:ascii="宋体" w:hAnsi="宋体"/>
          <w:color w:val="auto"/>
        </w:rPr>
        <w:br w:type="page"/>
      </w:r>
    </w:p>
    <w:p w14:paraId="503853D3">
      <w:pPr>
        <w:pStyle w:val="5"/>
        <w:spacing w:line="240" w:lineRule="auto"/>
        <w:rPr>
          <w:rFonts w:ascii="宋体" w:hAnsi="宋体"/>
          <w:color w:val="auto"/>
        </w:rPr>
      </w:pPr>
      <w:bookmarkStart w:id="965" w:name="_Toc224103512"/>
      <w:bookmarkStart w:id="966" w:name="_Toc287620831"/>
      <w:bookmarkStart w:id="967" w:name="_Toc430530547"/>
      <w:bookmarkStart w:id="968" w:name="_Toc287607884"/>
      <w:bookmarkStart w:id="969" w:name="_Toc277082658"/>
      <w:bookmarkStart w:id="970" w:name="_Toc5288"/>
      <w:bookmarkStart w:id="971" w:name="_Toc9914"/>
      <w:r>
        <w:rPr>
          <w:rFonts w:hint="eastAsia" w:ascii="宋体" w:hAnsi="宋体"/>
          <w:b w:val="0"/>
          <w:bCs w:val="0"/>
          <w:color w:val="auto"/>
        </w:rPr>
        <w:t>（二）</w:t>
      </w:r>
      <w:bookmarkEnd w:id="965"/>
      <w:bookmarkEnd w:id="966"/>
      <w:bookmarkEnd w:id="967"/>
      <w:bookmarkEnd w:id="968"/>
      <w:bookmarkEnd w:id="969"/>
      <w:bookmarkStart w:id="972" w:name="_Toc277082659"/>
      <w:bookmarkStart w:id="973" w:name="_Toc287607887"/>
      <w:r>
        <w:rPr>
          <w:rFonts w:hint="eastAsia" w:ascii="宋体" w:hAnsi="宋体"/>
          <w:b w:val="0"/>
          <w:bCs w:val="0"/>
          <w:color w:val="auto"/>
        </w:rPr>
        <w:t>投标人基本情况表</w:t>
      </w:r>
      <w:bookmarkEnd w:id="970"/>
      <w:bookmarkEnd w:id="971"/>
    </w:p>
    <w:tbl>
      <w:tblPr>
        <w:tblStyle w:val="52"/>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14:paraId="4D3BEB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ED1CD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908" w:type="dxa"/>
            <w:gridSpan w:val="9"/>
            <w:vAlign w:val="center"/>
          </w:tcPr>
          <w:p w14:paraId="1164335C">
            <w:pPr>
              <w:autoSpaceDE w:val="0"/>
              <w:autoSpaceDN w:val="0"/>
              <w:adjustRightInd w:val="0"/>
              <w:snapToGrid w:val="0"/>
              <w:jc w:val="center"/>
              <w:rPr>
                <w:rFonts w:ascii="宋体" w:hAnsi="宋体"/>
                <w:color w:val="auto"/>
                <w:kern w:val="0"/>
                <w:szCs w:val="21"/>
              </w:rPr>
            </w:pPr>
          </w:p>
        </w:tc>
      </w:tr>
      <w:tr w14:paraId="14E0B8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F5BD6E3">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14:paraId="447FA914">
            <w:pPr>
              <w:autoSpaceDE w:val="0"/>
              <w:autoSpaceDN w:val="0"/>
              <w:adjustRightInd w:val="0"/>
              <w:snapToGrid w:val="0"/>
              <w:jc w:val="center"/>
              <w:rPr>
                <w:rFonts w:ascii="宋体" w:hAnsi="宋体"/>
                <w:color w:val="auto"/>
                <w:kern w:val="0"/>
                <w:szCs w:val="21"/>
              </w:rPr>
            </w:pPr>
          </w:p>
        </w:tc>
        <w:tc>
          <w:tcPr>
            <w:tcW w:w="1392" w:type="dxa"/>
            <w:vAlign w:val="center"/>
          </w:tcPr>
          <w:p w14:paraId="1E67E0E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3066" w:type="dxa"/>
            <w:gridSpan w:val="3"/>
            <w:vAlign w:val="center"/>
          </w:tcPr>
          <w:p w14:paraId="5CA12449">
            <w:pPr>
              <w:autoSpaceDE w:val="0"/>
              <w:autoSpaceDN w:val="0"/>
              <w:adjustRightInd w:val="0"/>
              <w:snapToGrid w:val="0"/>
              <w:jc w:val="center"/>
              <w:rPr>
                <w:rFonts w:ascii="宋体" w:hAnsi="宋体"/>
                <w:color w:val="auto"/>
                <w:kern w:val="0"/>
                <w:szCs w:val="21"/>
              </w:rPr>
            </w:pPr>
          </w:p>
        </w:tc>
      </w:tr>
      <w:tr w14:paraId="63DCA7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1193E5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14:paraId="30B0715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14:paraId="007E7D99">
            <w:pPr>
              <w:autoSpaceDE w:val="0"/>
              <w:autoSpaceDN w:val="0"/>
              <w:adjustRightInd w:val="0"/>
              <w:snapToGrid w:val="0"/>
              <w:jc w:val="center"/>
              <w:rPr>
                <w:rFonts w:ascii="宋体" w:hAnsi="宋体"/>
                <w:color w:val="auto"/>
                <w:kern w:val="0"/>
                <w:szCs w:val="21"/>
              </w:rPr>
            </w:pPr>
          </w:p>
        </w:tc>
        <w:tc>
          <w:tcPr>
            <w:tcW w:w="1392" w:type="dxa"/>
            <w:vAlign w:val="center"/>
          </w:tcPr>
          <w:p w14:paraId="1911848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3066" w:type="dxa"/>
            <w:gridSpan w:val="3"/>
            <w:vAlign w:val="center"/>
          </w:tcPr>
          <w:p w14:paraId="7ED2B505">
            <w:pPr>
              <w:autoSpaceDE w:val="0"/>
              <w:autoSpaceDN w:val="0"/>
              <w:adjustRightInd w:val="0"/>
              <w:snapToGrid w:val="0"/>
              <w:jc w:val="center"/>
              <w:rPr>
                <w:rFonts w:ascii="宋体" w:hAnsi="宋体"/>
                <w:color w:val="auto"/>
                <w:kern w:val="0"/>
                <w:szCs w:val="21"/>
              </w:rPr>
            </w:pPr>
          </w:p>
        </w:tc>
      </w:tr>
      <w:tr w14:paraId="17B88E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A9E4622">
            <w:pPr>
              <w:autoSpaceDE w:val="0"/>
              <w:autoSpaceDN w:val="0"/>
              <w:adjustRightInd w:val="0"/>
              <w:snapToGrid w:val="0"/>
              <w:jc w:val="center"/>
              <w:rPr>
                <w:rFonts w:ascii="宋体" w:hAnsi="宋体"/>
                <w:color w:val="auto"/>
                <w:kern w:val="0"/>
                <w:szCs w:val="21"/>
              </w:rPr>
            </w:pPr>
          </w:p>
        </w:tc>
        <w:tc>
          <w:tcPr>
            <w:tcW w:w="967" w:type="dxa"/>
            <w:vAlign w:val="center"/>
          </w:tcPr>
          <w:p w14:paraId="2ABFA62C">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14:paraId="06C58A9C">
            <w:pPr>
              <w:autoSpaceDE w:val="0"/>
              <w:autoSpaceDN w:val="0"/>
              <w:adjustRightInd w:val="0"/>
              <w:snapToGrid w:val="0"/>
              <w:jc w:val="center"/>
              <w:rPr>
                <w:rFonts w:ascii="宋体" w:hAnsi="宋体"/>
                <w:color w:val="auto"/>
                <w:kern w:val="0"/>
                <w:szCs w:val="21"/>
              </w:rPr>
            </w:pPr>
          </w:p>
        </w:tc>
        <w:tc>
          <w:tcPr>
            <w:tcW w:w="1392" w:type="dxa"/>
            <w:vAlign w:val="center"/>
          </w:tcPr>
          <w:p w14:paraId="58A1444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3066" w:type="dxa"/>
            <w:gridSpan w:val="3"/>
            <w:vAlign w:val="center"/>
          </w:tcPr>
          <w:p w14:paraId="753FF151">
            <w:pPr>
              <w:autoSpaceDE w:val="0"/>
              <w:autoSpaceDN w:val="0"/>
              <w:adjustRightInd w:val="0"/>
              <w:snapToGrid w:val="0"/>
              <w:jc w:val="center"/>
              <w:rPr>
                <w:rFonts w:ascii="宋体" w:hAnsi="宋体"/>
                <w:color w:val="auto"/>
                <w:kern w:val="0"/>
                <w:szCs w:val="21"/>
              </w:rPr>
            </w:pPr>
          </w:p>
        </w:tc>
      </w:tr>
      <w:tr w14:paraId="2F465C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840D66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908" w:type="dxa"/>
            <w:gridSpan w:val="9"/>
            <w:vAlign w:val="center"/>
          </w:tcPr>
          <w:p w14:paraId="1BFF25E5">
            <w:pPr>
              <w:autoSpaceDE w:val="0"/>
              <w:autoSpaceDN w:val="0"/>
              <w:adjustRightInd w:val="0"/>
              <w:snapToGrid w:val="0"/>
              <w:jc w:val="center"/>
              <w:rPr>
                <w:rFonts w:ascii="宋体" w:hAnsi="宋体"/>
                <w:color w:val="auto"/>
                <w:kern w:val="0"/>
                <w:szCs w:val="21"/>
              </w:rPr>
            </w:pPr>
          </w:p>
        </w:tc>
      </w:tr>
      <w:tr w14:paraId="57B590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68C7BB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14:paraId="4E0237C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61CA7685">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64904D5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59258536">
            <w:pPr>
              <w:autoSpaceDE w:val="0"/>
              <w:autoSpaceDN w:val="0"/>
              <w:adjustRightInd w:val="0"/>
              <w:snapToGrid w:val="0"/>
              <w:jc w:val="center"/>
              <w:rPr>
                <w:rFonts w:ascii="宋体" w:hAnsi="宋体"/>
                <w:color w:val="auto"/>
                <w:kern w:val="0"/>
                <w:szCs w:val="21"/>
              </w:rPr>
            </w:pPr>
          </w:p>
        </w:tc>
        <w:tc>
          <w:tcPr>
            <w:tcW w:w="925" w:type="dxa"/>
            <w:vAlign w:val="center"/>
          </w:tcPr>
          <w:p w14:paraId="0C71EEAF">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14:paraId="356AE7A7">
            <w:pPr>
              <w:autoSpaceDE w:val="0"/>
              <w:autoSpaceDN w:val="0"/>
              <w:adjustRightInd w:val="0"/>
              <w:snapToGrid w:val="0"/>
              <w:jc w:val="center"/>
              <w:rPr>
                <w:rFonts w:ascii="宋体" w:hAnsi="宋体"/>
                <w:color w:val="auto"/>
                <w:kern w:val="0"/>
                <w:szCs w:val="21"/>
              </w:rPr>
            </w:pPr>
          </w:p>
        </w:tc>
      </w:tr>
      <w:tr w14:paraId="747B4B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47FE7E">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14:paraId="3EDF803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14:paraId="011A8158">
            <w:pPr>
              <w:autoSpaceDE w:val="0"/>
              <w:autoSpaceDN w:val="0"/>
              <w:adjustRightInd w:val="0"/>
              <w:snapToGrid w:val="0"/>
              <w:jc w:val="center"/>
              <w:rPr>
                <w:rFonts w:ascii="宋体" w:hAnsi="宋体"/>
                <w:color w:val="auto"/>
                <w:kern w:val="0"/>
                <w:szCs w:val="21"/>
              </w:rPr>
            </w:pPr>
          </w:p>
        </w:tc>
        <w:tc>
          <w:tcPr>
            <w:tcW w:w="1356" w:type="dxa"/>
            <w:gridSpan w:val="2"/>
            <w:vAlign w:val="center"/>
          </w:tcPr>
          <w:p w14:paraId="41C09DA6">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14:paraId="684EA679">
            <w:pPr>
              <w:autoSpaceDE w:val="0"/>
              <w:autoSpaceDN w:val="0"/>
              <w:adjustRightInd w:val="0"/>
              <w:snapToGrid w:val="0"/>
              <w:jc w:val="center"/>
              <w:rPr>
                <w:rFonts w:ascii="宋体" w:hAnsi="宋体"/>
                <w:color w:val="auto"/>
                <w:kern w:val="0"/>
                <w:szCs w:val="21"/>
              </w:rPr>
            </w:pPr>
          </w:p>
        </w:tc>
        <w:tc>
          <w:tcPr>
            <w:tcW w:w="925" w:type="dxa"/>
            <w:vAlign w:val="center"/>
          </w:tcPr>
          <w:p w14:paraId="5F33F46A">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14:paraId="19087087">
            <w:pPr>
              <w:autoSpaceDE w:val="0"/>
              <w:autoSpaceDN w:val="0"/>
              <w:adjustRightInd w:val="0"/>
              <w:snapToGrid w:val="0"/>
              <w:jc w:val="center"/>
              <w:rPr>
                <w:rFonts w:ascii="宋体" w:hAnsi="宋体"/>
                <w:color w:val="auto"/>
                <w:kern w:val="0"/>
                <w:szCs w:val="21"/>
              </w:rPr>
            </w:pPr>
          </w:p>
        </w:tc>
      </w:tr>
      <w:tr w14:paraId="2A628A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4098121">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14:paraId="1FBE6CCC">
            <w:pPr>
              <w:autoSpaceDE w:val="0"/>
              <w:autoSpaceDN w:val="0"/>
              <w:adjustRightInd w:val="0"/>
              <w:snapToGrid w:val="0"/>
              <w:jc w:val="center"/>
              <w:rPr>
                <w:rFonts w:ascii="宋体" w:hAnsi="宋体"/>
                <w:color w:val="auto"/>
                <w:kern w:val="0"/>
                <w:szCs w:val="21"/>
              </w:rPr>
            </w:pPr>
          </w:p>
        </w:tc>
        <w:tc>
          <w:tcPr>
            <w:tcW w:w="5917" w:type="dxa"/>
            <w:gridSpan w:val="7"/>
            <w:vAlign w:val="center"/>
          </w:tcPr>
          <w:p w14:paraId="4E35485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14:paraId="2FA22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3603B2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14:paraId="1B538CE4">
            <w:pPr>
              <w:autoSpaceDE w:val="0"/>
              <w:autoSpaceDN w:val="0"/>
              <w:adjustRightInd w:val="0"/>
              <w:snapToGrid w:val="0"/>
              <w:jc w:val="center"/>
              <w:rPr>
                <w:rFonts w:ascii="宋体" w:hAnsi="宋体"/>
                <w:color w:val="auto"/>
                <w:kern w:val="0"/>
                <w:szCs w:val="21"/>
              </w:rPr>
            </w:pPr>
          </w:p>
        </w:tc>
        <w:tc>
          <w:tcPr>
            <w:tcW w:w="904" w:type="dxa"/>
            <w:vMerge w:val="restart"/>
            <w:vAlign w:val="center"/>
          </w:tcPr>
          <w:p w14:paraId="09A604EC">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14:paraId="7AB121D5">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537" w:type="dxa"/>
            <w:gridSpan w:val="2"/>
            <w:vAlign w:val="center"/>
          </w:tcPr>
          <w:p w14:paraId="421232D8">
            <w:pPr>
              <w:autoSpaceDE w:val="0"/>
              <w:autoSpaceDN w:val="0"/>
              <w:adjustRightInd w:val="0"/>
              <w:snapToGrid w:val="0"/>
              <w:jc w:val="center"/>
              <w:rPr>
                <w:rFonts w:ascii="宋体" w:hAnsi="宋体"/>
                <w:color w:val="auto"/>
                <w:kern w:val="0"/>
                <w:szCs w:val="21"/>
              </w:rPr>
            </w:pPr>
          </w:p>
        </w:tc>
      </w:tr>
      <w:tr w14:paraId="1782C8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5595F9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营业执照号</w:t>
            </w:r>
          </w:p>
        </w:tc>
        <w:tc>
          <w:tcPr>
            <w:tcW w:w="1991" w:type="dxa"/>
            <w:gridSpan w:val="2"/>
            <w:vAlign w:val="center"/>
          </w:tcPr>
          <w:p w14:paraId="227BCAA5">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6EEF1CF2">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1812AC59">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537" w:type="dxa"/>
            <w:gridSpan w:val="2"/>
            <w:vAlign w:val="center"/>
          </w:tcPr>
          <w:p w14:paraId="3879605E">
            <w:pPr>
              <w:autoSpaceDE w:val="0"/>
              <w:autoSpaceDN w:val="0"/>
              <w:adjustRightInd w:val="0"/>
              <w:snapToGrid w:val="0"/>
              <w:jc w:val="center"/>
              <w:rPr>
                <w:rFonts w:ascii="宋体" w:hAnsi="宋体"/>
                <w:color w:val="auto"/>
                <w:kern w:val="0"/>
                <w:szCs w:val="21"/>
              </w:rPr>
            </w:pPr>
          </w:p>
        </w:tc>
      </w:tr>
      <w:tr w14:paraId="30780F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802F767">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14:paraId="1C028634">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24CB55D9">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2D1A41E8">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537" w:type="dxa"/>
            <w:gridSpan w:val="2"/>
            <w:vAlign w:val="center"/>
          </w:tcPr>
          <w:p w14:paraId="3945EB87">
            <w:pPr>
              <w:autoSpaceDE w:val="0"/>
              <w:autoSpaceDN w:val="0"/>
              <w:adjustRightInd w:val="0"/>
              <w:snapToGrid w:val="0"/>
              <w:jc w:val="center"/>
              <w:rPr>
                <w:rFonts w:ascii="宋体" w:hAnsi="宋体"/>
                <w:color w:val="auto"/>
                <w:kern w:val="0"/>
                <w:szCs w:val="21"/>
              </w:rPr>
            </w:pPr>
          </w:p>
        </w:tc>
      </w:tr>
      <w:tr w14:paraId="0E6E14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6404BCB">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14:paraId="6779D036">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0E28194F">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455E76D4">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537" w:type="dxa"/>
            <w:gridSpan w:val="2"/>
            <w:vAlign w:val="center"/>
          </w:tcPr>
          <w:p w14:paraId="4312BF20">
            <w:pPr>
              <w:autoSpaceDE w:val="0"/>
              <w:autoSpaceDN w:val="0"/>
              <w:adjustRightInd w:val="0"/>
              <w:snapToGrid w:val="0"/>
              <w:jc w:val="center"/>
              <w:rPr>
                <w:rFonts w:ascii="宋体" w:hAnsi="宋体"/>
                <w:color w:val="auto"/>
                <w:kern w:val="0"/>
                <w:szCs w:val="21"/>
              </w:rPr>
            </w:pPr>
          </w:p>
        </w:tc>
      </w:tr>
      <w:tr w14:paraId="09486F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1CB79C4">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14:paraId="68B3A77C">
            <w:pPr>
              <w:autoSpaceDE w:val="0"/>
              <w:autoSpaceDN w:val="0"/>
              <w:adjustRightInd w:val="0"/>
              <w:snapToGrid w:val="0"/>
              <w:jc w:val="center"/>
              <w:rPr>
                <w:rFonts w:ascii="宋体" w:hAnsi="宋体"/>
                <w:color w:val="auto"/>
                <w:kern w:val="0"/>
                <w:szCs w:val="21"/>
              </w:rPr>
            </w:pPr>
          </w:p>
        </w:tc>
        <w:tc>
          <w:tcPr>
            <w:tcW w:w="904" w:type="dxa"/>
            <w:vMerge w:val="continue"/>
            <w:vAlign w:val="center"/>
          </w:tcPr>
          <w:p w14:paraId="2BA98AA2">
            <w:pPr>
              <w:autoSpaceDE w:val="0"/>
              <w:autoSpaceDN w:val="0"/>
              <w:adjustRightInd w:val="0"/>
              <w:snapToGrid w:val="0"/>
              <w:jc w:val="center"/>
              <w:rPr>
                <w:rFonts w:ascii="宋体" w:hAnsi="宋体"/>
                <w:color w:val="auto"/>
                <w:kern w:val="0"/>
                <w:szCs w:val="21"/>
              </w:rPr>
            </w:pPr>
          </w:p>
        </w:tc>
        <w:tc>
          <w:tcPr>
            <w:tcW w:w="2476" w:type="dxa"/>
            <w:gridSpan w:val="4"/>
            <w:vAlign w:val="center"/>
          </w:tcPr>
          <w:p w14:paraId="642F7E8A">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537" w:type="dxa"/>
            <w:gridSpan w:val="2"/>
            <w:vAlign w:val="center"/>
          </w:tcPr>
          <w:p w14:paraId="16EE48F3">
            <w:pPr>
              <w:autoSpaceDE w:val="0"/>
              <w:autoSpaceDN w:val="0"/>
              <w:adjustRightInd w:val="0"/>
              <w:snapToGrid w:val="0"/>
              <w:jc w:val="center"/>
              <w:rPr>
                <w:rFonts w:ascii="宋体" w:hAnsi="宋体"/>
                <w:color w:val="auto"/>
                <w:kern w:val="0"/>
                <w:szCs w:val="21"/>
              </w:rPr>
            </w:pPr>
          </w:p>
        </w:tc>
      </w:tr>
      <w:tr w14:paraId="14055D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FD8DD40">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908" w:type="dxa"/>
            <w:gridSpan w:val="9"/>
            <w:vAlign w:val="center"/>
          </w:tcPr>
          <w:p w14:paraId="24E2B4E9">
            <w:pPr>
              <w:autoSpaceDE w:val="0"/>
              <w:autoSpaceDN w:val="0"/>
              <w:adjustRightInd w:val="0"/>
              <w:snapToGrid w:val="0"/>
              <w:jc w:val="center"/>
              <w:rPr>
                <w:rFonts w:ascii="宋体" w:hAnsi="宋体"/>
                <w:color w:val="auto"/>
                <w:kern w:val="0"/>
                <w:szCs w:val="21"/>
              </w:rPr>
            </w:pPr>
          </w:p>
        </w:tc>
      </w:tr>
      <w:tr w14:paraId="18829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BA3E22">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908" w:type="dxa"/>
            <w:gridSpan w:val="9"/>
            <w:vAlign w:val="center"/>
          </w:tcPr>
          <w:p w14:paraId="7721F47E">
            <w:pPr>
              <w:autoSpaceDE w:val="0"/>
              <w:autoSpaceDN w:val="0"/>
              <w:adjustRightInd w:val="0"/>
              <w:snapToGrid w:val="0"/>
              <w:jc w:val="center"/>
              <w:rPr>
                <w:rFonts w:ascii="宋体" w:hAnsi="宋体"/>
                <w:color w:val="auto"/>
                <w:kern w:val="0"/>
                <w:szCs w:val="21"/>
              </w:rPr>
            </w:pPr>
          </w:p>
        </w:tc>
      </w:tr>
    </w:tbl>
    <w:p w14:paraId="0C2F8BD3">
      <w:pPr>
        <w:spacing w:line="360" w:lineRule="auto"/>
        <w:jc w:val="center"/>
        <w:rPr>
          <w:rFonts w:ascii="宋体" w:hAnsi="宋体"/>
          <w:color w:val="auto"/>
          <w:szCs w:val="21"/>
        </w:rPr>
      </w:pPr>
    </w:p>
    <w:p w14:paraId="14BEEFD3">
      <w:pPr>
        <w:pStyle w:val="5"/>
        <w:spacing w:before="0" w:after="0" w:line="240" w:lineRule="auto"/>
        <w:jc w:val="center"/>
        <w:rPr>
          <w:rFonts w:ascii="宋体" w:hAnsi="宋体"/>
          <w:b w:val="0"/>
          <w:bCs w:val="0"/>
          <w:color w:val="auto"/>
          <w:highlight w:val="none"/>
        </w:rPr>
      </w:pPr>
      <w:r>
        <w:rPr>
          <w:rFonts w:ascii="宋体" w:hAnsi="宋体"/>
          <w:color w:val="auto"/>
          <w:szCs w:val="21"/>
        </w:rPr>
        <w:br w:type="page"/>
      </w:r>
      <w:bookmarkStart w:id="974" w:name="_Toc57796022"/>
      <w:bookmarkStart w:id="975" w:name="_Toc33106479"/>
      <w:r>
        <w:rPr>
          <w:rFonts w:hint="eastAsia" w:ascii="宋体" w:hAnsi="宋体"/>
          <w:b w:val="0"/>
          <w:bCs w:val="0"/>
          <w:color w:val="auto"/>
          <w:highlight w:val="none"/>
        </w:rPr>
        <w:t>（四）项目管理机构</w:t>
      </w:r>
      <w:bookmarkEnd w:id="974"/>
      <w:bookmarkEnd w:id="975"/>
    </w:p>
    <w:p w14:paraId="3B1BFC7D">
      <w:pPr>
        <w:spacing w:line="360" w:lineRule="auto"/>
        <w:rPr>
          <w:rFonts w:ascii="宋体" w:hAnsi="宋体"/>
          <w:color w:val="auto"/>
          <w:highlight w:val="none"/>
        </w:rPr>
      </w:pPr>
    </w:p>
    <w:p w14:paraId="7CA39FC4">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52"/>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28CDBCE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4845AB2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1515611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1E75B52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2497182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7218A1D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5C1167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14:paraId="3B69684E">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14:paraId="5FF32255">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14:paraId="41C16CF3">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5C73392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4948CAE4">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5E533D2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0E2432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55BDA17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14:paraId="75E34258">
            <w:pPr>
              <w:autoSpaceDE w:val="0"/>
              <w:autoSpaceDN w:val="0"/>
              <w:adjustRightInd w:val="0"/>
              <w:snapToGrid w:val="0"/>
              <w:jc w:val="left"/>
              <w:rPr>
                <w:rFonts w:ascii="宋体" w:hAnsi="宋体"/>
                <w:color w:val="auto"/>
                <w:kern w:val="0"/>
                <w:szCs w:val="21"/>
                <w:highlight w:val="none"/>
              </w:rPr>
            </w:pPr>
          </w:p>
        </w:tc>
      </w:tr>
      <w:tr w14:paraId="1FE945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DF829C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vAlign w:val="top"/>
          </w:tcPr>
          <w:p w14:paraId="47AFAF49">
            <w:pPr>
              <w:autoSpaceDE w:val="0"/>
              <w:autoSpaceDN w:val="0"/>
              <w:adjustRightInd w:val="0"/>
              <w:snapToGrid w:val="0"/>
              <w:jc w:val="left"/>
              <w:rPr>
                <w:rFonts w:ascii="宋体" w:hAnsi="宋体"/>
                <w:color w:val="auto"/>
                <w:kern w:val="0"/>
                <w:szCs w:val="21"/>
                <w:highlight w:val="none"/>
              </w:rPr>
            </w:pPr>
          </w:p>
        </w:tc>
        <w:tc>
          <w:tcPr>
            <w:tcW w:w="776" w:type="dxa"/>
            <w:vAlign w:val="top"/>
          </w:tcPr>
          <w:p w14:paraId="42494151">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2568D11">
            <w:pPr>
              <w:autoSpaceDE w:val="0"/>
              <w:autoSpaceDN w:val="0"/>
              <w:adjustRightInd w:val="0"/>
              <w:snapToGrid w:val="0"/>
              <w:jc w:val="left"/>
              <w:rPr>
                <w:rFonts w:ascii="宋体" w:hAnsi="宋体"/>
                <w:color w:val="auto"/>
                <w:kern w:val="0"/>
                <w:szCs w:val="21"/>
                <w:highlight w:val="none"/>
              </w:rPr>
            </w:pPr>
          </w:p>
        </w:tc>
        <w:tc>
          <w:tcPr>
            <w:tcW w:w="776" w:type="dxa"/>
            <w:vAlign w:val="top"/>
          </w:tcPr>
          <w:p w14:paraId="79A3036F">
            <w:pPr>
              <w:autoSpaceDE w:val="0"/>
              <w:autoSpaceDN w:val="0"/>
              <w:adjustRightInd w:val="0"/>
              <w:snapToGrid w:val="0"/>
              <w:jc w:val="left"/>
              <w:rPr>
                <w:rFonts w:ascii="宋体" w:hAnsi="宋体"/>
                <w:color w:val="auto"/>
                <w:kern w:val="0"/>
                <w:szCs w:val="21"/>
                <w:highlight w:val="none"/>
              </w:rPr>
            </w:pPr>
          </w:p>
        </w:tc>
        <w:tc>
          <w:tcPr>
            <w:tcW w:w="778" w:type="dxa"/>
            <w:vAlign w:val="top"/>
          </w:tcPr>
          <w:p w14:paraId="4102B173">
            <w:pPr>
              <w:autoSpaceDE w:val="0"/>
              <w:autoSpaceDN w:val="0"/>
              <w:adjustRightInd w:val="0"/>
              <w:snapToGrid w:val="0"/>
              <w:jc w:val="left"/>
              <w:rPr>
                <w:rFonts w:ascii="宋体" w:hAnsi="宋体"/>
                <w:color w:val="auto"/>
                <w:kern w:val="0"/>
                <w:szCs w:val="21"/>
                <w:highlight w:val="none"/>
              </w:rPr>
            </w:pPr>
          </w:p>
        </w:tc>
        <w:tc>
          <w:tcPr>
            <w:tcW w:w="776" w:type="dxa"/>
            <w:vAlign w:val="top"/>
          </w:tcPr>
          <w:p w14:paraId="3D6E6F7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4C0FEBF">
            <w:pPr>
              <w:autoSpaceDE w:val="0"/>
              <w:autoSpaceDN w:val="0"/>
              <w:adjustRightInd w:val="0"/>
              <w:snapToGrid w:val="0"/>
              <w:jc w:val="left"/>
              <w:rPr>
                <w:rFonts w:ascii="宋体" w:hAnsi="宋体"/>
                <w:color w:val="auto"/>
                <w:kern w:val="0"/>
                <w:szCs w:val="21"/>
                <w:highlight w:val="none"/>
              </w:rPr>
            </w:pPr>
          </w:p>
        </w:tc>
        <w:tc>
          <w:tcPr>
            <w:tcW w:w="896" w:type="dxa"/>
            <w:vAlign w:val="top"/>
          </w:tcPr>
          <w:p w14:paraId="02748DAC">
            <w:pPr>
              <w:autoSpaceDE w:val="0"/>
              <w:autoSpaceDN w:val="0"/>
              <w:adjustRightInd w:val="0"/>
              <w:snapToGrid w:val="0"/>
              <w:jc w:val="left"/>
              <w:rPr>
                <w:rFonts w:ascii="宋体" w:hAnsi="宋体"/>
                <w:color w:val="auto"/>
                <w:kern w:val="0"/>
                <w:szCs w:val="21"/>
                <w:highlight w:val="none"/>
              </w:rPr>
            </w:pPr>
          </w:p>
        </w:tc>
      </w:tr>
      <w:tr w14:paraId="34A2A7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1C32D6AC">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项目总工</w:t>
            </w:r>
          </w:p>
        </w:tc>
        <w:tc>
          <w:tcPr>
            <w:tcW w:w="734" w:type="dxa"/>
            <w:vAlign w:val="top"/>
          </w:tcPr>
          <w:p w14:paraId="5DD85C83">
            <w:pPr>
              <w:autoSpaceDE w:val="0"/>
              <w:autoSpaceDN w:val="0"/>
              <w:adjustRightInd w:val="0"/>
              <w:snapToGrid w:val="0"/>
              <w:jc w:val="left"/>
              <w:rPr>
                <w:rFonts w:ascii="宋体" w:hAnsi="宋体"/>
                <w:color w:val="auto"/>
                <w:kern w:val="0"/>
                <w:szCs w:val="21"/>
                <w:highlight w:val="none"/>
              </w:rPr>
            </w:pPr>
          </w:p>
        </w:tc>
        <w:tc>
          <w:tcPr>
            <w:tcW w:w="776" w:type="dxa"/>
            <w:vAlign w:val="top"/>
          </w:tcPr>
          <w:p w14:paraId="08B93066">
            <w:pPr>
              <w:autoSpaceDE w:val="0"/>
              <w:autoSpaceDN w:val="0"/>
              <w:adjustRightInd w:val="0"/>
              <w:snapToGrid w:val="0"/>
              <w:jc w:val="left"/>
              <w:rPr>
                <w:rFonts w:ascii="宋体" w:hAnsi="宋体"/>
                <w:color w:val="auto"/>
                <w:kern w:val="0"/>
                <w:szCs w:val="21"/>
                <w:highlight w:val="none"/>
              </w:rPr>
            </w:pPr>
          </w:p>
        </w:tc>
        <w:tc>
          <w:tcPr>
            <w:tcW w:w="1167" w:type="dxa"/>
            <w:vAlign w:val="top"/>
          </w:tcPr>
          <w:p w14:paraId="0387A5FE">
            <w:pPr>
              <w:autoSpaceDE w:val="0"/>
              <w:autoSpaceDN w:val="0"/>
              <w:adjustRightInd w:val="0"/>
              <w:snapToGrid w:val="0"/>
              <w:jc w:val="left"/>
              <w:rPr>
                <w:rFonts w:ascii="宋体" w:hAnsi="宋体"/>
                <w:color w:val="auto"/>
                <w:kern w:val="0"/>
                <w:szCs w:val="21"/>
                <w:highlight w:val="none"/>
              </w:rPr>
            </w:pPr>
          </w:p>
        </w:tc>
        <w:tc>
          <w:tcPr>
            <w:tcW w:w="776" w:type="dxa"/>
            <w:vAlign w:val="top"/>
          </w:tcPr>
          <w:p w14:paraId="115064B6">
            <w:pPr>
              <w:autoSpaceDE w:val="0"/>
              <w:autoSpaceDN w:val="0"/>
              <w:adjustRightInd w:val="0"/>
              <w:snapToGrid w:val="0"/>
              <w:jc w:val="left"/>
              <w:rPr>
                <w:rFonts w:ascii="宋体" w:hAnsi="宋体"/>
                <w:color w:val="auto"/>
                <w:kern w:val="0"/>
                <w:szCs w:val="21"/>
                <w:highlight w:val="none"/>
              </w:rPr>
            </w:pPr>
          </w:p>
        </w:tc>
        <w:tc>
          <w:tcPr>
            <w:tcW w:w="778" w:type="dxa"/>
            <w:vAlign w:val="top"/>
          </w:tcPr>
          <w:p w14:paraId="4597C47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5637ABA">
            <w:pPr>
              <w:autoSpaceDE w:val="0"/>
              <w:autoSpaceDN w:val="0"/>
              <w:adjustRightInd w:val="0"/>
              <w:snapToGrid w:val="0"/>
              <w:jc w:val="left"/>
              <w:rPr>
                <w:rFonts w:ascii="宋体" w:hAnsi="宋体"/>
                <w:color w:val="auto"/>
                <w:kern w:val="0"/>
                <w:szCs w:val="21"/>
                <w:highlight w:val="none"/>
              </w:rPr>
            </w:pPr>
          </w:p>
        </w:tc>
        <w:tc>
          <w:tcPr>
            <w:tcW w:w="2723" w:type="dxa"/>
            <w:vAlign w:val="top"/>
          </w:tcPr>
          <w:p w14:paraId="5F5203BA">
            <w:pPr>
              <w:autoSpaceDE w:val="0"/>
              <w:autoSpaceDN w:val="0"/>
              <w:adjustRightInd w:val="0"/>
              <w:snapToGrid w:val="0"/>
              <w:jc w:val="left"/>
              <w:rPr>
                <w:rFonts w:ascii="宋体" w:hAnsi="宋体"/>
                <w:color w:val="auto"/>
                <w:kern w:val="0"/>
                <w:szCs w:val="21"/>
                <w:highlight w:val="none"/>
              </w:rPr>
            </w:pPr>
          </w:p>
        </w:tc>
        <w:tc>
          <w:tcPr>
            <w:tcW w:w="896" w:type="dxa"/>
            <w:vAlign w:val="top"/>
          </w:tcPr>
          <w:p w14:paraId="67B08C72">
            <w:pPr>
              <w:autoSpaceDE w:val="0"/>
              <w:autoSpaceDN w:val="0"/>
              <w:adjustRightInd w:val="0"/>
              <w:snapToGrid w:val="0"/>
              <w:jc w:val="left"/>
              <w:rPr>
                <w:rFonts w:ascii="宋体" w:hAnsi="宋体"/>
                <w:color w:val="auto"/>
                <w:kern w:val="0"/>
                <w:szCs w:val="21"/>
                <w:highlight w:val="none"/>
              </w:rPr>
            </w:pPr>
          </w:p>
        </w:tc>
      </w:tr>
      <w:tr w14:paraId="0EDA6E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3A99AB17">
            <w:pPr>
              <w:autoSpaceDE w:val="0"/>
              <w:autoSpaceDN w:val="0"/>
              <w:adjustRightInd w:val="0"/>
              <w:snapToGrid w:val="0"/>
              <w:jc w:val="left"/>
              <w:rPr>
                <w:rFonts w:ascii="宋体" w:hAnsi="宋体"/>
                <w:color w:val="auto"/>
                <w:kern w:val="0"/>
                <w:szCs w:val="21"/>
                <w:highlight w:val="none"/>
              </w:rPr>
            </w:pPr>
          </w:p>
        </w:tc>
        <w:tc>
          <w:tcPr>
            <w:tcW w:w="734" w:type="dxa"/>
            <w:vAlign w:val="top"/>
          </w:tcPr>
          <w:p w14:paraId="114A7955">
            <w:pPr>
              <w:autoSpaceDE w:val="0"/>
              <w:autoSpaceDN w:val="0"/>
              <w:adjustRightInd w:val="0"/>
              <w:snapToGrid w:val="0"/>
              <w:jc w:val="left"/>
              <w:rPr>
                <w:rFonts w:ascii="宋体" w:hAnsi="宋体"/>
                <w:color w:val="auto"/>
                <w:kern w:val="0"/>
                <w:szCs w:val="21"/>
                <w:highlight w:val="none"/>
              </w:rPr>
            </w:pPr>
          </w:p>
        </w:tc>
        <w:tc>
          <w:tcPr>
            <w:tcW w:w="776" w:type="dxa"/>
            <w:vAlign w:val="top"/>
          </w:tcPr>
          <w:p w14:paraId="2E8AA4A2">
            <w:pPr>
              <w:autoSpaceDE w:val="0"/>
              <w:autoSpaceDN w:val="0"/>
              <w:adjustRightInd w:val="0"/>
              <w:snapToGrid w:val="0"/>
              <w:jc w:val="left"/>
              <w:rPr>
                <w:rFonts w:ascii="宋体" w:hAnsi="宋体"/>
                <w:color w:val="auto"/>
                <w:kern w:val="0"/>
                <w:szCs w:val="21"/>
                <w:highlight w:val="none"/>
              </w:rPr>
            </w:pPr>
          </w:p>
        </w:tc>
        <w:tc>
          <w:tcPr>
            <w:tcW w:w="1167" w:type="dxa"/>
            <w:vAlign w:val="top"/>
          </w:tcPr>
          <w:p w14:paraId="6EB19958">
            <w:pPr>
              <w:autoSpaceDE w:val="0"/>
              <w:autoSpaceDN w:val="0"/>
              <w:adjustRightInd w:val="0"/>
              <w:snapToGrid w:val="0"/>
              <w:jc w:val="left"/>
              <w:rPr>
                <w:rFonts w:ascii="宋体" w:hAnsi="宋体"/>
                <w:color w:val="auto"/>
                <w:kern w:val="0"/>
                <w:szCs w:val="21"/>
                <w:highlight w:val="none"/>
              </w:rPr>
            </w:pPr>
          </w:p>
        </w:tc>
        <w:tc>
          <w:tcPr>
            <w:tcW w:w="776" w:type="dxa"/>
            <w:vAlign w:val="top"/>
          </w:tcPr>
          <w:p w14:paraId="2FAEDE3A">
            <w:pPr>
              <w:autoSpaceDE w:val="0"/>
              <w:autoSpaceDN w:val="0"/>
              <w:adjustRightInd w:val="0"/>
              <w:snapToGrid w:val="0"/>
              <w:jc w:val="left"/>
              <w:rPr>
                <w:rFonts w:ascii="宋体" w:hAnsi="宋体"/>
                <w:color w:val="auto"/>
                <w:kern w:val="0"/>
                <w:szCs w:val="21"/>
                <w:highlight w:val="none"/>
              </w:rPr>
            </w:pPr>
          </w:p>
        </w:tc>
        <w:tc>
          <w:tcPr>
            <w:tcW w:w="778" w:type="dxa"/>
            <w:vAlign w:val="top"/>
          </w:tcPr>
          <w:p w14:paraId="6276A450">
            <w:pPr>
              <w:autoSpaceDE w:val="0"/>
              <w:autoSpaceDN w:val="0"/>
              <w:adjustRightInd w:val="0"/>
              <w:snapToGrid w:val="0"/>
              <w:jc w:val="left"/>
              <w:rPr>
                <w:rFonts w:ascii="宋体" w:hAnsi="宋体"/>
                <w:color w:val="auto"/>
                <w:kern w:val="0"/>
                <w:szCs w:val="21"/>
                <w:highlight w:val="none"/>
              </w:rPr>
            </w:pPr>
          </w:p>
        </w:tc>
        <w:tc>
          <w:tcPr>
            <w:tcW w:w="776" w:type="dxa"/>
            <w:vAlign w:val="top"/>
          </w:tcPr>
          <w:p w14:paraId="1FB611C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8663B07">
            <w:pPr>
              <w:autoSpaceDE w:val="0"/>
              <w:autoSpaceDN w:val="0"/>
              <w:adjustRightInd w:val="0"/>
              <w:snapToGrid w:val="0"/>
              <w:jc w:val="left"/>
              <w:rPr>
                <w:rFonts w:ascii="宋体" w:hAnsi="宋体"/>
                <w:color w:val="auto"/>
                <w:kern w:val="0"/>
                <w:szCs w:val="21"/>
                <w:highlight w:val="none"/>
              </w:rPr>
            </w:pPr>
          </w:p>
        </w:tc>
        <w:tc>
          <w:tcPr>
            <w:tcW w:w="896" w:type="dxa"/>
            <w:vAlign w:val="top"/>
          </w:tcPr>
          <w:p w14:paraId="5A1E21D4">
            <w:pPr>
              <w:autoSpaceDE w:val="0"/>
              <w:autoSpaceDN w:val="0"/>
              <w:adjustRightInd w:val="0"/>
              <w:snapToGrid w:val="0"/>
              <w:jc w:val="left"/>
              <w:rPr>
                <w:rFonts w:ascii="宋体" w:hAnsi="宋体"/>
                <w:color w:val="auto"/>
                <w:kern w:val="0"/>
                <w:szCs w:val="21"/>
                <w:highlight w:val="none"/>
              </w:rPr>
            </w:pPr>
          </w:p>
        </w:tc>
      </w:tr>
      <w:tr w14:paraId="4332DB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E9541D8">
            <w:pPr>
              <w:autoSpaceDE w:val="0"/>
              <w:autoSpaceDN w:val="0"/>
              <w:adjustRightInd w:val="0"/>
              <w:snapToGrid w:val="0"/>
              <w:jc w:val="left"/>
              <w:rPr>
                <w:rFonts w:ascii="宋体" w:hAnsi="宋体"/>
                <w:color w:val="auto"/>
                <w:kern w:val="0"/>
                <w:szCs w:val="21"/>
                <w:highlight w:val="none"/>
              </w:rPr>
            </w:pPr>
          </w:p>
        </w:tc>
        <w:tc>
          <w:tcPr>
            <w:tcW w:w="734" w:type="dxa"/>
            <w:vAlign w:val="top"/>
          </w:tcPr>
          <w:p w14:paraId="31C44238">
            <w:pPr>
              <w:autoSpaceDE w:val="0"/>
              <w:autoSpaceDN w:val="0"/>
              <w:adjustRightInd w:val="0"/>
              <w:snapToGrid w:val="0"/>
              <w:jc w:val="left"/>
              <w:rPr>
                <w:rFonts w:ascii="宋体" w:hAnsi="宋体"/>
                <w:color w:val="auto"/>
                <w:kern w:val="0"/>
                <w:szCs w:val="21"/>
                <w:highlight w:val="none"/>
              </w:rPr>
            </w:pPr>
          </w:p>
        </w:tc>
        <w:tc>
          <w:tcPr>
            <w:tcW w:w="776" w:type="dxa"/>
            <w:vAlign w:val="top"/>
          </w:tcPr>
          <w:p w14:paraId="25D6404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7FAA160">
            <w:pPr>
              <w:autoSpaceDE w:val="0"/>
              <w:autoSpaceDN w:val="0"/>
              <w:adjustRightInd w:val="0"/>
              <w:snapToGrid w:val="0"/>
              <w:jc w:val="left"/>
              <w:rPr>
                <w:rFonts w:ascii="宋体" w:hAnsi="宋体"/>
                <w:color w:val="auto"/>
                <w:kern w:val="0"/>
                <w:szCs w:val="21"/>
                <w:highlight w:val="none"/>
              </w:rPr>
            </w:pPr>
          </w:p>
        </w:tc>
        <w:tc>
          <w:tcPr>
            <w:tcW w:w="776" w:type="dxa"/>
            <w:vAlign w:val="top"/>
          </w:tcPr>
          <w:p w14:paraId="334FB070">
            <w:pPr>
              <w:autoSpaceDE w:val="0"/>
              <w:autoSpaceDN w:val="0"/>
              <w:adjustRightInd w:val="0"/>
              <w:snapToGrid w:val="0"/>
              <w:jc w:val="left"/>
              <w:rPr>
                <w:rFonts w:ascii="宋体" w:hAnsi="宋体"/>
                <w:color w:val="auto"/>
                <w:kern w:val="0"/>
                <w:szCs w:val="21"/>
                <w:highlight w:val="none"/>
              </w:rPr>
            </w:pPr>
          </w:p>
        </w:tc>
        <w:tc>
          <w:tcPr>
            <w:tcW w:w="778" w:type="dxa"/>
            <w:vAlign w:val="top"/>
          </w:tcPr>
          <w:p w14:paraId="607C846A">
            <w:pPr>
              <w:autoSpaceDE w:val="0"/>
              <w:autoSpaceDN w:val="0"/>
              <w:adjustRightInd w:val="0"/>
              <w:snapToGrid w:val="0"/>
              <w:jc w:val="left"/>
              <w:rPr>
                <w:rFonts w:ascii="宋体" w:hAnsi="宋体"/>
                <w:color w:val="auto"/>
                <w:kern w:val="0"/>
                <w:szCs w:val="21"/>
                <w:highlight w:val="none"/>
              </w:rPr>
            </w:pPr>
          </w:p>
        </w:tc>
        <w:tc>
          <w:tcPr>
            <w:tcW w:w="776" w:type="dxa"/>
            <w:vAlign w:val="top"/>
          </w:tcPr>
          <w:p w14:paraId="499E6C31">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E1A2CAC">
            <w:pPr>
              <w:autoSpaceDE w:val="0"/>
              <w:autoSpaceDN w:val="0"/>
              <w:adjustRightInd w:val="0"/>
              <w:snapToGrid w:val="0"/>
              <w:jc w:val="left"/>
              <w:rPr>
                <w:rFonts w:ascii="宋体" w:hAnsi="宋体"/>
                <w:color w:val="auto"/>
                <w:kern w:val="0"/>
                <w:szCs w:val="21"/>
                <w:highlight w:val="none"/>
              </w:rPr>
            </w:pPr>
          </w:p>
        </w:tc>
        <w:tc>
          <w:tcPr>
            <w:tcW w:w="896" w:type="dxa"/>
            <w:vAlign w:val="top"/>
          </w:tcPr>
          <w:p w14:paraId="164D0B49">
            <w:pPr>
              <w:autoSpaceDE w:val="0"/>
              <w:autoSpaceDN w:val="0"/>
              <w:adjustRightInd w:val="0"/>
              <w:snapToGrid w:val="0"/>
              <w:jc w:val="left"/>
              <w:rPr>
                <w:rFonts w:ascii="宋体" w:hAnsi="宋体"/>
                <w:color w:val="auto"/>
                <w:kern w:val="0"/>
                <w:szCs w:val="21"/>
                <w:highlight w:val="none"/>
              </w:rPr>
            </w:pPr>
          </w:p>
        </w:tc>
      </w:tr>
      <w:tr w14:paraId="673302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298A219">
            <w:pPr>
              <w:autoSpaceDE w:val="0"/>
              <w:autoSpaceDN w:val="0"/>
              <w:adjustRightInd w:val="0"/>
              <w:snapToGrid w:val="0"/>
              <w:jc w:val="left"/>
              <w:rPr>
                <w:rFonts w:ascii="宋体" w:hAnsi="宋体"/>
                <w:color w:val="auto"/>
                <w:kern w:val="0"/>
                <w:szCs w:val="21"/>
                <w:highlight w:val="none"/>
              </w:rPr>
            </w:pPr>
          </w:p>
        </w:tc>
        <w:tc>
          <w:tcPr>
            <w:tcW w:w="734" w:type="dxa"/>
            <w:vAlign w:val="top"/>
          </w:tcPr>
          <w:p w14:paraId="626F7B6D">
            <w:pPr>
              <w:autoSpaceDE w:val="0"/>
              <w:autoSpaceDN w:val="0"/>
              <w:adjustRightInd w:val="0"/>
              <w:snapToGrid w:val="0"/>
              <w:jc w:val="left"/>
              <w:rPr>
                <w:rFonts w:ascii="宋体" w:hAnsi="宋体"/>
                <w:color w:val="auto"/>
                <w:kern w:val="0"/>
                <w:szCs w:val="21"/>
                <w:highlight w:val="none"/>
              </w:rPr>
            </w:pPr>
          </w:p>
        </w:tc>
        <w:tc>
          <w:tcPr>
            <w:tcW w:w="776" w:type="dxa"/>
            <w:vAlign w:val="top"/>
          </w:tcPr>
          <w:p w14:paraId="75E87E07">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DE7B466">
            <w:pPr>
              <w:autoSpaceDE w:val="0"/>
              <w:autoSpaceDN w:val="0"/>
              <w:adjustRightInd w:val="0"/>
              <w:snapToGrid w:val="0"/>
              <w:jc w:val="left"/>
              <w:rPr>
                <w:rFonts w:ascii="宋体" w:hAnsi="宋体"/>
                <w:color w:val="auto"/>
                <w:kern w:val="0"/>
                <w:szCs w:val="21"/>
                <w:highlight w:val="none"/>
              </w:rPr>
            </w:pPr>
          </w:p>
        </w:tc>
        <w:tc>
          <w:tcPr>
            <w:tcW w:w="776" w:type="dxa"/>
            <w:vAlign w:val="top"/>
          </w:tcPr>
          <w:p w14:paraId="0D975F1D">
            <w:pPr>
              <w:autoSpaceDE w:val="0"/>
              <w:autoSpaceDN w:val="0"/>
              <w:adjustRightInd w:val="0"/>
              <w:snapToGrid w:val="0"/>
              <w:jc w:val="left"/>
              <w:rPr>
                <w:rFonts w:ascii="宋体" w:hAnsi="宋体"/>
                <w:color w:val="auto"/>
                <w:kern w:val="0"/>
                <w:szCs w:val="21"/>
                <w:highlight w:val="none"/>
              </w:rPr>
            </w:pPr>
          </w:p>
        </w:tc>
        <w:tc>
          <w:tcPr>
            <w:tcW w:w="778" w:type="dxa"/>
            <w:vAlign w:val="top"/>
          </w:tcPr>
          <w:p w14:paraId="1605DE45">
            <w:pPr>
              <w:autoSpaceDE w:val="0"/>
              <w:autoSpaceDN w:val="0"/>
              <w:adjustRightInd w:val="0"/>
              <w:snapToGrid w:val="0"/>
              <w:jc w:val="left"/>
              <w:rPr>
                <w:rFonts w:ascii="宋体" w:hAnsi="宋体"/>
                <w:color w:val="auto"/>
                <w:kern w:val="0"/>
                <w:szCs w:val="21"/>
                <w:highlight w:val="none"/>
              </w:rPr>
            </w:pPr>
          </w:p>
        </w:tc>
        <w:tc>
          <w:tcPr>
            <w:tcW w:w="776" w:type="dxa"/>
            <w:vAlign w:val="top"/>
          </w:tcPr>
          <w:p w14:paraId="5BE8A97D">
            <w:pPr>
              <w:autoSpaceDE w:val="0"/>
              <w:autoSpaceDN w:val="0"/>
              <w:adjustRightInd w:val="0"/>
              <w:snapToGrid w:val="0"/>
              <w:jc w:val="left"/>
              <w:rPr>
                <w:rFonts w:ascii="宋体" w:hAnsi="宋体"/>
                <w:color w:val="auto"/>
                <w:kern w:val="0"/>
                <w:szCs w:val="21"/>
                <w:highlight w:val="none"/>
              </w:rPr>
            </w:pPr>
          </w:p>
        </w:tc>
        <w:tc>
          <w:tcPr>
            <w:tcW w:w="2723" w:type="dxa"/>
            <w:vAlign w:val="top"/>
          </w:tcPr>
          <w:p w14:paraId="6632A5DC">
            <w:pPr>
              <w:autoSpaceDE w:val="0"/>
              <w:autoSpaceDN w:val="0"/>
              <w:adjustRightInd w:val="0"/>
              <w:snapToGrid w:val="0"/>
              <w:jc w:val="left"/>
              <w:rPr>
                <w:rFonts w:ascii="宋体" w:hAnsi="宋体"/>
                <w:color w:val="auto"/>
                <w:kern w:val="0"/>
                <w:szCs w:val="21"/>
                <w:highlight w:val="none"/>
              </w:rPr>
            </w:pPr>
          </w:p>
        </w:tc>
        <w:tc>
          <w:tcPr>
            <w:tcW w:w="896" w:type="dxa"/>
            <w:vAlign w:val="top"/>
          </w:tcPr>
          <w:p w14:paraId="62F66730">
            <w:pPr>
              <w:autoSpaceDE w:val="0"/>
              <w:autoSpaceDN w:val="0"/>
              <w:adjustRightInd w:val="0"/>
              <w:snapToGrid w:val="0"/>
              <w:jc w:val="left"/>
              <w:rPr>
                <w:rFonts w:ascii="宋体" w:hAnsi="宋体"/>
                <w:color w:val="auto"/>
                <w:kern w:val="0"/>
                <w:szCs w:val="21"/>
                <w:highlight w:val="none"/>
              </w:rPr>
            </w:pPr>
          </w:p>
        </w:tc>
      </w:tr>
      <w:tr w14:paraId="3B6E65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3FA2DC0">
            <w:pPr>
              <w:autoSpaceDE w:val="0"/>
              <w:autoSpaceDN w:val="0"/>
              <w:adjustRightInd w:val="0"/>
              <w:snapToGrid w:val="0"/>
              <w:jc w:val="left"/>
              <w:rPr>
                <w:rFonts w:ascii="宋体" w:hAnsi="宋体"/>
                <w:color w:val="auto"/>
                <w:kern w:val="0"/>
                <w:szCs w:val="21"/>
                <w:highlight w:val="none"/>
              </w:rPr>
            </w:pPr>
          </w:p>
        </w:tc>
        <w:tc>
          <w:tcPr>
            <w:tcW w:w="734" w:type="dxa"/>
            <w:vAlign w:val="top"/>
          </w:tcPr>
          <w:p w14:paraId="14DC868C">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2376C0">
            <w:pPr>
              <w:autoSpaceDE w:val="0"/>
              <w:autoSpaceDN w:val="0"/>
              <w:adjustRightInd w:val="0"/>
              <w:snapToGrid w:val="0"/>
              <w:jc w:val="left"/>
              <w:rPr>
                <w:rFonts w:ascii="宋体" w:hAnsi="宋体"/>
                <w:color w:val="auto"/>
                <w:kern w:val="0"/>
                <w:szCs w:val="21"/>
                <w:highlight w:val="none"/>
              </w:rPr>
            </w:pPr>
          </w:p>
        </w:tc>
        <w:tc>
          <w:tcPr>
            <w:tcW w:w="1167" w:type="dxa"/>
            <w:vAlign w:val="top"/>
          </w:tcPr>
          <w:p w14:paraId="0E6D0708">
            <w:pPr>
              <w:autoSpaceDE w:val="0"/>
              <w:autoSpaceDN w:val="0"/>
              <w:adjustRightInd w:val="0"/>
              <w:snapToGrid w:val="0"/>
              <w:jc w:val="left"/>
              <w:rPr>
                <w:rFonts w:ascii="宋体" w:hAnsi="宋体"/>
                <w:color w:val="auto"/>
                <w:kern w:val="0"/>
                <w:szCs w:val="21"/>
                <w:highlight w:val="none"/>
              </w:rPr>
            </w:pPr>
          </w:p>
        </w:tc>
        <w:tc>
          <w:tcPr>
            <w:tcW w:w="776" w:type="dxa"/>
            <w:vAlign w:val="top"/>
          </w:tcPr>
          <w:p w14:paraId="4B9EE5E3">
            <w:pPr>
              <w:autoSpaceDE w:val="0"/>
              <w:autoSpaceDN w:val="0"/>
              <w:adjustRightInd w:val="0"/>
              <w:snapToGrid w:val="0"/>
              <w:jc w:val="left"/>
              <w:rPr>
                <w:rFonts w:ascii="宋体" w:hAnsi="宋体"/>
                <w:color w:val="auto"/>
                <w:kern w:val="0"/>
                <w:szCs w:val="21"/>
                <w:highlight w:val="none"/>
              </w:rPr>
            </w:pPr>
          </w:p>
        </w:tc>
        <w:tc>
          <w:tcPr>
            <w:tcW w:w="778" w:type="dxa"/>
            <w:vAlign w:val="top"/>
          </w:tcPr>
          <w:p w14:paraId="3A56C061">
            <w:pPr>
              <w:autoSpaceDE w:val="0"/>
              <w:autoSpaceDN w:val="0"/>
              <w:adjustRightInd w:val="0"/>
              <w:snapToGrid w:val="0"/>
              <w:jc w:val="left"/>
              <w:rPr>
                <w:rFonts w:ascii="宋体" w:hAnsi="宋体"/>
                <w:color w:val="auto"/>
                <w:kern w:val="0"/>
                <w:szCs w:val="21"/>
                <w:highlight w:val="none"/>
              </w:rPr>
            </w:pPr>
          </w:p>
        </w:tc>
        <w:tc>
          <w:tcPr>
            <w:tcW w:w="776" w:type="dxa"/>
            <w:vAlign w:val="top"/>
          </w:tcPr>
          <w:p w14:paraId="410CF9C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7F4AD9E2">
            <w:pPr>
              <w:autoSpaceDE w:val="0"/>
              <w:autoSpaceDN w:val="0"/>
              <w:adjustRightInd w:val="0"/>
              <w:snapToGrid w:val="0"/>
              <w:jc w:val="left"/>
              <w:rPr>
                <w:rFonts w:ascii="宋体" w:hAnsi="宋体"/>
                <w:color w:val="auto"/>
                <w:kern w:val="0"/>
                <w:szCs w:val="21"/>
                <w:highlight w:val="none"/>
              </w:rPr>
            </w:pPr>
          </w:p>
        </w:tc>
        <w:tc>
          <w:tcPr>
            <w:tcW w:w="896" w:type="dxa"/>
            <w:vAlign w:val="top"/>
          </w:tcPr>
          <w:p w14:paraId="283BB328">
            <w:pPr>
              <w:autoSpaceDE w:val="0"/>
              <w:autoSpaceDN w:val="0"/>
              <w:adjustRightInd w:val="0"/>
              <w:snapToGrid w:val="0"/>
              <w:jc w:val="left"/>
              <w:rPr>
                <w:rFonts w:ascii="宋体" w:hAnsi="宋体"/>
                <w:color w:val="auto"/>
                <w:kern w:val="0"/>
                <w:szCs w:val="21"/>
                <w:highlight w:val="none"/>
              </w:rPr>
            </w:pPr>
          </w:p>
        </w:tc>
      </w:tr>
      <w:tr w14:paraId="0C7F8B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28E575CE">
            <w:pPr>
              <w:autoSpaceDE w:val="0"/>
              <w:autoSpaceDN w:val="0"/>
              <w:adjustRightInd w:val="0"/>
              <w:snapToGrid w:val="0"/>
              <w:jc w:val="left"/>
              <w:rPr>
                <w:rFonts w:ascii="宋体" w:hAnsi="宋体"/>
                <w:color w:val="auto"/>
                <w:kern w:val="0"/>
                <w:szCs w:val="21"/>
                <w:highlight w:val="none"/>
              </w:rPr>
            </w:pPr>
          </w:p>
        </w:tc>
        <w:tc>
          <w:tcPr>
            <w:tcW w:w="734" w:type="dxa"/>
            <w:vAlign w:val="top"/>
          </w:tcPr>
          <w:p w14:paraId="269EE9BD">
            <w:pPr>
              <w:autoSpaceDE w:val="0"/>
              <w:autoSpaceDN w:val="0"/>
              <w:adjustRightInd w:val="0"/>
              <w:snapToGrid w:val="0"/>
              <w:jc w:val="left"/>
              <w:rPr>
                <w:rFonts w:ascii="宋体" w:hAnsi="宋体"/>
                <w:color w:val="auto"/>
                <w:kern w:val="0"/>
                <w:szCs w:val="21"/>
                <w:highlight w:val="none"/>
              </w:rPr>
            </w:pPr>
          </w:p>
        </w:tc>
        <w:tc>
          <w:tcPr>
            <w:tcW w:w="776" w:type="dxa"/>
            <w:vAlign w:val="top"/>
          </w:tcPr>
          <w:p w14:paraId="052BAD66">
            <w:pPr>
              <w:autoSpaceDE w:val="0"/>
              <w:autoSpaceDN w:val="0"/>
              <w:adjustRightInd w:val="0"/>
              <w:snapToGrid w:val="0"/>
              <w:jc w:val="left"/>
              <w:rPr>
                <w:rFonts w:ascii="宋体" w:hAnsi="宋体"/>
                <w:color w:val="auto"/>
                <w:kern w:val="0"/>
                <w:szCs w:val="21"/>
                <w:highlight w:val="none"/>
              </w:rPr>
            </w:pPr>
          </w:p>
        </w:tc>
        <w:tc>
          <w:tcPr>
            <w:tcW w:w="1167" w:type="dxa"/>
            <w:vAlign w:val="top"/>
          </w:tcPr>
          <w:p w14:paraId="24716D45">
            <w:pPr>
              <w:autoSpaceDE w:val="0"/>
              <w:autoSpaceDN w:val="0"/>
              <w:adjustRightInd w:val="0"/>
              <w:snapToGrid w:val="0"/>
              <w:jc w:val="left"/>
              <w:rPr>
                <w:rFonts w:ascii="宋体" w:hAnsi="宋体"/>
                <w:color w:val="auto"/>
                <w:kern w:val="0"/>
                <w:szCs w:val="21"/>
                <w:highlight w:val="none"/>
              </w:rPr>
            </w:pPr>
          </w:p>
        </w:tc>
        <w:tc>
          <w:tcPr>
            <w:tcW w:w="776" w:type="dxa"/>
            <w:vAlign w:val="top"/>
          </w:tcPr>
          <w:p w14:paraId="32136891">
            <w:pPr>
              <w:autoSpaceDE w:val="0"/>
              <w:autoSpaceDN w:val="0"/>
              <w:adjustRightInd w:val="0"/>
              <w:snapToGrid w:val="0"/>
              <w:jc w:val="left"/>
              <w:rPr>
                <w:rFonts w:ascii="宋体" w:hAnsi="宋体"/>
                <w:color w:val="auto"/>
                <w:kern w:val="0"/>
                <w:szCs w:val="21"/>
                <w:highlight w:val="none"/>
              </w:rPr>
            </w:pPr>
          </w:p>
        </w:tc>
        <w:tc>
          <w:tcPr>
            <w:tcW w:w="778" w:type="dxa"/>
            <w:vAlign w:val="top"/>
          </w:tcPr>
          <w:p w14:paraId="1D483FEC">
            <w:pPr>
              <w:autoSpaceDE w:val="0"/>
              <w:autoSpaceDN w:val="0"/>
              <w:adjustRightInd w:val="0"/>
              <w:snapToGrid w:val="0"/>
              <w:jc w:val="left"/>
              <w:rPr>
                <w:rFonts w:ascii="宋体" w:hAnsi="宋体"/>
                <w:color w:val="auto"/>
                <w:kern w:val="0"/>
                <w:szCs w:val="21"/>
                <w:highlight w:val="none"/>
              </w:rPr>
            </w:pPr>
          </w:p>
        </w:tc>
        <w:tc>
          <w:tcPr>
            <w:tcW w:w="776" w:type="dxa"/>
            <w:vAlign w:val="top"/>
          </w:tcPr>
          <w:p w14:paraId="59139F82">
            <w:pPr>
              <w:autoSpaceDE w:val="0"/>
              <w:autoSpaceDN w:val="0"/>
              <w:adjustRightInd w:val="0"/>
              <w:snapToGrid w:val="0"/>
              <w:jc w:val="left"/>
              <w:rPr>
                <w:rFonts w:ascii="宋体" w:hAnsi="宋体"/>
                <w:color w:val="auto"/>
                <w:kern w:val="0"/>
                <w:szCs w:val="21"/>
                <w:highlight w:val="none"/>
              </w:rPr>
            </w:pPr>
          </w:p>
        </w:tc>
        <w:tc>
          <w:tcPr>
            <w:tcW w:w="2723" w:type="dxa"/>
            <w:vAlign w:val="top"/>
          </w:tcPr>
          <w:p w14:paraId="57B8FC27">
            <w:pPr>
              <w:autoSpaceDE w:val="0"/>
              <w:autoSpaceDN w:val="0"/>
              <w:adjustRightInd w:val="0"/>
              <w:snapToGrid w:val="0"/>
              <w:jc w:val="left"/>
              <w:rPr>
                <w:rFonts w:ascii="宋体" w:hAnsi="宋体"/>
                <w:color w:val="auto"/>
                <w:kern w:val="0"/>
                <w:szCs w:val="21"/>
                <w:highlight w:val="none"/>
              </w:rPr>
            </w:pPr>
          </w:p>
        </w:tc>
        <w:tc>
          <w:tcPr>
            <w:tcW w:w="896" w:type="dxa"/>
            <w:vAlign w:val="top"/>
          </w:tcPr>
          <w:p w14:paraId="31F3499F">
            <w:pPr>
              <w:autoSpaceDE w:val="0"/>
              <w:autoSpaceDN w:val="0"/>
              <w:adjustRightInd w:val="0"/>
              <w:snapToGrid w:val="0"/>
              <w:jc w:val="left"/>
              <w:rPr>
                <w:rFonts w:ascii="宋体" w:hAnsi="宋体"/>
                <w:color w:val="auto"/>
                <w:kern w:val="0"/>
                <w:szCs w:val="21"/>
                <w:highlight w:val="none"/>
              </w:rPr>
            </w:pPr>
          </w:p>
        </w:tc>
      </w:tr>
      <w:tr w14:paraId="38B1AC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35130D32">
            <w:pPr>
              <w:autoSpaceDE w:val="0"/>
              <w:autoSpaceDN w:val="0"/>
              <w:adjustRightInd w:val="0"/>
              <w:snapToGrid w:val="0"/>
              <w:jc w:val="left"/>
              <w:rPr>
                <w:rFonts w:ascii="宋体" w:hAnsi="宋体"/>
                <w:color w:val="auto"/>
                <w:kern w:val="0"/>
                <w:szCs w:val="21"/>
                <w:highlight w:val="none"/>
              </w:rPr>
            </w:pPr>
          </w:p>
        </w:tc>
        <w:tc>
          <w:tcPr>
            <w:tcW w:w="734" w:type="dxa"/>
            <w:vAlign w:val="top"/>
          </w:tcPr>
          <w:p w14:paraId="0B0CA1B8">
            <w:pPr>
              <w:autoSpaceDE w:val="0"/>
              <w:autoSpaceDN w:val="0"/>
              <w:adjustRightInd w:val="0"/>
              <w:snapToGrid w:val="0"/>
              <w:jc w:val="left"/>
              <w:rPr>
                <w:rFonts w:ascii="宋体" w:hAnsi="宋体"/>
                <w:color w:val="auto"/>
                <w:kern w:val="0"/>
                <w:szCs w:val="21"/>
                <w:highlight w:val="none"/>
              </w:rPr>
            </w:pPr>
          </w:p>
        </w:tc>
        <w:tc>
          <w:tcPr>
            <w:tcW w:w="776" w:type="dxa"/>
            <w:vAlign w:val="top"/>
          </w:tcPr>
          <w:p w14:paraId="619E8AA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B5F603B">
            <w:pPr>
              <w:autoSpaceDE w:val="0"/>
              <w:autoSpaceDN w:val="0"/>
              <w:adjustRightInd w:val="0"/>
              <w:snapToGrid w:val="0"/>
              <w:jc w:val="left"/>
              <w:rPr>
                <w:rFonts w:ascii="宋体" w:hAnsi="宋体"/>
                <w:color w:val="auto"/>
                <w:kern w:val="0"/>
                <w:szCs w:val="21"/>
                <w:highlight w:val="none"/>
              </w:rPr>
            </w:pPr>
          </w:p>
        </w:tc>
        <w:tc>
          <w:tcPr>
            <w:tcW w:w="776" w:type="dxa"/>
            <w:vAlign w:val="top"/>
          </w:tcPr>
          <w:p w14:paraId="6324DD50">
            <w:pPr>
              <w:autoSpaceDE w:val="0"/>
              <w:autoSpaceDN w:val="0"/>
              <w:adjustRightInd w:val="0"/>
              <w:snapToGrid w:val="0"/>
              <w:jc w:val="left"/>
              <w:rPr>
                <w:rFonts w:ascii="宋体" w:hAnsi="宋体"/>
                <w:color w:val="auto"/>
                <w:kern w:val="0"/>
                <w:szCs w:val="21"/>
                <w:highlight w:val="none"/>
              </w:rPr>
            </w:pPr>
          </w:p>
        </w:tc>
        <w:tc>
          <w:tcPr>
            <w:tcW w:w="778" w:type="dxa"/>
            <w:vAlign w:val="top"/>
          </w:tcPr>
          <w:p w14:paraId="2FD7C245">
            <w:pPr>
              <w:autoSpaceDE w:val="0"/>
              <w:autoSpaceDN w:val="0"/>
              <w:adjustRightInd w:val="0"/>
              <w:snapToGrid w:val="0"/>
              <w:jc w:val="left"/>
              <w:rPr>
                <w:rFonts w:ascii="宋体" w:hAnsi="宋体"/>
                <w:color w:val="auto"/>
                <w:kern w:val="0"/>
                <w:szCs w:val="21"/>
                <w:highlight w:val="none"/>
              </w:rPr>
            </w:pPr>
          </w:p>
        </w:tc>
        <w:tc>
          <w:tcPr>
            <w:tcW w:w="776" w:type="dxa"/>
            <w:vAlign w:val="top"/>
          </w:tcPr>
          <w:p w14:paraId="162BDABA">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83A744E">
            <w:pPr>
              <w:autoSpaceDE w:val="0"/>
              <w:autoSpaceDN w:val="0"/>
              <w:adjustRightInd w:val="0"/>
              <w:snapToGrid w:val="0"/>
              <w:jc w:val="left"/>
              <w:rPr>
                <w:rFonts w:ascii="宋体" w:hAnsi="宋体"/>
                <w:color w:val="auto"/>
                <w:kern w:val="0"/>
                <w:szCs w:val="21"/>
                <w:highlight w:val="none"/>
              </w:rPr>
            </w:pPr>
          </w:p>
        </w:tc>
        <w:tc>
          <w:tcPr>
            <w:tcW w:w="896" w:type="dxa"/>
            <w:vAlign w:val="top"/>
          </w:tcPr>
          <w:p w14:paraId="77E73F73">
            <w:pPr>
              <w:autoSpaceDE w:val="0"/>
              <w:autoSpaceDN w:val="0"/>
              <w:adjustRightInd w:val="0"/>
              <w:snapToGrid w:val="0"/>
              <w:jc w:val="left"/>
              <w:rPr>
                <w:rFonts w:ascii="宋体" w:hAnsi="宋体"/>
                <w:color w:val="auto"/>
                <w:kern w:val="0"/>
                <w:szCs w:val="21"/>
                <w:highlight w:val="none"/>
              </w:rPr>
            </w:pPr>
          </w:p>
        </w:tc>
      </w:tr>
      <w:tr w14:paraId="0996D8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009775ED">
            <w:pPr>
              <w:autoSpaceDE w:val="0"/>
              <w:autoSpaceDN w:val="0"/>
              <w:adjustRightInd w:val="0"/>
              <w:snapToGrid w:val="0"/>
              <w:jc w:val="left"/>
              <w:rPr>
                <w:rFonts w:ascii="宋体" w:hAnsi="宋体"/>
                <w:color w:val="auto"/>
                <w:kern w:val="0"/>
                <w:szCs w:val="21"/>
                <w:highlight w:val="none"/>
              </w:rPr>
            </w:pPr>
          </w:p>
        </w:tc>
        <w:tc>
          <w:tcPr>
            <w:tcW w:w="734" w:type="dxa"/>
            <w:vAlign w:val="top"/>
          </w:tcPr>
          <w:p w14:paraId="7E6B9CFD">
            <w:pPr>
              <w:autoSpaceDE w:val="0"/>
              <w:autoSpaceDN w:val="0"/>
              <w:adjustRightInd w:val="0"/>
              <w:snapToGrid w:val="0"/>
              <w:jc w:val="left"/>
              <w:rPr>
                <w:rFonts w:ascii="宋体" w:hAnsi="宋体"/>
                <w:color w:val="auto"/>
                <w:kern w:val="0"/>
                <w:szCs w:val="21"/>
                <w:highlight w:val="none"/>
              </w:rPr>
            </w:pPr>
          </w:p>
        </w:tc>
        <w:tc>
          <w:tcPr>
            <w:tcW w:w="776" w:type="dxa"/>
            <w:vAlign w:val="top"/>
          </w:tcPr>
          <w:p w14:paraId="018F77BE">
            <w:pPr>
              <w:autoSpaceDE w:val="0"/>
              <w:autoSpaceDN w:val="0"/>
              <w:adjustRightInd w:val="0"/>
              <w:snapToGrid w:val="0"/>
              <w:jc w:val="left"/>
              <w:rPr>
                <w:rFonts w:ascii="宋体" w:hAnsi="宋体"/>
                <w:color w:val="auto"/>
                <w:kern w:val="0"/>
                <w:szCs w:val="21"/>
                <w:highlight w:val="none"/>
              </w:rPr>
            </w:pPr>
          </w:p>
        </w:tc>
        <w:tc>
          <w:tcPr>
            <w:tcW w:w="1167" w:type="dxa"/>
            <w:vAlign w:val="top"/>
          </w:tcPr>
          <w:p w14:paraId="3D14C147">
            <w:pPr>
              <w:autoSpaceDE w:val="0"/>
              <w:autoSpaceDN w:val="0"/>
              <w:adjustRightInd w:val="0"/>
              <w:snapToGrid w:val="0"/>
              <w:jc w:val="left"/>
              <w:rPr>
                <w:rFonts w:ascii="宋体" w:hAnsi="宋体"/>
                <w:color w:val="auto"/>
                <w:kern w:val="0"/>
                <w:szCs w:val="21"/>
                <w:highlight w:val="none"/>
              </w:rPr>
            </w:pPr>
          </w:p>
        </w:tc>
        <w:tc>
          <w:tcPr>
            <w:tcW w:w="776" w:type="dxa"/>
            <w:vAlign w:val="top"/>
          </w:tcPr>
          <w:p w14:paraId="6AA9882D">
            <w:pPr>
              <w:autoSpaceDE w:val="0"/>
              <w:autoSpaceDN w:val="0"/>
              <w:adjustRightInd w:val="0"/>
              <w:snapToGrid w:val="0"/>
              <w:jc w:val="left"/>
              <w:rPr>
                <w:rFonts w:ascii="宋体" w:hAnsi="宋体"/>
                <w:color w:val="auto"/>
                <w:kern w:val="0"/>
                <w:szCs w:val="21"/>
                <w:highlight w:val="none"/>
              </w:rPr>
            </w:pPr>
          </w:p>
        </w:tc>
        <w:tc>
          <w:tcPr>
            <w:tcW w:w="778" w:type="dxa"/>
            <w:vAlign w:val="top"/>
          </w:tcPr>
          <w:p w14:paraId="2B6B5C51">
            <w:pPr>
              <w:autoSpaceDE w:val="0"/>
              <w:autoSpaceDN w:val="0"/>
              <w:adjustRightInd w:val="0"/>
              <w:snapToGrid w:val="0"/>
              <w:jc w:val="left"/>
              <w:rPr>
                <w:rFonts w:ascii="宋体" w:hAnsi="宋体"/>
                <w:color w:val="auto"/>
                <w:kern w:val="0"/>
                <w:szCs w:val="21"/>
                <w:highlight w:val="none"/>
              </w:rPr>
            </w:pPr>
          </w:p>
        </w:tc>
        <w:tc>
          <w:tcPr>
            <w:tcW w:w="776" w:type="dxa"/>
            <w:vAlign w:val="top"/>
          </w:tcPr>
          <w:p w14:paraId="1AFA2873">
            <w:pPr>
              <w:autoSpaceDE w:val="0"/>
              <w:autoSpaceDN w:val="0"/>
              <w:adjustRightInd w:val="0"/>
              <w:snapToGrid w:val="0"/>
              <w:jc w:val="left"/>
              <w:rPr>
                <w:rFonts w:ascii="宋体" w:hAnsi="宋体"/>
                <w:color w:val="auto"/>
                <w:kern w:val="0"/>
                <w:szCs w:val="21"/>
                <w:highlight w:val="none"/>
              </w:rPr>
            </w:pPr>
          </w:p>
        </w:tc>
        <w:tc>
          <w:tcPr>
            <w:tcW w:w="2723" w:type="dxa"/>
            <w:vAlign w:val="top"/>
          </w:tcPr>
          <w:p w14:paraId="7BE3956F">
            <w:pPr>
              <w:autoSpaceDE w:val="0"/>
              <w:autoSpaceDN w:val="0"/>
              <w:adjustRightInd w:val="0"/>
              <w:snapToGrid w:val="0"/>
              <w:jc w:val="left"/>
              <w:rPr>
                <w:rFonts w:ascii="宋体" w:hAnsi="宋体"/>
                <w:color w:val="auto"/>
                <w:kern w:val="0"/>
                <w:szCs w:val="21"/>
                <w:highlight w:val="none"/>
              </w:rPr>
            </w:pPr>
          </w:p>
        </w:tc>
        <w:tc>
          <w:tcPr>
            <w:tcW w:w="896" w:type="dxa"/>
            <w:vAlign w:val="top"/>
          </w:tcPr>
          <w:p w14:paraId="750F3C5D">
            <w:pPr>
              <w:autoSpaceDE w:val="0"/>
              <w:autoSpaceDN w:val="0"/>
              <w:adjustRightInd w:val="0"/>
              <w:snapToGrid w:val="0"/>
              <w:jc w:val="left"/>
              <w:rPr>
                <w:rFonts w:ascii="宋体" w:hAnsi="宋体"/>
                <w:color w:val="auto"/>
                <w:kern w:val="0"/>
                <w:szCs w:val="21"/>
                <w:highlight w:val="none"/>
              </w:rPr>
            </w:pPr>
          </w:p>
        </w:tc>
      </w:tr>
      <w:tr w14:paraId="4C3052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F357773">
            <w:pPr>
              <w:autoSpaceDE w:val="0"/>
              <w:autoSpaceDN w:val="0"/>
              <w:adjustRightInd w:val="0"/>
              <w:snapToGrid w:val="0"/>
              <w:jc w:val="left"/>
              <w:rPr>
                <w:rFonts w:ascii="宋体" w:hAnsi="宋体"/>
                <w:color w:val="auto"/>
                <w:kern w:val="0"/>
                <w:szCs w:val="21"/>
                <w:highlight w:val="none"/>
              </w:rPr>
            </w:pPr>
          </w:p>
        </w:tc>
        <w:tc>
          <w:tcPr>
            <w:tcW w:w="734" w:type="dxa"/>
            <w:vAlign w:val="top"/>
          </w:tcPr>
          <w:p w14:paraId="48BA2F15">
            <w:pPr>
              <w:autoSpaceDE w:val="0"/>
              <w:autoSpaceDN w:val="0"/>
              <w:adjustRightInd w:val="0"/>
              <w:snapToGrid w:val="0"/>
              <w:jc w:val="left"/>
              <w:rPr>
                <w:rFonts w:ascii="宋体" w:hAnsi="宋体"/>
                <w:color w:val="auto"/>
                <w:kern w:val="0"/>
                <w:szCs w:val="21"/>
                <w:highlight w:val="none"/>
              </w:rPr>
            </w:pPr>
          </w:p>
        </w:tc>
        <w:tc>
          <w:tcPr>
            <w:tcW w:w="776" w:type="dxa"/>
            <w:vAlign w:val="top"/>
          </w:tcPr>
          <w:p w14:paraId="0004D273">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93762E2">
            <w:pPr>
              <w:autoSpaceDE w:val="0"/>
              <w:autoSpaceDN w:val="0"/>
              <w:adjustRightInd w:val="0"/>
              <w:snapToGrid w:val="0"/>
              <w:jc w:val="left"/>
              <w:rPr>
                <w:rFonts w:ascii="宋体" w:hAnsi="宋体"/>
                <w:color w:val="auto"/>
                <w:kern w:val="0"/>
                <w:szCs w:val="21"/>
                <w:highlight w:val="none"/>
              </w:rPr>
            </w:pPr>
          </w:p>
        </w:tc>
        <w:tc>
          <w:tcPr>
            <w:tcW w:w="776" w:type="dxa"/>
            <w:vAlign w:val="top"/>
          </w:tcPr>
          <w:p w14:paraId="07DC9AE1">
            <w:pPr>
              <w:autoSpaceDE w:val="0"/>
              <w:autoSpaceDN w:val="0"/>
              <w:adjustRightInd w:val="0"/>
              <w:snapToGrid w:val="0"/>
              <w:jc w:val="left"/>
              <w:rPr>
                <w:rFonts w:ascii="宋体" w:hAnsi="宋体"/>
                <w:color w:val="auto"/>
                <w:kern w:val="0"/>
                <w:szCs w:val="21"/>
                <w:highlight w:val="none"/>
              </w:rPr>
            </w:pPr>
          </w:p>
        </w:tc>
        <w:tc>
          <w:tcPr>
            <w:tcW w:w="778" w:type="dxa"/>
            <w:vAlign w:val="top"/>
          </w:tcPr>
          <w:p w14:paraId="26842440">
            <w:pPr>
              <w:autoSpaceDE w:val="0"/>
              <w:autoSpaceDN w:val="0"/>
              <w:adjustRightInd w:val="0"/>
              <w:snapToGrid w:val="0"/>
              <w:jc w:val="left"/>
              <w:rPr>
                <w:rFonts w:ascii="宋体" w:hAnsi="宋体"/>
                <w:color w:val="auto"/>
                <w:kern w:val="0"/>
                <w:szCs w:val="21"/>
                <w:highlight w:val="none"/>
              </w:rPr>
            </w:pPr>
          </w:p>
        </w:tc>
        <w:tc>
          <w:tcPr>
            <w:tcW w:w="776" w:type="dxa"/>
            <w:vAlign w:val="top"/>
          </w:tcPr>
          <w:p w14:paraId="787392F5">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556412F">
            <w:pPr>
              <w:autoSpaceDE w:val="0"/>
              <w:autoSpaceDN w:val="0"/>
              <w:adjustRightInd w:val="0"/>
              <w:snapToGrid w:val="0"/>
              <w:jc w:val="left"/>
              <w:rPr>
                <w:rFonts w:ascii="宋体" w:hAnsi="宋体"/>
                <w:color w:val="auto"/>
                <w:kern w:val="0"/>
                <w:szCs w:val="21"/>
                <w:highlight w:val="none"/>
              </w:rPr>
            </w:pPr>
          </w:p>
        </w:tc>
        <w:tc>
          <w:tcPr>
            <w:tcW w:w="896" w:type="dxa"/>
            <w:vAlign w:val="top"/>
          </w:tcPr>
          <w:p w14:paraId="72047AAF">
            <w:pPr>
              <w:autoSpaceDE w:val="0"/>
              <w:autoSpaceDN w:val="0"/>
              <w:adjustRightInd w:val="0"/>
              <w:snapToGrid w:val="0"/>
              <w:jc w:val="left"/>
              <w:rPr>
                <w:rFonts w:ascii="宋体" w:hAnsi="宋体"/>
                <w:color w:val="auto"/>
                <w:kern w:val="0"/>
                <w:szCs w:val="21"/>
                <w:highlight w:val="none"/>
              </w:rPr>
            </w:pPr>
          </w:p>
        </w:tc>
      </w:tr>
      <w:tr w14:paraId="274DD6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DFA0085">
            <w:pPr>
              <w:autoSpaceDE w:val="0"/>
              <w:autoSpaceDN w:val="0"/>
              <w:adjustRightInd w:val="0"/>
              <w:snapToGrid w:val="0"/>
              <w:jc w:val="left"/>
              <w:rPr>
                <w:rFonts w:ascii="宋体" w:hAnsi="宋体"/>
                <w:color w:val="auto"/>
                <w:kern w:val="0"/>
                <w:szCs w:val="21"/>
                <w:highlight w:val="none"/>
              </w:rPr>
            </w:pPr>
          </w:p>
        </w:tc>
        <w:tc>
          <w:tcPr>
            <w:tcW w:w="734" w:type="dxa"/>
            <w:vAlign w:val="top"/>
          </w:tcPr>
          <w:p w14:paraId="79EAC2EB">
            <w:pPr>
              <w:autoSpaceDE w:val="0"/>
              <w:autoSpaceDN w:val="0"/>
              <w:adjustRightInd w:val="0"/>
              <w:snapToGrid w:val="0"/>
              <w:jc w:val="left"/>
              <w:rPr>
                <w:rFonts w:ascii="宋体" w:hAnsi="宋体"/>
                <w:color w:val="auto"/>
                <w:kern w:val="0"/>
                <w:szCs w:val="21"/>
                <w:highlight w:val="none"/>
              </w:rPr>
            </w:pPr>
          </w:p>
        </w:tc>
        <w:tc>
          <w:tcPr>
            <w:tcW w:w="776" w:type="dxa"/>
            <w:vAlign w:val="top"/>
          </w:tcPr>
          <w:p w14:paraId="0F1B38C7">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D0B7CFB">
            <w:pPr>
              <w:autoSpaceDE w:val="0"/>
              <w:autoSpaceDN w:val="0"/>
              <w:adjustRightInd w:val="0"/>
              <w:snapToGrid w:val="0"/>
              <w:jc w:val="left"/>
              <w:rPr>
                <w:rFonts w:ascii="宋体" w:hAnsi="宋体"/>
                <w:color w:val="auto"/>
                <w:kern w:val="0"/>
                <w:szCs w:val="21"/>
                <w:highlight w:val="none"/>
              </w:rPr>
            </w:pPr>
          </w:p>
        </w:tc>
        <w:tc>
          <w:tcPr>
            <w:tcW w:w="776" w:type="dxa"/>
            <w:vAlign w:val="top"/>
          </w:tcPr>
          <w:p w14:paraId="18042640">
            <w:pPr>
              <w:autoSpaceDE w:val="0"/>
              <w:autoSpaceDN w:val="0"/>
              <w:adjustRightInd w:val="0"/>
              <w:snapToGrid w:val="0"/>
              <w:jc w:val="left"/>
              <w:rPr>
                <w:rFonts w:ascii="宋体" w:hAnsi="宋体"/>
                <w:color w:val="auto"/>
                <w:kern w:val="0"/>
                <w:szCs w:val="21"/>
                <w:highlight w:val="none"/>
              </w:rPr>
            </w:pPr>
          </w:p>
        </w:tc>
        <w:tc>
          <w:tcPr>
            <w:tcW w:w="778" w:type="dxa"/>
            <w:vAlign w:val="top"/>
          </w:tcPr>
          <w:p w14:paraId="6080B383">
            <w:pPr>
              <w:autoSpaceDE w:val="0"/>
              <w:autoSpaceDN w:val="0"/>
              <w:adjustRightInd w:val="0"/>
              <w:snapToGrid w:val="0"/>
              <w:jc w:val="left"/>
              <w:rPr>
                <w:rFonts w:ascii="宋体" w:hAnsi="宋体"/>
                <w:color w:val="auto"/>
                <w:kern w:val="0"/>
                <w:szCs w:val="21"/>
                <w:highlight w:val="none"/>
              </w:rPr>
            </w:pPr>
          </w:p>
        </w:tc>
        <w:tc>
          <w:tcPr>
            <w:tcW w:w="776" w:type="dxa"/>
            <w:vAlign w:val="top"/>
          </w:tcPr>
          <w:p w14:paraId="6FC4E630">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2ED3333">
            <w:pPr>
              <w:autoSpaceDE w:val="0"/>
              <w:autoSpaceDN w:val="0"/>
              <w:adjustRightInd w:val="0"/>
              <w:snapToGrid w:val="0"/>
              <w:jc w:val="left"/>
              <w:rPr>
                <w:rFonts w:ascii="宋体" w:hAnsi="宋体"/>
                <w:color w:val="auto"/>
                <w:kern w:val="0"/>
                <w:szCs w:val="21"/>
                <w:highlight w:val="none"/>
              </w:rPr>
            </w:pPr>
          </w:p>
        </w:tc>
        <w:tc>
          <w:tcPr>
            <w:tcW w:w="896" w:type="dxa"/>
            <w:vAlign w:val="top"/>
          </w:tcPr>
          <w:p w14:paraId="34CD4039">
            <w:pPr>
              <w:autoSpaceDE w:val="0"/>
              <w:autoSpaceDN w:val="0"/>
              <w:adjustRightInd w:val="0"/>
              <w:snapToGrid w:val="0"/>
              <w:jc w:val="left"/>
              <w:rPr>
                <w:rFonts w:ascii="宋体" w:hAnsi="宋体"/>
                <w:color w:val="auto"/>
                <w:kern w:val="0"/>
                <w:szCs w:val="21"/>
                <w:highlight w:val="none"/>
              </w:rPr>
            </w:pPr>
          </w:p>
        </w:tc>
      </w:tr>
      <w:tr w14:paraId="415F13B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0F08A1D">
            <w:pPr>
              <w:autoSpaceDE w:val="0"/>
              <w:autoSpaceDN w:val="0"/>
              <w:adjustRightInd w:val="0"/>
              <w:snapToGrid w:val="0"/>
              <w:jc w:val="left"/>
              <w:rPr>
                <w:rFonts w:ascii="宋体" w:hAnsi="宋体"/>
                <w:color w:val="auto"/>
                <w:kern w:val="0"/>
                <w:szCs w:val="21"/>
                <w:highlight w:val="none"/>
              </w:rPr>
            </w:pPr>
          </w:p>
        </w:tc>
        <w:tc>
          <w:tcPr>
            <w:tcW w:w="734" w:type="dxa"/>
            <w:vAlign w:val="top"/>
          </w:tcPr>
          <w:p w14:paraId="1DE11F16">
            <w:pPr>
              <w:autoSpaceDE w:val="0"/>
              <w:autoSpaceDN w:val="0"/>
              <w:adjustRightInd w:val="0"/>
              <w:snapToGrid w:val="0"/>
              <w:jc w:val="left"/>
              <w:rPr>
                <w:rFonts w:ascii="宋体" w:hAnsi="宋体"/>
                <w:color w:val="auto"/>
                <w:kern w:val="0"/>
                <w:szCs w:val="21"/>
                <w:highlight w:val="none"/>
              </w:rPr>
            </w:pPr>
          </w:p>
        </w:tc>
        <w:tc>
          <w:tcPr>
            <w:tcW w:w="776" w:type="dxa"/>
            <w:vAlign w:val="top"/>
          </w:tcPr>
          <w:p w14:paraId="02FBCBC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4AEECA22">
            <w:pPr>
              <w:autoSpaceDE w:val="0"/>
              <w:autoSpaceDN w:val="0"/>
              <w:adjustRightInd w:val="0"/>
              <w:snapToGrid w:val="0"/>
              <w:jc w:val="left"/>
              <w:rPr>
                <w:rFonts w:ascii="宋体" w:hAnsi="宋体"/>
                <w:color w:val="auto"/>
                <w:kern w:val="0"/>
                <w:szCs w:val="21"/>
                <w:highlight w:val="none"/>
              </w:rPr>
            </w:pPr>
          </w:p>
        </w:tc>
        <w:tc>
          <w:tcPr>
            <w:tcW w:w="776" w:type="dxa"/>
            <w:vAlign w:val="top"/>
          </w:tcPr>
          <w:p w14:paraId="5594FF73">
            <w:pPr>
              <w:autoSpaceDE w:val="0"/>
              <w:autoSpaceDN w:val="0"/>
              <w:adjustRightInd w:val="0"/>
              <w:snapToGrid w:val="0"/>
              <w:jc w:val="left"/>
              <w:rPr>
                <w:rFonts w:ascii="宋体" w:hAnsi="宋体"/>
                <w:color w:val="auto"/>
                <w:kern w:val="0"/>
                <w:szCs w:val="21"/>
                <w:highlight w:val="none"/>
              </w:rPr>
            </w:pPr>
          </w:p>
        </w:tc>
        <w:tc>
          <w:tcPr>
            <w:tcW w:w="778" w:type="dxa"/>
            <w:vAlign w:val="top"/>
          </w:tcPr>
          <w:p w14:paraId="5F426D65">
            <w:pPr>
              <w:autoSpaceDE w:val="0"/>
              <w:autoSpaceDN w:val="0"/>
              <w:adjustRightInd w:val="0"/>
              <w:snapToGrid w:val="0"/>
              <w:jc w:val="left"/>
              <w:rPr>
                <w:rFonts w:ascii="宋体" w:hAnsi="宋体"/>
                <w:color w:val="auto"/>
                <w:kern w:val="0"/>
                <w:szCs w:val="21"/>
                <w:highlight w:val="none"/>
              </w:rPr>
            </w:pPr>
          </w:p>
        </w:tc>
        <w:tc>
          <w:tcPr>
            <w:tcW w:w="776" w:type="dxa"/>
            <w:vAlign w:val="top"/>
          </w:tcPr>
          <w:p w14:paraId="40A5B8C9">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18DD252">
            <w:pPr>
              <w:autoSpaceDE w:val="0"/>
              <w:autoSpaceDN w:val="0"/>
              <w:adjustRightInd w:val="0"/>
              <w:snapToGrid w:val="0"/>
              <w:jc w:val="left"/>
              <w:rPr>
                <w:rFonts w:ascii="宋体" w:hAnsi="宋体"/>
                <w:color w:val="auto"/>
                <w:kern w:val="0"/>
                <w:szCs w:val="21"/>
                <w:highlight w:val="none"/>
              </w:rPr>
            </w:pPr>
          </w:p>
        </w:tc>
        <w:tc>
          <w:tcPr>
            <w:tcW w:w="896" w:type="dxa"/>
            <w:vAlign w:val="top"/>
          </w:tcPr>
          <w:p w14:paraId="716E57CC">
            <w:pPr>
              <w:autoSpaceDE w:val="0"/>
              <w:autoSpaceDN w:val="0"/>
              <w:adjustRightInd w:val="0"/>
              <w:snapToGrid w:val="0"/>
              <w:jc w:val="left"/>
              <w:rPr>
                <w:rFonts w:ascii="宋体" w:hAnsi="宋体"/>
                <w:color w:val="auto"/>
                <w:kern w:val="0"/>
                <w:szCs w:val="21"/>
                <w:highlight w:val="none"/>
              </w:rPr>
            </w:pPr>
          </w:p>
        </w:tc>
      </w:tr>
      <w:tr w14:paraId="7BAC43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0E32DBC">
            <w:pPr>
              <w:autoSpaceDE w:val="0"/>
              <w:autoSpaceDN w:val="0"/>
              <w:adjustRightInd w:val="0"/>
              <w:snapToGrid w:val="0"/>
              <w:jc w:val="left"/>
              <w:rPr>
                <w:rFonts w:ascii="宋体" w:hAnsi="宋体"/>
                <w:color w:val="auto"/>
                <w:kern w:val="0"/>
                <w:szCs w:val="21"/>
                <w:highlight w:val="none"/>
              </w:rPr>
            </w:pPr>
          </w:p>
        </w:tc>
        <w:tc>
          <w:tcPr>
            <w:tcW w:w="734" w:type="dxa"/>
            <w:vAlign w:val="top"/>
          </w:tcPr>
          <w:p w14:paraId="58F6E445">
            <w:pPr>
              <w:autoSpaceDE w:val="0"/>
              <w:autoSpaceDN w:val="0"/>
              <w:adjustRightInd w:val="0"/>
              <w:snapToGrid w:val="0"/>
              <w:jc w:val="left"/>
              <w:rPr>
                <w:rFonts w:ascii="宋体" w:hAnsi="宋体"/>
                <w:color w:val="auto"/>
                <w:kern w:val="0"/>
                <w:szCs w:val="21"/>
                <w:highlight w:val="none"/>
              </w:rPr>
            </w:pPr>
          </w:p>
        </w:tc>
        <w:tc>
          <w:tcPr>
            <w:tcW w:w="776" w:type="dxa"/>
            <w:vAlign w:val="top"/>
          </w:tcPr>
          <w:p w14:paraId="23DC646B">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750D2D0">
            <w:pPr>
              <w:autoSpaceDE w:val="0"/>
              <w:autoSpaceDN w:val="0"/>
              <w:adjustRightInd w:val="0"/>
              <w:snapToGrid w:val="0"/>
              <w:jc w:val="left"/>
              <w:rPr>
                <w:rFonts w:ascii="宋体" w:hAnsi="宋体"/>
                <w:color w:val="auto"/>
                <w:kern w:val="0"/>
                <w:szCs w:val="21"/>
                <w:highlight w:val="none"/>
              </w:rPr>
            </w:pPr>
          </w:p>
        </w:tc>
        <w:tc>
          <w:tcPr>
            <w:tcW w:w="776" w:type="dxa"/>
            <w:vAlign w:val="top"/>
          </w:tcPr>
          <w:p w14:paraId="4D4DACD4">
            <w:pPr>
              <w:autoSpaceDE w:val="0"/>
              <w:autoSpaceDN w:val="0"/>
              <w:adjustRightInd w:val="0"/>
              <w:snapToGrid w:val="0"/>
              <w:jc w:val="left"/>
              <w:rPr>
                <w:rFonts w:ascii="宋体" w:hAnsi="宋体"/>
                <w:color w:val="auto"/>
                <w:kern w:val="0"/>
                <w:szCs w:val="21"/>
                <w:highlight w:val="none"/>
              </w:rPr>
            </w:pPr>
          </w:p>
        </w:tc>
        <w:tc>
          <w:tcPr>
            <w:tcW w:w="778" w:type="dxa"/>
            <w:vAlign w:val="top"/>
          </w:tcPr>
          <w:p w14:paraId="00E13B2F">
            <w:pPr>
              <w:autoSpaceDE w:val="0"/>
              <w:autoSpaceDN w:val="0"/>
              <w:adjustRightInd w:val="0"/>
              <w:snapToGrid w:val="0"/>
              <w:jc w:val="left"/>
              <w:rPr>
                <w:rFonts w:ascii="宋体" w:hAnsi="宋体"/>
                <w:color w:val="auto"/>
                <w:kern w:val="0"/>
                <w:szCs w:val="21"/>
                <w:highlight w:val="none"/>
              </w:rPr>
            </w:pPr>
          </w:p>
        </w:tc>
        <w:tc>
          <w:tcPr>
            <w:tcW w:w="776" w:type="dxa"/>
            <w:vAlign w:val="top"/>
          </w:tcPr>
          <w:p w14:paraId="3E9D3FC8">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8EE1601">
            <w:pPr>
              <w:autoSpaceDE w:val="0"/>
              <w:autoSpaceDN w:val="0"/>
              <w:adjustRightInd w:val="0"/>
              <w:snapToGrid w:val="0"/>
              <w:jc w:val="left"/>
              <w:rPr>
                <w:rFonts w:ascii="宋体" w:hAnsi="宋体"/>
                <w:color w:val="auto"/>
                <w:kern w:val="0"/>
                <w:szCs w:val="21"/>
                <w:highlight w:val="none"/>
              </w:rPr>
            </w:pPr>
          </w:p>
        </w:tc>
        <w:tc>
          <w:tcPr>
            <w:tcW w:w="896" w:type="dxa"/>
            <w:vAlign w:val="top"/>
          </w:tcPr>
          <w:p w14:paraId="4DC0DA58">
            <w:pPr>
              <w:autoSpaceDE w:val="0"/>
              <w:autoSpaceDN w:val="0"/>
              <w:adjustRightInd w:val="0"/>
              <w:snapToGrid w:val="0"/>
              <w:jc w:val="left"/>
              <w:rPr>
                <w:rFonts w:ascii="宋体" w:hAnsi="宋体"/>
                <w:color w:val="auto"/>
                <w:kern w:val="0"/>
                <w:szCs w:val="21"/>
                <w:highlight w:val="none"/>
              </w:rPr>
            </w:pPr>
          </w:p>
        </w:tc>
      </w:tr>
      <w:tr w14:paraId="1780D1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441F96F2">
            <w:pPr>
              <w:autoSpaceDE w:val="0"/>
              <w:autoSpaceDN w:val="0"/>
              <w:adjustRightInd w:val="0"/>
              <w:snapToGrid w:val="0"/>
              <w:jc w:val="left"/>
              <w:rPr>
                <w:rFonts w:ascii="宋体" w:hAnsi="宋体"/>
                <w:color w:val="auto"/>
                <w:kern w:val="0"/>
                <w:szCs w:val="21"/>
                <w:highlight w:val="none"/>
              </w:rPr>
            </w:pPr>
          </w:p>
        </w:tc>
        <w:tc>
          <w:tcPr>
            <w:tcW w:w="734" w:type="dxa"/>
            <w:vAlign w:val="top"/>
          </w:tcPr>
          <w:p w14:paraId="3B78A360">
            <w:pPr>
              <w:autoSpaceDE w:val="0"/>
              <w:autoSpaceDN w:val="0"/>
              <w:adjustRightInd w:val="0"/>
              <w:snapToGrid w:val="0"/>
              <w:jc w:val="left"/>
              <w:rPr>
                <w:rFonts w:ascii="宋体" w:hAnsi="宋体"/>
                <w:color w:val="auto"/>
                <w:kern w:val="0"/>
                <w:szCs w:val="21"/>
                <w:highlight w:val="none"/>
              </w:rPr>
            </w:pPr>
          </w:p>
        </w:tc>
        <w:tc>
          <w:tcPr>
            <w:tcW w:w="776" w:type="dxa"/>
            <w:vAlign w:val="top"/>
          </w:tcPr>
          <w:p w14:paraId="5FA90D92">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42CDBCD">
            <w:pPr>
              <w:autoSpaceDE w:val="0"/>
              <w:autoSpaceDN w:val="0"/>
              <w:adjustRightInd w:val="0"/>
              <w:snapToGrid w:val="0"/>
              <w:jc w:val="left"/>
              <w:rPr>
                <w:rFonts w:ascii="宋体" w:hAnsi="宋体"/>
                <w:color w:val="auto"/>
                <w:kern w:val="0"/>
                <w:szCs w:val="21"/>
                <w:highlight w:val="none"/>
              </w:rPr>
            </w:pPr>
          </w:p>
        </w:tc>
        <w:tc>
          <w:tcPr>
            <w:tcW w:w="776" w:type="dxa"/>
            <w:vAlign w:val="top"/>
          </w:tcPr>
          <w:p w14:paraId="1C99704C">
            <w:pPr>
              <w:autoSpaceDE w:val="0"/>
              <w:autoSpaceDN w:val="0"/>
              <w:adjustRightInd w:val="0"/>
              <w:snapToGrid w:val="0"/>
              <w:jc w:val="left"/>
              <w:rPr>
                <w:rFonts w:ascii="宋体" w:hAnsi="宋体"/>
                <w:color w:val="auto"/>
                <w:kern w:val="0"/>
                <w:szCs w:val="21"/>
                <w:highlight w:val="none"/>
              </w:rPr>
            </w:pPr>
          </w:p>
        </w:tc>
        <w:tc>
          <w:tcPr>
            <w:tcW w:w="778" w:type="dxa"/>
            <w:vAlign w:val="top"/>
          </w:tcPr>
          <w:p w14:paraId="612473B5">
            <w:pPr>
              <w:autoSpaceDE w:val="0"/>
              <w:autoSpaceDN w:val="0"/>
              <w:adjustRightInd w:val="0"/>
              <w:snapToGrid w:val="0"/>
              <w:jc w:val="left"/>
              <w:rPr>
                <w:rFonts w:ascii="宋体" w:hAnsi="宋体"/>
                <w:color w:val="auto"/>
                <w:kern w:val="0"/>
                <w:szCs w:val="21"/>
                <w:highlight w:val="none"/>
              </w:rPr>
            </w:pPr>
          </w:p>
        </w:tc>
        <w:tc>
          <w:tcPr>
            <w:tcW w:w="776" w:type="dxa"/>
            <w:vAlign w:val="top"/>
          </w:tcPr>
          <w:p w14:paraId="64D7913C">
            <w:pPr>
              <w:autoSpaceDE w:val="0"/>
              <w:autoSpaceDN w:val="0"/>
              <w:adjustRightInd w:val="0"/>
              <w:snapToGrid w:val="0"/>
              <w:jc w:val="left"/>
              <w:rPr>
                <w:rFonts w:ascii="宋体" w:hAnsi="宋体"/>
                <w:color w:val="auto"/>
                <w:kern w:val="0"/>
                <w:szCs w:val="21"/>
                <w:highlight w:val="none"/>
              </w:rPr>
            </w:pPr>
          </w:p>
        </w:tc>
        <w:tc>
          <w:tcPr>
            <w:tcW w:w="2723" w:type="dxa"/>
            <w:vAlign w:val="top"/>
          </w:tcPr>
          <w:p w14:paraId="40B88DD1">
            <w:pPr>
              <w:autoSpaceDE w:val="0"/>
              <w:autoSpaceDN w:val="0"/>
              <w:adjustRightInd w:val="0"/>
              <w:snapToGrid w:val="0"/>
              <w:jc w:val="left"/>
              <w:rPr>
                <w:rFonts w:ascii="宋体" w:hAnsi="宋体"/>
                <w:color w:val="auto"/>
                <w:kern w:val="0"/>
                <w:szCs w:val="21"/>
                <w:highlight w:val="none"/>
              </w:rPr>
            </w:pPr>
          </w:p>
        </w:tc>
        <w:tc>
          <w:tcPr>
            <w:tcW w:w="896" w:type="dxa"/>
            <w:vAlign w:val="top"/>
          </w:tcPr>
          <w:p w14:paraId="04D115B3">
            <w:pPr>
              <w:autoSpaceDE w:val="0"/>
              <w:autoSpaceDN w:val="0"/>
              <w:adjustRightInd w:val="0"/>
              <w:snapToGrid w:val="0"/>
              <w:jc w:val="left"/>
              <w:rPr>
                <w:rFonts w:ascii="宋体" w:hAnsi="宋体"/>
                <w:color w:val="auto"/>
                <w:kern w:val="0"/>
                <w:szCs w:val="21"/>
                <w:highlight w:val="none"/>
              </w:rPr>
            </w:pPr>
          </w:p>
        </w:tc>
      </w:tr>
      <w:tr w14:paraId="72F275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5FF98BBB">
            <w:pPr>
              <w:autoSpaceDE w:val="0"/>
              <w:autoSpaceDN w:val="0"/>
              <w:adjustRightInd w:val="0"/>
              <w:snapToGrid w:val="0"/>
              <w:jc w:val="left"/>
              <w:rPr>
                <w:rFonts w:ascii="宋体" w:hAnsi="宋体"/>
                <w:color w:val="auto"/>
                <w:kern w:val="0"/>
                <w:szCs w:val="21"/>
                <w:highlight w:val="none"/>
              </w:rPr>
            </w:pPr>
          </w:p>
        </w:tc>
        <w:tc>
          <w:tcPr>
            <w:tcW w:w="734" w:type="dxa"/>
            <w:vAlign w:val="top"/>
          </w:tcPr>
          <w:p w14:paraId="07FEC6A8">
            <w:pPr>
              <w:autoSpaceDE w:val="0"/>
              <w:autoSpaceDN w:val="0"/>
              <w:adjustRightInd w:val="0"/>
              <w:snapToGrid w:val="0"/>
              <w:jc w:val="left"/>
              <w:rPr>
                <w:rFonts w:ascii="宋体" w:hAnsi="宋体"/>
                <w:color w:val="auto"/>
                <w:kern w:val="0"/>
                <w:szCs w:val="21"/>
                <w:highlight w:val="none"/>
              </w:rPr>
            </w:pPr>
          </w:p>
        </w:tc>
        <w:tc>
          <w:tcPr>
            <w:tcW w:w="776" w:type="dxa"/>
            <w:vAlign w:val="top"/>
          </w:tcPr>
          <w:p w14:paraId="306315BE">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7B99060">
            <w:pPr>
              <w:autoSpaceDE w:val="0"/>
              <w:autoSpaceDN w:val="0"/>
              <w:adjustRightInd w:val="0"/>
              <w:snapToGrid w:val="0"/>
              <w:jc w:val="left"/>
              <w:rPr>
                <w:rFonts w:ascii="宋体" w:hAnsi="宋体"/>
                <w:color w:val="auto"/>
                <w:kern w:val="0"/>
                <w:szCs w:val="21"/>
                <w:highlight w:val="none"/>
              </w:rPr>
            </w:pPr>
          </w:p>
        </w:tc>
        <w:tc>
          <w:tcPr>
            <w:tcW w:w="776" w:type="dxa"/>
            <w:vAlign w:val="top"/>
          </w:tcPr>
          <w:p w14:paraId="44277DE0">
            <w:pPr>
              <w:autoSpaceDE w:val="0"/>
              <w:autoSpaceDN w:val="0"/>
              <w:adjustRightInd w:val="0"/>
              <w:snapToGrid w:val="0"/>
              <w:jc w:val="left"/>
              <w:rPr>
                <w:rFonts w:ascii="宋体" w:hAnsi="宋体"/>
                <w:color w:val="auto"/>
                <w:kern w:val="0"/>
                <w:szCs w:val="21"/>
                <w:highlight w:val="none"/>
              </w:rPr>
            </w:pPr>
          </w:p>
        </w:tc>
        <w:tc>
          <w:tcPr>
            <w:tcW w:w="778" w:type="dxa"/>
            <w:vAlign w:val="top"/>
          </w:tcPr>
          <w:p w14:paraId="7EE0B7BE">
            <w:pPr>
              <w:autoSpaceDE w:val="0"/>
              <w:autoSpaceDN w:val="0"/>
              <w:adjustRightInd w:val="0"/>
              <w:snapToGrid w:val="0"/>
              <w:jc w:val="left"/>
              <w:rPr>
                <w:rFonts w:ascii="宋体" w:hAnsi="宋体"/>
                <w:color w:val="auto"/>
                <w:kern w:val="0"/>
                <w:szCs w:val="21"/>
                <w:highlight w:val="none"/>
              </w:rPr>
            </w:pPr>
          </w:p>
        </w:tc>
        <w:tc>
          <w:tcPr>
            <w:tcW w:w="776" w:type="dxa"/>
            <w:vAlign w:val="top"/>
          </w:tcPr>
          <w:p w14:paraId="353C59B8">
            <w:pPr>
              <w:autoSpaceDE w:val="0"/>
              <w:autoSpaceDN w:val="0"/>
              <w:adjustRightInd w:val="0"/>
              <w:snapToGrid w:val="0"/>
              <w:jc w:val="left"/>
              <w:rPr>
                <w:rFonts w:ascii="宋体" w:hAnsi="宋体"/>
                <w:color w:val="auto"/>
                <w:kern w:val="0"/>
                <w:szCs w:val="21"/>
                <w:highlight w:val="none"/>
              </w:rPr>
            </w:pPr>
          </w:p>
        </w:tc>
        <w:tc>
          <w:tcPr>
            <w:tcW w:w="2723" w:type="dxa"/>
            <w:vAlign w:val="top"/>
          </w:tcPr>
          <w:p w14:paraId="117FE39B">
            <w:pPr>
              <w:autoSpaceDE w:val="0"/>
              <w:autoSpaceDN w:val="0"/>
              <w:adjustRightInd w:val="0"/>
              <w:snapToGrid w:val="0"/>
              <w:jc w:val="left"/>
              <w:rPr>
                <w:rFonts w:ascii="宋体" w:hAnsi="宋体"/>
                <w:color w:val="auto"/>
                <w:kern w:val="0"/>
                <w:szCs w:val="21"/>
                <w:highlight w:val="none"/>
              </w:rPr>
            </w:pPr>
          </w:p>
        </w:tc>
        <w:tc>
          <w:tcPr>
            <w:tcW w:w="896" w:type="dxa"/>
            <w:vAlign w:val="top"/>
          </w:tcPr>
          <w:p w14:paraId="0B707F82">
            <w:pPr>
              <w:autoSpaceDE w:val="0"/>
              <w:autoSpaceDN w:val="0"/>
              <w:adjustRightInd w:val="0"/>
              <w:snapToGrid w:val="0"/>
              <w:jc w:val="left"/>
              <w:rPr>
                <w:rFonts w:ascii="宋体" w:hAnsi="宋体"/>
                <w:color w:val="auto"/>
                <w:kern w:val="0"/>
                <w:szCs w:val="21"/>
                <w:highlight w:val="none"/>
              </w:rPr>
            </w:pPr>
          </w:p>
        </w:tc>
      </w:tr>
      <w:tr w14:paraId="5753FB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1DA72AA6">
            <w:pPr>
              <w:autoSpaceDE w:val="0"/>
              <w:autoSpaceDN w:val="0"/>
              <w:adjustRightInd w:val="0"/>
              <w:snapToGrid w:val="0"/>
              <w:jc w:val="left"/>
              <w:rPr>
                <w:rFonts w:ascii="宋体" w:hAnsi="宋体"/>
                <w:color w:val="auto"/>
                <w:kern w:val="0"/>
                <w:szCs w:val="21"/>
                <w:highlight w:val="none"/>
              </w:rPr>
            </w:pPr>
          </w:p>
        </w:tc>
        <w:tc>
          <w:tcPr>
            <w:tcW w:w="734" w:type="dxa"/>
            <w:vAlign w:val="top"/>
          </w:tcPr>
          <w:p w14:paraId="252CCCCB">
            <w:pPr>
              <w:autoSpaceDE w:val="0"/>
              <w:autoSpaceDN w:val="0"/>
              <w:adjustRightInd w:val="0"/>
              <w:snapToGrid w:val="0"/>
              <w:jc w:val="left"/>
              <w:rPr>
                <w:rFonts w:ascii="宋体" w:hAnsi="宋体"/>
                <w:color w:val="auto"/>
                <w:kern w:val="0"/>
                <w:szCs w:val="21"/>
                <w:highlight w:val="none"/>
              </w:rPr>
            </w:pPr>
          </w:p>
        </w:tc>
        <w:tc>
          <w:tcPr>
            <w:tcW w:w="776" w:type="dxa"/>
            <w:vAlign w:val="top"/>
          </w:tcPr>
          <w:p w14:paraId="74318361">
            <w:pPr>
              <w:autoSpaceDE w:val="0"/>
              <w:autoSpaceDN w:val="0"/>
              <w:adjustRightInd w:val="0"/>
              <w:snapToGrid w:val="0"/>
              <w:jc w:val="left"/>
              <w:rPr>
                <w:rFonts w:ascii="宋体" w:hAnsi="宋体"/>
                <w:color w:val="auto"/>
                <w:kern w:val="0"/>
                <w:szCs w:val="21"/>
                <w:highlight w:val="none"/>
              </w:rPr>
            </w:pPr>
          </w:p>
        </w:tc>
        <w:tc>
          <w:tcPr>
            <w:tcW w:w="1167" w:type="dxa"/>
            <w:vAlign w:val="top"/>
          </w:tcPr>
          <w:p w14:paraId="1EF19372">
            <w:pPr>
              <w:autoSpaceDE w:val="0"/>
              <w:autoSpaceDN w:val="0"/>
              <w:adjustRightInd w:val="0"/>
              <w:snapToGrid w:val="0"/>
              <w:jc w:val="left"/>
              <w:rPr>
                <w:rFonts w:ascii="宋体" w:hAnsi="宋体"/>
                <w:color w:val="auto"/>
                <w:kern w:val="0"/>
                <w:szCs w:val="21"/>
                <w:highlight w:val="none"/>
              </w:rPr>
            </w:pPr>
          </w:p>
        </w:tc>
        <w:tc>
          <w:tcPr>
            <w:tcW w:w="776" w:type="dxa"/>
            <w:vAlign w:val="top"/>
          </w:tcPr>
          <w:p w14:paraId="59730813">
            <w:pPr>
              <w:autoSpaceDE w:val="0"/>
              <w:autoSpaceDN w:val="0"/>
              <w:adjustRightInd w:val="0"/>
              <w:snapToGrid w:val="0"/>
              <w:jc w:val="left"/>
              <w:rPr>
                <w:rFonts w:ascii="宋体" w:hAnsi="宋体"/>
                <w:color w:val="auto"/>
                <w:kern w:val="0"/>
                <w:szCs w:val="21"/>
                <w:highlight w:val="none"/>
              </w:rPr>
            </w:pPr>
          </w:p>
        </w:tc>
        <w:tc>
          <w:tcPr>
            <w:tcW w:w="778" w:type="dxa"/>
            <w:vAlign w:val="top"/>
          </w:tcPr>
          <w:p w14:paraId="2C1B967C">
            <w:pPr>
              <w:autoSpaceDE w:val="0"/>
              <w:autoSpaceDN w:val="0"/>
              <w:adjustRightInd w:val="0"/>
              <w:snapToGrid w:val="0"/>
              <w:jc w:val="left"/>
              <w:rPr>
                <w:rFonts w:ascii="宋体" w:hAnsi="宋体"/>
                <w:color w:val="auto"/>
                <w:kern w:val="0"/>
                <w:szCs w:val="21"/>
                <w:highlight w:val="none"/>
              </w:rPr>
            </w:pPr>
          </w:p>
        </w:tc>
        <w:tc>
          <w:tcPr>
            <w:tcW w:w="776" w:type="dxa"/>
            <w:vAlign w:val="top"/>
          </w:tcPr>
          <w:p w14:paraId="38FAF506">
            <w:pPr>
              <w:autoSpaceDE w:val="0"/>
              <w:autoSpaceDN w:val="0"/>
              <w:adjustRightInd w:val="0"/>
              <w:snapToGrid w:val="0"/>
              <w:jc w:val="left"/>
              <w:rPr>
                <w:rFonts w:ascii="宋体" w:hAnsi="宋体"/>
                <w:color w:val="auto"/>
                <w:kern w:val="0"/>
                <w:szCs w:val="21"/>
                <w:highlight w:val="none"/>
              </w:rPr>
            </w:pPr>
          </w:p>
        </w:tc>
        <w:tc>
          <w:tcPr>
            <w:tcW w:w="2723" w:type="dxa"/>
            <w:vAlign w:val="top"/>
          </w:tcPr>
          <w:p w14:paraId="399E6F2B">
            <w:pPr>
              <w:autoSpaceDE w:val="0"/>
              <w:autoSpaceDN w:val="0"/>
              <w:adjustRightInd w:val="0"/>
              <w:snapToGrid w:val="0"/>
              <w:jc w:val="left"/>
              <w:rPr>
                <w:rFonts w:ascii="宋体" w:hAnsi="宋体"/>
                <w:color w:val="auto"/>
                <w:kern w:val="0"/>
                <w:szCs w:val="21"/>
                <w:highlight w:val="none"/>
              </w:rPr>
            </w:pPr>
          </w:p>
        </w:tc>
        <w:tc>
          <w:tcPr>
            <w:tcW w:w="896" w:type="dxa"/>
            <w:vAlign w:val="top"/>
          </w:tcPr>
          <w:p w14:paraId="3A539F8B">
            <w:pPr>
              <w:autoSpaceDE w:val="0"/>
              <w:autoSpaceDN w:val="0"/>
              <w:adjustRightInd w:val="0"/>
              <w:snapToGrid w:val="0"/>
              <w:jc w:val="left"/>
              <w:rPr>
                <w:rFonts w:ascii="宋体" w:hAnsi="宋体"/>
                <w:color w:val="auto"/>
                <w:kern w:val="0"/>
                <w:szCs w:val="21"/>
                <w:highlight w:val="none"/>
              </w:rPr>
            </w:pPr>
          </w:p>
        </w:tc>
      </w:tr>
      <w:tr w14:paraId="086ADF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6C6B9E45">
            <w:pPr>
              <w:autoSpaceDE w:val="0"/>
              <w:autoSpaceDN w:val="0"/>
              <w:adjustRightInd w:val="0"/>
              <w:snapToGrid w:val="0"/>
              <w:jc w:val="left"/>
              <w:rPr>
                <w:rFonts w:ascii="宋体" w:hAnsi="宋体"/>
                <w:color w:val="auto"/>
                <w:kern w:val="0"/>
                <w:szCs w:val="21"/>
                <w:highlight w:val="none"/>
              </w:rPr>
            </w:pPr>
          </w:p>
        </w:tc>
        <w:tc>
          <w:tcPr>
            <w:tcW w:w="734" w:type="dxa"/>
            <w:vAlign w:val="top"/>
          </w:tcPr>
          <w:p w14:paraId="5A1FBC0E">
            <w:pPr>
              <w:autoSpaceDE w:val="0"/>
              <w:autoSpaceDN w:val="0"/>
              <w:adjustRightInd w:val="0"/>
              <w:snapToGrid w:val="0"/>
              <w:jc w:val="left"/>
              <w:rPr>
                <w:rFonts w:ascii="宋体" w:hAnsi="宋体"/>
                <w:color w:val="auto"/>
                <w:kern w:val="0"/>
                <w:szCs w:val="21"/>
                <w:highlight w:val="none"/>
              </w:rPr>
            </w:pPr>
          </w:p>
        </w:tc>
        <w:tc>
          <w:tcPr>
            <w:tcW w:w="776" w:type="dxa"/>
            <w:vAlign w:val="top"/>
          </w:tcPr>
          <w:p w14:paraId="7E623F4D">
            <w:pPr>
              <w:autoSpaceDE w:val="0"/>
              <w:autoSpaceDN w:val="0"/>
              <w:adjustRightInd w:val="0"/>
              <w:snapToGrid w:val="0"/>
              <w:jc w:val="left"/>
              <w:rPr>
                <w:rFonts w:ascii="宋体" w:hAnsi="宋体"/>
                <w:color w:val="auto"/>
                <w:kern w:val="0"/>
                <w:szCs w:val="21"/>
                <w:highlight w:val="none"/>
              </w:rPr>
            </w:pPr>
          </w:p>
        </w:tc>
        <w:tc>
          <w:tcPr>
            <w:tcW w:w="1167" w:type="dxa"/>
            <w:vAlign w:val="top"/>
          </w:tcPr>
          <w:p w14:paraId="704FAEFF">
            <w:pPr>
              <w:autoSpaceDE w:val="0"/>
              <w:autoSpaceDN w:val="0"/>
              <w:adjustRightInd w:val="0"/>
              <w:snapToGrid w:val="0"/>
              <w:jc w:val="left"/>
              <w:rPr>
                <w:rFonts w:ascii="宋体" w:hAnsi="宋体"/>
                <w:color w:val="auto"/>
                <w:kern w:val="0"/>
                <w:szCs w:val="21"/>
                <w:highlight w:val="none"/>
              </w:rPr>
            </w:pPr>
          </w:p>
        </w:tc>
        <w:tc>
          <w:tcPr>
            <w:tcW w:w="776" w:type="dxa"/>
            <w:vAlign w:val="top"/>
          </w:tcPr>
          <w:p w14:paraId="0F53A299">
            <w:pPr>
              <w:autoSpaceDE w:val="0"/>
              <w:autoSpaceDN w:val="0"/>
              <w:adjustRightInd w:val="0"/>
              <w:snapToGrid w:val="0"/>
              <w:jc w:val="left"/>
              <w:rPr>
                <w:rFonts w:ascii="宋体" w:hAnsi="宋体"/>
                <w:color w:val="auto"/>
                <w:kern w:val="0"/>
                <w:szCs w:val="21"/>
                <w:highlight w:val="none"/>
              </w:rPr>
            </w:pPr>
          </w:p>
        </w:tc>
        <w:tc>
          <w:tcPr>
            <w:tcW w:w="778" w:type="dxa"/>
            <w:vAlign w:val="top"/>
          </w:tcPr>
          <w:p w14:paraId="5DE9496D">
            <w:pPr>
              <w:autoSpaceDE w:val="0"/>
              <w:autoSpaceDN w:val="0"/>
              <w:adjustRightInd w:val="0"/>
              <w:snapToGrid w:val="0"/>
              <w:jc w:val="left"/>
              <w:rPr>
                <w:rFonts w:ascii="宋体" w:hAnsi="宋体"/>
                <w:color w:val="auto"/>
                <w:kern w:val="0"/>
                <w:szCs w:val="21"/>
                <w:highlight w:val="none"/>
              </w:rPr>
            </w:pPr>
          </w:p>
        </w:tc>
        <w:tc>
          <w:tcPr>
            <w:tcW w:w="776" w:type="dxa"/>
            <w:vAlign w:val="top"/>
          </w:tcPr>
          <w:p w14:paraId="3D448E13">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A6DE8F5">
            <w:pPr>
              <w:autoSpaceDE w:val="0"/>
              <w:autoSpaceDN w:val="0"/>
              <w:adjustRightInd w:val="0"/>
              <w:snapToGrid w:val="0"/>
              <w:jc w:val="left"/>
              <w:rPr>
                <w:rFonts w:ascii="宋体" w:hAnsi="宋体"/>
                <w:color w:val="auto"/>
                <w:kern w:val="0"/>
                <w:szCs w:val="21"/>
                <w:highlight w:val="none"/>
              </w:rPr>
            </w:pPr>
          </w:p>
        </w:tc>
        <w:tc>
          <w:tcPr>
            <w:tcW w:w="896" w:type="dxa"/>
            <w:vAlign w:val="top"/>
          </w:tcPr>
          <w:p w14:paraId="204CCA39">
            <w:pPr>
              <w:autoSpaceDE w:val="0"/>
              <w:autoSpaceDN w:val="0"/>
              <w:adjustRightInd w:val="0"/>
              <w:snapToGrid w:val="0"/>
              <w:jc w:val="left"/>
              <w:rPr>
                <w:rFonts w:ascii="宋体" w:hAnsi="宋体"/>
                <w:color w:val="auto"/>
                <w:kern w:val="0"/>
                <w:szCs w:val="21"/>
                <w:highlight w:val="none"/>
              </w:rPr>
            </w:pPr>
          </w:p>
        </w:tc>
      </w:tr>
      <w:tr w14:paraId="148407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14:paraId="41238BE7">
            <w:pPr>
              <w:autoSpaceDE w:val="0"/>
              <w:autoSpaceDN w:val="0"/>
              <w:adjustRightInd w:val="0"/>
              <w:snapToGrid w:val="0"/>
              <w:jc w:val="left"/>
              <w:rPr>
                <w:rFonts w:ascii="宋体" w:hAnsi="宋体"/>
                <w:color w:val="auto"/>
                <w:kern w:val="0"/>
                <w:szCs w:val="21"/>
                <w:highlight w:val="none"/>
              </w:rPr>
            </w:pPr>
          </w:p>
        </w:tc>
        <w:tc>
          <w:tcPr>
            <w:tcW w:w="734" w:type="dxa"/>
            <w:vAlign w:val="top"/>
          </w:tcPr>
          <w:p w14:paraId="64E83532">
            <w:pPr>
              <w:autoSpaceDE w:val="0"/>
              <w:autoSpaceDN w:val="0"/>
              <w:adjustRightInd w:val="0"/>
              <w:snapToGrid w:val="0"/>
              <w:jc w:val="left"/>
              <w:rPr>
                <w:rFonts w:ascii="宋体" w:hAnsi="宋体"/>
                <w:color w:val="auto"/>
                <w:kern w:val="0"/>
                <w:szCs w:val="21"/>
                <w:highlight w:val="none"/>
              </w:rPr>
            </w:pPr>
          </w:p>
        </w:tc>
        <w:tc>
          <w:tcPr>
            <w:tcW w:w="776" w:type="dxa"/>
            <w:vAlign w:val="top"/>
          </w:tcPr>
          <w:p w14:paraId="46D4CDD7">
            <w:pPr>
              <w:autoSpaceDE w:val="0"/>
              <w:autoSpaceDN w:val="0"/>
              <w:adjustRightInd w:val="0"/>
              <w:snapToGrid w:val="0"/>
              <w:jc w:val="left"/>
              <w:rPr>
                <w:rFonts w:ascii="宋体" w:hAnsi="宋体"/>
                <w:color w:val="auto"/>
                <w:kern w:val="0"/>
                <w:szCs w:val="21"/>
                <w:highlight w:val="none"/>
              </w:rPr>
            </w:pPr>
          </w:p>
        </w:tc>
        <w:tc>
          <w:tcPr>
            <w:tcW w:w="1167" w:type="dxa"/>
            <w:vAlign w:val="top"/>
          </w:tcPr>
          <w:p w14:paraId="51941ADA">
            <w:pPr>
              <w:autoSpaceDE w:val="0"/>
              <w:autoSpaceDN w:val="0"/>
              <w:adjustRightInd w:val="0"/>
              <w:snapToGrid w:val="0"/>
              <w:jc w:val="left"/>
              <w:rPr>
                <w:rFonts w:ascii="宋体" w:hAnsi="宋体"/>
                <w:color w:val="auto"/>
                <w:kern w:val="0"/>
                <w:szCs w:val="21"/>
                <w:highlight w:val="none"/>
              </w:rPr>
            </w:pPr>
          </w:p>
        </w:tc>
        <w:tc>
          <w:tcPr>
            <w:tcW w:w="776" w:type="dxa"/>
            <w:vAlign w:val="top"/>
          </w:tcPr>
          <w:p w14:paraId="01DCE753">
            <w:pPr>
              <w:autoSpaceDE w:val="0"/>
              <w:autoSpaceDN w:val="0"/>
              <w:adjustRightInd w:val="0"/>
              <w:snapToGrid w:val="0"/>
              <w:jc w:val="left"/>
              <w:rPr>
                <w:rFonts w:ascii="宋体" w:hAnsi="宋体"/>
                <w:color w:val="auto"/>
                <w:kern w:val="0"/>
                <w:szCs w:val="21"/>
                <w:highlight w:val="none"/>
              </w:rPr>
            </w:pPr>
          </w:p>
        </w:tc>
        <w:tc>
          <w:tcPr>
            <w:tcW w:w="778" w:type="dxa"/>
            <w:vAlign w:val="top"/>
          </w:tcPr>
          <w:p w14:paraId="3A8B0BA2">
            <w:pPr>
              <w:autoSpaceDE w:val="0"/>
              <w:autoSpaceDN w:val="0"/>
              <w:adjustRightInd w:val="0"/>
              <w:snapToGrid w:val="0"/>
              <w:jc w:val="left"/>
              <w:rPr>
                <w:rFonts w:ascii="宋体" w:hAnsi="宋体"/>
                <w:color w:val="auto"/>
                <w:kern w:val="0"/>
                <w:szCs w:val="21"/>
                <w:highlight w:val="none"/>
              </w:rPr>
            </w:pPr>
          </w:p>
        </w:tc>
        <w:tc>
          <w:tcPr>
            <w:tcW w:w="776" w:type="dxa"/>
            <w:vAlign w:val="top"/>
          </w:tcPr>
          <w:p w14:paraId="57C0381B">
            <w:pPr>
              <w:autoSpaceDE w:val="0"/>
              <w:autoSpaceDN w:val="0"/>
              <w:adjustRightInd w:val="0"/>
              <w:snapToGrid w:val="0"/>
              <w:jc w:val="left"/>
              <w:rPr>
                <w:rFonts w:ascii="宋体" w:hAnsi="宋体"/>
                <w:color w:val="auto"/>
                <w:kern w:val="0"/>
                <w:szCs w:val="21"/>
                <w:highlight w:val="none"/>
              </w:rPr>
            </w:pPr>
          </w:p>
        </w:tc>
        <w:tc>
          <w:tcPr>
            <w:tcW w:w="2723" w:type="dxa"/>
            <w:vAlign w:val="top"/>
          </w:tcPr>
          <w:p w14:paraId="02394A13">
            <w:pPr>
              <w:autoSpaceDE w:val="0"/>
              <w:autoSpaceDN w:val="0"/>
              <w:adjustRightInd w:val="0"/>
              <w:snapToGrid w:val="0"/>
              <w:jc w:val="left"/>
              <w:rPr>
                <w:rFonts w:ascii="宋体" w:hAnsi="宋体"/>
                <w:color w:val="auto"/>
                <w:kern w:val="0"/>
                <w:szCs w:val="21"/>
                <w:highlight w:val="none"/>
              </w:rPr>
            </w:pPr>
          </w:p>
        </w:tc>
        <w:tc>
          <w:tcPr>
            <w:tcW w:w="896" w:type="dxa"/>
            <w:vAlign w:val="top"/>
          </w:tcPr>
          <w:p w14:paraId="52EFE37F">
            <w:pPr>
              <w:autoSpaceDE w:val="0"/>
              <w:autoSpaceDN w:val="0"/>
              <w:adjustRightInd w:val="0"/>
              <w:snapToGrid w:val="0"/>
              <w:jc w:val="left"/>
              <w:rPr>
                <w:rFonts w:ascii="宋体" w:hAnsi="宋体"/>
                <w:color w:val="auto"/>
                <w:kern w:val="0"/>
                <w:szCs w:val="21"/>
                <w:highlight w:val="none"/>
              </w:rPr>
            </w:pPr>
          </w:p>
        </w:tc>
      </w:tr>
    </w:tbl>
    <w:p w14:paraId="49D2B2D7">
      <w:pPr>
        <w:spacing w:line="20" w:lineRule="exact"/>
        <w:jc w:val="center"/>
        <w:rPr>
          <w:rFonts w:ascii="宋体" w:hAnsi="宋体"/>
          <w:color w:val="auto"/>
          <w:szCs w:val="21"/>
          <w:highlight w:val="none"/>
        </w:rPr>
      </w:pPr>
    </w:p>
    <w:p w14:paraId="40446E30">
      <w:pPr>
        <w:spacing w:line="360" w:lineRule="auto"/>
        <w:jc w:val="left"/>
        <w:rPr>
          <w:rFonts w:ascii="宋体" w:hAnsi="宋体"/>
          <w:color w:val="auto"/>
          <w:szCs w:val="21"/>
        </w:rPr>
      </w:pPr>
      <w:r>
        <w:rPr>
          <w:rFonts w:hint="eastAsia" w:ascii="宋体" w:hAnsi="宋体"/>
          <w:color w:val="auto"/>
          <w:szCs w:val="21"/>
          <w:highlight w:val="none"/>
        </w:rPr>
        <w:t>注：本表仅填项目经理、项目总工相关信息</w:t>
      </w:r>
    </w:p>
    <w:p w14:paraId="7BEE1C26">
      <w:pPr>
        <w:spacing w:line="360" w:lineRule="auto"/>
        <w:ind w:firstLine="640"/>
        <w:jc w:val="center"/>
        <w:rPr>
          <w:rFonts w:ascii="宋体" w:hAnsi="宋体"/>
          <w:color w:val="auto"/>
          <w:sz w:val="32"/>
          <w:szCs w:val="32"/>
        </w:rPr>
      </w:pPr>
      <w:r>
        <w:rPr>
          <w:rFonts w:ascii="宋体" w:hAnsi="宋体"/>
          <w:color w:val="auto"/>
          <w:sz w:val="32"/>
          <w:szCs w:val="32"/>
        </w:rPr>
        <w:br w:type="page"/>
      </w:r>
      <w:bookmarkEnd w:id="972"/>
      <w:bookmarkEnd w:id="973"/>
      <w:r>
        <w:rPr>
          <w:rFonts w:hint="eastAsia" w:ascii="宋体" w:hAnsi="宋体" w:cs="MingLiU"/>
          <w:color w:val="auto"/>
          <w:kern w:val="0"/>
          <w:sz w:val="28"/>
          <w:szCs w:val="28"/>
          <w:highlight w:val="none"/>
        </w:rPr>
        <w:t>项目经理及项目总工简历表</w:t>
      </w:r>
    </w:p>
    <w:tbl>
      <w:tblPr>
        <w:tblStyle w:val="52"/>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14:paraId="26CCE5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396B200D">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14:paraId="3161B48D">
            <w:pPr>
              <w:autoSpaceDE w:val="0"/>
              <w:autoSpaceDN w:val="0"/>
              <w:adjustRightInd w:val="0"/>
              <w:snapToGrid w:val="0"/>
              <w:jc w:val="center"/>
              <w:rPr>
                <w:rFonts w:ascii="宋体" w:hAnsi="宋体"/>
                <w:color w:val="auto"/>
                <w:kern w:val="0"/>
                <w:szCs w:val="21"/>
              </w:rPr>
            </w:pPr>
          </w:p>
        </w:tc>
        <w:tc>
          <w:tcPr>
            <w:tcW w:w="1020" w:type="dxa"/>
            <w:vAlign w:val="center"/>
          </w:tcPr>
          <w:p w14:paraId="5AA0763B">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14:paraId="075F0AB3">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6A1A5D5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718" w:type="dxa"/>
            <w:vAlign w:val="center"/>
          </w:tcPr>
          <w:p w14:paraId="6F8C3F4A">
            <w:pPr>
              <w:autoSpaceDE w:val="0"/>
              <w:autoSpaceDN w:val="0"/>
              <w:adjustRightInd w:val="0"/>
              <w:snapToGrid w:val="0"/>
              <w:jc w:val="center"/>
              <w:rPr>
                <w:rFonts w:ascii="宋体" w:hAnsi="宋体"/>
                <w:color w:val="auto"/>
                <w:kern w:val="0"/>
                <w:szCs w:val="21"/>
              </w:rPr>
            </w:pPr>
          </w:p>
        </w:tc>
      </w:tr>
      <w:tr w14:paraId="730CBD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ABECF93">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14:paraId="1474F15B">
            <w:pPr>
              <w:autoSpaceDE w:val="0"/>
              <w:autoSpaceDN w:val="0"/>
              <w:adjustRightInd w:val="0"/>
              <w:snapToGrid w:val="0"/>
              <w:jc w:val="center"/>
              <w:rPr>
                <w:rFonts w:ascii="宋体" w:hAnsi="宋体"/>
                <w:color w:val="auto"/>
                <w:kern w:val="0"/>
                <w:szCs w:val="21"/>
              </w:rPr>
            </w:pPr>
          </w:p>
        </w:tc>
        <w:tc>
          <w:tcPr>
            <w:tcW w:w="1020" w:type="dxa"/>
            <w:vAlign w:val="center"/>
          </w:tcPr>
          <w:p w14:paraId="7210FF6D">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14:paraId="0DC23A56">
            <w:pPr>
              <w:autoSpaceDE w:val="0"/>
              <w:autoSpaceDN w:val="0"/>
              <w:adjustRightInd w:val="0"/>
              <w:snapToGrid w:val="0"/>
              <w:jc w:val="center"/>
              <w:rPr>
                <w:rFonts w:ascii="宋体" w:hAnsi="宋体"/>
                <w:color w:val="auto"/>
                <w:kern w:val="0"/>
                <w:szCs w:val="21"/>
              </w:rPr>
            </w:pPr>
          </w:p>
        </w:tc>
        <w:tc>
          <w:tcPr>
            <w:tcW w:w="2346" w:type="dxa"/>
            <w:gridSpan w:val="3"/>
            <w:vAlign w:val="center"/>
          </w:tcPr>
          <w:p w14:paraId="0FFEF13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718" w:type="dxa"/>
            <w:vAlign w:val="center"/>
          </w:tcPr>
          <w:p w14:paraId="393E9C4B">
            <w:pPr>
              <w:autoSpaceDE w:val="0"/>
              <w:autoSpaceDN w:val="0"/>
              <w:adjustRightInd w:val="0"/>
              <w:snapToGrid w:val="0"/>
              <w:jc w:val="center"/>
              <w:rPr>
                <w:rFonts w:ascii="宋体" w:hAnsi="宋体"/>
                <w:color w:val="auto"/>
                <w:kern w:val="0"/>
                <w:szCs w:val="21"/>
              </w:rPr>
            </w:pPr>
          </w:p>
        </w:tc>
      </w:tr>
      <w:tr w14:paraId="4A6DD7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D1FCFD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449" w:type="dxa"/>
            <w:gridSpan w:val="8"/>
            <w:vAlign w:val="center"/>
          </w:tcPr>
          <w:p w14:paraId="75A189C8">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14:paraId="02551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14:paraId="462223BD">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14:paraId="1C9D8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717ADEE">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14:paraId="0BFF4F7C">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14:paraId="11515542">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896" w:type="dxa"/>
            <w:gridSpan w:val="2"/>
            <w:vAlign w:val="center"/>
          </w:tcPr>
          <w:p w14:paraId="07FC5F41">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14:paraId="552D45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0A95B66">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E11D635">
            <w:pPr>
              <w:autoSpaceDE w:val="0"/>
              <w:autoSpaceDN w:val="0"/>
              <w:adjustRightInd w:val="0"/>
              <w:snapToGrid w:val="0"/>
              <w:jc w:val="center"/>
              <w:rPr>
                <w:rFonts w:ascii="宋体" w:hAnsi="宋体"/>
                <w:color w:val="auto"/>
                <w:kern w:val="0"/>
                <w:szCs w:val="21"/>
              </w:rPr>
            </w:pPr>
          </w:p>
        </w:tc>
        <w:tc>
          <w:tcPr>
            <w:tcW w:w="1388" w:type="dxa"/>
            <w:vAlign w:val="center"/>
          </w:tcPr>
          <w:p w14:paraId="019880E9">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0F5B27D3">
            <w:pPr>
              <w:autoSpaceDE w:val="0"/>
              <w:autoSpaceDN w:val="0"/>
              <w:adjustRightInd w:val="0"/>
              <w:snapToGrid w:val="0"/>
              <w:jc w:val="center"/>
              <w:rPr>
                <w:rFonts w:ascii="宋体" w:hAnsi="宋体"/>
                <w:color w:val="auto"/>
                <w:kern w:val="0"/>
                <w:szCs w:val="21"/>
              </w:rPr>
            </w:pPr>
          </w:p>
        </w:tc>
      </w:tr>
      <w:tr w14:paraId="1FB91C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9E6F5C5">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A4F8533">
            <w:pPr>
              <w:autoSpaceDE w:val="0"/>
              <w:autoSpaceDN w:val="0"/>
              <w:adjustRightInd w:val="0"/>
              <w:snapToGrid w:val="0"/>
              <w:jc w:val="center"/>
              <w:rPr>
                <w:rFonts w:ascii="宋体" w:hAnsi="宋体"/>
                <w:color w:val="auto"/>
                <w:kern w:val="0"/>
                <w:szCs w:val="21"/>
              </w:rPr>
            </w:pPr>
          </w:p>
        </w:tc>
        <w:tc>
          <w:tcPr>
            <w:tcW w:w="1388" w:type="dxa"/>
            <w:vAlign w:val="center"/>
          </w:tcPr>
          <w:p w14:paraId="16913253">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2296C014">
            <w:pPr>
              <w:autoSpaceDE w:val="0"/>
              <w:autoSpaceDN w:val="0"/>
              <w:adjustRightInd w:val="0"/>
              <w:snapToGrid w:val="0"/>
              <w:jc w:val="center"/>
              <w:rPr>
                <w:rFonts w:ascii="宋体" w:hAnsi="宋体"/>
                <w:color w:val="auto"/>
                <w:kern w:val="0"/>
                <w:szCs w:val="21"/>
              </w:rPr>
            </w:pPr>
          </w:p>
        </w:tc>
      </w:tr>
      <w:tr w14:paraId="36E9C5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13CAC4">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78734679">
            <w:pPr>
              <w:autoSpaceDE w:val="0"/>
              <w:autoSpaceDN w:val="0"/>
              <w:adjustRightInd w:val="0"/>
              <w:snapToGrid w:val="0"/>
              <w:jc w:val="center"/>
              <w:rPr>
                <w:rFonts w:ascii="宋体" w:hAnsi="宋体"/>
                <w:color w:val="auto"/>
                <w:kern w:val="0"/>
                <w:szCs w:val="21"/>
              </w:rPr>
            </w:pPr>
          </w:p>
        </w:tc>
        <w:tc>
          <w:tcPr>
            <w:tcW w:w="1388" w:type="dxa"/>
            <w:vAlign w:val="center"/>
          </w:tcPr>
          <w:p w14:paraId="5A4BFE71">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133F7946">
            <w:pPr>
              <w:autoSpaceDE w:val="0"/>
              <w:autoSpaceDN w:val="0"/>
              <w:adjustRightInd w:val="0"/>
              <w:snapToGrid w:val="0"/>
              <w:jc w:val="center"/>
              <w:rPr>
                <w:rFonts w:ascii="宋体" w:hAnsi="宋体"/>
                <w:color w:val="auto"/>
                <w:kern w:val="0"/>
                <w:szCs w:val="21"/>
              </w:rPr>
            </w:pPr>
          </w:p>
        </w:tc>
      </w:tr>
      <w:tr w14:paraId="4B1F48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A00046E">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4578C36">
            <w:pPr>
              <w:autoSpaceDE w:val="0"/>
              <w:autoSpaceDN w:val="0"/>
              <w:adjustRightInd w:val="0"/>
              <w:snapToGrid w:val="0"/>
              <w:jc w:val="center"/>
              <w:rPr>
                <w:rFonts w:ascii="宋体" w:hAnsi="宋体"/>
                <w:color w:val="auto"/>
                <w:kern w:val="0"/>
                <w:szCs w:val="21"/>
              </w:rPr>
            </w:pPr>
          </w:p>
        </w:tc>
        <w:tc>
          <w:tcPr>
            <w:tcW w:w="1388" w:type="dxa"/>
            <w:vAlign w:val="center"/>
          </w:tcPr>
          <w:p w14:paraId="773500E8">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5174273B">
            <w:pPr>
              <w:autoSpaceDE w:val="0"/>
              <w:autoSpaceDN w:val="0"/>
              <w:adjustRightInd w:val="0"/>
              <w:snapToGrid w:val="0"/>
              <w:jc w:val="center"/>
              <w:rPr>
                <w:rFonts w:ascii="宋体" w:hAnsi="宋体"/>
                <w:color w:val="auto"/>
                <w:kern w:val="0"/>
                <w:szCs w:val="21"/>
              </w:rPr>
            </w:pPr>
          </w:p>
        </w:tc>
      </w:tr>
      <w:tr w14:paraId="5054D4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DB3081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AF97945">
            <w:pPr>
              <w:autoSpaceDE w:val="0"/>
              <w:autoSpaceDN w:val="0"/>
              <w:adjustRightInd w:val="0"/>
              <w:snapToGrid w:val="0"/>
              <w:jc w:val="center"/>
              <w:rPr>
                <w:rFonts w:ascii="宋体" w:hAnsi="宋体"/>
                <w:color w:val="auto"/>
                <w:kern w:val="0"/>
                <w:szCs w:val="21"/>
              </w:rPr>
            </w:pPr>
          </w:p>
        </w:tc>
        <w:tc>
          <w:tcPr>
            <w:tcW w:w="1388" w:type="dxa"/>
            <w:vAlign w:val="center"/>
          </w:tcPr>
          <w:p w14:paraId="0EEC33FC">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2B34BEBC">
            <w:pPr>
              <w:autoSpaceDE w:val="0"/>
              <w:autoSpaceDN w:val="0"/>
              <w:adjustRightInd w:val="0"/>
              <w:snapToGrid w:val="0"/>
              <w:jc w:val="center"/>
              <w:rPr>
                <w:rFonts w:ascii="宋体" w:hAnsi="宋体"/>
                <w:color w:val="auto"/>
                <w:kern w:val="0"/>
                <w:szCs w:val="21"/>
              </w:rPr>
            </w:pPr>
          </w:p>
        </w:tc>
      </w:tr>
      <w:tr w14:paraId="513352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83F0399">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2E5C3F21">
            <w:pPr>
              <w:autoSpaceDE w:val="0"/>
              <w:autoSpaceDN w:val="0"/>
              <w:adjustRightInd w:val="0"/>
              <w:snapToGrid w:val="0"/>
              <w:jc w:val="center"/>
              <w:rPr>
                <w:rFonts w:ascii="宋体" w:hAnsi="宋体"/>
                <w:color w:val="auto"/>
                <w:kern w:val="0"/>
                <w:szCs w:val="21"/>
              </w:rPr>
            </w:pPr>
          </w:p>
        </w:tc>
        <w:tc>
          <w:tcPr>
            <w:tcW w:w="1388" w:type="dxa"/>
            <w:vAlign w:val="center"/>
          </w:tcPr>
          <w:p w14:paraId="127A20EA">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2DEA2BC9">
            <w:pPr>
              <w:autoSpaceDE w:val="0"/>
              <w:autoSpaceDN w:val="0"/>
              <w:adjustRightInd w:val="0"/>
              <w:snapToGrid w:val="0"/>
              <w:jc w:val="center"/>
              <w:rPr>
                <w:rFonts w:ascii="宋体" w:hAnsi="宋体"/>
                <w:color w:val="auto"/>
                <w:kern w:val="0"/>
                <w:szCs w:val="21"/>
              </w:rPr>
            </w:pPr>
          </w:p>
        </w:tc>
      </w:tr>
      <w:tr w14:paraId="43894E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4EFD01D">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4E7B0841">
            <w:pPr>
              <w:autoSpaceDE w:val="0"/>
              <w:autoSpaceDN w:val="0"/>
              <w:adjustRightInd w:val="0"/>
              <w:snapToGrid w:val="0"/>
              <w:jc w:val="center"/>
              <w:rPr>
                <w:rFonts w:ascii="宋体" w:hAnsi="宋体"/>
                <w:color w:val="auto"/>
                <w:kern w:val="0"/>
                <w:szCs w:val="21"/>
              </w:rPr>
            </w:pPr>
          </w:p>
        </w:tc>
        <w:tc>
          <w:tcPr>
            <w:tcW w:w="1388" w:type="dxa"/>
            <w:vAlign w:val="center"/>
          </w:tcPr>
          <w:p w14:paraId="1CB8F100">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547402A9">
            <w:pPr>
              <w:autoSpaceDE w:val="0"/>
              <w:autoSpaceDN w:val="0"/>
              <w:adjustRightInd w:val="0"/>
              <w:snapToGrid w:val="0"/>
              <w:jc w:val="center"/>
              <w:rPr>
                <w:rFonts w:ascii="宋体" w:hAnsi="宋体"/>
                <w:color w:val="auto"/>
                <w:kern w:val="0"/>
                <w:szCs w:val="21"/>
              </w:rPr>
            </w:pPr>
          </w:p>
        </w:tc>
      </w:tr>
      <w:tr w14:paraId="0A2C37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588EF0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9EED834">
            <w:pPr>
              <w:autoSpaceDE w:val="0"/>
              <w:autoSpaceDN w:val="0"/>
              <w:adjustRightInd w:val="0"/>
              <w:snapToGrid w:val="0"/>
              <w:jc w:val="center"/>
              <w:rPr>
                <w:rFonts w:ascii="宋体" w:hAnsi="宋体"/>
                <w:color w:val="auto"/>
                <w:kern w:val="0"/>
                <w:szCs w:val="21"/>
              </w:rPr>
            </w:pPr>
          </w:p>
        </w:tc>
        <w:tc>
          <w:tcPr>
            <w:tcW w:w="1388" w:type="dxa"/>
            <w:vAlign w:val="center"/>
          </w:tcPr>
          <w:p w14:paraId="5E10058B">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13C348DC">
            <w:pPr>
              <w:autoSpaceDE w:val="0"/>
              <w:autoSpaceDN w:val="0"/>
              <w:adjustRightInd w:val="0"/>
              <w:snapToGrid w:val="0"/>
              <w:jc w:val="center"/>
              <w:rPr>
                <w:rFonts w:ascii="宋体" w:hAnsi="宋体"/>
                <w:color w:val="auto"/>
                <w:kern w:val="0"/>
                <w:szCs w:val="21"/>
              </w:rPr>
            </w:pPr>
          </w:p>
        </w:tc>
      </w:tr>
      <w:tr w14:paraId="6AC5BC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96A1A2A">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DE92A88">
            <w:pPr>
              <w:autoSpaceDE w:val="0"/>
              <w:autoSpaceDN w:val="0"/>
              <w:adjustRightInd w:val="0"/>
              <w:snapToGrid w:val="0"/>
              <w:jc w:val="center"/>
              <w:rPr>
                <w:rFonts w:ascii="宋体" w:hAnsi="宋体"/>
                <w:color w:val="auto"/>
                <w:kern w:val="0"/>
                <w:szCs w:val="21"/>
              </w:rPr>
            </w:pPr>
          </w:p>
        </w:tc>
        <w:tc>
          <w:tcPr>
            <w:tcW w:w="1388" w:type="dxa"/>
            <w:vAlign w:val="center"/>
          </w:tcPr>
          <w:p w14:paraId="7155D508">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1F0EC8A8">
            <w:pPr>
              <w:autoSpaceDE w:val="0"/>
              <w:autoSpaceDN w:val="0"/>
              <w:adjustRightInd w:val="0"/>
              <w:snapToGrid w:val="0"/>
              <w:jc w:val="center"/>
              <w:rPr>
                <w:rFonts w:ascii="宋体" w:hAnsi="宋体"/>
                <w:color w:val="auto"/>
                <w:kern w:val="0"/>
                <w:szCs w:val="21"/>
              </w:rPr>
            </w:pPr>
          </w:p>
        </w:tc>
      </w:tr>
      <w:tr w14:paraId="6DF2F1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93C93F">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34937B21">
            <w:pPr>
              <w:autoSpaceDE w:val="0"/>
              <w:autoSpaceDN w:val="0"/>
              <w:adjustRightInd w:val="0"/>
              <w:snapToGrid w:val="0"/>
              <w:jc w:val="center"/>
              <w:rPr>
                <w:rFonts w:ascii="宋体" w:hAnsi="宋体"/>
                <w:color w:val="auto"/>
                <w:kern w:val="0"/>
                <w:szCs w:val="21"/>
              </w:rPr>
            </w:pPr>
          </w:p>
        </w:tc>
        <w:tc>
          <w:tcPr>
            <w:tcW w:w="1388" w:type="dxa"/>
            <w:vAlign w:val="center"/>
          </w:tcPr>
          <w:p w14:paraId="281DD6BC">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351F200A">
            <w:pPr>
              <w:autoSpaceDE w:val="0"/>
              <w:autoSpaceDN w:val="0"/>
              <w:adjustRightInd w:val="0"/>
              <w:snapToGrid w:val="0"/>
              <w:jc w:val="center"/>
              <w:rPr>
                <w:rFonts w:ascii="宋体" w:hAnsi="宋体"/>
                <w:color w:val="auto"/>
                <w:kern w:val="0"/>
                <w:szCs w:val="21"/>
              </w:rPr>
            </w:pPr>
          </w:p>
        </w:tc>
      </w:tr>
      <w:tr w14:paraId="2BA1C3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E6560EE">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11015CA5">
            <w:pPr>
              <w:autoSpaceDE w:val="0"/>
              <w:autoSpaceDN w:val="0"/>
              <w:adjustRightInd w:val="0"/>
              <w:snapToGrid w:val="0"/>
              <w:jc w:val="center"/>
              <w:rPr>
                <w:rFonts w:ascii="宋体" w:hAnsi="宋体"/>
                <w:color w:val="auto"/>
                <w:kern w:val="0"/>
                <w:szCs w:val="21"/>
              </w:rPr>
            </w:pPr>
          </w:p>
        </w:tc>
        <w:tc>
          <w:tcPr>
            <w:tcW w:w="1388" w:type="dxa"/>
            <w:vAlign w:val="center"/>
          </w:tcPr>
          <w:p w14:paraId="57650F38">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2C663D6F">
            <w:pPr>
              <w:autoSpaceDE w:val="0"/>
              <w:autoSpaceDN w:val="0"/>
              <w:adjustRightInd w:val="0"/>
              <w:snapToGrid w:val="0"/>
              <w:jc w:val="center"/>
              <w:rPr>
                <w:rFonts w:ascii="宋体" w:hAnsi="宋体"/>
                <w:color w:val="auto"/>
                <w:kern w:val="0"/>
                <w:szCs w:val="21"/>
              </w:rPr>
            </w:pPr>
          </w:p>
        </w:tc>
      </w:tr>
      <w:tr w14:paraId="7920EB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5059057">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8276888">
            <w:pPr>
              <w:autoSpaceDE w:val="0"/>
              <w:autoSpaceDN w:val="0"/>
              <w:adjustRightInd w:val="0"/>
              <w:snapToGrid w:val="0"/>
              <w:jc w:val="center"/>
              <w:rPr>
                <w:rFonts w:ascii="宋体" w:hAnsi="宋体"/>
                <w:color w:val="auto"/>
                <w:kern w:val="0"/>
                <w:szCs w:val="21"/>
              </w:rPr>
            </w:pPr>
          </w:p>
        </w:tc>
        <w:tc>
          <w:tcPr>
            <w:tcW w:w="1388" w:type="dxa"/>
            <w:vAlign w:val="center"/>
          </w:tcPr>
          <w:p w14:paraId="72EA6D7A">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2D2DA295">
            <w:pPr>
              <w:autoSpaceDE w:val="0"/>
              <w:autoSpaceDN w:val="0"/>
              <w:adjustRightInd w:val="0"/>
              <w:snapToGrid w:val="0"/>
              <w:jc w:val="center"/>
              <w:rPr>
                <w:rFonts w:ascii="宋体" w:hAnsi="宋体"/>
                <w:color w:val="auto"/>
                <w:kern w:val="0"/>
                <w:szCs w:val="21"/>
              </w:rPr>
            </w:pPr>
          </w:p>
        </w:tc>
      </w:tr>
      <w:tr w14:paraId="3E14066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0AC46F3">
            <w:pPr>
              <w:autoSpaceDE w:val="0"/>
              <w:autoSpaceDN w:val="0"/>
              <w:adjustRightInd w:val="0"/>
              <w:snapToGrid w:val="0"/>
              <w:jc w:val="center"/>
              <w:rPr>
                <w:rFonts w:ascii="宋体" w:hAnsi="宋体"/>
                <w:color w:val="auto"/>
                <w:kern w:val="0"/>
                <w:szCs w:val="21"/>
              </w:rPr>
            </w:pPr>
          </w:p>
        </w:tc>
        <w:tc>
          <w:tcPr>
            <w:tcW w:w="3768" w:type="dxa"/>
            <w:gridSpan w:val="4"/>
            <w:vAlign w:val="center"/>
          </w:tcPr>
          <w:p w14:paraId="53CF5D18">
            <w:pPr>
              <w:autoSpaceDE w:val="0"/>
              <w:autoSpaceDN w:val="0"/>
              <w:adjustRightInd w:val="0"/>
              <w:snapToGrid w:val="0"/>
              <w:jc w:val="center"/>
              <w:rPr>
                <w:rFonts w:ascii="宋体" w:hAnsi="宋体"/>
                <w:color w:val="auto"/>
                <w:kern w:val="0"/>
                <w:szCs w:val="21"/>
              </w:rPr>
            </w:pPr>
          </w:p>
        </w:tc>
        <w:tc>
          <w:tcPr>
            <w:tcW w:w="1388" w:type="dxa"/>
            <w:vAlign w:val="center"/>
          </w:tcPr>
          <w:p w14:paraId="7F514781">
            <w:pPr>
              <w:autoSpaceDE w:val="0"/>
              <w:autoSpaceDN w:val="0"/>
              <w:adjustRightInd w:val="0"/>
              <w:snapToGrid w:val="0"/>
              <w:jc w:val="center"/>
              <w:rPr>
                <w:rFonts w:ascii="宋体" w:hAnsi="宋体"/>
                <w:color w:val="auto"/>
                <w:kern w:val="0"/>
                <w:szCs w:val="21"/>
              </w:rPr>
            </w:pPr>
          </w:p>
        </w:tc>
        <w:tc>
          <w:tcPr>
            <w:tcW w:w="2896" w:type="dxa"/>
            <w:gridSpan w:val="2"/>
            <w:vAlign w:val="center"/>
          </w:tcPr>
          <w:p w14:paraId="2B6831E1">
            <w:pPr>
              <w:autoSpaceDE w:val="0"/>
              <w:autoSpaceDN w:val="0"/>
              <w:adjustRightInd w:val="0"/>
              <w:snapToGrid w:val="0"/>
              <w:jc w:val="center"/>
              <w:rPr>
                <w:rFonts w:ascii="宋体" w:hAnsi="宋体"/>
                <w:color w:val="auto"/>
                <w:kern w:val="0"/>
                <w:szCs w:val="21"/>
              </w:rPr>
            </w:pPr>
          </w:p>
        </w:tc>
      </w:tr>
    </w:tbl>
    <w:p w14:paraId="73887EBA">
      <w:pPr>
        <w:spacing w:line="360" w:lineRule="auto"/>
        <w:rPr>
          <w:rFonts w:ascii="宋体" w:hAnsi="宋体"/>
          <w:color w:val="auto"/>
        </w:rPr>
      </w:pPr>
      <w:bookmarkStart w:id="976" w:name="_Toc224103515"/>
    </w:p>
    <w:bookmarkEnd w:id="976"/>
    <w:p w14:paraId="70582019">
      <w:pPr>
        <w:pStyle w:val="5"/>
        <w:spacing w:before="0" w:line="360" w:lineRule="auto"/>
        <w:jc w:val="center"/>
        <w:rPr>
          <w:rFonts w:hint="eastAsia" w:ascii="宋体" w:hAnsi="宋体"/>
          <w:b w:val="0"/>
          <w:color w:val="auto"/>
          <w:highlight w:val="none"/>
        </w:rPr>
      </w:pPr>
      <w:bookmarkStart w:id="977" w:name="_Toc534185843"/>
      <w:bookmarkStart w:id="978" w:name="_Toc287607893"/>
      <w:bookmarkStart w:id="979" w:name="_Toc287620839"/>
      <w:bookmarkStart w:id="980" w:name="_Toc224103520"/>
      <w:bookmarkStart w:id="981" w:name="_Toc509218866"/>
      <w:bookmarkStart w:id="982" w:name="_Toc430530552"/>
      <w:bookmarkStart w:id="983" w:name="_Toc1320"/>
      <w:bookmarkStart w:id="984" w:name="_Toc277082663"/>
      <w:bookmarkStart w:id="985" w:name="_Toc26467"/>
      <w:r>
        <w:rPr>
          <w:rFonts w:ascii="宋体" w:hAnsi="宋体"/>
          <w:b w:val="0"/>
          <w:color w:val="auto"/>
        </w:rPr>
        <w:t>（</w:t>
      </w:r>
      <w:r>
        <w:rPr>
          <w:rFonts w:hint="eastAsia" w:ascii="宋体" w:hAnsi="宋体"/>
          <w:b w:val="0"/>
          <w:color w:val="auto"/>
        </w:rPr>
        <w:t>四</w:t>
      </w:r>
      <w:r>
        <w:rPr>
          <w:rFonts w:ascii="宋体" w:hAnsi="宋体"/>
          <w:b w:val="0"/>
          <w:color w:val="auto"/>
        </w:rPr>
        <w:t>）</w:t>
      </w:r>
      <w:bookmarkEnd w:id="977"/>
      <w:bookmarkEnd w:id="978"/>
      <w:bookmarkEnd w:id="979"/>
      <w:bookmarkEnd w:id="980"/>
      <w:bookmarkEnd w:id="981"/>
      <w:bookmarkEnd w:id="982"/>
      <w:bookmarkEnd w:id="983"/>
      <w:bookmarkEnd w:id="984"/>
      <w:bookmarkEnd w:id="985"/>
      <w:r>
        <w:rPr>
          <w:rFonts w:hint="eastAsia" w:ascii="宋体" w:hAnsi="宋体"/>
          <w:b w:val="0"/>
          <w:color w:val="auto"/>
          <w:highlight w:val="none"/>
        </w:rPr>
        <w:t>承诺</w:t>
      </w:r>
    </w:p>
    <w:p w14:paraId="09803717">
      <w:pPr>
        <w:keepNext w:val="0"/>
        <w:keepLines w:val="0"/>
        <w:pageBreakBefore w:val="0"/>
        <w:widowControl w:val="0"/>
        <w:kinsoku/>
        <w:wordWrap/>
        <w:overflowPunct/>
        <w:topLinePunct w:val="0"/>
        <w:bidi w:val="0"/>
        <w:snapToGrid w:val="0"/>
        <w:spacing w:line="38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招标人</w:t>
      </w:r>
      <w:r>
        <w:rPr>
          <w:rFonts w:hint="eastAsia" w:ascii="宋体" w:hAnsi="宋体"/>
          <w:color w:val="auto"/>
          <w:szCs w:val="21"/>
          <w:highlight w:val="none"/>
          <w:u w:val="single"/>
        </w:rPr>
        <w:t>名称）</w:t>
      </w:r>
      <w:r>
        <w:rPr>
          <w:rFonts w:hint="eastAsia" w:ascii="宋体" w:hAnsi="宋体"/>
          <w:color w:val="auto"/>
          <w:szCs w:val="21"/>
          <w:highlight w:val="none"/>
        </w:rPr>
        <w:t>：</w:t>
      </w:r>
    </w:p>
    <w:p w14:paraId="673E3CED">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3AC18D2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投标截止日投标资格情况不存在下列情形之一：</w:t>
      </w:r>
    </w:p>
    <w:p w14:paraId="3B2866FD">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F8E8E92">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6F2AE6BD">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213945EB">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73019EDB">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lang w:eastAsia="zh-CN"/>
        </w:rPr>
        <w:t>市级有关行业</w:t>
      </w:r>
      <w:r>
        <w:rPr>
          <w:rFonts w:hint="eastAsia" w:ascii="宋体" w:hAnsi="宋体"/>
          <w:color w:val="auto"/>
          <w:szCs w:val="21"/>
          <w:highlight w:val="none"/>
        </w:rPr>
        <w:t>主管部门暂停在渝承揽新业务且在暂停期内；</w:t>
      </w:r>
    </w:p>
    <w:p w14:paraId="006E8D31">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14:paraId="68D401DF">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14:paraId="2B73C24B">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14:paraId="29592B75">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（9）投标人或其法定代表人、拟委任的项目经理在近两年内有行贿犯罪行为的。</w:t>
      </w:r>
    </w:p>
    <w:p w14:paraId="14C81873">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2.1我公司拟派的项目经理按注册建造师的相关规定到岗履职和未被禁止参与投标。</w:t>
      </w:r>
    </w:p>
    <w:p w14:paraId="45A035A7">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63E04ED0">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2.1.2拟派的项目经理未被重庆市</w:t>
      </w:r>
      <w:r>
        <w:rPr>
          <w:rFonts w:hint="eastAsia" w:ascii="宋体" w:hAnsi="宋体"/>
          <w:color w:val="auto"/>
          <w:szCs w:val="21"/>
          <w:lang w:val="en-US"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1083496B">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2.1.3</w:t>
      </w:r>
      <w:r>
        <w:rPr>
          <w:rFonts w:hint="eastAsia" w:ascii="宋体" w:hAnsi="宋体"/>
          <w:color w:val="auto"/>
          <w:szCs w:val="21"/>
          <w:highlight w:val="none"/>
          <w:lang w:val="en-US" w:eastAsia="zh-CN"/>
        </w:rPr>
        <w:t>为保证我公司拟派的项目经理到本项目到岗履职，我公司还承诺：</w:t>
      </w:r>
    </w:p>
    <w:p w14:paraId="7C6ECCF7">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lang w:val="en-US" w:eastAsia="zh-CN"/>
        </w:rPr>
        <w:t xml:space="preserve"> 14 </w:t>
      </w:r>
      <w:r>
        <w:rPr>
          <w:rFonts w:hint="eastAsia" w:ascii="宋体" w:hAnsi="宋体"/>
          <w:color w:val="auto"/>
          <w:szCs w:val="21"/>
          <w:highlight w:val="none"/>
          <w:lang w:val="en-US" w:eastAsia="zh-CN"/>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0ED7656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若我公司拟派项目经理放弃在其他项目任职的将提供：①经业主或建设单位同意任职变更的文件；②负责项目监管的行业行政主管部门出具同意任职变更的证明材料。</w:t>
      </w:r>
    </w:p>
    <w:p w14:paraId="08C0F03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若我公司拟派项目经理放弃在其他项目中标或拟中标的将提供：①经中标或拟中标的其他项目建设单位同意的放弃中标函</w:t>
      </w:r>
      <w:r>
        <w:rPr>
          <w:rFonts w:hint="eastAsia" w:ascii="宋体" w:hAnsi="宋体"/>
          <w:color w:val="auto"/>
          <w:szCs w:val="21"/>
          <w:highlight w:val="none"/>
        </w:rPr>
        <w:t>。</w:t>
      </w:r>
    </w:p>
    <w:p w14:paraId="51050F18">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我公司拟派的项目总工按相关规定到岗履职和未被禁止参与投标。</w:t>
      </w:r>
    </w:p>
    <w:p w14:paraId="41F22806">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.1拟派的项目总工中标后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贵单位造成损失的，我公司依法承担违约赔偿责任。拟派的项目总工中标后不得随意更换。</w:t>
      </w:r>
    </w:p>
    <w:p w14:paraId="3973C31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2拟派的项目总工未被重庆市交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669AC77B">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我公司若中标，将在合同谈判结束后7日内按照本项目招标文件“投标人须知”前附表1.4.1的要求，向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提供参与本项目施工工作的人员名单，并附相应人员的身份证、执业资格证、职称证书、社保缴费证明等证明材料作为投标书附件并作为合同文件的组成部分。如果我</w:t>
      </w:r>
      <w:r>
        <w:rPr>
          <w:rFonts w:hint="eastAsia" w:ascii="宋体" w:hAnsi="宋体"/>
          <w:color w:val="auto"/>
          <w:szCs w:val="21"/>
          <w:highlight w:val="none"/>
          <w:lang w:val="en-US" w:eastAsia="zh-CN"/>
        </w:rPr>
        <w:t>公司</w:t>
      </w:r>
      <w:r>
        <w:rPr>
          <w:rFonts w:hint="eastAsia" w:ascii="宋体" w:hAnsi="宋体"/>
          <w:color w:val="auto"/>
          <w:szCs w:val="21"/>
          <w:highlight w:val="none"/>
        </w:rPr>
        <w:t>在合同谈判结束后7日内，不能向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提供上述材料（除不可抗力因素），视为我</w:t>
      </w:r>
      <w:r>
        <w:rPr>
          <w:rFonts w:hint="eastAsia" w:ascii="宋体" w:hAnsi="宋体"/>
          <w:color w:val="auto"/>
          <w:szCs w:val="21"/>
          <w:highlight w:val="none"/>
          <w:lang w:val="en-US" w:eastAsia="zh-CN"/>
        </w:rPr>
        <w:t>公司</w:t>
      </w:r>
      <w:r>
        <w:rPr>
          <w:rFonts w:hint="eastAsia" w:ascii="宋体" w:hAnsi="宋体"/>
          <w:color w:val="auto"/>
          <w:szCs w:val="21"/>
          <w:highlight w:val="none"/>
        </w:rPr>
        <w:t>放弃中标候选人资格。</w:t>
      </w:r>
    </w:p>
    <w:p w14:paraId="40740FC4">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我公司严格按照第五章“工程量清单”、第八章“工程量清单计量规则”的规定进行报价。招标文件中规定工程量清单不允许修改的内容不得修改。投标总报价不高于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公布的投标总报价最高限价。各清单子目单价不高于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公布的各清单子目单价最高限价的。若出现差错，按招标文件第二章投标人须知前附表第3.2.9项规定的原则进行处理（或结算）。</w:t>
      </w:r>
    </w:p>
    <w:p w14:paraId="1B56D062">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14:paraId="3FADE842">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6.我公司</w:t>
      </w:r>
      <w:r>
        <w:rPr>
          <w:rFonts w:hint="eastAsia" w:ascii="宋体" w:hAnsi="宋体"/>
          <w:color w:val="auto"/>
          <w:szCs w:val="21"/>
          <w:highlight w:val="none"/>
        </w:rPr>
        <w:t>不存在第二章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投标人须知第 1.4.3 项规定的任何一种情形</w:t>
      </w:r>
      <w:r>
        <w:rPr>
          <w:rFonts w:hint="eastAsia" w:ascii="宋体" w:hAnsi="宋体"/>
          <w:color w:val="auto"/>
          <w:szCs w:val="21"/>
          <w:highlight w:val="none"/>
          <w:lang w:eastAsia="zh-CN"/>
        </w:rPr>
        <w:t>。</w:t>
      </w:r>
    </w:p>
    <w:p w14:paraId="7742D11E">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7.我公司的投标文件符合第二章 投标人须知第 1.3.1 项的规定。</w:t>
      </w:r>
    </w:p>
    <w:p w14:paraId="637E7F8C">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14:paraId="77A67A0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我公司的投标文件符合第七章 技术标准和要求（如有）。</w:t>
      </w:r>
    </w:p>
    <w:p w14:paraId="35B25DF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10.我公司接受招标文件中关于“不平衡报价”的相关约定（如有）。</w:t>
      </w:r>
    </w:p>
    <w:p w14:paraId="14E539D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default" w:ascii="宋体" w:hAnsi="宋体"/>
          <w:color w:val="auto"/>
          <w:szCs w:val="21"/>
          <w:highlight w:val="none"/>
          <w:lang w:val="en-US"/>
        </w:rPr>
      </w:pPr>
      <w:r>
        <w:rPr>
          <w:rFonts w:hint="eastAsia" w:ascii="宋体" w:hAnsi="宋体"/>
          <w:color w:val="auto"/>
          <w:szCs w:val="21"/>
          <w:lang w:val="en-US" w:eastAsia="zh-CN"/>
        </w:rPr>
        <w:t>11.我公司接受招标文件中关于“不允许负数报价”的相关要求（如有）。</w:t>
      </w:r>
    </w:p>
    <w:p w14:paraId="2AFC5616">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p>
    <w:p w14:paraId="15A7C3FA">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2E2B8303">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14:paraId="5A79B9A4">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C726311">
      <w:pPr>
        <w:snapToGrid w:val="0"/>
        <w:spacing w:line="500" w:lineRule="exact"/>
        <w:ind w:firstLine="420" w:firstLineChars="200"/>
        <w:jc w:val="right"/>
        <w:rPr>
          <w:rFonts w:ascii="宋体" w:hAnsi="宋体"/>
          <w:color w:val="auto"/>
          <w:szCs w:val="21"/>
        </w:rPr>
      </w:pPr>
    </w:p>
    <w:p w14:paraId="7A04022B">
      <w:pPr>
        <w:spacing w:line="500" w:lineRule="exact"/>
        <w:rPr>
          <w:color w:val="auto"/>
        </w:rPr>
      </w:pPr>
    </w:p>
    <w:p w14:paraId="30CF0A9C">
      <w:pPr>
        <w:spacing w:line="500" w:lineRule="exact"/>
        <w:jc w:val="center"/>
        <w:rPr>
          <w:rFonts w:ascii="宋体" w:hAnsi="宋体"/>
          <w:bCs/>
          <w:color w:val="auto"/>
          <w:sz w:val="32"/>
          <w:szCs w:val="32"/>
        </w:rPr>
      </w:pPr>
      <w:r>
        <w:rPr>
          <w:color w:val="auto"/>
        </w:rPr>
        <w:br w:type="page"/>
      </w:r>
    </w:p>
    <w:p w14:paraId="5DD43DCE">
      <w:pPr>
        <w:numPr>
          <w:ilvl w:val="0"/>
          <w:numId w:val="8"/>
        </w:numPr>
        <w:jc w:val="center"/>
        <w:rPr>
          <w:rFonts w:hint="eastAsia" w:ascii="宋体" w:hAnsi="宋体"/>
          <w:bCs/>
          <w:color w:val="auto"/>
          <w:sz w:val="32"/>
          <w:szCs w:val="32"/>
        </w:rPr>
      </w:pPr>
      <w:bookmarkStart w:id="986" w:name="_Toc14813"/>
      <w:bookmarkStart w:id="987" w:name="_Toc24788"/>
      <w:r>
        <w:rPr>
          <w:rFonts w:hint="eastAsia" w:ascii="宋体" w:hAnsi="宋体"/>
          <w:bCs/>
          <w:color w:val="auto"/>
          <w:sz w:val="32"/>
          <w:szCs w:val="32"/>
        </w:rPr>
        <w:t>其他资料</w:t>
      </w:r>
      <w:bookmarkEnd w:id="986"/>
      <w:bookmarkEnd w:id="987"/>
    </w:p>
    <w:p w14:paraId="073F4E6F">
      <w:pPr>
        <w:pStyle w:val="4"/>
        <w:keepNext/>
        <w:keepLines/>
        <w:pageBreakBefore/>
        <w:widowControl w:val="0"/>
        <w:kinsoku/>
        <w:wordWrap/>
        <w:overflowPunct/>
        <w:topLinePunct w:val="0"/>
        <w:autoSpaceDE/>
        <w:autoSpaceDN/>
        <w:bidi w:val="0"/>
        <w:adjustRightInd/>
        <w:snapToGrid/>
        <w:spacing w:before="0" w:line="500" w:lineRule="exact"/>
        <w:textAlignment w:val="auto"/>
        <w:rPr>
          <w:rFonts w:hint="eastAsia" w:ascii="宋体" w:hAnsi="宋体" w:eastAsia="宋体" w:cs="宋体"/>
          <w:b/>
          <w:bCs/>
          <w:color w:val="auto"/>
          <w:kern w:val="2"/>
          <w:sz w:val="24"/>
          <w:szCs w:val="21"/>
          <w:highlight w:val="none"/>
          <w:lang w:val="en-US" w:eastAsia="zh-CN" w:bidi="ar-SA"/>
        </w:rPr>
      </w:pPr>
      <w:bookmarkStart w:id="988" w:name="_Toc22676"/>
      <w:bookmarkStart w:id="989" w:name="_Toc29818"/>
      <w:r>
        <w:rPr>
          <w:rFonts w:hint="eastAsia" w:ascii="宋体" w:hAnsi="宋体" w:eastAsia="宋体" w:cs="宋体"/>
          <w:b/>
          <w:bCs/>
          <w:color w:val="auto"/>
          <w:kern w:val="2"/>
          <w:sz w:val="24"/>
          <w:szCs w:val="21"/>
          <w:highlight w:val="none"/>
          <w:lang w:val="en-US" w:eastAsia="zh-CN" w:bidi="ar-SA"/>
        </w:rPr>
        <w:t>投标保证金退还申请</w:t>
      </w:r>
      <w:bookmarkEnd w:id="988"/>
      <w:bookmarkEnd w:id="989"/>
    </w:p>
    <w:p w14:paraId="61F256EE">
      <w:pPr>
        <w:keepNext w:val="0"/>
        <w:keepLines w:val="0"/>
        <w:pageBreakBefore w:val="0"/>
        <w:widowControl/>
        <w:kinsoku/>
        <w:wordWrap/>
        <w:overflowPunct/>
        <w:topLinePunct w:val="0"/>
        <w:autoSpaceDE/>
        <w:autoSpaceDN/>
        <w:bidi w:val="0"/>
        <w:adjustRightInd/>
        <w:snapToGrid/>
        <w:spacing w:after="360" w:line="800" w:lineRule="exact"/>
        <w:jc w:val="center"/>
        <w:textAlignment w:val="auto"/>
        <w:rPr>
          <w:rFonts w:hint="eastAsia" w:ascii="宋体" w:hAnsi="宋体" w:eastAsia="宋体" w:cs="宋体"/>
          <w:color w:val="auto"/>
          <w:highlight w:val="none"/>
        </w:rPr>
      </w:pPr>
      <w:bookmarkStart w:id="990" w:name="_Toc4728_WPSOffice_Level2"/>
      <w:r>
        <w:rPr>
          <w:rFonts w:hint="eastAsia" w:ascii="宋体" w:hAnsi="宋体" w:eastAsia="宋体" w:cs="宋体"/>
          <w:b/>
          <w:color w:val="auto"/>
          <w:kern w:val="0"/>
          <w:sz w:val="44"/>
          <w:szCs w:val="44"/>
          <w:highlight w:val="none"/>
        </w:rPr>
        <w:t>投标保证金退还申请</w:t>
      </w:r>
      <w:bookmarkEnd w:id="990"/>
    </w:p>
    <w:p w14:paraId="31EA5093">
      <w:pPr>
        <w:keepNext w:val="0"/>
        <w:keepLines w:val="0"/>
        <w:pageBreakBefore w:val="0"/>
        <w:widowControl w:val="0"/>
        <w:tabs>
          <w:tab w:val="left" w:pos="6300"/>
        </w:tabs>
        <w:kinsoku/>
        <w:wordWrap/>
        <w:overflowPunct/>
        <w:topLinePunct w:val="0"/>
        <w:autoSpaceDE/>
        <w:autoSpaceDN/>
        <w:bidi w:val="0"/>
        <w:adjustRightInd/>
        <w:snapToGrid w:val="0"/>
        <w:spacing w:line="540" w:lineRule="exact"/>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2"/>
          <w:highlight w:val="none"/>
          <w:u w:val="single"/>
          <w:lang w:val="en-US" w:eastAsia="zh-CN"/>
        </w:rPr>
        <w:t xml:space="preserve">           （采购人名称）</w:t>
      </w:r>
      <w:r>
        <w:rPr>
          <w:rFonts w:hint="eastAsia" w:ascii="宋体" w:hAnsi="宋体" w:eastAsia="宋体" w:cs="宋体"/>
          <w:color w:val="auto"/>
          <w:sz w:val="24"/>
          <w:szCs w:val="22"/>
          <w:highlight w:val="none"/>
        </w:rPr>
        <w:t>：</w:t>
      </w:r>
    </w:p>
    <w:p w14:paraId="2A40B37A">
      <w:pPr>
        <w:keepNext w:val="0"/>
        <w:keepLines w:val="0"/>
        <w:pageBreakBefore w:val="0"/>
        <w:widowControl w:val="0"/>
        <w:tabs>
          <w:tab w:val="left" w:pos="6300"/>
        </w:tabs>
        <w:kinsoku/>
        <w:wordWrap/>
        <w:overflowPunct/>
        <w:topLinePunct w:val="0"/>
        <w:autoSpaceDE/>
        <w:autoSpaceDN/>
        <w:bidi w:val="0"/>
        <w:adjustRightInd/>
        <w:spacing w:line="54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我单位于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日参加由贵单位组织进行的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（项目名称）交易活动，</w:t>
      </w:r>
      <w:r>
        <w:rPr>
          <w:rFonts w:hint="eastAsia" w:ascii="宋体" w:hAnsi="宋体" w:cs="宋体"/>
          <w:color w:val="auto"/>
          <w:kern w:val="2"/>
          <w:sz w:val="24"/>
          <w:szCs w:val="24"/>
          <w:highlight w:val="none"/>
          <w:lang w:eastAsia="zh-CN"/>
        </w:rPr>
        <w:t>转账</w:t>
      </w:r>
      <w:r>
        <w:rPr>
          <w:rFonts w:hint="eastAsia" w:ascii="宋体" w:hAnsi="宋体" w:eastAsia="宋体" w:cs="宋体"/>
          <w:color w:val="auto"/>
          <w:kern w:val="2"/>
          <w:sz w:val="24"/>
          <w:szCs w:val="24"/>
          <w:highlight w:val="none"/>
        </w:rPr>
        <w:t>交纳投标保证金</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元。现交易活动已结束，按照项目</w:t>
      </w:r>
      <w:r>
        <w:rPr>
          <w:rFonts w:hint="eastAsia" w:ascii="宋体" w:hAnsi="宋体" w:eastAsia="宋体" w:cs="宋体"/>
          <w:color w:val="auto"/>
          <w:kern w:val="2"/>
          <w:sz w:val="24"/>
          <w:szCs w:val="24"/>
          <w:highlight w:val="none"/>
          <w:lang w:eastAsia="zh-CN"/>
        </w:rPr>
        <w:t>竞争性谈判</w:t>
      </w:r>
      <w:r>
        <w:rPr>
          <w:rFonts w:hint="eastAsia" w:ascii="宋体" w:hAnsi="宋体" w:eastAsia="宋体" w:cs="宋体"/>
          <w:color w:val="auto"/>
          <w:kern w:val="2"/>
          <w:sz w:val="24"/>
          <w:szCs w:val="24"/>
          <w:highlight w:val="none"/>
        </w:rPr>
        <w:t>文件规定的投标保证金退还办法，特申请将我单位交纳的投标保证金退还到我单位以下账户（必须与保证金交纳账户一致）：</w:t>
      </w:r>
    </w:p>
    <w:p w14:paraId="7FE8C1E7">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投标单位户名：                          </w:t>
      </w:r>
    </w:p>
    <w:p w14:paraId="0913A978">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投标单位账号：</w:t>
      </w:r>
    </w:p>
    <w:p w14:paraId="144B40FB">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rPr>
        <w:t xml:space="preserve">账户开户行：  </w:t>
      </w:r>
      <w:r>
        <w:rPr>
          <w:rFonts w:hint="eastAsia" w:ascii="宋体" w:hAnsi="宋体" w:eastAsia="宋体" w:cs="宋体"/>
          <w:color w:val="auto"/>
          <w:kern w:val="2"/>
          <w:szCs w:val="28"/>
          <w:highlight w:val="none"/>
        </w:rPr>
        <w:t xml:space="preserve">                                                </w:t>
      </w:r>
    </w:p>
    <w:p w14:paraId="587CE6E9">
      <w:pPr>
        <w:tabs>
          <w:tab w:val="left" w:pos="6300"/>
        </w:tabs>
        <w:spacing w:line="500" w:lineRule="exact"/>
        <w:ind w:left="0" w:right="0" w:firstLine="570"/>
        <w:rPr>
          <w:rFonts w:hint="eastAsia" w:ascii="宋体" w:hAnsi="宋体" w:eastAsia="宋体" w:cs="宋体"/>
          <w:color w:val="auto"/>
          <w:kern w:val="2"/>
          <w:szCs w:val="28"/>
          <w:highlight w:val="none"/>
        </w:rPr>
      </w:pPr>
    </w:p>
    <w:p w14:paraId="369140F3">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特此申请</w:t>
      </w:r>
    </w:p>
    <w:p w14:paraId="4D91E74E">
      <w:pPr>
        <w:tabs>
          <w:tab w:val="left" w:pos="6300"/>
        </w:tabs>
        <w:spacing w:line="500" w:lineRule="exact"/>
        <w:ind w:left="0" w:right="0" w:firstLine="570"/>
        <w:rPr>
          <w:rFonts w:hint="eastAsia" w:ascii="宋体" w:hAnsi="宋体" w:eastAsia="宋体" w:cs="宋体"/>
          <w:color w:val="auto"/>
          <w:kern w:val="2"/>
          <w:sz w:val="24"/>
          <w:szCs w:val="24"/>
          <w:highlight w:val="none"/>
        </w:rPr>
      </w:pPr>
    </w:p>
    <w:p w14:paraId="1FAD4502">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投标单位联系人及联系电话：</w:t>
      </w:r>
    </w:p>
    <w:p w14:paraId="626B67C5">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法定代表人（或代理人）签名或盖章：</w:t>
      </w:r>
    </w:p>
    <w:p w14:paraId="40390478">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投标单位（盖章）：</w:t>
      </w:r>
    </w:p>
    <w:p w14:paraId="1E8425B7">
      <w:pPr>
        <w:tabs>
          <w:tab w:val="left" w:pos="6300"/>
        </w:tabs>
        <w:spacing w:line="500" w:lineRule="exact"/>
        <w:ind w:left="0" w:right="0" w:firstLine="58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年    月    日</w:t>
      </w:r>
    </w:p>
    <w:p w14:paraId="700B016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本申请必附附件：</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保证金银行转账凭证复印件</w:t>
      </w:r>
      <w:r>
        <w:rPr>
          <w:rFonts w:hint="eastAsia" w:ascii="宋体" w:hAnsi="宋体" w:eastAsia="宋体" w:cs="宋体"/>
          <w:color w:val="auto"/>
          <w:kern w:val="2"/>
          <w:sz w:val="24"/>
          <w:szCs w:val="24"/>
          <w:highlight w:val="none"/>
          <w:lang w:eastAsia="zh-CN"/>
        </w:rPr>
        <w:t>，银行基本账户开户证明文件。</w:t>
      </w:r>
    </w:p>
    <w:p w14:paraId="3099E98F">
      <w:pPr>
        <w:keepNext w:val="0"/>
        <w:keepLines w:val="0"/>
        <w:pageBreakBefore w:val="0"/>
        <w:widowControl w:val="0"/>
        <w:tabs>
          <w:tab w:val="left" w:pos="2070"/>
        </w:tabs>
        <w:kinsoku/>
        <w:wordWrap/>
        <w:overflowPunct/>
        <w:topLinePunct w:val="0"/>
        <w:autoSpaceDE/>
        <w:autoSpaceDN/>
        <w:bidi w:val="0"/>
        <w:adjustRightInd/>
        <w:snapToGrid/>
        <w:spacing w:line="600" w:lineRule="exact"/>
        <w:ind w:left="0" w:right="0" w:firstLine="475"/>
        <w:textAlignment w:val="auto"/>
        <w:rPr>
          <w:rFonts w:hint="eastAsia" w:ascii="宋体" w:hAnsi="宋体" w:eastAsia="宋体" w:cs="宋体"/>
          <w:color w:val="auto"/>
          <w:lang w:val="en-US" w:eastAsia="zh-CN"/>
        </w:rPr>
      </w:pPr>
      <w:r>
        <w:rPr>
          <w:rFonts w:hint="eastAsia" w:ascii="宋体" w:hAnsi="宋体" w:eastAsia="宋体" w:cs="宋体"/>
          <w:b/>
          <w:color w:val="auto"/>
          <w:kern w:val="2"/>
          <w:sz w:val="24"/>
          <w:szCs w:val="24"/>
          <w:highlight w:val="none"/>
        </w:rPr>
        <w:t>（注：</w:t>
      </w:r>
      <w:r>
        <w:rPr>
          <w:rFonts w:hint="eastAsia" w:ascii="宋体" w:hAnsi="宋体" w:eastAsia="宋体" w:cs="宋体"/>
          <w:color w:val="auto"/>
          <w:kern w:val="2"/>
          <w:sz w:val="24"/>
          <w:szCs w:val="24"/>
          <w:highlight w:val="none"/>
        </w:rPr>
        <w:t>此申请表由投标人填写齐全后，在</w:t>
      </w:r>
      <w:r>
        <w:rPr>
          <w:rFonts w:hint="eastAsia" w:ascii="宋体" w:hAnsi="宋体" w:eastAsia="宋体" w:cs="宋体"/>
          <w:b w:val="0"/>
          <w:bCs/>
          <w:color w:val="auto"/>
          <w:kern w:val="2"/>
          <w:sz w:val="24"/>
          <w:szCs w:val="24"/>
          <w:highlight w:val="none"/>
        </w:rPr>
        <w:t>投标签到时</w:t>
      </w:r>
      <w:r>
        <w:rPr>
          <w:rFonts w:hint="eastAsia" w:ascii="宋体" w:hAnsi="宋体" w:eastAsia="宋体" w:cs="宋体"/>
          <w:color w:val="auto"/>
          <w:kern w:val="2"/>
          <w:sz w:val="24"/>
          <w:szCs w:val="24"/>
          <w:highlight w:val="none"/>
        </w:rPr>
        <w:t>与保证金银行转账凭证复印件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lang w:eastAsia="zh-CN"/>
        </w:rPr>
        <w:t>银行基本账户开户证明文件</w:t>
      </w:r>
      <w:r>
        <w:rPr>
          <w:rFonts w:hint="eastAsia" w:ascii="宋体" w:hAnsi="宋体" w:eastAsia="宋体" w:cs="宋体"/>
          <w:color w:val="auto"/>
          <w:kern w:val="2"/>
          <w:sz w:val="24"/>
          <w:szCs w:val="24"/>
          <w:highlight w:val="none"/>
        </w:rPr>
        <w:t>一同交至</w:t>
      </w:r>
      <w:r>
        <w:rPr>
          <w:rFonts w:hint="eastAsia" w:ascii="宋体" w:hAnsi="宋体" w:eastAsia="宋体" w:cs="宋体"/>
          <w:color w:val="auto"/>
          <w:kern w:val="2"/>
          <w:sz w:val="24"/>
          <w:szCs w:val="24"/>
          <w:highlight w:val="none"/>
          <w:lang w:eastAsia="zh-CN"/>
        </w:rPr>
        <w:t>采购</w:t>
      </w:r>
      <w:r>
        <w:rPr>
          <w:rFonts w:hint="eastAsia" w:ascii="宋体" w:hAnsi="宋体" w:eastAsia="宋体" w:cs="宋体"/>
          <w:color w:val="auto"/>
          <w:kern w:val="2"/>
          <w:sz w:val="24"/>
          <w:szCs w:val="24"/>
          <w:highlight w:val="none"/>
        </w:rPr>
        <w:t>代理机构项目经办人员处，以便办理投标保证金退付事宜，否则造成的一切后果由投标人自行负责。）</w:t>
      </w:r>
    </w:p>
    <w:p w14:paraId="7942A341">
      <w:pPr>
        <w:rPr>
          <w:color w:val="auto"/>
        </w:rPr>
      </w:pPr>
    </w:p>
    <w:p w14:paraId="116F3EFF">
      <w:pPr>
        <w:pStyle w:val="2"/>
        <w:numPr>
          <w:ilvl w:val="0"/>
          <w:numId w:val="8"/>
        </w:numPr>
        <w:rPr>
          <w:color w:val="auto"/>
        </w:rPr>
      </w:pPr>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altName w:val="方正楷体_GBK"/>
    <w:panose1 w:val="02010609030101010101"/>
    <w:charset w:val="86"/>
    <w:family w:val="modern"/>
    <w:pitch w:val="default"/>
    <w:sig w:usb0="00000000" w:usb1="0000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_GB2312;仿宋">
    <w:altName w:val="方正仿宋_GBK"/>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script"/>
    <w:pitch w:val="default"/>
    <w:sig w:usb0="A00002BF" w:usb1="184F6CFA" w:usb2="00000012" w:usb3="00000000" w:csb0="00040001" w:csb1="00000000"/>
  </w:font>
  <w:font w:name="方正书宋简体">
    <w:altName w:val="方正书宋_GBK"/>
    <w:panose1 w:val="00000000000000000000"/>
    <w:charset w:val="86"/>
    <w:family w:val="auto"/>
    <w:pitch w:val="default"/>
    <w:sig w:usb0="00000000" w:usb1="00000000" w:usb2="00000000" w:usb3="00000000" w:csb0="00040000" w:csb1="00000000"/>
  </w:font>
  <w:font w:name="华文细黑">
    <w:altName w:val="汉仪中等线简"/>
    <w:panose1 w:val="02010600040101010101"/>
    <w:charset w:val="86"/>
    <w:family w:val="auto"/>
    <w:pitch w:val="default"/>
    <w:sig w:usb0="00000000" w:usb1="00000000" w:usb2="00000000" w:usb3="00000000" w:csb0="0004009F" w:csb1="DFD70000"/>
  </w:font>
  <w:font w:name="汉仪中等线简">
    <w:panose1 w:val="02010600000101010101"/>
    <w:charset w:val="86"/>
    <w:family w:val="auto"/>
    <w:pitch w:val="default"/>
    <w:sig w:usb0="00000001" w:usb1="080E0800" w:usb2="00000002"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MingLiU">
    <w:altName w:val="方正书宋_GBK"/>
    <w:panose1 w:val="02020509000000000000"/>
    <w:charset w:val="88"/>
    <w:family w:val="modern"/>
    <w:pitch w:val="default"/>
    <w:sig w:usb0="00000000" w:usb1="00000000" w:usb2="00000016" w:usb3="00000000" w:csb0="00100001" w:csb1="00000000"/>
  </w:font>
  <w:font w:name="ATKPMP+ºÚÌå">
    <w:altName w:val="国标宋体-超大字符集"/>
    <w:panose1 w:val="00000000000000000000"/>
    <w:charset w:val="01"/>
    <w:family w:val="modern"/>
    <w:pitch w:val="default"/>
    <w:sig w:usb0="00000000" w:usb1="00000000" w:usb2="01010101" w:usb3="01010101" w:csb0="01010101" w:csb1="01010101"/>
  </w:font>
  <w:font w:name="国标宋体-超大字符集">
    <w:panose1 w:val="03000509000000000000"/>
    <w:charset w:val="86"/>
    <w:family w:val="auto"/>
    <w:pitch w:val="default"/>
    <w:sig w:usb0="00000001" w:usb1="08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MingLiUfalt">
    <w:altName w:val="思源黑体"/>
    <w:panose1 w:val="00000000000000000000"/>
    <w:charset w:val="88"/>
    <w:family w:val="auto"/>
    <w:pitch w:val="default"/>
    <w:sig w:usb0="00000000" w:usb1="00000000" w:usb2="00000010" w:usb3="00000000" w:csb0="00100000" w:csb1="00000000"/>
  </w:font>
  <w:font w:name="思源黑体">
    <w:panose1 w:val="020B0500000000000000"/>
    <w:charset w:val="86"/>
    <w:family w:val="auto"/>
    <w:pitch w:val="default"/>
    <w:sig w:usb0="30000083" w:usb1="2BDF3C10" w:usb2="00000016" w:usb3="00000000" w:csb0="602E0107" w:csb1="00000000"/>
  </w:font>
  <w:font w:name="国标仿宋">
    <w:panose1 w:val="02000500000000000000"/>
    <w:charset w:val="86"/>
    <w:family w:val="auto"/>
    <w:pitch w:val="default"/>
    <w:sig w:usb0="A00002BF" w:usb1="38C77CFA" w:usb2="00000016" w:usb3="00000000" w:csb0="00060007" w:csb1="00000000"/>
  </w:font>
  <w:font w:name="思源宋体">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A44D">
    <w:pPr>
      <w:pStyle w:val="33"/>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FAD7F">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A83E6">
    <w:pPr>
      <w:pStyle w:val="3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8E4BE">
    <w:pPr>
      <w:pStyle w:val="33"/>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2879CE">
                          <w:pPr>
                            <w:pStyle w:val="33"/>
                            <w:rPr>
                              <w:rStyle w:val="56"/>
                            </w:rPr>
                          </w:pPr>
                          <w:r>
                            <w:fldChar w:fldCharType="begin"/>
                          </w:r>
                          <w:r>
                            <w:rPr>
                              <w:rStyle w:val="56"/>
                            </w:rPr>
                            <w:instrText xml:space="preserve">PAGE  </w:instrText>
                          </w:r>
                          <w:r>
                            <w:fldChar w:fldCharType="separate"/>
                          </w:r>
                          <w:r>
                            <w:rPr>
                              <w:rStyle w:val="56"/>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14:paraId="462879CE">
                    <w:pPr>
                      <w:pStyle w:val="33"/>
                      <w:rPr>
                        <w:rStyle w:val="56"/>
                      </w:rPr>
                    </w:pPr>
                    <w:r>
                      <w:fldChar w:fldCharType="begin"/>
                    </w:r>
                    <w:r>
                      <w:rPr>
                        <w:rStyle w:val="56"/>
                      </w:rPr>
                      <w:instrText xml:space="preserve">PAGE  </w:instrText>
                    </w:r>
                    <w:r>
                      <w:fldChar w:fldCharType="separate"/>
                    </w:r>
                    <w:r>
                      <w:rPr>
                        <w:rStyle w:val="56"/>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822A">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87C7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14:paraId="0287C70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9AF3">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423A">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61B6">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165D">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412C"/>
    <w:multiLevelType w:val="singleLevel"/>
    <w:tmpl w:val="96EE412C"/>
    <w:lvl w:ilvl="0" w:tentative="0">
      <w:start w:val="5"/>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27"/>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2">
    <w:nsid w:val="00000005"/>
    <w:multiLevelType w:val="multilevel"/>
    <w:tmpl w:val="00000005"/>
    <w:lvl w:ilvl="0" w:tentative="0">
      <w:start w:val="1"/>
      <w:numFmt w:val="decimal"/>
      <w:pStyle w:val="14"/>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3">
    <w:nsid w:val="0000000D"/>
    <w:multiLevelType w:val="multilevel"/>
    <w:tmpl w:val="0000000D"/>
    <w:lvl w:ilvl="0" w:tentative="0">
      <w:start w:val="1"/>
      <w:numFmt w:val="decimal"/>
      <w:pStyle w:val="22"/>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4">
    <w:nsid w:val="0000000F"/>
    <w:multiLevelType w:val="multilevel"/>
    <w:tmpl w:val="0000000F"/>
    <w:lvl w:ilvl="0" w:tentative="0">
      <w:start w:val="1"/>
      <w:numFmt w:val="bullet"/>
      <w:pStyle w:val="19"/>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5"/>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24C91BF5"/>
    <w:multiLevelType w:val="singleLevel"/>
    <w:tmpl w:val="24C91BF5"/>
    <w:lvl w:ilvl="0" w:tentative="0">
      <w:start w:val="5"/>
      <w:numFmt w:val="chineseCounting"/>
      <w:suff w:val="nothing"/>
      <w:lvlText w:val="（%1）"/>
      <w:lvlJc w:val="left"/>
      <w:rPr>
        <w:rFonts w:hint="eastAsia"/>
      </w:r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00000000"/>
    <w:rsid w:val="006C695B"/>
    <w:rsid w:val="00AE44C0"/>
    <w:rsid w:val="020A675A"/>
    <w:rsid w:val="03326BA4"/>
    <w:rsid w:val="038720C2"/>
    <w:rsid w:val="03B95284"/>
    <w:rsid w:val="04A823E5"/>
    <w:rsid w:val="05C04FA9"/>
    <w:rsid w:val="05F063E0"/>
    <w:rsid w:val="06112117"/>
    <w:rsid w:val="06862B05"/>
    <w:rsid w:val="08481ED7"/>
    <w:rsid w:val="09444A74"/>
    <w:rsid w:val="09C30CC4"/>
    <w:rsid w:val="0A110938"/>
    <w:rsid w:val="0B213EC0"/>
    <w:rsid w:val="0BE8710E"/>
    <w:rsid w:val="0BF758C0"/>
    <w:rsid w:val="0C4C65E2"/>
    <w:rsid w:val="0D1F336B"/>
    <w:rsid w:val="0DAC3D85"/>
    <w:rsid w:val="0E221E3A"/>
    <w:rsid w:val="0F4A0448"/>
    <w:rsid w:val="0F566F41"/>
    <w:rsid w:val="10257CEB"/>
    <w:rsid w:val="10516B48"/>
    <w:rsid w:val="12BC2223"/>
    <w:rsid w:val="149E570D"/>
    <w:rsid w:val="16FC0452"/>
    <w:rsid w:val="17512201"/>
    <w:rsid w:val="17625BEF"/>
    <w:rsid w:val="17C748AA"/>
    <w:rsid w:val="18FC6CC5"/>
    <w:rsid w:val="19BB08C0"/>
    <w:rsid w:val="19FF72E9"/>
    <w:rsid w:val="1A2F1077"/>
    <w:rsid w:val="1BC7655F"/>
    <w:rsid w:val="1BC8193A"/>
    <w:rsid w:val="1D660B43"/>
    <w:rsid w:val="1F65724C"/>
    <w:rsid w:val="1FA176AE"/>
    <w:rsid w:val="201259CE"/>
    <w:rsid w:val="202D32CC"/>
    <w:rsid w:val="207D4DD2"/>
    <w:rsid w:val="20C72306"/>
    <w:rsid w:val="20FD7FA4"/>
    <w:rsid w:val="22CC1D68"/>
    <w:rsid w:val="24383525"/>
    <w:rsid w:val="24E72DC2"/>
    <w:rsid w:val="25A574CB"/>
    <w:rsid w:val="25F62E02"/>
    <w:rsid w:val="262F2991"/>
    <w:rsid w:val="26D62895"/>
    <w:rsid w:val="27C668BE"/>
    <w:rsid w:val="297B631A"/>
    <w:rsid w:val="2A7A5C2D"/>
    <w:rsid w:val="2AD608D3"/>
    <w:rsid w:val="2ADD0794"/>
    <w:rsid w:val="2B8D373E"/>
    <w:rsid w:val="2E31233D"/>
    <w:rsid w:val="2EF3369A"/>
    <w:rsid w:val="30850E88"/>
    <w:rsid w:val="311D06CC"/>
    <w:rsid w:val="33735EB3"/>
    <w:rsid w:val="33C34071"/>
    <w:rsid w:val="34E80BD9"/>
    <w:rsid w:val="34EF383A"/>
    <w:rsid w:val="354010C3"/>
    <w:rsid w:val="355007AE"/>
    <w:rsid w:val="36372CDC"/>
    <w:rsid w:val="37083929"/>
    <w:rsid w:val="388D1222"/>
    <w:rsid w:val="39EE7A9E"/>
    <w:rsid w:val="3AB678E8"/>
    <w:rsid w:val="3C10601E"/>
    <w:rsid w:val="3C4D13F4"/>
    <w:rsid w:val="3C9E704C"/>
    <w:rsid w:val="3D2A0465"/>
    <w:rsid w:val="3D5A2CFA"/>
    <w:rsid w:val="40231D53"/>
    <w:rsid w:val="413D70A0"/>
    <w:rsid w:val="41A86F2A"/>
    <w:rsid w:val="422C1B3B"/>
    <w:rsid w:val="43E51F12"/>
    <w:rsid w:val="4427252A"/>
    <w:rsid w:val="452A5AE6"/>
    <w:rsid w:val="457271D8"/>
    <w:rsid w:val="46BC4B7D"/>
    <w:rsid w:val="46DE6680"/>
    <w:rsid w:val="47980D67"/>
    <w:rsid w:val="47BB54A9"/>
    <w:rsid w:val="47E62B6E"/>
    <w:rsid w:val="486378A9"/>
    <w:rsid w:val="495866F9"/>
    <w:rsid w:val="49FD2E61"/>
    <w:rsid w:val="4A185A6B"/>
    <w:rsid w:val="4A201EF6"/>
    <w:rsid w:val="4A4D1751"/>
    <w:rsid w:val="4A7B7899"/>
    <w:rsid w:val="4B8C001B"/>
    <w:rsid w:val="4C5B513E"/>
    <w:rsid w:val="4C900C37"/>
    <w:rsid w:val="4CD3324F"/>
    <w:rsid w:val="4CE54D31"/>
    <w:rsid w:val="4D3F08E5"/>
    <w:rsid w:val="4E585D10"/>
    <w:rsid w:val="4E6D2480"/>
    <w:rsid w:val="4E6D78AD"/>
    <w:rsid w:val="4EF70971"/>
    <w:rsid w:val="52DF4E47"/>
    <w:rsid w:val="544A6FD5"/>
    <w:rsid w:val="54DA68DA"/>
    <w:rsid w:val="55452810"/>
    <w:rsid w:val="55642E8C"/>
    <w:rsid w:val="56217B7A"/>
    <w:rsid w:val="56765E2E"/>
    <w:rsid w:val="580113E0"/>
    <w:rsid w:val="59110384"/>
    <w:rsid w:val="5A56726E"/>
    <w:rsid w:val="5AF811D4"/>
    <w:rsid w:val="5B6B2007"/>
    <w:rsid w:val="5E4F7CEA"/>
    <w:rsid w:val="5FEA46E0"/>
    <w:rsid w:val="5FEF4CA7"/>
    <w:rsid w:val="60A35552"/>
    <w:rsid w:val="64307C97"/>
    <w:rsid w:val="6462781C"/>
    <w:rsid w:val="648C5704"/>
    <w:rsid w:val="66571890"/>
    <w:rsid w:val="66680A54"/>
    <w:rsid w:val="669C752C"/>
    <w:rsid w:val="67804D2B"/>
    <w:rsid w:val="68BD7860"/>
    <w:rsid w:val="691675E7"/>
    <w:rsid w:val="6A050720"/>
    <w:rsid w:val="6B0A7178"/>
    <w:rsid w:val="6E1D6ABF"/>
    <w:rsid w:val="6E6B2E90"/>
    <w:rsid w:val="6F03756C"/>
    <w:rsid w:val="714E0847"/>
    <w:rsid w:val="716C3667"/>
    <w:rsid w:val="722C5E47"/>
    <w:rsid w:val="72690CD9"/>
    <w:rsid w:val="73A1466E"/>
    <w:rsid w:val="73F10C52"/>
    <w:rsid w:val="74BE7D72"/>
    <w:rsid w:val="75E576FB"/>
    <w:rsid w:val="76503416"/>
    <w:rsid w:val="777F5833"/>
    <w:rsid w:val="78AD57EE"/>
    <w:rsid w:val="7A6A08DA"/>
    <w:rsid w:val="7AB53C86"/>
    <w:rsid w:val="7B0661B0"/>
    <w:rsid w:val="7B3078EB"/>
    <w:rsid w:val="7C19588B"/>
    <w:rsid w:val="7D463E3C"/>
    <w:rsid w:val="7D54367E"/>
    <w:rsid w:val="7E5B742D"/>
    <w:rsid w:val="7F373140"/>
    <w:rsid w:val="7F5F07EF"/>
    <w:rsid w:val="7FD00928"/>
    <w:rsid w:val="C3FB2E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5">
    <w:name w:val="heading 3"/>
    <w:basedOn w:val="1"/>
    <w:next w:val="1"/>
    <w:link w:val="70"/>
    <w:qFormat/>
    <w:uiPriority w:val="0"/>
    <w:pPr>
      <w:keepNext/>
      <w:keepLines/>
      <w:adjustRightInd w:val="0"/>
      <w:snapToGrid w:val="0"/>
      <w:spacing w:line="480" w:lineRule="auto"/>
      <w:jc w:val="center"/>
      <w:outlineLvl w:val="2"/>
    </w:pPr>
    <w:rPr>
      <w:b/>
      <w:bCs/>
      <w:sz w:val="32"/>
      <w:szCs w:val="32"/>
    </w:rPr>
  </w:style>
  <w:style w:type="paragraph" w:styleId="6">
    <w:name w:val="heading 4"/>
    <w:basedOn w:val="1"/>
    <w:next w:val="1"/>
    <w:link w:val="71"/>
    <w:qFormat/>
    <w:uiPriority w:val="0"/>
    <w:pPr>
      <w:widowControl/>
      <w:spacing w:before="100" w:beforeAutospacing="1" w:after="100" w:afterAutospacing="1"/>
      <w:jc w:val="left"/>
      <w:outlineLvl w:val="3"/>
    </w:pPr>
    <w:rPr>
      <w:rFonts w:ascii="宋体" w:hAnsi="宋体" w:cs="宋体"/>
      <w:b/>
      <w:bCs/>
      <w:sz w:val="24"/>
      <w:szCs w:val="24"/>
    </w:rPr>
  </w:style>
  <w:style w:type="paragraph" w:styleId="7">
    <w:name w:val="heading 5"/>
    <w:basedOn w:val="1"/>
    <w:next w:val="1"/>
    <w:link w:val="72"/>
    <w:qFormat/>
    <w:uiPriority w:val="0"/>
    <w:pPr>
      <w:widowControl/>
      <w:spacing w:before="100" w:beforeAutospacing="1" w:after="100" w:afterAutospacing="1"/>
      <w:jc w:val="left"/>
      <w:outlineLvl w:val="4"/>
    </w:pPr>
    <w:rPr>
      <w:rFonts w:ascii="宋体" w:hAnsi="宋体" w:cs="宋体"/>
      <w:b/>
      <w:bCs/>
    </w:rPr>
  </w:style>
  <w:style w:type="paragraph" w:styleId="8">
    <w:name w:val="heading 6"/>
    <w:basedOn w:val="9"/>
    <w:next w:val="1"/>
    <w:link w:val="73"/>
    <w:qFormat/>
    <w:uiPriority w:val="0"/>
    <w:pPr>
      <w:keepNext/>
      <w:keepLines/>
      <w:ind w:firstLine="200" w:firstLineChars="200"/>
      <w:outlineLvl w:val="5"/>
    </w:pPr>
    <w:rPr>
      <w:rFonts w:hAnsi="Arial"/>
    </w:rPr>
  </w:style>
  <w:style w:type="paragraph" w:styleId="10">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1">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2">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3">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7"/>
    <w:qFormat/>
    <w:uiPriority w:val="0"/>
    <w:pPr>
      <w:spacing w:after="120"/>
    </w:pPr>
    <w:rPr>
      <w:szCs w:val="24"/>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3">
    <w:name w:val="toc 7"/>
    <w:basedOn w:val="1"/>
    <w:next w:val="1"/>
    <w:qFormat/>
    <w:uiPriority w:val="0"/>
    <w:pPr>
      <w:ind w:left="2520" w:leftChars="1200"/>
    </w:pPr>
  </w:style>
  <w:style w:type="paragraph" w:styleId="14">
    <w:name w:val="List Bullet 4"/>
    <w:basedOn w:val="1"/>
    <w:qFormat/>
    <w:uiPriority w:val="0"/>
    <w:pPr>
      <w:numPr>
        <w:ilvl w:val="0"/>
        <w:numId w:val="1"/>
      </w:numPr>
      <w:tabs>
        <w:tab w:val="left" w:pos="1620"/>
      </w:tabs>
      <w:ind w:left="600" w:hanging="200"/>
    </w:pPr>
  </w:style>
  <w:style w:type="paragraph" w:styleId="15">
    <w:name w:val="List Bullet"/>
    <w:basedOn w:val="1"/>
    <w:qFormat/>
    <w:uiPriority w:val="0"/>
    <w:pPr>
      <w:numPr>
        <w:ilvl w:val="0"/>
        <w:numId w:val="2"/>
      </w:numPr>
      <w:tabs>
        <w:tab w:val="left" w:pos="360"/>
      </w:tabs>
      <w:ind w:hanging="200"/>
    </w:pPr>
  </w:style>
  <w:style w:type="paragraph" w:styleId="16">
    <w:name w:val="Document Map"/>
    <w:basedOn w:val="1"/>
    <w:link w:val="77"/>
    <w:qFormat/>
    <w:uiPriority w:val="0"/>
    <w:pPr>
      <w:shd w:val="clear" w:color="auto" w:fill="000080"/>
    </w:pPr>
    <w:rPr>
      <w:szCs w:val="24"/>
    </w:rPr>
  </w:style>
  <w:style w:type="paragraph" w:styleId="17">
    <w:name w:val="annotation text"/>
    <w:basedOn w:val="1"/>
    <w:link w:val="78"/>
    <w:qFormat/>
    <w:uiPriority w:val="0"/>
    <w:pPr>
      <w:jc w:val="left"/>
    </w:pPr>
    <w:rPr>
      <w:szCs w:val="24"/>
    </w:rPr>
  </w:style>
  <w:style w:type="paragraph" w:styleId="18">
    <w:name w:val="Body Text 3"/>
    <w:basedOn w:val="1"/>
    <w:link w:val="79"/>
    <w:qFormat/>
    <w:uiPriority w:val="0"/>
    <w:pPr>
      <w:spacing w:after="120"/>
    </w:pPr>
    <w:rPr>
      <w:sz w:val="16"/>
      <w:szCs w:val="16"/>
    </w:rPr>
  </w:style>
  <w:style w:type="paragraph" w:styleId="19">
    <w:name w:val="List Bullet 3"/>
    <w:basedOn w:val="1"/>
    <w:qFormat/>
    <w:uiPriority w:val="0"/>
    <w:pPr>
      <w:numPr>
        <w:ilvl w:val="0"/>
        <w:numId w:val="3"/>
      </w:numPr>
      <w:tabs>
        <w:tab w:val="left" w:pos="1200"/>
        <w:tab w:val="clear" w:pos="360"/>
      </w:tabs>
      <w:ind w:left="400" w:hanging="200"/>
    </w:pPr>
  </w:style>
  <w:style w:type="paragraph" w:styleId="20">
    <w:name w:val="Body Text Indent"/>
    <w:basedOn w:val="1"/>
    <w:link w:val="80"/>
    <w:qFormat/>
    <w:uiPriority w:val="0"/>
    <w:pPr>
      <w:ind w:firstLine="407" w:firstLineChars="200"/>
    </w:pPr>
    <w:rPr>
      <w:szCs w:val="24"/>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List Bullet 2"/>
    <w:basedOn w:val="1"/>
    <w:qFormat/>
    <w:uiPriority w:val="0"/>
    <w:pPr>
      <w:numPr>
        <w:ilvl w:val="0"/>
        <w:numId w:val="4"/>
      </w:numPr>
      <w:tabs>
        <w:tab w:val="left" w:pos="780"/>
      </w:tabs>
      <w:ind w:left="200" w:hanging="200"/>
    </w:pPr>
  </w:style>
  <w:style w:type="paragraph" w:styleId="23">
    <w:name w:val="index 4"/>
    <w:basedOn w:val="1"/>
    <w:next w:val="1"/>
    <w:qFormat/>
    <w:uiPriority w:val="0"/>
    <w:pPr>
      <w:ind w:left="600" w:leftChars="600"/>
    </w:pPr>
    <w:rPr>
      <w:szCs w:val="21"/>
    </w:rPr>
  </w:style>
  <w:style w:type="paragraph" w:styleId="24">
    <w:name w:val="toc 5"/>
    <w:basedOn w:val="1"/>
    <w:next w:val="1"/>
    <w:qFormat/>
    <w:uiPriority w:val="0"/>
    <w:pPr>
      <w:ind w:left="1680" w:leftChars="800"/>
    </w:pPr>
  </w:style>
  <w:style w:type="paragraph" w:styleId="25">
    <w:name w:val="toc 3"/>
    <w:basedOn w:val="1"/>
    <w:next w:val="1"/>
    <w:qFormat/>
    <w:uiPriority w:val="0"/>
    <w:pPr>
      <w:ind w:left="840" w:leftChars="400"/>
    </w:pPr>
  </w:style>
  <w:style w:type="paragraph" w:styleId="26">
    <w:name w:val="Plain Text"/>
    <w:basedOn w:val="1"/>
    <w:link w:val="81"/>
    <w:qFormat/>
    <w:uiPriority w:val="0"/>
    <w:rPr>
      <w:rFonts w:ascii="宋体" w:hAnsi="Courier New" w:cs="Courier New"/>
      <w:szCs w:val="21"/>
    </w:rPr>
  </w:style>
  <w:style w:type="paragraph" w:styleId="27">
    <w:name w:val="List Bullet 5"/>
    <w:basedOn w:val="1"/>
    <w:qFormat/>
    <w:uiPriority w:val="0"/>
    <w:pPr>
      <w:numPr>
        <w:ilvl w:val="0"/>
        <w:numId w:val="5"/>
      </w:numPr>
      <w:tabs>
        <w:tab w:val="left" w:pos="2040"/>
      </w:tabs>
      <w:ind w:left="800" w:hanging="200"/>
    </w:pPr>
  </w:style>
  <w:style w:type="paragraph" w:styleId="28">
    <w:name w:val="toc 8"/>
    <w:basedOn w:val="1"/>
    <w:next w:val="1"/>
    <w:qFormat/>
    <w:uiPriority w:val="0"/>
    <w:pPr>
      <w:ind w:left="2940" w:leftChars="1400"/>
    </w:pPr>
  </w:style>
  <w:style w:type="paragraph" w:styleId="29">
    <w:name w:val="Date"/>
    <w:basedOn w:val="1"/>
    <w:next w:val="1"/>
    <w:link w:val="82"/>
    <w:qFormat/>
    <w:uiPriority w:val="0"/>
    <w:pPr>
      <w:ind w:left="100" w:leftChars="2500"/>
    </w:pPr>
    <w:rPr>
      <w:szCs w:val="24"/>
    </w:rPr>
  </w:style>
  <w:style w:type="paragraph" w:styleId="30">
    <w:name w:val="Body Text Indent 2"/>
    <w:basedOn w:val="1"/>
    <w:link w:val="83"/>
    <w:qFormat/>
    <w:uiPriority w:val="0"/>
    <w:pPr>
      <w:widowControl/>
      <w:spacing w:line="480" w:lineRule="auto"/>
      <w:ind w:firstLine="560"/>
      <w:jc w:val="left"/>
    </w:pPr>
    <w:rPr>
      <w:sz w:val="28"/>
      <w:szCs w:val="24"/>
    </w:rPr>
  </w:style>
  <w:style w:type="paragraph" w:styleId="31">
    <w:name w:val="endnote text"/>
    <w:basedOn w:val="1"/>
    <w:link w:val="84"/>
    <w:qFormat/>
    <w:uiPriority w:val="0"/>
    <w:pPr>
      <w:widowControl/>
      <w:snapToGrid w:val="0"/>
      <w:jc w:val="left"/>
    </w:pPr>
    <w:rPr>
      <w:rFonts w:ascii="Arial" w:hAnsi="Arial" w:cs="Arial"/>
      <w:szCs w:val="24"/>
      <w:lang w:eastAsia="en-US"/>
    </w:rPr>
  </w:style>
  <w:style w:type="paragraph" w:styleId="32">
    <w:name w:val="Balloon Text"/>
    <w:basedOn w:val="1"/>
    <w:link w:val="85"/>
    <w:qFormat/>
    <w:uiPriority w:val="0"/>
    <w:rPr>
      <w:sz w:val="18"/>
      <w:szCs w:val="18"/>
    </w:rPr>
  </w:style>
  <w:style w:type="paragraph" w:styleId="33">
    <w:name w:val="footer"/>
    <w:basedOn w:val="1"/>
    <w:link w:val="86"/>
    <w:qFormat/>
    <w:uiPriority w:val="0"/>
    <w:pPr>
      <w:tabs>
        <w:tab w:val="center" w:pos="4153"/>
        <w:tab w:val="right" w:pos="8306"/>
      </w:tabs>
      <w:snapToGrid w:val="0"/>
      <w:jc w:val="left"/>
    </w:pPr>
    <w:rPr>
      <w:sz w:val="18"/>
      <w:szCs w:val="18"/>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6">
    <w:name w:val="toc 4"/>
    <w:basedOn w:val="1"/>
    <w:next w:val="1"/>
    <w:qFormat/>
    <w:uiPriority w:val="0"/>
    <w:pPr>
      <w:ind w:left="1260" w:leftChars="600"/>
    </w:pPr>
  </w:style>
  <w:style w:type="paragraph" w:styleId="37">
    <w:name w:val="Subtitle"/>
    <w:basedOn w:val="1"/>
    <w:link w:val="88"/>
    <w:qFormat/>
    <w:uiPriority w:val="0"/>
    <w:pPr>
      <w:widowControl/>
      <w:jc w:val="center"/>
    </w:pPr>
    <w:rPr>
      <w:szCs w:val="24"/>
      <w:u w:val="single"/>
      <w:lang w:eastAsia="en-US"/>
    </w:rPr>
  </w:style>
  <w:style w:type="paragraph" w:styleId="38">
    <w:name w:val="footnote text"/>
    <w:basedOn w:val="1"/>
    <w:link w:val="89"/>
    <w:qFormat/>
    <w:uiPriority w:val="0"/>
    <w:pPr>
      <w:widowControl/>
      <w:snapToGrid w:val="0"/>
      <w:jc w:val="left"/>
    </w:pPr>
    <w:rPr>
      <w:rFonts w:ascii="Arial" w:hAnsi="Arial" w:cs="Arial"/>
      <w:sz w:val="18"/>
      <w:szCs w:val="18"/>
      <w:lang w:eastAsia="en-US"/>
    </w:rPr>
  </w:style>
  <w:style w:type="paragraph" w:styleId="39">
    <w:name w:val="toc 6"/>
    <w:basedOn w:val="1"/>
    <w:next w:val="1"/>
    <w:qFormat/>
    <w:uiPriority w:val="0"/>
    <w:pPr>
      <w:ind w:left="2100" w:leftChars="1000"/>
    </w:pPr>
  </w:style>
  <w:style w:type="paragraph" w:styleId="40">
    <w:name w:val="Body Text Indent 3"/>
    <w:basedOn w:val="1"/>
    <w:link w:val="90"/>
    <w:qFormat/>
    <w:uiPriority w:val="0"/>
    <w:pPr>
      <w:spacing w:line="360" w:lineRule="auto"/>
      <w:ind w:firstLine="280" w:firstLineChars="100"/>
    </w:pPr>
    <w:rPr>
      <w:rFonts w:ascii="宋体" w:hAnsi="宋体"/>
      <w:sz w:val="28"/>
      <w:szCs w:val="28"/>
    </w:rPr>
  </w:style>
  <w:style w:type="paragraph" w:styleId="41">
    <w:name w:val="table of figures"/>
    <w:basedOn w:val="1"/>
    <w:next w:val="1"/>
    <w:qFormat/>
    <w:uiPriority w:val="0"/>
    <w:pPr>
      <w:ind w:left="200" w:leftChars="200" w:hanging="200" w:hangingChars="200"/>
    </w:p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91"/>
    <w:qFormat/>
    <w:uiPriority w:val="0"/>
    <w:rPr>
      <w:i/>
      <w:iCs/>
      <w:sz w:val="26"/>
      <w:szCs w:val="24"/>
    </w:rPr>
  </w:style>
  <w:style w:type="paragraph" w:styleId="4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220" w:lineRule="exact"/>
      <w:jc w:val="center"/>
    </w:pPr>
    <w:rPr>
      <w:rFonts w:ascii="仿宋_GB2312" w:eastAsia="仿宋_GB2312"/>
      <w:szCs w:val="21"/>
    </w:rPr>
  </w:style>
  <w:style w:type="paragraph" w:styleId="48">
    <w:name w:val="Title"/>
    <w:basedOn w:val="1"/>
    <w:link w:val="93"/>
    <w:qFormat/>
    <w:uiPriority w:val="0"/>
    <w:pPr>
      <w:widowControl/>
      <w:jc w:val="center"/>
    </w:pPr>
    <w:rPr>
      <w:szCs w:val="24"/>
      <w:u w:val="single"/>
      <w:lang w:eastAsia="en-US"/>
    </w:rPr>
  </w:style>
  <w:style w:type="paragraph" w:styleId="49">
    <w:name w:val="annotation subject"/>
    <w:basedOn w:val="17"/>
    <w:next w:val="17"/>
    <w:link w:val="94"/>
    <w:qFormat/>
    <w:uiPriority w:val="0"/>
    <w:rPr>
      <w:b/>
      <w:bCs/>
    </w:rPr>
  </w:style>
  <w:style w:type="paragraph" w:styleId="50">
    <w:name w:val="Body Text First Indent"/>
    <w:basedOn w:val="2"/>
    <w:unhideWhenUsed/>
    <w:qFormat/>
    <w:uiPriority w:val="99"/>
    <w:pPr>
      <w:spacing w:line="275" w:lineRule="atLeast"/>
      <w:ind w:firstLine="420"/>
      <w:textAlignment w:val="baseline"/>
    </w:pPr>
    <w:rPr>
      <w:rFonts w:hAnsi="Calibri" w:eastAsia="楷体_GB2312"/>
      <w:szCs w:val="20"/>
    </w:rPr>
  </w:style>
  <w:style w:type="paragraph" w:styleId="51">
    <w:name w:val="Body Text First Indent 2"/>
    <w:basedOn w:val="20"/>
    <w:link w:val="95"/>
    <w:qFormat/>
    <w:uiPriority w:val="0"/>
    <w:pPr>
      <w:spacing w:after="120"/>
      <w:ind w:left="420" w:leftChars="200" w:firstLine="420"/>
    </w:p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rPr>
      <w:rFonts w:ascii="Verdana" w:hAnsi="Verdana" w:eastAsia="仿宋_GB2312"/>
      <w:sz w:val="24"/>
      <w:lang w:val="en-US" w:eastAsia="en-US" w:bidi="ar-SA"/>
    </w:rPr>
  </w:style>
  <w:style w:type="character" w:styleId="57">
    <w:name w:val="FollowedHyperlink"/>
    <w:basedOn w:val="53"/>
    <w:qFormat/>
    <w:uiPriority w:val="0"/>
    <w:rPr>
      <w:color w:val="800080"/>
      <w:u w:val="single"/>
    </w:rPr>
  </w:style>
  <w:style w:type="character" w:styleId="58">
    <w:name w:val="Hyperlink"/>
    <w:basedOn w:val="53"/>
    <w:qFormat/>
    <w:uiPriority w:val="99"/>
    <w:rPr>
      <w:color w:val="0000FF"/>
      <w:u w:val="single"/>
    </w:rPr>
  </w:style>
  <w:style w:type="character" w:styleId="59">
    <w:name w:val="annotation reference"/>
    <w:basedOn w:val="53"/>
    <w:qFormat/>
    <w:uiPriority w:val="0"/>
    <w:rPr>
      <w:sz w:val="21"/>
      <w:szCs w:val="21"/>
    </w:rPr>
  </w:style>
  <w:style w:type="character" w:styleId="60">
    <w:name w:val="footnote reference"/>
    <w:basedOn w:val="53"/>
    <w:qFormat/>
    <w:uiPriority w:val="0"/>
    <w:rPr>
      <w:vertAlign w:val="superscript"/>
    </w:rPr>
  </w:style>
  <w:style w:type="paragraph" w:customStyle="1" w:styleId="61">
    <w:name w:val="BodyText1I"/>
    <w:basedOn w:val="62"/>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2">
    <w:name w:val="BodyText"/>
    <w:basedOn w:val="1"/>
    <w:next w:val="63"/>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3">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64">
    <w:name w:val="目录 53"/>
    <w:next w:val="65"/>
    <w:qFormat/>
    <w:uiPriority w:val="99"/>
    <w:pPr>
      <w:wordWrap w:val="0"/>
      <w:ind w:left="1275"/>
      <w:jc w:val="both"/>
    </w:pPr>
    <w:rPr>
      <w:rFonts w:ascii="Calibri" w:hAnsi="Calibri" w:eastAsia="宋体" w:cs="Times New Roman"/>
      <w:sz w:val="21"/>
      <w:lang w:val="en-US" w:eastAsia="zh-CN" w:bidi="ar-SA"/>
    </w:rPr>
  </w:style>
  <w:style w:type="paragraph" w:customStyle="1" w:styleId="65">
    <w:name w:val="正文1"/>
    <w:next w:val="66"/>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正文文本1"/>
    <w:basedOn w:val="65"/>
    <w:next w:val="64"/>
    <w:qFormat/>
    <w:uiPriority w:val="0"/>
    <w:rPr>
      <w:rFonts w:ascii="仿宋_GB2312;仿宋" w:hAnsi="仿宋_GB2312;仿宋" w:eastAsia="仿宋_GB2312;仿宋"/>
      <w:sz w:val="32"/>
    </w:rPr>
  </w:style>
  <w:style w:type="character" w:customStyle="1" w:styleId="67">
    <w:name w:val="正文文本 Char"/>
    <w:basedOn w:val="53"/>
    <w:link w:val="2"/>
    <w:qFormat/>
    <w:uiPriority w:val="0"/>
    <w:rPr>
      <w:rFonts w:eastAsia="宋体"/>
      <w:kern w:val="2"/>
      <w:sz w:val="21"/>
      <w:szCs w:val="24"/>
      <w:lang w:val="en-US" w:eastAsia="zh-CN" w:bidi="ar-SA"/>
    </w:rPr>
  </w:style>
  <w:style w:type="character" w:customStyle="1" w:styleId="68">
    <w:name w:val="标题 1 Char"/>
    <w:basedOn w:val="53"/>
    <w:link w:val="3"/>
    <w:qFormat/>
    <w:uiPriority w:val="0"/>
    <w:rPr>
      <w:rFonts w:eastAsia="宋体"/>
      <w:b/>
      <w:bCs/>
      <w:kern w:val="44"/>
      <w:sz w:val="44"/>
      <w:szCs w:val="44"/>
      <w:lang w:val="en-US" w:eastAsia="zh-CN" w:bidi="ar-SA"/>
    </w:rPr>
  </w:style>
  <w:style w:type="character" w:customStyle="1" w:styleId="69">
    <w:name w:val="标题 2 Char"/>
    <w:basedOn w:val="53"/>
    <w:link w:val="4"/>
    <w:qFormat/>
    <w:uiPriority w:val="0"/>
    <w:rPr>
      <w:rFonts w:ascii="Cambria" w:hAnsi="Cambria" w:eastAsia="宋体"/>
      <w:b/>
      <w:bCs/>
      <w:kern w:val="2"/>
      <w:sz w:val="32"/>
      <w:szCs w:val="32"/>
      <w:lang w:val="en-US" w:eastAsia="zh-CN" w:bidi="ar-SA"/>
    </w:rPr>
  </w:style>
  <w:style w:type="character" w:customStyle="1" w:styleId="70">
    <w:name w:val="标题 3 Char"/>
    <w:basedOn w:val="53"/>
    <w:link w:val="5"/>
    <w:qFormat/>
    <w:uiPriority w:val="0"/>
    <w:rPr>
      <w:rFonts w:ascii="Times New Roman" w:hAnsi="Times New Roman" w:eastAsia="宋体"/>
      <w:b/>
      <w:bCs/>
      <w:kern w:val="2"/>
      <w:sz w:val="32"/>
      <w:szCs w:val="32"/>
      <w:lang w:val="en-US" w:eastAsia="zh-CN" w:bidi="ar-SA"/>
    </w:rPr>
  </w:style>
  <w:style w:type="character" w:customStyle="1" w:styleId="71">
    <w:name w:val="标题 4 Char"/>
    <w:basedOn w:val="53"/>
    <w:link w:val="6"/>
    <w:qFormat/>
    <w:uiPriority w:val="0"/>
    <w:rPr>
      <w:rFonts w:ascii="宋体" w:hAnsi="宋体" w:eastAsia="宋体" w:cs="宋体"/>
      <w:b/>
      <w:bCs/>
      <w:sz w:val="24"/>
      <w:szCs w:val="24"/>
      <w:lang w:val="en-US" w:eastAsia="zh-CN" w:bidi="ar-SA"/>
    </w:rPr>
  </w:style>
  <w:style w:type="character" w:customStyle="1" w:styleId="72">
    <w:name w:val="标题 5 Char"/>
    <w:basedOn w:val="53"/>
    <w:link w:val="7"/>
    <w:qFormat/>
    <w:uiPriority w:val="0"/>
    <w:rPr>
      <w:rFonts w:ascii="宋体" w:hAnsi="宋体" w:eastAsia="宋体" w:cs="宋体"/>
      <w:b/>
      <w:bCs/>
      <w:lang w:val="en-US" w:eastAsia="zh-CN" w:bidi="ar-SA"/>
    </w:rPr>
  </w:style>
  <w:style w:type="character" w:customStyle="1" w:styleId="73">
    <w:name w:val="标题 6 Char"/>
    <w:basedOn w:val="53"/>
    <w:link w:val="8"/>
    <w:qFormat/>
    <w:uiPriority w:val="0"/>
    <w:rPr>
      <w:rFonts w:hAnsi="Arial" w:eastAsia="仿宋_GB2312"/>
      <w:sz w:val="30"/>
      <w:lang w:val="en-US" w:eastAsia="zh-CN" w:bidi="ar-SA"/>
    </w:rPr>
  </w:style>
  <w:style w:type="character" w:customStyle="1" w:styleId="74">
    <w:name w:val="标题 7 Char"/>
    <w:basedOn w:val="53"/>
    <w:link w:val="10"/>
    <w:qFormat/>
    <w:uiPriority w:val="0"/>
    <w:rPr>
      <w:rFonts w:eastAsia="仿宋_GB2312"/>
      <w:sz w:val="30"/>
      <w:lang w:val="en-US" w:eastAsia="zh-CN" w:bidi="ar-SA"/>
    </w:rPr>
  </w:style>
  <w:style w:type="character" w:customStyle="1" w:styleId="75">
    <w:name w:val="标题 8 Char"/>
    <w:basedOn w:val="53"/>
    <w:link w:val="11"/>
    <w:qFormat/>
    <w:uiPriority w:val="0"/>
    <w:rPr>
      <w:rFonts w:hAnsi="Arial" w:eastAsia="仿宋_GB2312"/>
      <w:sz w:val="30"/>
      <w:lang w:val="en-US" w:eastAsia="zh-CN" w:bidi="ar-SA"/>
    </w:rPr>
  </w:style>
  <w:style w:type="character" w:customStyle="1" w:styleId="76">
    <w:name w:val="标题 9 Char"/>
    <w:basedOn w:val="53"/>
    <w:link w:val="12"/>
    <w:qFormat/>
    <w:uiPriority w:val="0"/>
    <w:rPr>
      <w:rFonts w:eastAsia="仿宋_GB2312"/>
      <w:sz w:val="30"/>
      <w:lang w:val="en-US" w:eastAsia="zh-CN" w:bidi="ar-SA"/>
    </w:rPr>
  </w:style>
  <w:style w:type="character" w:customStyle="1" w:styleId="77">
    <w:name w:val="文档结构图 Char"/>
    <w:basedOn w:val="53"/>
    <w:link w:val="16"/>
    <w:qFormat/>
    <w:uiPriority w:val="0"/>
    <w:rPr>
      <w:rFonts w:eastAsia="宋体"/>
      <w:kern w:val="2"/>
      <w:sz w:val="21"/>
      <w:szCs w:val="24"/>
      <w:lang w:val="en-US" w:eastAsia="zh-CN" w:bidi="ar-SA"/>
    </w:rPr>
  </w:style>
  <w:style w:type="character" w:customStyle="1" w:styleId="78">
    <w:name w:val="批注文字 Char"/>
    <w:basedOn w:val="53"/>
    <w:link w:val="17"/>
    <w:qFormat/>
    <w:uiPriority w:val="0"/>
    <w:rPr>
      <w:rFonts w:eastAsia="宋体"/>
      <w:kern w:val="2"/>
      <w:sz w:val="21"/>
      <w:szCs w:val="24"/>
      <w:lang w:val="en-US" w:eastAsia="zh-CN" w:bidi="ar-SA"/>
    </w:rPr>
  </w:style>
  <w:style w:type="character" w:customStyle="1" w:styleId="79">
    <w:name w:val="正文文本 3 Char"/>
    <w:basedOn w:val="53"/>
    <w:link w:val="18"/>
    <w:qFormat/>
    <w:uiPriority w:val="0"/>
    <w:rPr>
      <w:rFonts w:eastAsia="宋体"/>
      <w:kern w:val="2"/>
      <w:sz w:val="16"/>
      <w:szCs w:val="16"/>
      <w:lang w:val="en-US" w:eastAsia="zh-CN" w:bidi="ar-SA"/>
    </w:rPr>
  </w:style>
  <w:style w:type="character" w:customStyle="1" w:styleId="80">
    <w:name w:val="正文文本缩进 Char"/>
    <w:basedOn w:val="53"/>
    <w:link w:val="20"/>
    <w:qFormat/>
    <w:uiPriority w:val="0"/>
    <w:rPr>
      <w:rFonts w:eastAsia="宋体"/>
      <w:kern w:val="2"/>
      <w:sz w:val="21"/>
      <w:szCs w:val="24"/>
      <w:lang w:val="en-US" w:eastAsia="zh-CN" w:bidi="ar-SA"/>
    </w:rPr>
  </w:style>
  <w:style w:type="character" w:customStyle="1" w:styleId="81">
    <w:name w:val="纯文本 Char"/>
    <w:basedOn w:val="53"/>
    <w:link w:val="26"/>
    <w:qFormat/>
    <w:uiPriority w:val="0"/>
    <w:rPr>
      <w:rFonts w:ascii="宋体" w:hAnsi="Courier New" w:eastAsia="宋体" w:cs="Courier New"/>
      <w:kern w:val="2"/>
      <w:sz w:val="21"/>
      <w:szCs w:val="21"/>
      <w:lang w:val="en-US" w:eastAsia="zh-CN" w:bidi="ar-SA"/>
    </w:rPr>
  </w:style>
  <w:style w:type="character" w:customStyle="1" w:styleId="82">
    <w:name w:val="日期 Char"/>
    <w:basedOn w:val="53"/>
    <w:link w:val="29"/>
    <w:qFormat/>
    <w:uiPriority w:val="0"/>
    <w:rPr>
      <w:rFonts w:eastAsia="宋体"/>
      <w:kern w:val="2"/>
      <w:sz w:val="21"/>
      <w:szCs w:val="24"/>
      <w:lang w:val="en-US" w:eastAsia="zh-CN" w:bidi="ar-SA"/>
    </w:rPr>
  </w:style>
  <w:style w:type="character" w:customStyle="1" w:styleId="83">
    <w:name w:val="正文文本缩进 2 Char"/>
    <w:basedOn w:val="53"/>
    <w:link w:val="30"/>
    <w:qFormat/>
    <w:uiPriority w:val="0"/>
    <w:rPr>
      <w:rFonts w:eastAsia="宋体"/>
      <w:sz w:val="28"/>
      <w:szCs w:val="24"/>
      <w:lang w:val="en-US" w:eastAsia="zh-CN" w:bidi="ar-SA"/>
    </w:rPr>
  </w:style>
  <w:style w:type="character" w:customStyle="1" w:styleId="84">
    <w:name w:val="尾注文本 Char"/>
    <w:basedOn w:val="53"/>
    <w:link w:val="31"/>
    <w:qFormat/>
    <w:uiPriority w:val="0"/>
    <w:rPr>
      <w:rFonts w:ascii="Arial" w:hAnsi="Arial" w:eastAsia="宋体" w:cs="Arial"/>
      <w:szCs w:val="24"/>
      <w:lang w:val="en-US" w:eastAsia="en-US" w:bidi="ar-SA"/>
    </w:rPr>
  </w:style>
  <w:style w:type="character" w:customStyle="1" w:styleId="85">
    <w:name w:val="批注框文本 Char"/>
    <w:basedOn w:val="53"/>
    <w:link w:val="32"/>
    <w:qFormat/>
    <w:uiPriority w:val="0"/>
    <w:rPr>
      <w:rFonts w:eastAsia="宋体"/>
      <w:kern w:val="2"/>
      <w:sz w:val="18"/>
      <w:szCs w:val="18"/>
      <w:lang w:val="en-US" w:eastAsia="zh-CN" w:bidi="ar-SA"/>
    </w:rPr>
  </w:style>
  <w:style w:type="character" w:customStyle="1" w:styleId="86">
    <w:name w:val="页脚 Char"/>
    <w:basedOn w:val="53"/>
    <w:link w:val="33"/>
    <w:qFormat/>
    <w:uiPriority w:val="0"/>
    <w:rPr>
      <w:rFonts w:eastAsia="宋体"/>
      <w:kern w:val="2"/>
      <w:sz w:val="18"/>
      <w:szCs w:val="18"/>
      <w:lang w:val="en-US" w:eastAsia="zh-CN" w:bidi="ar-SA"/>
    </w:rPr>
  </w:style>
  <w:style w:type="character" w:customStyle="1" w:styleId="87">
    <w:name w:val="页眉 Char"/>
    <w:basedOn w:val="53"/>
    <w:link w:val="34"/>
    <w:qFormat/>
    <w:uiPriority w:val="0"/>
    <w:rPr>
      <w:rFonts w:eastAsia="宋体"/>
      <w:kern w:val="2"/>
      <w:sz w:val="18"/>
      <w:szCs w:val="18"/>
      <w:lang w:val="en-US" w:eastAsia="zh-CN" w:bidi="ar-SA"/>
    </w:rPr>
  </w:style>
  <w:style w:type="character" w:customStyle="1" w:styleId="88">
    <w:name w:val="副标题 Char"/>
    <w:basedOn w:val="53"/>
    <w:link w:val="37"/>
    <w:qFormat/>
    <w:uiPriority w:val="0"/>
    <w:rPr>
      <w:rFonts w:eastAsia="宋体"/>
      <w:szCs w:val="24"/>
      <w:u w:val="single"/>
      <w:lang w:val="en-US" w:eastAsia="en-US" w:bidi="ar-SA"/>
    </w:rPr>
  </w:style>
  <w:style w:type="character" w:customStyle="1" w:styleId="89">
    <w:name w:val="脚注文本 Char"/>
    <w:basedOn w:val="53"/>
    <w:link w:val="38"/>
    <w:qFormat/>
    <w:uiPriority w:val="0"/>
    <w:rPr>
      <w:rFonts w:ascii="Arial" w:hAnsi="Arial" w:eastAsia="宋体" w:cs="Arial"/>
      <w:sz w:val="18"/>
      <w:szCs w:val="18"/>
      <w:lang w:val="en-US" w:eastAsia="en-US" w:bidi="ar-SA"/>
    </w:rPr>
  </w:style>
  <w:style w:type="character" w:customStyle="1" w:styleId="90">
    <w:name w:val="正文文本缩进 3 Char"/>
    <w:basedOn w:val="53"/>
    <w:link w:val="40"/>
    <w:qFormat/>
    <w:uiPriority w:val="0"/>
    <w:rPr>
      <w:rFonts w:ascii="宋体" w:hAnsi="宋体" w:eastAsia="宋体"/>
      <w:kern w:val="2"/>
      <w:sz w:val="28"/>
      <w:szCs w:val="28"/>
      <w:lang w:val="en-US" w:eastAsia="zh-CN" w:bidi="ar-SA"/>
    </w:rPr>
  </w:style>
  <w:style w:type="character" w:customStyle="1" w:styleId="91">
    <w:name w:val="正文文本 2 Char"/>
    <w:basedOn w:val="53"/>
    <w:link w:val="44"/>
    <w:qFormat/>
    <w:uiPriority w:val="0"/>
    <w:rPr>
      <w:rFonts w:eastAsia="宋体"/>
      <w:i/>
      <w:iCs/>
      <w:kern w:val="2"/>
      <w:sz w:val="26"/>
      <w:szCs w:val="24"/>
      <w:lang w:val="en-US" w:eastAsia="zh-CN" w:bidi="ar-SA"/>
    </w:rPr>
  </w:style>
  <w:style w:type="character" w:customStyle="1" w:styleId="92">
    <w:name w:val="HTML 预设格式 Char"/>
    <w:basedOn w:val="53"/>
    <w:link w:val="45"/>
    <w:qFormat/>
    <w:uiPriority w:val="0"/>
    <w:rPr>
      <w:rFonts w:ascii="宋体" w:hAnsi="宋体" w:eastAsia="宋体" w:cs="宋体"/>
      <w:color w:val="000000"/>
      <w:sz w:val="24"/>
      <w:szCs w:val="24"/>
      <w:lang w:val="en-US" w:eastAsia="zh-CN" w:bidi="ar-SA"/>
    </w:rPr>
  </w:style>
  <w:style w:type="character" w:customStyle="1" w:styleId="93">
    <w:name w:val="标题 Char"/>
    <w:basedOn w:val="53"/>
    <w:link w:val="48"/>
    <w:qFormat/>
    <w:uiPriority w:val="0"/>
    <w:rPr>
      <w:rFonts w:eastAsia="宋体"/>
      <w:szCs w:val="24"/>
      <w:u w:val="single"/>
      <w:lang w:val="en-US" w:eastAsia="en-US" w:bidi="ar-SA"/>
    </w:rPr>
  </w:style>
  <w:style w:type="character" w:customStyle="1" w:styleId="94">
    <w:name w:val="批注主题 Char"/>
    <w:basedOn w:val="78"/>
    <w:link w:val="49"/>
    <w:qFormat/>
    <w:uiPriority w:val="0"/>
    <w:rPr>
      <w:rFonts w:eastAsia="宋体"/>
      <w:b/>
      <w:bCs/>
      <w:kern w:val="2"/>
      <w:sz w:val="21"/>
      <w:szCs w:val="24"/>
      <w:lang w:val="en-US" w:eastAsia="zh-CN" w:bidi="ar-SA"/>
    </w:rPr>
  </w:style>
  <w:style w:type="character" w:customStyle="1" w:styleId="95">
    <w:name w:val="正文首行缩进 2 Char"/>
    <w:basedOn w:val="96"/>
    <w:link w:val="51"/>
    <w:qFormat/>
    <w:uiPriority w:val="0"/>
    <w:rPr>
      <w:rFonts w:ascii="宋体" w:hAnsi="宋体" w:eastAsia="宋体" w:cs="Times New Roman"/>
      <w:kern w:val="2"/>
      <w:sz w:val="24"/>
      <w:szCs w:val="24"/>
      <w:lang w:val="en-US" w:eastAsia="zh-CN" w:bidi="ar-SA"/>
    </w:rPr>
  </w:style>
  <w:style w:type="character" w:customStyle="1" w:styleId="96">
    <w:name w:val="Char Char69"/>
    <w:basedOn w:val="53"/>
    <w:qFormat/>
    <w:uiPriority w:val="0"/>
    <w:rPr>
      <w:rFonts w:ascii="宋体" w:hAnsi="宋体" w:eastAsia="宋体" w:cs="Times New Roman"/>
      <w:kern w:val="2"/>
      <w:sz w:val="24"/>
      <w:szCs w:val="24"/>
      <w:lang w:val="en-US" w:eastAsia="zh-CN" w:bidi="ar-SA"/>
    </w:rPr>
  </w:style>
  <w:style w:type="character" w:customStyle="1" w:styleId="97">
    <w:name w:val="Char Char84"/>
    <w:basedOn w:val="53"/>
    <w:qFormat/>
    <w:uiPriority w:val="0"/>
    <w:rPr>
      <w:rFonts w:eastAsia="宋体" w:cs="Times New Roman"/>
      <w:b/>
      <w:bCs/>
      <w:kern w:val="2"/>
      <w:sz w:val="32"/>
      <w:szCs w:val="32"/>
      <w:lang w:val="en-US" w:eastAsia="zh-CN" w:bidi="ar-SA"/>
    </w:rPr>
  </w:style>
  <w:style w:type="character" w:customStyle="1" w:styleId="98">
    <w:name w:val="Char Char36"/>
    <w:basedOn w:val="99"/>
    <w:qFormat/>
    <w:uiPriority w:val="0"/>
    <w:rPr>
      <w:rFonts w:eastAsia="宋体" w:cs="Times New Roman"/>
      <w:b/>
      <w:bCs/>
      <w:kern w:val="2"/>
      <w:sz w:val="24"/>
      <w:szCs w:val="24"/>
      <w:lang w:val="en-US" w:eastAsia="zh-CN" w:bidi="ar-SA"/>
    </w:rPr>
  </w:style>
  <w:style w:type="character" w:customStyle="1" w:styleId="99">
    <w:name w:val="Char Char42"/>
    <w:basedOn w:val="53"/>
    <w:qFormat/>
    <w:uiPriority w:val="0"/>
    <w:rPr>
      <w:rFonts w:eastAsia="宋体" w:cs="Times New Roman"/>
      <w:sz w:val="24"/>
      <w:lang w:val="en-US" w:eastAsia="zh-CN" w:bidi="ar-SA"/>
    </w:rPr>
  </w:style>
  <w:style w:type="character" w:customStyle="1" w:styleId="100">
    <w:name w:val="Char Char38"/>
    <w:basedOn w:val="53"/>
    <w:qFormat/>
    <w:uiPriority w:val="0"/>
    <w:rPr>
      <w:rFonts w:eastAsia="宋体" w:cs="Times New Roman"/>
      <w:kern w:val="2"/>
      <w:sz w:val="24"/>
      <w:szCs w:val="24"/>
      <w:lang w:val="en-US" w:eastAsia="zh-CN" w:bidi="ar-SA"/>
    </w:rPr>
  </w:style>
  <w:style w:type="character" w:customStyle="1" w:styleId="101">
    <w:name w:val="Char Char11"/>
    <w:basedOn w:val="53"/>
    <w:qFormat/>
    <w:uiPriority w:val="0"/>
    <w:rPr>
      <w:rFonts w:eastAsia="黑体"/>
      <w:kern w:val="2"/>
      <w:sz w:val="44"/>
      <w:szCs w:val="44"/>
      <w:lang w:val="en-US" w:eastAsia="zh-CN" w:bidi="ar-SA"/>
    </w:rPr>
  </w:style>
  <w:style w:type="character" w:customStyle="1" w:styleId="102">
    <w:name w:val="Char Char75"/>
    <w:basedOn w:val="53"/>
    <w:qFormat/>
    <w:uiPriority w:val="0"/>
    <w:rPr>
      <w:rFonts w:eastAsia="宋体" w:cs="Times New Roman"/>
      <w:sz w:val="24"/>
      <w:lang w:val="en-US" w:eastAsia="zh-CN" w:bidi="ar-SA"/>
    </w:rPr>
  </w:style>
  <w:style w:type="character" w:customStyle="1" w:styleId="103">
    <w:name w:val="Char Char81"/>
    <w:basedOn w:val="53"/>
    <w:qFormat/>
    <w:uiPriority w:val="0"/>
    <w:rPr>
      <w:rFonts w:ascii="Arial" w:hAnsi="Arial" w:eastAsia="黑体" w:cs="Times New Roman"/>
      <w:b/>
      <w:bCs/>
      <w:kern w:val="2"/>
      <w:sz w:val="24"/>
      <w:szCs w:val="24"/>
      <w:lang w:val="en-US" w:eastAsia="zh-CN" w:bidi="ar-SA"/>
    </w:rPr>
  </w:style>
  <w:style w:type="character" w:customStyle="1" w:styleId="104">
    <w:name w:val="Char Char Char"/>
    <w:basedOn w:val="53"/>
    <w:qFormat/>
    <w:uiPriority w:val="0"/>
    <w:rPr>
      <w:kern w:val="2"/>
      <w:sz w:val="21"/>
      <w:szCs w:val="24"/>
      <w:shd w:val="clear" w:color="auto" w:fill="000080"/>
    </w:rPr>
  </w:style>
  <w:style w:type="character" w:customStyle="1" w:styleId="105">
    <w:name w:val="Char Char54"/>
    <w:basedOn w:val="53"/>
    <w:qFormat/>
    <w:uiPriority w:val="0"/>
    <w:rPr>
      <w:rFonts w:ascii="Arial" w:hAnsi="Arial" w:eastAsia="黑体" w:cs="Times New Roman"/>
      <w:b/>
      <w:bCs/>
      <w:kern w:val="2"/>
      <w:sz w:val="28"/>
      <w:szCs w:val="28"/>
      <w:lang w:val="en-US" w:eastAsia="zh-CN" w:bidi="ar-SA"/>
    </w:rPr>
  </w:style>
  <w:style w:type="character" w:customStyle="1" w:styleId="106">
    <w:name w:val="标题 3 Char Char"/>
    <w:basedOn w:val="53"/>
    <w:qFormat/>
    <w:uiPriority w:val="0"/>
    <w:rPr>
      <w:rFonts w:eastAsia="宋体" w:cs="Times New Roman"/>
      <w:b/>
      <w:bCs/>
      <w:kern w:val="2"/>
      <w:sz w:val="32"/>
      <w:szCs w:val="32"/>
      <w:lang w:val="en-US" w:eastAsia="zh-CN" w:bidi="ar-SA"/>
    </w:rPr>
  </w:style>
  <w:style w:type="character" w:customStyle="1" w:styleId="107">
    <w:name w:val="Char Char56"/>
    <w:basedOn w:val="53"/>
    <w:qFormat/>
    <w:uiPriority w:val="0"/>
    <w:rPr>
      <w:rFonts w:ascii="Arial" w:hAnsi="Arial" w:eastAsia="黑体" w:cs="Times New Roman"/>
      <w:b/>
      <w:bCs/>
      <w:kern w:val="2"/>
      <w:sz w:val="32"/>
      <w:szCs w:val="32"/>
      <w:lang w:val="en-US" w:eastAsia="zh-CN" w:bidi="ar-SA"/>
    </w:rPr>
  </w:style>
  <w:style w:type="character" w:customStyle="1" w:styleId="108">
    <w:name w:val="Char Char21"/>
    <w:basedOn w:val="53"/>
    <w:qFormat/>
    <w:uiPriority w:val="0"/>
    <w:rPr>
      <w:rFonts w:ascii="宋体" w:hAnsi="宋体" w:cs="宋体"/>
      <w:b/>
      <w:bCs/>
      <w:sz w:val="24"/>
      <w:szCs w:val="24"/>
    </w:rPr>
  </w:style>
  <w:style w:type="character" w:customStyle="1" w:styleId="109">
    <w:name w:val="l1"/>
    <w:basedOn w:val="53"/>
    <w:qFormat/>
    <w:uiPriority w:val="0"/>
  </w:style>
  <w:style w:type="character" w:customStyle="1" w:styleId="110">
    <w:name w:val="style121"/>
    <w:basedOn w:val="53"/>
    <w:qFormat/>
    <w:uiPriority w:val="0"/>
    <w:rPr>
      <w:rFonts w:hint="eastAsia" w:ascii="宋体" w:hAnsi="宋体" w:eastAsia="宋体"/>
      <w:sz w:val="18"/>
      <w:szCs w:val="18"/>
    </w:rPr>
  </w:style>
  <w:style w:type="character" w:customStyle="1" w:styleId="111">
    <w:name w:val="Char Char4"/>
    <w:basedOn w:val="53"/>
    <w:qFormat/>
    <w:uiPriority w:val="0"/>
    <w:rPr>
      <w:szCs w:val="24"/>
      <w:u w:val="single"/>
      <w:lang w:eastAsia="en-US"/>
    </w:rPr>
  </w:style>
  <w:style w:type="character" w:customStyle="1" w:styleId="112">
    <w:name w:val="Char Char63"/>
    <w:basedOn w:val="53"/>
    <w:qFormat/>
    <w:uiPriority w:val="0"/>
    <w:rPr>
      <w:rFonts w:eastAsia="宋体" w:cs="Times New Roman"/>
      <w:kern w:val="2"/>
      <w:sz w:val="18"/>
      <w:szCs w:val="18"/>
      <w:lang w:val="en-US" w:eastAsia="zh-CN" w:bidi="ar-SA"/>
    </w:rPr>
  </w:style>
  <w:style w:type="character" w:customStyle="1" w:styleId="113">
    <w:name w:val="Char Char23"/>
    <w:basedOn w:val="53"/>
    <w:qFormat/>
    <w:uiPriority w:val="0"/>
    <w:rPr>
      <w:rFonts w:ascii="Cambria" w:hAnsi="Cambria" w:eastAsia="宋体" w:cs="Times New Roman"/>
      <w:b/>
      <w:bCs/>
      <w:kern w:val="2"/>
      <w:sz w:val="32"/>
      <w:szCs w:val="32"/>
    </w:rPr>
  </w:style>
  <w:style w:type="character" w:customStyle="1" w:styleId="114">
    <w:name w:val="Intense Quote Char1"/>
    <w:basedOn w:val="53"/>
    <w:link w:val="115"/>
    <w:qFormat/>
    <w:uiPriority w:val="0"/>
    <w:rPr>
      <w:rFonts w:ascii="Calibri" w:hAnsi="Calibri" w:eastAsia="宋体"/>
      <w:b/>
      <w:bCs/>
      <w:i/>
      <w:iCs/>
      <w:color w:val="4F81BD"/>
      <w:kern w:val="2"/>
      <w:sz w:val="22"/>
      <w:szCs w:val="22"/>
      <w:lang w:val="en-US" w:eastAsia="zh-CN" w:bidi="ar-SA"/>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6">
    <w:name w:val="Footnote Text Char1"/>
    <w:basedOn w:val="53"/>
    <w:qFormat/>
    <w:uiPriority w:val="0"/>
    <w:rPr>
      <w:rFonts w:cs="Times New Roman"/>
      <w:kern w:val="2"/>
      <w:sz w:val="18"/>
      <w:szCs w:val="18"/>
    </w:rPr>
  </w:style>
  <w:style w:type="character" w:customStyle="1" w:styleId="117">
    <w:name w:val="Char Char85"/>
    <w:basedOn w:val="53"/>
    <w:qFormat/>
    <w:uiPriority w:val="0"/>
    <w:rPr>
      <w:rFonts w:ascii="Arial" w:hAnsi="Arial" w:eastAsia="黑体" w:cs="Times New Roman"/>
      <w:b/>
      <w:bCs/>
      <w:kern w:val="2"/>
      <w:sz w:val="32"/>
      <w:szCs w:val="32"/>
      <w:lang w:val="en-US" w:eastAsia="zh-CN" w:bidi="ar-SA"/>
    </w:rPr>
  </w:style>
  <w:style w:type="character" w:customStyle="1" w:styleId="118">
    <w:name w:val="Char Char17"/>
    <w:basedOn w:val="53"/>
    <w:qFormat/>
    <w:uiPriority w:val="0"/>
    <w:rPr>
      <w:rFonts w:hAnsi="Arial" w:eastAsia="仿宋_GB2312"/>
      <w:sz w:val="30"/>
    </w:rPr>
  </w:style>
  <w:style w:type="character" w:customStyle="1" w:styleId="119">
    <w:name w:val="unnamed1"/>
    <w:basedOn w:val="53"/>
    <w:qFormat/>
    <w:uiPriority w:val="0"/>
  </w:style>
  <w:style w:type="character" w:customStyle="1" w:styleId="120">
    <w:name w:val="ca-141"/>
    <w:basedOn w:val="53"/>
    <w:qFormat/>
    <w:uiPriority w:val="0"/>
    <w:rPr>
      <w:rFonts w:hint="eastAsia" w:ascii="仿宋_GB2312" w:eastAsia="仿宋_GB2312"/>
      <w:sz w:val="21"/>
      <w:szCs w:val="21"/>
    </w:rPr>
  </w:style>
  <w:style w:type="character" w:customStyle="1" w:styleId="121">
    <w:name w:val="Char Char64"/>
    <w:basedOn w:val="53"/>
    <w:qFormat/>
    <w:uiPriority w:val="0"/>
    <w:rPr>
      <w:rFonts w:ascii="宋体" w:hAnsi="宋体" w:eastAsia="宋体" w:cs="宋体"/>
      <w:color w:val="000000"/>
      <w:sz w:val="24"/>
      <w:szCs w:val="24"/>
      <w:lang w:val="en-US" w:eastAsia="zh-CN" w:bidi="ar-SA"/>
    </w:rPr>
  </w:style>
  <w:style w:type="character" w:customStyle="1" w:styleId="122">
    <w:name w:val="main_tdbg_7601"/>
    <w:basedOn w:val="53"/>
    <w:qFormat/>
    <w:uiPriority w:val="0"/>
    <w:rPr>
      <w:sz w:val="14"/>
      <w:szCs w:val="14"/>
    </w:rPr>
  </w:style>
  <w:style w:type="character" w:customStyle="1" w:styleId="123">
    <w:name w:val="14t1"/>
    <w:basedOn w:val="53"/>
    <w:qFormat/>
    <w:uiPriority w:val="0"/>
    <w:rPr>
      <w:rFonts w:hint="eastAsia" w:ascii="宋体" w:hAnsi="宋体" w:eastAsia="宋体"/>
      <w:sz w:val="11"/>
      <w:szCs w:val="11"/>
    </w:rPr>
  </w:style>
  <w:style w:type="character" w:customStyle="1" w:styleId="124">
    <w:name w:val="Char Char72"/>
    <w:basedOn w:val="53"/>
    <w:qFormat/>
    <w:uiPriority w:val="0"/>
    <w:rPr>
      <w:rFonts w:eastAsia="宋体" w:cs="Times New Roman"/>
      <w:kern w:val="2"/>
      <w:sz w:val="24"/>
      <w:szCs w:val="24"/>
      <w:lang w:val="en-US" w:eastAsia="zh-CN" w:bidi="ar-SA"/>
    </w:rPr>
  </w:style>
  <w:style w:type="character" w:customStyle="1" w:styleId="125">
    <w:name w:val="Char Char73"/>
    <w:basedOn w:val="53"/>
    <w:qFormat/>
    <w:uiPriority w:val="0"/>
    <w:rPr>
      <w:rFonts w:eastAsia="宋体" w:cs="Times New Roman"/>
      <w:sz w:val="24"/>
      <w:szCs w:val="24"/>
      <w:u w:val="single"/>
      <w:lang w:val="en-US" w:eastAsia="en-US" w:bidi="ar-SA"/>
    </w:rPr>
  </w:style>
  <w:style w:type="character" w:customStyle="1" w:styleId="126">
    <w:name w:val="Quote Char1"/>
    <w:basedOn w:val="53"/>
    <w:link w:val="127"/>
    <w:qFormat/>
    <w:uiPriority w:val="0"/>
    <w:rPr>
      <w:rFonts w:ascii="Calibri" w:hAnsi="Calibri" w:eastAsia="宋体"/>
      <w:i/>
      <w:iCs/>
      <w:color w:val="000000"/>
      <w:kern w:val="2"/>
      <w:sz w:val="22"/>
      <w:szCs w:val="22"/>
      <w:lang w:val="en-US" w:eastAsia="zh-CN" w:bidi="ar-SA"/>
    </w:rPr>
  </w:style>
  <w:style w:type="paragraph" w:customStyle="1" w:styleId="127">
    <w:name w:val="引用1"/>
    <w:basedOn w:val="1"/>
    <w:next w:val="1"/>
    <w:link w:val="126"/>
    <w:qFormat/>
    <w:uiPriority w:val="0"/>
    <w:rPr>
      <w:rFonts w:ascii="Calibri" w:hAnsi="Calibri"/>
      <w:i/>
      <w:iCs/>
      <w:color w:val="000000"/>
      <w:sz w:val="22"/>
      <w:szCs w:val="22"/>
    </w:rPr>
  </w:style>
  <w:style w:type="character" w:customStyle="1" w:styleId="128">
    <w:name w:val="Char Char1"/>
    <w:basedOn w:val="53"/>
    <w:qFormat/>
    <w:uiPriority w:val="0"/>
    <w:rPr>
      <w:rFonts w:eastAsia="宋体" w:cs="Times New Roman"/>
      <w:kern w:val="2"/>
      <w:sz w:val="18"/>
      <w:szCs w:val="18"/>
      <w:lang w:val="en-US" w:eastAsia="zh-CN" w:bidi="ar-SA"/>
    </w:rPr>
  </w:style>
  <w:style w:type="character" w:customStyle="1" w:styleId="129">
    <w:name w:val="Char Char12"/>
    <w:basedOn w:val="53"/>
    <w:qFormat/>
    <w:uiPriority w:val="0"/>
    <w:rPr>
      <w:rFonts w:ascii="宋体" w:hAnsi="Courier New" w:cs="Courier New"/>
      <w:kern w:val="2"/>
      <w:sz w:val="21"/>
      <w:szCs w:val="21"/>
    </w:rPr>
  </w:style>
  <w:style w:type="character" w:customStyle="1" w:styleId="130">
    <w:name w:val="样式3 Char Char"/>
    <w:basedOn w:val="106"/>
    <w:qFormat/>
    <w:uiPriority w:val="0"/>
    <w:rPr>
      <w:rFonts w:ascii="宋体" w:hAnsi="宋体" w:eastAsia="仿宋_GB2312" w:cs="Times New Roman"/>
      <w:kern w:val="2"/>
      <w:sz w:val="32"/>
      <w:szCs w:val="32"/>
      <w:lang w:val="en-US" w:eastAsia="zh-CN" w:bidi="ar-SA"/>
    </w:rPr>
  </w:style>
  <w:style w:type="character" w:customStyle="1" w:styleId="131">
    <w:name w:val="0d1471"/>
    <w:basedOn w:val="53"/>
    <w:qFormat/>
    <w:uiPriority w:val="0"/>
    <w:rPr>
      <w:color w:val="000000"/>
      <w:sz w:val="11"/>
      <w:szCs w:val="11"/>
      <w:u w:val="none"/>
    </w:rPr>
  </w:style>
  <w:style w:type="character" w:customStyle="1" w:styleId="132">
    <w:name w:val="Char Char33"/>
    <w:basedOn w:val="53"/>
    <w:qFormat/>
    <w:uiPriority w:val="0"/>
    <w:rPr>
      <w:rFonts w:ascii="宋体" w:hAnsi="Courier New" w:eastAsia="宋体" w:cs="Times New Roman"/>
      <w:kern w:val="2"/>
      <w:sz w:val="21"/>
      <w:szCs w:val="21"/>
      <w:lang w:val="en-US" w:eastAsia="zh-CN" w:bidi="ar-SA"/>
    </w:rPr>
  </w:style>
  <w:style w:type="character" w:customStyle="1" w:styleId="133">
    <w:name w:val="Char Char71"/>
    <w:basedOn w:val="53"/>
    <w:qFormat/>
    <w:uiPriority w:val="0"/>
    <w:rPr>
      <w:rFonts w:eastAsia="宋体" w:cs="Times New Roman"/>
      <w:sz w:val="24"/>
      <w:lang w:val="en-US" w:eastAsia="zh-CN" w:bidi="ar-SA"/>
    </w:rPr>
  </w:style>
  <w:style w:type="character" w:customStyle="1" w:styleId="134">
    <w:name w:val="Char Char47"/>
    <w:basedOn w:val="53"/>
    <w:qFormat/>
    <w:uiPriority w:val="0"/>
    <w:rPr>
      <w:rFonts w:eastAsia="宋体" w:cs="Times New Roman"/>
      <w:sz w:val="24"/>
      <w:szCs w:val="24"/>
      <w:u w:val="single"/>
      <w:lang w:val="en-US" w:eastAsia="en-US" w:bidi="ar-SA"/>
    </w:rPr>
  </w:style>
  <w:style w:type="character" w:customStyle="1" w:styleId="135">
    <w:name w:val="手改 Char Char"/>
    <w:basedOn w:val="53"/>
    <w:qFormat/>
    <w:uiPriority w:val="0"/>
    <w:rPr>
      <w:kern w:val="2"/>
      <w:sz w:val="21"/>
      <w:szCs w:val="24"/>
    </w:rPr>
  </w:style>
  <w:style w:type="character" w:customStyle="1" w:styleId="136">
    <w:name w:val="Char Char19"/>
    <w:basedOn w:val="53"/>
    <w:qFormat/>
    <w:uiPriority w:val="0"/>
    <w:rPr>
      <w:rFonts w:hAnsi="Arial" w:eastAsia="仿宋_GB2312"/>
      <w:sz w:val="30"/>
    </w:rPr>
  </w:style>
  <w:style w:type="character" w:customStyle="1" w:styleId="137">
    <w:name w:val="Char Char44"/>
    <w:basedOn w:val="53"/>
    <w:qFormat/>
    <w:uiPriority w:val="0"/>
    <w:rPr>
      <w:rFonts w:eastAsia="宋体" w:cs="Times New Roman"/>
      <w:sz w:val="24"/>
      <w:szCs w:val="24"/>
      <w:u w:val="single"/>
      <w:lang w:val="en-US" w:eastAsia="en-US" w:bidi="ar-SA"/>
    </w:rPr>
  </w:style>
  <w:style w:type="character" w:customStyle="1" w:styleId="138">
    <w:name w:val="Char Char3"/>
    <w:basedOn w:val="53"/>
    <w:qFormat/>
    <w:uiPriority w:val="0"/>
    <w:rPr>
      <w:rFonts w:ascii="Arial" w:hAnsi="Arial" w:cs="Arial"/>
      <w:sz w:val="18"/>
      <w:szCs w:val="18"/>
      <w:lang w:eastAsia="en-US"/>
    </w:rPr>
  </w:style>
  <w:style w:type="character" w:customStyle="1" w:styleId="139">
    <w:name w:val="Char Char8"/>
    <w:basedOn w:val="53"/>
    <w:qFormat/>
    <w:uiPriority w:val="0"/>
    <w:rPr>
      <w:kern w:val="2"/>
      <w:sz w:val="18"/>
      <w:szCs w:val="18"/>
    </w:rPr>
  </w:style>
  <w:style w:type="character" w:customStyle="1" w:styleId="140">
    <w:name w:val="Char Char10"/>
    <w:basedOn w:val="53"/>
    <w:qFormat/>
    <w:uiPriority w:val="0"/>
    <w:rPr>
      <w:kern w:val="2"/>
      <w:sz w:val="21"/>
      <w:szCs w:val="24"/>
    </w:rPr>
  </w:style>
  <w:style w:type="character" w:customStyle="1" w:styleId="141">
    <w:name w:val="Char Char60"/>
    <w:basedOn w:val="53"/>
    <w:qFormat/>
    <w:uiPriority w:val="0"/>
    <w:rPr>
      <w:rFonts w:eastAsia="宋体" w:cs="Times New Roman"/>
      <w:kern w:val="2"/>
      <w:sz w:val="18"/>
      <w:szCs w:val="18"/>
      <w:lang w:val="en-US" w:eastAsia="zh-CN" w:bidi="ar-SA"/>
    </w:rPr>
  </w:style>
  <w:style w:type="character" w:customStyle="1" w:styleId="142">
    <w:name w:val="样式1 Char Char"/>
    <w:basedOn w:val="143"/>
    <w:link w:val="144"/>
    <w:qFormat/>
    <w:uiPriority w:val="0"/>
    <w:rPr>
      <w:rFonts w:ascii="宋体" w:hAnsi="宋体" w:eastAsia="宋体" w:cs="Times New Roman"/>
      <w:kern w:val="2"/>
      <w:sz w:val="21"/>
      <w:szCs w:val="21"/>
      <w:lang w:val="en-US" w:eastAsia="zh-CN" w:bidi="ar-SA"/>
    </w:rPr>
  </w:style>
  <w:style w:type="character" w:customStyle="1" w:styleId="143">
    <w:name w:val="Char Char28"/>
    <w:basedOn w:val="53"/>
    <w:qFormat/>
    <w:uiPriority w:val="0"/>
    <w:rPr>
      <w:rFonts w:eastAsia="宋体" w:cs="Times New Roman"/>
      <w:b/>
      <w:bCs/>
      <w:kern w:val="44"/>
      <w:sz w:val="44"/>
      <w:szCs w:val="44"/>
      <w:lang w:val="en-US" w:eastAsia="zh-CN" w:bidi="ar-SA"/>
    </w:rPr>
  </w:style>
  <w:style w:type="paragraph" w:customStyle="1" w:styleId="144">
    <w:name w:val="样式1"/>
    <w:basedOn w:val="1"/>
    <w:next w:val="6"/>
    <w:link w:val="142"/>
    <w:qFormat/>
    <w:uiPriority w:val="0"/>
    <w:pPr>
      <w:spacing w:line="360" w:lineRule="auto"/>
      <w:ind w:firstLine="420" w:firstLineChars="200"/>
    </w:pPr>
    <w:rPr>
      <w:rFonts w:ascii="宋体" w:hAnsi="宋体"/>
      <w:szCs w:val="21"/>
    </w:rPr>
  </w:style>
  <w:style w:type="character" w:customStyle="1" w:styleId="145">
    <w:name w:val="normaltext1"/>
    <w:basedOn w:val="53"/>
    <w:qFormat/>
    <w:uiPriority w:val="0"/>
    <w:rPr>
      <w:rFonts w:hint="default" w:ascii="ˎ̥" w:hAnsi="ˎ̥"/>
      <w:sz w:val="9"/>
      <w:szCs w:val="9"/>
    </w:rPr>
  </w:style>
  <w:style w:type="character" w:customStyle="1" w:styleId="146">
    <w:name w:val="Char Char39"/>
    <w:basedOn w:val="53"/>
    <w:qFormat/>
    <w:uiPriority w:val="0"/>
    <w:rPr>
      <w:rFonts w:eastAsia="宋体" w:cs="Times New Roman"/>
      <w:kern w:val="2"/>
      <w:sz w:val="18"/>
      <w:szCs w:val="18"/>
      <w:lang w:val="en-US" w:eastAsia="zh-CN" w:bidi="ar-SA"/>
    </w:rPr>
  </w:style>
  <w:style w:type="character" w:customStyle="1" w:styleId="147">
    <w:name w:val="Char Char70"/>
    <w:basedOn w:val="53"/>
    <w:qFormat/>
    <w:uiPriority w:val="0"/>
    <w:rPr>
      <w:rFonts w:eastAsia="宋体" w:cs="Times New Roman"/>
      <w:kern w:val="2"/>
      <w:sz w:val="18"/>
      <w:szCs w:val="18"/>
      <w:lang w:val="en-US" w:eastAsia="zh-CN" w:bidi="ar-SA"/>
    </w:rPr>
  </w:style>
  <w:style w:type="character" w:customStyle="1" w:styleId="148">
    <w:name w:val="Char Char5"/>
    <w:basedOn w:val="53"/>
    <w:qFormat/>
    <w:uiPriority w:val="0"/>
    <w:rPr>
      <w:szCs w:val="24"/>
      <w:u w:val="single"/>
      <w:lang w:eastAsia="en-US"/>
    </w:rPr>
  </w:style>
  <w:style w:type="character" w:customStyle="1" w:styleId="149">
    <w:name w:val="Char Char131"/>
    <w:basedOn w:val="53"/>
    <w:qFormat/>
    <w:uiPriority w:val="0"/>
    <w:rPr>
      <w:kern w:val="2"/>
      <w:sz w:val="16"/>
      <w:szCs w:val="16"/>
    </w:rPr>
  </w:style>
  <w:style w:type="character" w:customStyle="1" w:styleId="150">
    <w:name w:val="ht1"/>
    <w:basedOn w:val="53"/>
    <w:qFormat/>
    <w:uiPriority w:val="0"/>
    <w:rPr>
      <w:rFonts w:ascii="黑体" w:eastAsia="黑体"/>
      <w:b/>
      <w:bCs/>
    </w:rPr>
  </w:style>
  <w:style w:type="character" w:customStyle="1" w:styleId="151">
    <w:name w:val="Char Char32"/>
    <w:basedOn w:val="53"/>
    <w:qFormat/>
    <w:uiPriority w:val="0"/>
    <w:rPr>
      <w:rFonts w:ascii="宋体" w:hAnsi="宋体" w:eastAsia="宋体" w:cs="Times New Roman"/>
      <w:kern w:val="2"/>
      <w:sz w:val="24"/>
      <w:szCs w:val="24"/>
      <w:lang w:val="en-US" w:eastAsia="zh-CN" w:bidi="ar-SA"/>
    </w:rPr>
  </w:style>
  <w:style w:type="character" w:customStyle="1" w:styleId="152">
    <w:name w:val="Char Char9"/>
    <w:basedOn w:val="140"/>
    <w:qFormat/>
    <w:uiPriority w:val="0"/>
    <w:rPr>
      <w:b/>
      <w:bCs/>
      <w:kern w:val="2"/>
      <w:sz w:val="21"/>
      <w:szCs w:val="24"/>
    </w:rPr>
  </w:style>
  <w:style w:type="character" w:customStyle="1" w:styleId="153">
    <w:name w:val="font161"/>
    <w:basedOn w:val="53"/>
    <w:qFormat/>
    <w:uiPriority w:val="0"/>
    <w:rPr>
      <w:b/>
      <w:bCs/>
      <w:sz w:val="32"/>
      <w:szCs w:val="32"/>
    </w:rPr>
  </w:style>
  <w:style w:type="character" w:customStyle="1" w:styleId="154">
    <w:name w:val="Char Char2"/>
    <w:basedOn w:val="53"/>
    <w:qFormat/>
    <w:uiPriority w:val="0"/>
    <w:rPr>
      <w:rFonts w:ascii="Arial" w:hAnsi="Arial" w:cs="Arial"/>
      <w:szCs w:val="24"/>
      <w:lang w:eastAsia="en-US"/>
    </w:rPr>
  </w:style>
  <w:style w:type="character" w:customStyle="1" w:styleId="155">
    <w:name w:val="Char Char83"/>
    <w:basedOn w:val="53"/>
    <w:qFormat/>
    <w:uiPriority w:val="0"/>
    <w:rPr>
      <w:rFonts w:ascii="Arial" w:hAnsi="Arial" w:eastAsia="黑体" w:cs="Times New Roman"/>
      <w:b/>
      <w:bCs/>
      <w:kern w:val="2"/>
      <w:sz w:val="28"/>
      <w:szCs w:val="28"/>
      <w:lang w:val="en-US" w:eastAsia="zh-CN" w:bidi="ar-SA"/>
    </w:rPr>
  </w:style>
  <w:style w:type="character" w:customStyle="1" w:styleId="156">
    <w:name w:val="Char Char14"/>
    <w:basedOn w:val="53"/>
    <w:qFormat/>
    <w:uiPriority w:val="0"/>
    <w:rPr>
      <w:kern w:val="2"/>
      <w:sz w:val="18"/>
      <w:szCs w:val="18"/>
    </w:rPr>
  </w:style>
  <w:style w:type="character" w:customStyle="1" w:styleId="157">
    <w:name w:val="Char Char20"/>
    <w:basedOn w:val="53"/>
    <w:qFormat/>
    <w:uiPriority w:val="0"/>
    <w:rPr>
      <w:rFonts w:ascii="宋体" w:hAnsi="宋体" w:cs="宋体"/>
      <w:b/>
      <w:bCs/>
    </w:rPr>
  </w:style>
  <w:style w:type="character" w:customStyle="1" w:styleId="158">
    <w:name w:val="Document Map Char1"/>
    <w:basedOn w:val="53"/>
    <w:qFormat/>
    <w:uiPriority w:val="0"/>
    <w:rPr>
      <w:rFonts w:cs="Times New Roman"/>
      <w:kern w:val="2"/>
      <w:sz w:val="2"/>
    </w:rPr>
  </w:style>
  <w:style w:type="character" w:customStyle="1" w:styleId="159">
    <w:name w:val="标题5 Char Char"/>
    <w:link w:val="160"/>
    <w:qFormat/>
    <w:uiPriority w:val="0"/>
    <w:rPr>
      <w:rFonts w:ascii="Arial" w:hAnsi="Arial"/>
      <w:b/>
      <w:sz w:val="32"/>
      <w:lang w:bidi="ar-SA"/>
    </w:rPr>
  </w:style>
  <w:style w:type="paragraph" w:customStyle="1" w:styleId="160">
    <w:name w:val="标题5"/>
    <w:basedOn w:val="5"/>
    <w:link w:val="159"/>
    <w:qFormat/>
    <w:uiPriority w:val="0"/>
    <w:pPr>
      <w:spacing w:line="413" w:lineRule="auto"/>
    </w:pPr>
    <w:rPr>
      <w:rFonts w:ascii="Arial" w:hAnsi="Arial"/>
      <w:bCs w:val="0"/>
      <w:kern w:val="0"/>
      <w:szCs w:val="20"/>
    </w:rPr>
  </w:style>
  <w:style w:type="character" w:customStyle="1" w:styleId="161">
    <w:name w:val="style21"/>
    <w:basedOn w:val="53"/>
    <w:qFormat/>
    <w:uiPriority w:val="0"/>
    <w:rPr>
      <w:b/>
      <w:bCs/>
      <w:sz w:val="28"/>
      <w:szCs w:val="28"/>
    </w:rPr>
  </w:style>
  <w:style w:type="character" w:customStyle="1" w:styleId="162">
    <w:name w:val="Char Char26"/>
    <w:basedOn w:val="53"/>
    <w:qFormat/>
    <w:uiPriority w:val="0"/>
    <w:rPr>
      <w:rFonts w:eastAsia="宋体" w:cs="Times New Roman"/>
      <w:b/>
      <w:bCs/>
      <w:kern w:val="2"/>
      <w:sz w:val="32"/>
      <w:szCs w:val="32"/>
      <w:lang w:val="en-US" w:eastAsia="zh-CN" w:bidi="ar-SA"/>
    </w:rPr>
  </w:style>
  <w:style w:type="character" w:customStyle="1" w:styleId="163">
    <w:name w:val="title11"/>
    <w:basedOn w:val="53"/>
    <w:qFormat/>
    <w:uiPriority w:val="0"/>
    <w:rPr>
      <w:b/>
      <w:bCs/>
      <w:color w:val="FFFFFF"/>
      <w:sz w:val="11"/>
      <w:szCs w:val="11"/>
    </w:rPr>
  </w:style>
  <w:style w:type="character" w:customStyle="1" w:styleId="164">
    <w:name w:val="Char Char62"/>
    <w:basedOn w:val="53"/>
    <w:qFormat/>
    <w:uiPriority w:val="0"/>
    <w:rPr>
      <w:rFonts w:ascii="宋体" w:hAnsi="Courier New" w:eastAsia="宋体" w:cs="Times New Roman"/>
      <w:kern w:val="2"/>
      <w:sz w:val="21"/>
      <w:szCs w:val="21"/>
      <w:lang w:val="en-US" w:eastAsia="zh-CN" w:bidi="ar-SA"/>
    </w:rPr>
  </w:style>
  <w:style w:type="character" w:customStyle="1" w:styleId="165">
    <w:name w:val="Char Char35"/>
    <w:basedOn w:val="53"/>
    <w:qFormat/>
    <w:uiPriority w:val="0"/>
    <w:rPr>
      <w:rFonts w:ascii="宋体" w:hAnsi="宋体" w:eastAsia="宋体" w:cs="宋体"/>
      <w:color w:val="000000"/>
      <w:sz w:val="24"/>
      <w:szCs w:val="24"/>
      <w:lang w:val="en-US" w:eastAsia="zh-CN" w:bidi="ar-SA"/>
    </w:rPr>
  </w:style>
  <w:style w:type="character" w:customStyle="1" w:styleId="166">
    <w:name w:val="Char Char15"/>
    <w:basedOn w:val="53"/>
    <w:qFormat/>
    <w:uiPriority w:val="0"/>
    <w:rPr>
      <w:kern w:val="2"/>
      <w:sz w:val="21"/>
      <w:szCs w:val="24"/>
    </w:rPr>
  </w:style>
  <w:style w:type="character" w:customStyle="1" w:styleId="167">
    <w:name w:val="Char Char74"/>
    <w:basedOn w:val="53"/>
    <w:qFormat/>
    <w:uiPriority w:val="0"/>
    <w:rPr>
      <w:rFonts w:eastAsia="宋体" w:cs="Times New Roman"/>
      <w:kern w:val="2"/>
      <w:sz w:val="24"/>
      <w:szCs w:val="24"/>
      <w:lang w:val="en-US" w:eastAsia="zh-CN" w:bidi="ar-SA"/>
    </w:rPr>
  </w:style>
  <w:style w:type="character" w:customStyle="1" w:styleId="168">
    <w:name w:val="Char Char78"/>
    <w:basedOn w:val="53"/>
    <w:qFormat/>
    <w:uiPriority w:val="0"/>
    <w:rPr>
      <w:rFonts w:ascii="Arial" w:hAnsi="Arial" w:eastAsia="黑体" w:cs="Times New Roman"/>
      <w:kern w:val="2"/>
      <w:sz w:val="21"/>
      <w:szCs w:val="21"/>
      <w:lang w:val="en-US" w:eastAsia="zh-CN" w:bidi="ar-SA"/>
    </w:rPr>
  </w:style>
  <w:style w:type="character" w:customStyle="1" w:styleId="169">
    <w:name w:val="intel3"/>
    <w:basedOn w:val="53"/>
    <w:qFormat/>
    <w:uiPriority w:val="0"/>
  </w:style>
  <w:style w:type="character" w:customStyle="1" w:styleId="170">
    <w:name w:val="Char Char29"/>
    <w:basedOn w:val="53"/>
    <w:qFormat/>
    <w:uiPriority w:val="0"/>
    <w:rPr>
      <w:rFonts w:cs="Times New Roman"/>
      <w:kern w:val="2"/>
      <w:sz w:val="16"/>
      <w:szCs w:val="16"/>
    </w:rPr>
  </w:style>
  <w:style w:type="character" w:customStyle="1" w:styleId="171">
    <w:name w:val="Char Char16"/>
    <w:basedOn w:val="53"/>
    <w:qFormat/>
    <w:uiPriority w:val="0"/>
    <w:rPr>
      <w:rFonts w:eastAsia="仿宋_GB2312"/>
      <w:sz w:val="30"/>
    </w:rPr>
  </w:style>
  <w:style w:type="character" w:customStyle="1" w:styleId="172">
    <w:name w:val="Char Char22"/>
    <w:basedOn w:val="53"/>
    <w:qFormat/>
    <w:uiPriority w:val="0"/>
    <w:rPr>
      <w:b/>
      <w:bCs/>
      <w:kern w:val="2"/>
      <w:sz w:val="32"/>
      <w:szCs w:val="32"/>
    </w:rPr>
  </w:style>
  <w:style w:type="character" w:customStyle="1" w:styleId="173">
    <w:name w:val="Char Char76"/>
    <w:basedOn w:val="53"/>
    <w:qFormat/>
    <w:uiPriority w:val="0"/>
    <w:rPr>
      <w:rFonts w:eastAsia="宋体" w:cs="Times New Roman"/>
      <w:sz w:val="24"/>
      <w:szCs w:val="24"/>
      <w:u w:val="single"/>
      <w:lang w:val="en-US" w:eastAsia="en-US" w:bidi="ar-SA"/>
    </w:rPr>
  </w:style>
  <w:style w:type="character" w:customStyle="1" w:styleId="174">
    <w:name w:val="批注主题 Char Char"/>
    <w:basedOn w:val="90"/>
    <w:qFormat/>
    <w:uiPriority w:val="0"/>
    <w:rPr>
      <w:rFonts w:ascii="宋体" w:hAnsi="宋体" w:eastAsia="宋体"/>
      <w:kern w:val="2"/>
      <w:sz w:val="24"/>
      <w:szCs w:val="28"/>
      <w:lang w:val="en-US" w:eastAsia="zh-CN" w:bidi="ar-SA"/>
    </w:rPr>
  </w:style>
  <w:style w:type="character" w:customStyle="1" w:styleId="175">
    <w:name w:val="style31"/>
    <w:basedOn w:val="53"/>
    <w:qFormat/>
    <w:uiPriority w:val="0"/>
    <w:rPr>
      <w:sz w:val="10"/>
      <w:szCs w:val="10"/>
    </w:rPr>
  </w:style>
  <w:style w:type="character" w:customStyle="1" w:styleId="176">
    <w:name w:val="Char Char59"/>
    <w:basedOn w:val="53"/>
    <w:qFormat/>
    <w:uiPriority w:val="0"/>
    <w:rPr>
      <w:rFonts w:eastAsia="宋体" w:cs="Times New Roman"/>
      <w:sz w:val="24"/>
      <w:lang w:val="en-US" w:eastAsia="zh-CN" w:bidi="ar-SA"/>
    </w:rPr>
  </w:style>
  <w:style w:type="character" w:customStyle="1" w:styleId="177">
    <w:name w:val="Char Char48"/>
    <w:basedOn w:val="178"/>
    <w:qFormat/>
    <w:uiPriority w:val="0"/>
    <w:rPr>
      <w:rFonts w:ascii="宋体" w:hAnsi="宋体" w:eastAsia="宋体" w:cs="Times New Roman"/>
      <w:kern w:val="2"/>
      <w:sz w:val="24"/>
      <w:szCs w:val="24"/>
      <w:lang w:val="en-US" w:eastAsia="zh-CN" w:bidi="ar-SA"/>
    </w:rPr>
  </w:style>
  <w:style w:type="character" w:customStyle="1" w:styleId="178">
    <w:name w:val="Char Char40"/>
    <w:basedOn w:val="53"/>
    <w:qFormat/>
    <w:uiPriority w:val="0"/>
    <w:rPr>
      <w:rFonts w:ascii="宋体" w:hAnsi="宋体" w:eastAsia="宋体" w:cs="Times New Roman"/>
      <w:kern w:val="2"/>
      <w:sz w:val="24"/>
      <w:szCs w:val="24"/>
      <w:lang w:val="en-US" w:eastAsia="zh-CN" w:bidi="ar-SA"/>
    </w:rPr>
  </w:style>
  <w:style w:type="character" w:customStyle="1" w:styleId="179">
    <w:name w:val="Char Char86"/>
    <w:basedOn w:val="53"/>
    <w:qFormat/>
    <w:uiPriority w:val="0"/>
    <w:rPr>
      <w:rFonts w:eastAsia="宋体" w:cs="Times New Roman"/>
      <w:b/>
      <w:bCs/>
      <w:kern w:val="44"/>
      <w:sz w:val="44"/>
      <w:szCs w:val="44"/>
      <w:lang w:val="en-US" w:eastAsia="zh-CN" w:bidi="ar-SA"/>
    </w:rPr>
  </w:style>
  <w:style w:type="character" w:customStyle="1" w:styleId="180">
    <w:name w:val="Char Char67"/>
    <w:basedOn w:val="53"/>
    <w:qFormat/>
    <w:uiPriority w:val="0"/>
    <w:rPr>
      <w:rFonts w:eastAsia="宋体" w:cs="Times New Roman"/>
      <w:kern w:val="2"/>
      <w:sz w:val="24"/>
      <w:szCs w:val="24"/>
      <w:lang w:val="en-US" w:eastAsia="zh-CN" w:bidi="ar-SA"/>
    </w:rPr>
  </w:style>
  <w:style w:type="character" w:customStyle="1" w:styleId="181">
    <w:name w:val="Char Char27"/>
    <w:basedOn w:val="53"/>
    <w:qFormat/>
    <w:uiPriority w:val="0"/>
    <w:rPr>
      <w:rFonts w:ascii="Arial" w:hAnsi="Arial" w:eastAsia="黑体" w:cs="Times New Roman"/>
      <w:b/>
      <w:bCs/>
      <w:kern w:val="2"/>
      <w:sz w:val="32"/>
      <w:szCs w:val="32"/>
      <w:lang w:val="en-US" w:eastAsia="zh-CN" w:bidi="ar-SA"/>
    </w:rPr>
  </w:style>
  <w:style w:type="character" w:customStyle="1" w:styleId="182">
    <w:name w:val="标题4 Char Char"/>
    <w:link w:val="183"/>
    <w:qFormat/>
    <w:uiPriority w:val="0"/>
    <w:rPr>
      <w:rFonts w:ascii="Arial" w:hAnsi="Arial"/>
      <w:b/>
      <w:sz w:val="32"/>
      <w:lang w:bidi="ar-SA"/>
    </w:rPr>
  </w:style>
  <w:style w:type="paragraph" w:customStyle="1" w:styleId="183">
    <w:name w:val="标题4"/>
    <w:basedOn w:val="4"/>
    <w:next w:val="23"/>
    <w:link w:val="182"/>
    <w:qFormat/>
    <w:uiPriority w:val="0"/>
    <w:pPr>
      <w:spacing w:line="413" w:lineRule="auto"/>
    </w:pPr>
    <w:rPr>
      <w:rFonts w:ascii="Arial" w:hAnsi="Arial"/>
      <w:bCs w:val="0"/>
      <w:kern w:val="0"/>
      <w:szCs w:val="20"/>
    </w:rPr>
  </w:style>
  <w:style w:type="character" w:customStyle="1" w:styleId="184">
    <w:name w:val="Char Char61"/>
    <w:basedOn w:val="53"/>
    <w:qFormat/>
    <w:uiPriority w:val="0"/>
    <w:rPr>
      <w:rFonts w:ascii="宋体" w:hAnsi="宋体" w:eastAsia="宋体" w:cs="Times New Roman"/>
      <w:kern w:val="2"/>
      <w:sz w:val="24"/>
      <w:szCs w:val="24"/>
      <w:lang w:val="en-US" w:eastAsia="zh-CN" w:bidi="ar-SA"/>
    </w:rPr>
  </w:style>
  <w:style w:type="character" w:customStyle="1" w:styleId="185">
    <w:name w:val="Char Char24"/>
    <w:basedOn w:val="53"/>
    <w:qFormat/>
    <w:uiPriority w:val="0"/>
    <w:rPr>
      <w:b/>
      <w:bCs/>
      <w:kern w:val="44"/>
      <w:sz w:val="44"/>
      <w:szCs w:val="44"/>
    </w:rPr>
  </w:style>
  <w:style w:type="character" w:customStyle="1" w:styleId="186">
    <w:name w:val="style161"/>
    <w:basedOn w:val="53"/>
    <w:qFormat/>
    <w:uiPriority w:val="0"/>
    <w:rPr>
      <w:b/>
      <w:bCs/>
      <w:color w:val="333333"/>
    </w:rPr>
  </w:style>
  <w:style w:type="character" w:customStyle="1" w:styleId="187">
    <w:name w:val="Char Char57"/>
    <w:basedOn w:val="53"/>
    <w:qFormat/>
    <w:uiPriority w:val="0"/>
    <w:rPr>
      <w:rFonts w:eastAsia="宋体" w:cs="Times New Roman"/>
      <w:b/>
      <w:bCs/>
      <w:kern w:val="44"/>
      <w:sz w:val="44"/>
      <w:szCs w:val="44"/>
      <w:lang w:val="en-US" w:eastAsia="zh-CN" w:bidi="ar-SA"/>
    </w:rPr>
  </w:style>
  <w:style w:type="character" w:customStyle="1" w:styleId="188">
    <w:name w:val="Char Char50"/>
    <w:basedOn w:val="53"/>
    <w:qFormat/>
    <w:uiPriority w:val="0"/>
    <w:rPr>
      <w:rFonts w:ascii="Arial" w:hAnsi="Arial" w:eastAsia="黑体" w:cs="Times New Roman"/>
      <w:kern w:val="2"/>
      <w:sz w:val="24"/>
      <w:szCs w:val="24"/>
      <w:lang w:val="en-US" w:eastAsia="zh-CN" w:bidi="ar-SA"/>
    </w:rPr>
  </w:style>
  <w:style w:type="character" w:customStyle="1" w:styleId="189">
    <w:name w:val="Char Char41"/>
    <w:basedOn w:val="53"/>
    <w:qFormat/>
    <w:uiPriority w:val="0"/>
    <w:rPr>
      <w:rFonts w:eastAsia="宋体" w:cs="Times New Roman"/>
      <w:kern w:val="2"/>
      <w:sz w:val="18"/>
      <w:szCs w:val="18"/>
      <w:lang w:val="en-US" w:eastAsia="zh-CN" w:bidi="ar-SA"/>
    </w:rPr>
  </w:style>
  <w:style w:type="character" w:customStyle="1" w:styleId="190">
    <w:name w:val="Char Char45"/>
    <w:basedOn w:val="53"/>
    <w:qFormat/>
    <w:uiPriority w:val="0"/>
    <w:rPr>
      <w:rFonts w:eastAsia="宋体" w:cs="Times New Roman"/>
      <w:kern w:val="2"/>
      <w:sz w:val="24"/>
      <w:szCs w:val="24"/>
      <w:lang w:val="en-US" w:eastAsia="zh-CN" w:bidi="ar-SA"/>
    </w:rPr>
  </w:style>
  <w:style w:type="character" w:customStyle="1" w:styleId="191">
    <w:name w:val="Endnote Text Char1"/>
    <w:basedOn w:val="53"/>
    <w:qFormat/>
    <w:uiPriority w:val="0"/>
    <w:rPr>
      <w:rFonts w:cs="Times New Roman"/>
      <w:kern w:val="2"/>
      <w:sz w:val="24"/>
      <w:szCs w:val="24"/>
    </w:rPr>
  </w:style>
  <w:style w:type="character" w:customStyle="1" w:styleId="192">
    <w:name w:val="Char Char18"/>
    <w:basedOn w:val="53"/>
    <w:qFormat/>
    <w:uiPriority w:val="0"/>
    <w:rPr>
      <w:rFonts w:eastAsia="仿宋_GB2312"/>
      <w:sz w:val="30"/>
    </w:rPr>
  </w:style>
  <w:style w:type="character" w:customStyle="1" w:styleId="193">
    <w:name w:val="ss16"/>
    <w:basedOn w:val="53"/>
    <w:qFormat/>
    <w:uiPriority w:val="0"/>
    <w:rPr>
      <w:rFonts w:hint="eastAsia" w:ascii="宋体" w:hAnsi="宋体" w:eastAsia="宋体"/>
      <w:color w:val="000000"/>
      <w:sz w:val="9"/>
      <w:szCs w:val="9"/>
    </w:rPr>
  </w:style>
  <w:style w:type="character" w:customStyle="1" w:styleId="194">
    <w:name w:val="Char Char49"/>
    <w:basedOn w:val="53"/>
    <w:qFormat/>
    <w:uiPriority w:val="0"/>
    <w:rPr>
      <w:rFonts w:ascii="Arial" w:hAnsi="Arial" w:eastAsia="黑体" w:cs="Times New Roman"/>
      <w:kern w:val="2"/>
      <w:sz w:val="21"/>
      <w:szCs w:val="21"/>
      <w:lang w:val="en-US" w:eastAsia="zh-CN" w:bidi="ar-SA"/>
    </w:rPr>
  </w:style>
  <w:style w:type="character" w:customStyle="1" w:styleId="195">
    <w:name w:val="Char Char52"/>
    <w:basedOn w:val="53"/>
    <w:qFormat/>
    <w:uiPriority w:val="0"/>
    <w:rPr>
      <w:rFonts w:ascii="Arial" w:hAnsi="Arial" w:eastAsia="黑体" w:cs="Times New Roman"/>
      <w:b/>
      <w:bCs/>
      <w:kern w:val="2"/>
      <w:sz w:val="24"/>
      <w:szCs w:val="24"/>
      <w:lang w:val="en-US" w:eastAsia="zh-CN" w:bidi="ar-SA"/>
    </w:rPr>
  </w:style>
  <w:style w:type="character" w:customStyle="1" w:styleId="196">
    <w:name w:val="Char Char53"/>
    <w:basedOn w:val="53"/>
    <w:qFormat/>
    <w:uiPriority w:val="0"/>
    <w:rPr>
      <w:rFonts w:eastAsia="宋体" w:cs="Times New Roman"/>
      <w:b/>
      <w:bCs/>
      <w:kern w:val="2"/>
      <w:sz w:val="28"/>
      <w:szCs w:val="28"/>
      <w:lang w:val="en-US" w:eastAsia="zh-CN" w:bidi="ar-SA"/>
    </w:rPr>
  </w:style>
  <w:style w:type="character" w:customStyle="1" w:styleId="197">
    <w:name w:val="Char Char43"/>
    <w:basedOn w:val="53"/>
    <w:qFormat/>
    <w:uiPriority w:val="0"/>
    <w:rPr>
      <w:rFonts w:eastAsia="宋体" w:cs="Times New Roman"/>
      <w:kern w:val="2"/>
      <w:sz w:val="24"/>
      <w:szCs w:val="24"/>
      <w:lang w:val="en-US" w:eastAsia="zh-CN" w:bidi="ar-SA"/>
    </w:rPr>
  </w:style>
  <w:style w:type="character" w:customStyle="1" w:styleId="198">
    <w:name w:val="Char Char82"/>
    <w:basedOn w:val="53"/>
    <w:qFormat/>
    <w:uiPriority w:val="0"/>
    <w:rPr>
      <w:rFonts w:eastAsia="宋体" w:cs="Times New Roman"/>
      <w:b/>
      <w:bCs/>
      <w:kern w:val="2"/>
      <w:sz w:val="28"/>
      <w:szCs w:val="28"/>
      <w:lang w:val="en-US" w:eastAsia="zh-CN" w:bidi="ar-SA"/>
    </w:rPr>
  </w:style>
  <w:style w:type="character" w:customStyle="1" w:styleId="199">
    <w:name w:val="Char Char13"/>
    <w:basedOn w:val="53"/>
    <w:qFormat/>
    <w:uiPriority w:val="0"/>
    <w:rPr>
      <w:kern w:val="2"/>
      <w:sz w:val="18"/>
      <w:szCs w:val="18"/>
    </w:rPr>
  </w:style>
  <w:style w:type="character" w:customStyle="1" w:styleId="200">
    <w:name w:val="正文文字4 Char Char"/>
    <w:basedOn w:val="53"/>
    <w:qFormat/>
    <w:uiPriority w:val="0"/>
    <w:rPr>
      <w:kern w:val="2"/>
      <w:sz w:val="21"/>
      <w:szCs w:val="24"/>
    </w:rPr>
  </w:style>
  <w:style w:type="character" w:customStyle="1" w:styleId="201">
    <w:name w:val="Char Char65"/>
    <w:basedOn w:val="133"/>
    <w:qFormat/>
    <w:uiPriority w:val="0"/>
    <w:rPr>
      <w:rFonts w:eastAsia="宋体" w:cs="Times New Roman"/>
      <w:b/>
      <w:bCs/>
      <w:kern w:val="2"/>
      <w:sz w:val="24"/>
      <w:szCs w:val="24"/>
      <w:lang w:val="en-US" w:eastAsia="zh-CN" w:bidi="ar-SA"/>
    </w:rPr>
  </w:style>
  <w:style w:type="character" w:customStyle="1" w:styleId="202">
    <w:name w:val="apple-converted-space"/>
    <w:basedOn w:val="53"/>
    <w:qFormat/>
    <w:uiPriority w:val="0"/>
  </w:style>
  <w:style w:type="character" w:customStyle="1" w:styleId="203">
    <w:name w:val="Char Char58"/>
    <w:basedOn w:val="53"/>
    <w:qFormat/>
    <w:uiPriority w:val="0"/>
    <w:rPr>
      <w:rFonts w:cs="Times New Roman"/>
      <w:kern w:val="2"/>
      <w:sz w:val="16"/>
      <w:szCs w:val="16"/>
    </w:rPr>
  </w:style>
  <w:style w:type="character" w:customStyle="1" w:styleId="204">
    <w:name w:val="Plain Text Char"/>
    <w:basedOn w:val="53"/>
    <w:qFormat/>
    <w:uiPriority w:val="0"/>
    <w:rPr>
      <w:rFonts w:ascii="宋体" w:hAnsi="Courier New" w:cs="Courier New"/>
      <w:kern w:val="2"/>
      <w:sz w:val="21"/>
      <w:szCs w:val="21"/>
    </w:rPr>
  </w:style>
  <w:style w:type="character" w:customStyle="1" w:styleId="205">
    <w:name w:val="Char Char31"/>
    <w:basedOn w:val="53"/>
    <w:qFormat/>
    <w:uiPriority w:val="0"/>
    <w:rPr>
      <w:rFonts w:eastAsia="宋体" w:cs="Times New Roman"/>
      <w:kern w:val="2"/>
      <w:sz w:val="18"/>
      <w:szCs w:val="18"/>
      <w:lang w:val="en-US" w:eastAsia="zh-CN" w:bidi="ar-SA"/>
    </w:rPr>
  </w:style>
  <w:style w:type="character" w:customStyle="1" w:styleId="206">
    <w:name w:val="Char Char34"/>
    <w:basedOn w:val="53"/>
    <w:qFormat/>
    <w:uiPriority w:val="0"/>
    <w:rPr>
      <w:rFonts w:eastAsia="宋体" w:cs="Times New Roman"/>
      <w:kern w:val="2"/>
      <w:sz w:val="18"/>
      <w:szCs w:val="18"/>
      <w:lang w:val="en-US" w:eastAsia="zh-CN" w:bidi="ar-SA"/>
    </w:rPr>
  </w:style>
  <w:style w:type="character" w:customStyle="1" w:styleId="207">
    <w:name w:val="Char Char80"/>
    <w:basedOn w:val="53"/>
    <w:qFormat/>
    <w:uiPriority w:val="0"/>
    <w:rPr>
      <w:rFonts w:eastAsia="宋体" w:cs="Times New Roman"/>
      <w:b/>
      <w:bCs/>
      <w:kern w:val="2"/>
      <w:sz w:val="24"/>
      <w:szCs w:val="24"/>
      <w:lang w:val="en-US" w:eastAsia="zh-CN" w:bidi="ar-SA"/>
    </w:rPr>
  </w:style>
  <w:style w:type="character" w:customStyle="1" w:styleId="208">
    <w:name w:val="docpro"/>
    <w:basedOn w:val="53"/>
    <w:qFormat/>
    <w:uiPriority w:val="0"/>
  </w:style>
  <w:style w:type="character" w:customStyle="1" w:styleId="209">
    <w:name w:val="Char Char51"/>
    <w:basedOn w:val="53"/>
    <w:qFormat/>
    <w:uiPriority w:val="0"/>
    <w:rPr>
      <w:rFonts w:eastAsia="宋体" w:cs="Times New Roman"/>
      <w:b/>
      <w:bCs/>
      <w:kern w:val="2"/>
      <w:sz w:val="24"/>
      <w:szCs w:val="24"/>
      <w:lang w:val="en-US" w:eastAsia="zh-CN" w:bidi="ar-SA"/>
    </w:rPr>
  </w:style>
  <w:style w:type="character" w:customStyle="1" w:styleId="210">
    <w:name w:val="Char Char68"/>
    <w:basedOn w:val="53"/>
    <w:qFormat/>
    <w:uiPriority w:val="0"/>
    <w:rPr>
      <w:rFonts w:eastAsia="宋体" w:cs="Times New Roman"/>
      <w:kern w:val="2"/>
      <w:sz w:val="18"/>
      <w:szCs w:val="18"/>
      <w:lang w:val="en-US" w:eastAsia="zh-CN" w:bidi="ar-SA"/>
    </w:rPr>
  </w:style>
  <w:style w:type="character" w:customStyle="1" w:styleId="211">
    <w:name w:val="Char Char6"/>
    <w:basedOn w:val="53"/>
    <w:qFormat/>
    <w:uiPriority w:val="0"/>
    <w:rPr>
      <w:rFonts w:ascii="宋体" w:hAnsi="宋体"/>
      <w:kern w:val="2"/>
      <w:sz w:val="28"/>
      <w:szCs w:val="28"/>
    </w:rPr>
  </w:style>
  <w:style w:type="character" w:customStyle="1" w:styleId="212">
    <w:name w:val="Char Char111"/>
    <w:basedOn w:val="53"/>
    <w:qFormat/>
    <w:uiPriority w:val="0"/>
    <w:rPr>
      <w:rFonts w:ascii="宋体" w:hAnsi="宋体" w:cs="宋体"/>
      <w:color w:val="000000"/>
      <w:sz w:val="24"/>
      <w:szCs w:val="24"/>
    </w:rPr>
  </w:style>
  <w:style w:type="character" w:customStyle="1" w:styleId="213">
    <w:name w:val="Char Char55"/>
    <w:basedOn w:val="53"/>
    <w:qFormat/>
    <w:uiPriority w:val="0"/>
    <w:rPr>
      <w:rFonts w:eastAsia="宋体" w:cs="Times New Roman"/>
      <w:b/>
      <w:bCs/>
      <w:kern w:val="2"/>
      <w:sz w:val="32"/>
      <w:szCs w:val="32"/>
      <w:lang w:val="en-US" w:eastAsia="zh-CN" w:bidi="ar-SA"/>
    </w:rPr>
  </w:style>
  <w:style w:type="character" w:customStyle="1" w:styleId="214">
    <w:name w:val="Char Char30"/>
    <w:basedOn w:val="53"/>
    <w:qFormat/>
    <w:uiPriority w:val="0"/>
    <w:rPr>
      <w:rFonts w:eastAsia="宋体" w:cs="Times New Roman"/>
      <w:sz w:val="24"/>
      <w:lang w:val="en-US" w:eastAsia="zh-CN" w:bidi="ar-SA"/>
    </w:rPr>
  </w:style>
  <w:style w:type="character" w:customStyle="1" w:styleId="215">
    <w:name w:val="Char Char25"/>
    <w:basedOn w:val="53"/>
    <w:qFormat/>
    <w:uiPriority w:val="0"/>
    <w:rPr>
      <w:rFonts w:ascii="Arial" w:hAnsi="Arial" w:eastAsia="黑体" w:cs="Times New Roman"/>
      <w:b/>
      <w:bCs/>
      <w:kern w:val="2"/>
      <w:sz w:val="28"/>
      <w:szCs w:val="28"/>
      <w:lang w:val="en-US" w:eastAsia="zh-CN" w:bidi="ar-SA"/>
    </w:rPr>
  </w:style>
  <w:style w:type="character" w:customStyle="1" w:styleId="216">
    <w:name w:val="Char Char46"/>
    <w:basedOn w:val="53"/>
    <w:qFormat/>
    <w:uiPriority w:val="0"/>
    <w:rPr>
      <w:rFonts w:eastAsia="宋体" w:cs="Times New Roman"/>
      <w:sz w:val="24"/>
      <w:lang w:val="en-US" w:eastAsia="zh-CN" w:bidi="ar-SA"/>
    </w:rPr>
  </w:style>
  <w:style w:type="character" w:customStyle="1" w:styleId="217">
    <w:name w:val="Char Char7"/>
    <w:basedOn w:val="53"/>
    <w:qFormat/>
    <w:uiPriority w:val="0"/>
    <w:rPr>
      <w:sz w:val="28"/>
      <w:szCs w:val="24"/>
    </w:rPr>
  </w:style>
  <w:style w:type="character" w:customStyle="1" w:styleId="218">
    <w:name w:val="Char Char79"/>
    <w:basedOn w:val="53"/>
    <w:qFormat/>
    <w:uiPriority w:val="0"/>
    <w:rPr>
      <w:rFonts w:ascii="Arial" w:hAnsi="Arial" w:eastAsia="黑体" w:cs="Times New Roman"/>
      <w:kern w:val="2"/>
      <w:sz w:val="24"/>
      <w:szCs w:val="24"/>
      <w:lang w:val="en-US" w:eastAsia="zh-CN" w:bidi="ar-SA"/>
    </w:rPr>
  </w:style>
  <w:style w:type="character" w:customStyle="1" w:styleId="219">
    <w:name w:val="color_red1"/>
    <w:basedOn w:val="53"/>
    <w:qFormat/>
    <w:uiPriority w:val="0"/>
    <w:rPr>
      <w:color w:val="FA0004"/>
    </w:rPr>
  </w:style>
  <w:style w:type="character" w:customStyle="1" w:styleId="220">
    <w:name w:val="Char Char37"/>
    <w:basedOn w:val="53"/>
    <w:qFormat/>
    <w:uiPriority w:val="0"/>
    <w:rPr>
      <w:rFonts w:cs="Times New Roman"/>
      <w:kern w:val="2"/>
      <w:sz w:val="24"/>
      <w:szCs w:val="24"/>
    </w:rPr>
  </w:style>
  <w:style w:type="paragraph" w:customStyle="1" w:styleId="22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25">
    <w:name w:val="样式3"/>
    <w:basedOn w:val="5"/>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6">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7">
    <w:name w:val="WW-表格标题"/>
    <w:basedOn w:val="228"/>
    <w:qFormat/>
    <w:uiPriority w:val="0"/>
  </w:style>
  <w:style w:type="paragraph" w:customStyle="1" w:styleId="228">
    <w:name w:val="WW-表格内容"/>
    <w:basedOn w:val="1"/>
    <w:qFormat/>
    <w:uiPriority w:val="0"/>
    <w:pPr>
      <w:suppressLineNumbers/>
      <w:suppressAutoHyphens/>
    </w:pPr>
  </w:style>
  <w:style w:type="paragraph" w:customStyle="1" w:styleId="229">
    <w:name w:val="Char Char Char Char Char Char Char"/>
    <w:basedOn w:val="1"/>
    <w:qFormat/>
    <w:uiPriority w:val="0"/>
    <w:rPr>
      <w:snapToGrid w:val="0"/>
      <w:color w:val="000000"/>
      <w:spacing w:val="16"/>
      <w:sz w:val="22"/>
      <w:szCs w:val="22"/>
    </w:rPr>
  </w:style>
  <w:style w:type="paragraph" w:customStyle="1" w:styleId="230">
    <w:name w:val="List Paragraph"/>
    <w:basedOn w:val="1"/>
    <w:qFormat/>
    <w:uiPriority w:val="0"/>
    <w:pPr>
      <w:ind w:firstLine="420" w:firstLineChars="200"/>
    </w:pPr>
    <w:rPr>
      <w:sz w:val="28"/>
      <w:szCs w:val="28"/>
    </w:rPr>
  </w:style>
  <w:style w:type="paragraph" w:customStyle="1" w:styleId="231">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23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3">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4">
    <w:name w:val="样式2"/>
    <w:basedOn w:val="4"/>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5">
    <w:name w:val="Char"/>
    <w:basedOn w:val="1"/>
    <w:qFormat/>
    <w:uiPriority w:val="0"/>
  </w:style>
  <w:style w:type="paragraph" w:customStyle="1" w:styleId="236">
    <w:name w:val="表格标题"/>
    <w:basedOn w:val="237"/>
    <w:qFormat/>
    <w:uiPriority w:val="0"/>
  </w:style>
  <w:style w:type="paragraph" w:customStyle="1" w:styleId="237">
    <w:name w:val="表格内容"/>
    <w:basedOn w:val="1"/>
    <w:qFormat/>
    <w:uiPriority w:val="0"/>
    <w:pPr>
      <w:suppressLineNumbers/>
      <w:suppressAutoHyphens/>
    </w:pPr>
  </w:style>
  <w:style w:type="paragraph" w:customStyle="1" w:styleId="238">
    <w:name w:val="目录"/>
    <w:basedOn w:val="1"/>
    <w:qFormat/>
    <w:uiPriority w:val="0"/>
    <w:pPr>
      <w:widowControl/>
      <w:jc w:val="center"/>
    </w:pPr>
    <w:rPr>
      <w:rFonts w:ascii="宋体"/>
      <w:b/>
      <w:kern w:val="0"/>
      <w:sz w:val="36"/>
    </w:rPr>
  </w:style>
  <w:style w:type="paragraph" w:customStyle="1" w:styleId="23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41">
    <w:name w:val="Char Char1 Char Char Char Char Char Char Char"/>
    <w:basedOn w:val="1"/>
    <w:qFormat/>
    <w:uiPriority w:val="0"/>
    <w:pPr>
      <w:pageBreakBefore/>
    </w:pPr>
    <w:rPr>
      <w:rFonts w:ascii="Calibri" w:hAnsi="Calibri" w:cs="Calibri"/>
    </w:rPr>
  </w:style>
  <w:style w:type="paragraph" w:customStyle="1" w:styleId="242">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3">
    <w:name w:val="pa-27"/>
    <w:basedOn w:val="1"/>
    <w:qFormat/>
    <w:uiPriority w:val="0"/>
    <w:pPr>
      <w:widowControl/>
      <w:spacing w:line="360" w:lineRule="atLeast"/>
      <w:ind w:firstLine="420"/>
    </w:pPr>
    <w:rPr>
      <w:rFonts w:ascii="宋体" w:hAnsi="宋体" w:cs="宋体"/>
      <w:kern w:val="0"/>
      <w:sz w:val="24"/>
    </w:rPr>
  </w:style>
  <w:style w:type="paragraph" w:customStyle="1" w:styleId="24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样式 标题 1 + (西文) 宋体 非加粗 黑色 两端对齐 左侧:  0 厘米 首行缩进:  0.89 厘米"/>
    <w:basedOn w:val="3"/>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7">
    <w:name w:val="表格"/>
    <w:basedOn w:val="1"/>
    <w:qFormat/>
    <w:uiPriority w:val="0"/>
    <w:pPr>
      <w:jc w:val="center"/>
      <w:textAlignment w:val="center"/>
    </w:pPr>
    <w:rPr>
      <w:rFonts w:ascii="华文细黑" w:hAnsi="华文细黑"/>
      <w:kern w:val="0"/>
    </w:rPr>
  </w:style>
  <w:style w:type="paragraph" w:customStyle="1" w:styleId="248">
    <w:name w:val="自定样式1"/>
    <w:basedOn w:val="1"/>
    <w:qFormat/>
    <w:uiPriority w:val="0"/>
    <w:pPr>
      <w:suppressAutoHyphens/>
      <w:jc w:val="center"/>
    </w:pPr>
    <w:rPr>
      <w:rFonts w:ascii="宋体" w:hAnsi="宋体"/>
      <w:color w:val="000000"/>
      <w:sz w:val="18"/>
    </w:rPr>
  </w:style>
  <w:style w:type="paragraph" w:customStyle="1" w:styleId="249">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_Style 246"/>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7">
    <w:name w:val="Char9"/>
    <w:basedOn w:val="16"/>
    <w:qFormat/>
    <w:uiPriority w:val="0"/>
    <w:pPr>
      <w:spacing w:line="360" w:lineRule="auto"/>
      <w:ind w:firstLine="200" w:firstLineChars="200"/>
    </w:pPr>
    <w:rPr>
      <w:rFonts w:ascii="Tahoma" w:hAnsi="Tahoma"/>
      <w:sz w:val="24"/>
    </w:rPr>
  </w:style>
  <w:style w:type="paragraph" w:customStyle="1" w:styleId="25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0">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61">
    <w:name w:val="pa-34"/>
    <w:basedOn w:val="1"/>
    <w:qFormat/>
    <w:uiPriority w:val="0"/>
    <w:pPr>
      <w:widowControl/>
      <w:spacing w:line="360" w:lineRule="atLeast"/>
      <w:ind w:firstLine="420"/>
      <w:jc w:val="left"/>
    </w:pPr>
    <w:rPr>
      <w:rFonts w:ascii="宋体" w:hAnsi="宋体" w:cs="宋体"/>
      <w:kern w:val="0"/>
      <w:sz w:val="24"/>
    </w:rPr>
  </w:style>
  <w:style w:type="paragraph" w:customStyle="1" w:styleId="26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63">
    <w:name w:val="表格文字"/>
    <w:basedOn w:val="1"/>
    <w:qFormat/>
    <w:uiPriority w:val="0"/>
    <w:pPr>
      <w:adjustRightInd w:val="0"/>
      <w:spacing w:line="420" w:lineRule="atLeast"/>
      <w:jc w:val="left"/>
      <w:textAlignment w:val="baseline"/>
    </w:pPr>
    <w:rPr>
      <w:kern w:val="0"/>
    </w:rPr>
  </w:style>
  <w:style w:type="paragraph" w:customStyle="1" w:styleId="264">
    <w:name w:val="正  文"/>
    <w:basedOn w:val="1"/>
    <w:qFormat/>
    <w:uiPriority w:val="0"/>
    <w:pPr>
      <w:spacing w:line="360" w:lineRule="auto"/>
      <w:ind w:firstLine="200" w:firstLineChars="200"/>
    </w:pPr>
    <w:rPr>
      <w:rFonts w:ascii="宋体"/>
      <w:sz w:val="24"/>
    </w:rPr>
  </w:style>
  <w:style w:type="paragraph" w:customStyle="1" w:styleId="265">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6">
    <w:name w:val="List Paragraph1"/>
    <w:basedOn w:val="1"/>
    <w:qFormat/>
    <w:uiPriority w:val="99"/>
    <w:pPr>
      <w:ind w:firstLine="420" w:firstLineChars="200"/>
    </w:pPr>
    <w:rPr>
      <w:sz w:val="28"/>
      <w:szCs w:val="28"/>
    </w:rPr>
  </w:style>
  <w:style w:type="paragraph" w:customStyle="1" w:styleId="267">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26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69">
    <w:name w:val="Char Char Char Char Char 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128</Pages>
  <Words>11858</Words>
  <Characters>12682</Characters>
  <Lines>374</Lines>
  <Paragraphs>105</Paragraphs>
  <TotalTime>45</TotalTime>
  <ScaleCrop>false</ScaleCrop>
  <LinksUpToDate>false</LinksUpToDate>
  <CharactersWithSpaces>12979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2018-05-23T22:25:00Z</dcterms:created>
  <dc:creator>中金招标</dc:creator>
  <cp:lastModifiedBy>apple</cp:lastModifiedBy>
  <cp:lastPrinted>2022-10-09T16:59:00Z</cp:lastPrinted>
  <dcterms:modified xsi:type="dcterms:W3CDTF">2026-03-16T16:13:04Z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7CC4D78993BA4E499DC9EE8D24F0700E_13</vt:lpwstr>
  </property>
  <property fmtid="{D5CDD505-2E9C-101B-9397-08002B2CF9AE}" pid="4" name="KSOTemplateDocerSaveRecord">
    <vt:lpwstr>eyJoZGlkIjoiMmUwZmVhMzg4YTM5MTNmMjNkZmFlMDQ0MTRlYWZmNDciLCJ1c2VySWQiOiIyNDQ5NzAxMDEifQ==</vt:lpwstr>
  </property>
</Properties>
</file>