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150"/>
        </w:tabs>
        <w:spacing w:line="600" w:lineRule="exact"/>
        <w:jc w:val="center"/>
        <w:rPr>
          <w:rFonts w:hint="eastAsia" w:ascii="仿宋_GB2312" w:eastAsia="仿宋_GB2312"/>
          <w:b/>
          <w:color w:val="auto"/>
          <w:sz w:val="36"/>
          <w:szCs w:val="36"/>
          <w:lang w:eastAsia="zh-CN"/>
        </w:rPr>
      </w:pPr>
      <w:bookmarkStart w:id="0" w:name="_Toc224103298"/>
      <w:bookmarkStart w:id="1" w:name="_Toc22260"/>
      <w:bookmarkStart w:id="2" w:name="_Toc5017"/>
      <w:bookmarkStart w:id="3" w:name="_Toc277082535"/>
      <w:bookmarkStart w:id="4" w:name="_Toc287607727"/>
      <w:bookmarkStart w:id="5" w:name="_Toc22183"/>
      <w:r>
        <w:rPr>
          <w:rFonts w:hint="eastAsia" w:ascii="仿宋_GB2312" w:eastAsia="仿宋_GB2312"/>
          <w:b/>
          <w:color w:val="auto"/>
          <w:sz w:val="36"/>
          <w:szCs w:val="36"/>
        </w:rPr>
        <w:t>工程名称：</w:t>
      </w:r>
      <w:r>
        <w:rPr>
          <w:rFonts w:hint="eastAsia" w:ascii="仿宋_GB2312" w:eastAsia="仿宋_GB2312"/>
          <w:b/>
          <w:color w:val="auto"/>
          <w:sz w:val="36"/>
          <w:szCs w:val="36"/>
          <w:lang w:eastAsia="zh-CN"/>
        </w:rPr>
        <w:t>2025年度福果镇农村公路护栏建设项目</w:t>
      </w:r>
    </w:p>
    <w:p>
      <w:pPr>
        <w:spacing w:line="600" w:lineRule="exact"/>
        <w:rPr>
          <w:rFonts w:hint="default" w:ascii="宋体" w:hAnsi="宋体" w:eastAsia="仿宋_GB2312"/>
          <w:b/>
          <w:color w:val="auto"/>
          <w:spacing w:val="20"/>
          <w:kern w:val="0"/>
          <w:sz w:val="32"/>
          <w:highlight w:val="yellow"/>
          <w:lang w:val="en-US" w:eastAsia="zh-CN"/>
        </w:rPr>
      </w:pPr>
    </w:p>
    <w:p>
      <w:pPr>
        <w:autoSpaceDE w:val="0"/>
        <w:autoSpaceDN w:val="0"/>
        <w:adjustRightInd w:val="0"/>
        <w:snapToGrid w:val="0"/>
        <w:spacing w:line="500" w:lineRule="exact"/>
        <w:rPr>
          <w:rFonts w:ascii="宋体" w:hAnsi="宋体"/>
          <w:color w:val="auto"/>
          <w:spacing w:val="9"/>
          <w:kern w:val="0"/>
        </w:rPr>
      </w:pPr>
    </w:p>
    <w:p>
      <w:pPr>
        <w:autoSpaceDE w:val="0"/>
        <w:autoSpaceDN w:val="0"/>
        <w:adjustRightInd w:val="0"/>
        <w:snapToGrid w:val="0"/>
        <w:spacing w:line="500" w:lineRule="exact"/>
        <w:rPr>
          <w:rFonts w:ascii="宋体" w:hAnsi="宋体"/>
          <w:color w:val="auto"/>
          <w:spacing w:val="9"/>
          <w:kern w:val="0"/>
        </w:rPr>
      </w:pPr>
    </w:p>
    <w:p>
      <w:pPr>
        <w:autoSpaceDE w:val="0"/>
        <w:autoSpaceDN w:val="0"/>
        <w:adjustRightInd w:val="0"/>
        <w:snapToGrid w:val="0"/>
        <w:spacing w:line="240" w:lineRule="atLeast"/>
        <w:jc w:val="center"/>
        <w:rPr>
          <w:rFonts w:ascii="宋体" w:hAnsi="宋体"/>
          <w:b/>
          <w:color w:val="auto"/>
          <w:spacing w:val="34"/>
          <w:kern w:val="0"/>
          <w:sz w:val="96"/>
        </w:rPr>
      </w:pPr>
    </w:p>
    <w:p>
      <w:pPr>
        <w:autoSpaceDE w:val="0"/>
        <w:autoSpaceDN w:val="0"/>
        <w:adjustRightInd w:val="0"/>
        <w:snapToGrid w:val="0"/>
        <w:spacing w:line="240" w:lineRule="atLeast"/>
        <w:rPr>
          <w:rFonts w:ascii="宋体" w:hAnsi="宋体"/>
          <w:b/>
          <w:color w:val="auto"/>
          <w:spacing w:val="34"/>
          <w:kern w:val="0"/>
          <w:sz w:val="96"/>
        </w:rPr>
      </w:pPr>
    </w:p>
    <w:p>
      <w:pPr>
        <w:autoSpaceDE w:val="0"/>
        <w:autoSpaceDN w:val="0"/>
        <w:adjustRightInd w:val="0"/>
        <w:snapToGrid w:val="0"/>
        <w:spacing w:line="240" w:lineRule="atLeast"/>
        <w:jc w:val="center"/>
        <w:rPr>
          <w:rFonts w:ascii="宋体" w:hAnsi="宋体"/>
          <w:b/>
          <w:color w:val="auto"/>
          <w:spacing w:val="34"/>
          <w:kern w:val="0"/>
          <w:sz w:val="96"/>
        </w:rPr>
      </w:pPr>
      <w:r>
        <w:rPr>
          <w:rFonts w:hint="eastAsia" w:ascii="宋体" w:hAnsi="宋体"/>
          <w:b/>
          <w:color w:val="auto"/>
          <w:spacing w:val="34"/>
          <w:kern w:val="0"/>
          <w:sz w:val="96"/>
        </w:rPr>
        <w:t>竞争性比选文件</w:t>
      </w:r>
    </w:p>
    <w:p>
      <w:pPr>
        <w:autoSpaceDE w:val="0"/>
        <w:autoSpaceDN w:val="0"/>
        <w:adjustRightInd w:val="0"/>
        <w:snapToGrid w:val="0"/>
        <w:spacing w:line="500" w:lineRule="exact"/>
        <w:rPr>
          <w:rFonts w:ascii="宋体" w:hAnsi="宋体"/>
          <w:b/>
          <w:color w:val="auto"/>
          <w:spacing w:val="4"/>
          <w:kern w:val="0"/>
          <w:sz w:val="84"/>
          <w:szCs w:val="84"/>
        </w:rPr>
      </w:pPr>
    </w:p>
    <w:p>
      <w:pPr>
        <w:tabs>
          <w:tab w:val="left" w:pos="3676"/>
        </w:tabs>
        <w:autoSpaceDE w:val="0"/>
        <w:autoSpaceDN w:val="0"/>
        <w:adjustRightInd w:val="0"/>
        <w:snapToGrid w:val="0"/>
        <w:spacing w:line="500" w:lineRule="exact"/>
        <w:rPr>
          <w:rFonts w:ascii="宋体" w:hAnsi="宋体"/>
          <w:color w:val="auto"/>
          <w:spacing w:val="4"/>
          <w:kern w:val="0"/>
          <w:sz w:val="32"/>
        </w:rPr>
      </w:pPr>
    </w:p>
    <w:p>
      <w:pPr>
        <w:autoSpaceDE w:val="0"/>
        <w:autoSpaceDN w:val="0"/>
        <w:adjustRightInd w:val="0"/>
        <w:snapToGrid w:val="0"/>
        <w:spacing w:line="500" w:lineRule="exact"/>
        <w:rPr>
          <w:rFonts w:ascii="宋体" w:hAnsi="宋体"/>
          <w:b/>
          <w:color w:val="auto"/>
          <w:spacing w:val="4"/>
          <w:kern w:val="0"/>
          <w:sz w:val="32"/>
        </w:rPr>
      </w:pPr>
    </w:p>
    <w:p>
      <w:pPr>
        <w:autoSpaceDE w:val="0"/>
        <w:autoSpaceDN w:val="0"/>
        <w:adjustRightInd w:val="0"/>
        <w:snapToGrid w:val="0"/>
        <w:spacing w:line="500" w:lineRule="exact"/>
        <w:rPr>
          <w:rFonts w:ascii="宋体" w:hAnsi="宋体"/>
          <w:b/>
          <w:color w:val="auto"/>
          <w:spacing w:val="4"/>
          <w:kern w:val="0"/>
          <w:sz w:val="32"/>
        </w:rPr>
      </w:pPr>
    </w:p>
    <w:p>
      <w:pPr>
        <w:autoSpaceDE w:val="0"/>
        <w:autoSpaceDN w:val="0"/>
        <w:adjustRightInd w:val="0"/>
        <w:snapToGrid w:val="0"/>
        <w:spacing w:line="500" w:lineRule="exact"/>
        <w:rPr>
          <w:rFonts w:ascii="宋体" w:hAnsi="宋体"/>
          <w:b/>
          <w:color w:val="auto"/>
          <w:spacing w:val="4"/>
          <w:kern w:val="0"/>
          <w:sz w:val="32"/>
        </w:rPr>
      </w:pPr>
    </w:p>
    <w:p>
      <w:pPr>
        <w:autoSpaceDE w:val="0"/>
        <w:autoSpaceDN w:val="0"/>
        <w:adjustRightInd w:val="0"/>
        <w:snapToGrid w:val="0"/>
        <w:spacing w:line="500" w:lineRule="exact"/>
        <w:rPr>
          <w:rFonts w:ascii="宋体" w:hAnsi="宋体"/>
          <w:b/>
          <w:color w:val="auto"/>
          <w:spacing w:val="4"/>
          <w:kern w:val="0"/>
          <w:sz w:val="32"/>
        </w:rPr>
      </w:pPr>
    </w:p>
    <w:p>
      <w:pPr>
        <w:autoSpaceDE w:val="0"/>
        <w:autoSpaceDN w:val="0"/>
        <w:adjustRightInd w:val="0"/>
        <w:snapToGrid w:val="0"/>
        <w:spacing w:line="500" w:lineRule="exact"/>
        <w:rPr>
          <w:rFonts w:ascii="宋体" w:hAnsi="宋体"/>
          <w:b/>
          <w:color w:val="auto"/>
          <w:spacing w:val="4"/>
          <w:kern w:val="0"/>
          <w:sz w:val="32"/>
        </w:rPr>
      </w:pPr>
    </w:p>
    <w:p>
      <w:pPr>
        <w:pStyle w:val="2"/>
        <w:rPr>
          <w:color w:val="auto"/>
        </w:rPr>
      </w:pPr>
    </w:p>
    <w:p>
      <w:pPr>
        <w:autoSpaceDE w:val="0"/>
        <w:autoSpaceDN w:val="0"/>
        <w:adjustRightInd w:val="0"/>
        <w:snapToGrid w:val="0"/>
        <w:spacing w:line="500" w:lineRule="exact"/>
        <w:rPr>
          <w:rFonts w:ascii="宋体" w:hAnsi="宋体"/>
          <w:b/>
          <w:color w:val="auto"/>
          <w:spacing w:val="4"/>
          <w:kern w:val="0"/>
          <w:sz w:val="32"/>
        </w:rPr>
      </w:pPr>
    </w:p>
    <w:p>
      <w:pPr>
        <w:spacing w:line="480" w:lineRule="exact"/>
        <w:ind w:firstLine="916" w:firstLineChars="300"/>
        <w:rPr>
          <w:rFonts w:hint="eastAsia" w:ascii="宋体" w:hAnsi="宋体" w:eastAsia="宋体"/>
          <w:b/>
          <w:color w:val="auto"/>
          <w:spacing w:val="-8"/>
          <w:kern w:val="0"/>
          <w:sz w:val="32"/>
          <w:lang w:eastAsia="zh-CN"/>
        </w:rPr>
      </w:pPr>
      <w:r>
        <w:rPr>
          <w:rFonts w:hint="eastAsia" w:ascii="宋体" w:hAnsi="宋体"/>
          <w:b/>
          <w:color w:val="auto"/>
          <w:spacing w:val="-8"/>
          <w:kern w:val="0"/>
          <w:sz w:val="32"/>
          <w:lang w:val="en-US" w:eastAsia="zh-CN"/>
        </w:rPr>
        <w:t>招</w:t>
      </w:r>
      <w:r>
        <w:rPr>
          <w:rFonts w:hint="eastAsia" w:ascii="宋体" w:hAnsi="宋体"/>
          <w:b/>
          <w:color w:val="auto"/>
          <w:spacing w:val="-8"/>
          <w:kern w:val="0"/>
          <w:sz w:val="32"/>
        </w:rPr>
        <w:t xml:space="preserve">   </w:t>
      </w:r>
      <w:r>
        <w:rPr>
          <w:rFonts w:hint="eastAsia" w:ascii="宋体" w:hAnsi="宋体"/>
          <w:b/>
          <w:color w:val="auto"/>
          <w:spacing w:val="-8"/>
          <w:kern w:val="0"/>
          <w:sz w:val="32"/>
          <w:lang w:val="en-US" w:eastAsia="zh-CN"/>
        </w:rPr>
        <w:t>标</w:t>
      </w:r>
      <w:r>
        <w:rPr>
          <w:rFonts w:hint="eastAsia" w:ascii="宋体" w:hAnsi="宋体"/>
          <w:b/>
          <w:color w:val="auto"/>
          <w:spacing w:val="-8"/>
          <w:kern w:val="0"/>
          <w:sz w:val="32"/>
        </w:rPr>
        <w:t xml:space="preserve">   人：</w:t>
      </w:r>
      <w:r>
        <w:rPr>
          <w:rFonts w:hint="eastAsia" w:ascii="宋体" w:hAnsi="宋体"/>
          <w:b/>
          <w:color w:val="auto"/>
          <w:spacing w:val="-8"/>
          <w:kern w:val="0"/>
          <w:sz w:val="32"/>
          <w:lang w:eastAsia="zh-CN"/>
        </w:rPr>
        <w:t>重庆市铜梁区福果镇人民政府</w:t>
      </w:r>
    </w:p>
    <w:p>
      <w:pPr>
        <w:spacing w:line="480" w:lineRule="exact"/>
        <w:ind w:firstLine="916" w:firstLineChars="300"/>
        <w:rPr>
          <w:rFonts w:ascii="宋体" w:hAnsi="宋体"/>
          <w:b/>
          <w:color w:val="auto"/>
          <w:spacing w:val="-8"/>
          <w:kern w:val="0"/>
          <w:sz w:val="32"/>
        </w:rPr>
      </w:pPr>
    </w:p>
    <w:p>
      <w:pPr>
        <w:spacing w:line="480" w:lineRule="exact"/>
        <w:ind w:firstLine="916" w:firstLineChars="300"/>
        <w:rPr>
          <w:rFonts w:hint="eastAsia" w:ascii="宋体" w:hAnsi="宋体" w:eastAsia="宋体"/>
          <w:b/>
          <w:color w:val="auto"/>
          <w:spacing w:val="-8"/>
          <w:kern w:val="0"/>
          <w:sz w:val="32"/>
          <w:lang w:eastAsia="zh-CN"/>
        </w:rPr>
      </w:pPr>
      <w:r>
        <w:rPr>
          <w:rFonts w:hint="eastAsia" w:ascii="宋体" w:hAnsi="宋体"/>
          <w:b/>
          <w:color w:val="auto"/>
          <w:spacing w:val="-8"/>
          <w:kern w:val="0"/>
          <w:sz w:val="32"/>
          <w:lang w:val="en-US" w:eastAsia="zh-CN"/>
        </w:rPr>
        <w:t>招标</w:t>
      </w:r>
      <w:r>
        <w:rPr>
          <w:rFonts w:hint="eastAsia" w:ascii="宋体" w:hAnsi="宋体"/>
          <w:b/>
          <w:color w:val="auto"/>
          <w:spacing w:val="-8"/>
          <w:kern w:val="0"/>
          <w:sz w:val="32"/>
        </w:rPr>
        <w:t>代理机构：</w:t>
      </w:r>
      <w:r>
        <w:rPr>
          <w:rFonts w:hint="eastAsia" w:ascii="宋体" w:hAnsi="宋体"/>
          <w:b/>
          <w:color w:val="auto"/>
          <w:spacing w:val="-8"/>
          <w:kern w:val="0"/>
          <w:sz w:val="32"/>
          <w:lang w:eastAsia="zh-CN"/>
        </w:rPr>
        <w:t xml:space="preserve">重庆尚宇工程项目管理有限公司 </w:t>
      </w:r>
    </w:p>
    <w:p>
      <w:pPr>
        <w:spacing w:line="480" w:lineRule="exact"/>
        <w:ind w:firstLine="916" w:firstLineChars="300"/>
        <w:rPr>
          <w:rFonts w:ascii="宋体" w:hAnsi="宋体"/>
          <w:b/>
          <w:color w:val="auto"/>
          <w:spacing w:val="-8"/>
          <w:kern w:val="0"/>
          <w:sz w:val="32"/>
        </w:rPr>
      </w:pPr>
    </w:p>
    <w:p>
      <w:pPr>
        <w:autoSpaceDE w:val="0"/>
        <w:autoSpaceDN w:val="0"/>
        <w:adjustRightInd w:val="0"/>
        <w:snapToGrid w:val="0"/>
        <w:spacing w:line="500" w:lineRule="exact"/>
        <w:ind w:firstLine="788" w:firstLineChars="258"/>
        <w:rPr>
          <w:rFonts w:ascii="宋体" w:hAnsi="宋体"/>
          <w:b/>
          <w:color w:val="auto"/>
          <w:spacing w:val="-8"/>
          <w:kern w:val="0"/>
          <w:sz w:val="32"/>
        </w:rPr>
      </w:pPr>
    </w:p>
    <w:p>
      <w:pPr>
        <w:tabs>
          <w:tab w:val="left" w:pos="3200"/>
          <w:tab w:val="left" w:pos="4320"/>
          <w:tab w:val="left" w:pos="5420"/>
        </w:tabs>
        <w:autoSpaceDE w:val="0"/>
        <w:autoSpaceDN w:val="0"/>
        <w:adjustRightInd w:val="0"/>
        <w:snapToGrid w:val="0"/>
        <w:spacing w:line="360" w:lineRule="auto"/>
        <w:jc w:val="center"/>
        <w:rPr>
          <w:rFonts w:ascii="宋体" w:hAnsi="宋体"/>
          <w:b/>
          <w:color w:val="auto"/>
          <w:sz w:val="30"/>
          <w:szCs w:val="30"/>
        </w:rPr>
      </w:pPr>
      <w:r>
        <w:rPr>
          <w:rFonts w:hint="eastAsia" w:ascii="宋体" w:hAnsi="宋体"/>
          <w:b/>
          <w:color w:val="auto"/>
          <w:sz w:val="30"/>
          <w:szCs w:val="30"/>
        </w:rPr>
        <w:t>二〇二</w:t>
      </w:r>
      <w:r>
        <w:rPr>
          <w:rFonts w:hint="eastAsia" w:ascii="宋体" w:hAnsi="宋体"/>
          <w:b/>
          <w:color w:val="auto"/>
          <w:sz w:val="30"/>
          <w:szCs w:val="30"/>
          <w:lang w:val="en-US" w:eastAsia="zh-CN"/>
        </w:rPr>
        <w:t>五</w:t>
      </w:r>
      <w:r>
        <w:rPr>
          <w:rFonts w:hint="eastAsia" w:ascii="宋体" w:hAnsi="宋体"/>
          <w:b/>
          <w:color w:val="auto"/>
          <w:sz w:val="30"/>
          <w:szCs w:val="30"/>
        </w:rPr>
        <w:t>年</w:t>
      </w:r>
      <w:r>
        <w:rPr>
          <w:rFonts w:hint="eastAsia" w:ascii="宋体" w:hAnsi="宋体"/>
          <w:b/>
          <w:color w:val="auto"/>
          <w:sz w:val="30"/>
          <w:szCs w:val="30"/>
          <w:lang w:val="en-US" w:eastAsia="zh-CN"/>
        </w:rPr>
        <w:t>九</w:t>
      </w:r>
      <w:r>
        <w:rPr>
          <w:rFonts w:hint="eastAsia" w:ascii="宋体" w:hAnsi="宋体"/>
          <w:b/>
          <w:color w:val="auto"/>
          <w:sz w:val="30"/>
          <w:szCs w:val="30"/>
        </w:rPr>
        <w:t>月</w:t>
      </w:r>
    </w:p>
    <w:p>
      <w:pPr>
        <w:tabs>
          <w:tab w:val="left" w:pos="673"/>
        </w:tabs>
        <w:jc w:val="left"/>
        <w:rPr>
          <w:color w:val="auto"/>
        </w:rPr>
        <w:sectPr>
          <w:headerReference r:id="rId5" w:type="first"/>
          <w:footerReference r:id="rId8" w:type="first"/>
          <w:headerReference r:id="rId3" w:type="default"/>
          <w:footerReference r:id="rId6" w:type="default"/>
          <w:headerReference r:id="rId4" w:type="even"/>
          <w:footerReference r:id="rId7" w:type="even"/>
          <w:pgSz w:w="11906" w:h="16838"/>
          <w:pgMar w:top="1418" w:right="1418" w:bottom="1418" w:left="1418" w:header="851" w:footer="992" w:gutter="0"/>
          <w:pgNumType w:start="1"/>
          <w:cols w:space="720" w:num="1"/>
          <w:titlePg/>
          <w:docGrid w:linePitch="312" w:charSpace="0"/>
        </w:sectPr>
      </w:pPr>
    </w:p>
    <w:p>
      <w:pPr>
        <w:autoSpaceDE w:val="0"/>
        <w:autoSpaceDN w:val="0"/>
        <w:adjustRightInd w:val="0"/>
        <w:snapToGrid w:val="0"/>
        <w:spacing w:line="360" w:lineRule="auto"/>
        <w:jc w:val="center"/>
        <w:rPr>
          <w:rFonts w:ascii="宋体" w:hAnsi="宋体" w:cs="MingLiU"/>
          <w:b/>
          <w:color w:val="auto"/>
          <w:kern w:val="0"/>
          <w:sz w:val="44"/>
          <w:szCs w:val="44"/>
        </w:rPr>
      </w:pPr>
      <w:r>
        <w:rPr>
          <w:rFonts w:hint="eastAsia" w:ascii="宋体" w:hAnsi="宋体" w:cs="MingLiU"/>
          <w:b/>
          <w:color w:val="auto"/>
          <w:kern w:val="0"/>
          <w:sz w:val="44"/>
          <w:szCs w:val="44"/>
        </w:rPr>
        <w:t>目   录</w:t>
      </w:r>
    </w:p>
    <w:p>
      <w:pPr>
        <w:pStyle w:val="35"/>
        <w:pageBreakBefore w:val="0"/>
        <w:widowControl w:val="0"/>
        <w:tabs>
          <w:tab w:val="right" w:leader="dot" w:pos="9214"/>
          <w:tab w:val="clear" w:pos="8608"/>
        </w:tabs>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 w:val="0"/>
          <w:bCs w:val="0"/>
          <w:caps w:val="0"/>
          <w:color w:val="auto"/>
          <w:kern w:val="0"/>
          <w:sz w:val="21"/>
          <w:szCs w:val="21"/>
          <w:lang w:val="en-US" w:eastAsia="zh-CN" w:bidi="ar-SA"/>
        </w:rPr>
      </w:pPr>
      <w:r>
        <w:rPr>
          <w:rFonts w:hint="eastAsia" w:ascii="宋体" w:hAnsi="宋体" w:eastAsia="宋体" w:cs="宋体"/>
          <w:b w:val="0"/>
          <w:bCs w:val="0"/>
          <w:caps w:val="0"/>
          <w:color w:val="auto"/>
          <w:kern w:val="0"/>
          <w:sz w:val="21"/>
          <w:szCs w:val="21"/>
          <w:lang w:val="en-US" w:eastAsia="zh-CN" w:bidi="ar-SA"/>
        </w:rPr>
        <w:fldChar w:fldCharType="begin"/>
      </w:r>
      <w:r>
        <w:rPr>
          <w:rFonts w:hint="eastAsia" w:ascii="宋体" w:hAnsi="宋体" w:eastAsia="宋体" w:cs="宋体"/>
          <w:b w:val="0"/>
          <w:bCs w:val="0"/>
          <w:caps w:val="0"/>
          <w:color w:val="auto"/>
          <w:kern w:val="0"/>
          <w:sz w:val="21"/>
          <w:szCs w:val="21"/>
          <w:lang w:val="en-US" w:eastAsia="zh-CN" w:bidi="ar-SA"/>
        </w:rPr>
        <w:instrText xml:space="preserve"> TOC \o "1-1" \h \z \u </w:instrText>
      </w:r>
      <w:r>
        <w:rPr>
          <w:rFonts w:hint="eastAsia" w:ascii="宋体" w:hAnsi="宋体" w:eastAsia="宋体" w:cs="宋体"/>
          <w:b w:val="0"/>
          <w:bCs w:val="0"/>
          <w:caps w:val="0"/>
          <w:color w:val="auto"/>
          <w:kern w:val="0"/>
          <w:sz w:val="21"/>
          <w:szCs w:val="21"/>
          <w:lang w:val="en-US" w:eastAsia="zh-CN" w:bidi="ar-SA"/>
        </w:rPr>
        <w:fldChar w:fldCharType="separate"/>
      </w:r>
      <w:r>
        <w:rPr>
          <w:rFonts w:hint="eastAsia" w:ascii="宋体" w:hAnsi="宋体" w:eastAsia="宋体" w:cs="宋体"/>
          <w:b w:val="0"/>
          <w:bCs w:val="0"/>
          <w:caps w:val="0"/>
          <w:color w:val="auto"/>
          <w:kern w:val="0"/>
          <w:sz w:val="21"/>
          <w:szCs w:val="21"/>
          <w:lang w:val="en-US" w:eastAsia="zh-CN" w:bidi="ar-SA"/>
        </w:rPr>
        <w:fldChar w:fldCharType="begin"/>
      </w:r>
      <w:r>
        <w:rPr>
          <w:rFonts w:hint="eastAsia" w:ascii="宋体" w:hAnsi="宋体" w:eastAsia="宋体" w:cs="宋体"/>
          <w:b w:val="0"/>
          <w:bCs w:val="0"/>
          <w:caps w:val="0"/>
          <w:color w:val="auto"/>
          <w:kern w:val="0"/>
          <w:sz w:val="21"/>
          <w:szCs w:val="21"/>
          <w:lang w:val="en-US" w:eastAsia="zh-CN" w:bidi="ar-SA"/>
        </w:rPr>
        <w:instrText xml:space="preserve"> HYPERLINK \l "_Toc513492487" </w:instrText>
      </w:r>
      <w:r>
        <w:rPr>
          <w:rFonts w:hint="eastAsia" w:ascii="宋体" w:hAnsi="宋体" w:eastAsia="宋体" w:cs="宋体"/>
          <w:b w:val="0"/>
          <w:bCs w:val="0"/>
          <w:caps w:val="0"/>
          <w:color w:val="auto"/>
          <w:kern w:val="0"/>
          <w:sz w:val="21"/>
          <w:szCs w:val="21"/>
          <w:lang w:val="en-US" w:eastAsia="zh-CN" w:bidi="ar-SA"/>
        </w:rPr>
        <w:fldChar w:fldCharType="separate"/>
      </w:r>
      <w:r>
        <w:rPr>
          <w:rFonts w:hint="eastAsia" w:ascii="宋体" w:hAnsi="宋体" w:eastAsia="宋体" w:cs="宋体"/>
          <w:b w:val="0"/>
          <w:bCs w:val="0"/>
          <w:caps w:val="0"/>
          <w:color w:val="auto"/>
          <w:kern w:val="0"/>
          <w:sz w:val="21"/>
          <w:szCs w:val="21"/>
          <w:lang w:val="en-US" w:eastAsia="zh-CN" w:bidi="ar-SA"/>
        </w:rPr>
        <w:t>第一章  竞争性比选公告</w:t>
      </w:r>
      <w:r>
        <w:rPr>
          <w:rFonts w:hint="eastAsia" w:ascii="宋体" w:hAnsi="宋体" w:eastAsia="宋体" w:cs="宋体"/>
          <w:b w:val="0"/>
          <w:bCs w:val="0"/>
          <w:caps w:val="0"/>
          <w:color w:val="auto"/>
          <w:kern w:val="0"/>
          <w:sz w:val="21"/>
          <w:szCs w:val="21"/>
          <w:lang w:val="en-US" w:eastAsia="zh-CN" w:bidi="ar-SA"/>
        </w:rPr>
        <w:tab/>
      </w:r>
      <w:r>
        <w:rPr>
          <w:rFonts w:hint="eastAsia" w:ascii="宋体" w:hAnsi="宋体" w:eastAsia="宋体" w:cs="宋体"/>
          <w:b w:val="0"/>
          <w:bCs w:val="0"/>
          <w:caps w:val="0"/>
          <w:color w:val="auto"/>
          <w:kern w:val="0"/>
          <w:sz w:val="21"/>
          <w:szCs w:val="21"/>
          <w:lang w:val="en-US" w:eastAsia="zh-CN" w:bidi="ar-SA"/>
        </w:rPr>
        <w:fldChar w:fldCharType="begin"/>
      </w:r>
      <w:r>
        <w:rPr>
          <w:rFonts w:hint="eastAsia" w:ascii="宋体" w:hAnsi="宋体" w:eastAsia="宋体" w:cs="宋体"/>
          <w:b w:val="0"/>
          <w:bCs w:val="0"/>
          <w:caps w:val="0"/>
          <w:color w:val="auto"/>
          <w:kern w:val="0"/>
          <w:sz w:val="21"/>
          <w:szCs w:val="21"/>
          <w:lang w:val="en-US" w:eastAsia="zh-CN" w:bidi="ar-SA"/>
        </w:rPr>
        <w:instrText xml:space="preserve"> PAGEREF _Toc513492487 \h </w:instrText>
      </w:r>
      <w:r>
        <w:rPr>
          <w:rFonts w:hint="eastAsia" w:ascii="宋体" w:hAnsi="宋体" w:eastAsia="宋体" w:cs="宋体"/>
          <w:b w:val="0"/>
          <w:bCs w:val="0"/>
          <w:caps w:val="0"/>
          <w:color w:val="auto"/>
          <w:kern w:val="0"/>
          <w:sz w:val="21"/>
          <w:szCs w:val="21"/>
          <w:lang w:val="en-US" w:eastAsia="zh-CN" w:bidi="ar-SA"/>
        </w:rPr>
        <w:fldChar w:fldCharType="separate"/>
      </w:r>
      <w:r>
        <w:rPr>
          <w:rFonts w:hint="eastAsia" w:ascii="宋体" w:hAnsi="宋体" w:eastAsia="宋体" w:cs="宋体"/>
          <w:b w:val="0"/>
          <w:bCs w:val="0"/>
          <w:caps w:val="0"/>
          <w:color w:val="auto"/>
          <w:kern w:val="0"/>
          <w:sz w:val="21"/>
          <w:szCs w:val="21"/>
          <w:lang w:val="en-US" w:eastAsia="zh-CN" w:bidi="ar-SA"/>
        </w:rPr>
        <w:t>3</w:t>
      </w:r>
      <w:r>
        <w:rPr>
          <w:rFonts w:hint="eastAsia" w:ascii="宋体" w:hAnsi="宋体" w:eastAsia="宋体" w:cs="宋体"/>
          <w:b w:val="0"/>
          <w:bCs w:val="0"/>
          <w:caps w:val="0"/>
          <w:color w:val="auto"/>
          <w:kern w:val="0"/>
          <w:sz w:val="21"/>
          <w:szCs w:val="21"/>
          <w:lang w:val="en-US" w:eastAsia="zh-CN" w:bidi="ar-SA"/>
        </w:rPr>
        <w:fldChar w:fldCharType="end"/>
      </w:r>
      <w:r>
        <w:rPr>
          <w:rFonts w:hint="eastAsia" w:ascii="宋体" w:hAnsi="宋体" w:eastAsia="宋体" w:cs="宋体"/>
          <w:b w:val="0"/>
          <w:bCs w:val="0"/>
          <w:caps w:val="0"/>
          <w:color w:val="auto"/>
          <w:kern w:val="0"/>
          <w:sz w:val="21"/>
          <w:szCs w:val="21"/>
          <w:lang w:val="en-US" w:eastAsia="zh-CN" w:bidi="ar-SA"/>
        </w:rPr>
        <w:fldChar w:fldCharType="end"/>
      </w:r>
    </w:p>
    <w:p>
      <w:pPr>
        <w:pStyle w:val="35"/>
        <w:pageBreakBefore w:val="0"/>
        <w:widowControl w:val="0"/>
        <w:tabs>
          <w:tab w:val="right" w:leader="dot" w:pos="9214"/>
          <w:tab w:val="clear" w:pos="8608"/>
        </w:tabs>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 w:val="0"/>
          <w:bCs w:val="0"/>
          <w:caps w:val="0"/>
          <w:color w:val="auto"/>
          <w:kern w:val="0"/>
          <w:sz w:val="21"/>
          <w:szCs w:val="21"/>
          <w:lang w:val="en-US" w:eastAsia="zh-CN" w:bidi="ar-SA"/>
        </w:rPr>
      </w:pPr>
      <w:r>
        <w:rPr>
          <w:rFonts w:hint="eastAsia" w:ascii="宋体" w:hAnsi="宋体" w:eastAsia="宋体" w:cs="宋体"/>
          <w:b w:val="0"/>
          <w:bCs w:val="0"/>
          <w:caps w:val="0"/>
          <w:color w:val="auto"/>
          <w:kern w:val="0"/>
          <w:sz w:val="21"/>
          <w:szCs w:val="21"/>
          <w:lang w:val="en-US" w:eastAsia="zh-CN" w:bidi="ar-SA"/>
        </w:rPr>
        <w:fldChar w:fldCharType="begin"/>
      </w:r>
      <w:r>
        <w:rPr>
          <w:rFonts w:hint="eastAsia" w:ascii="宋体" w:hAnsi="宋体" w:eastAsia="宋体" w:cs="宋体"/>
          <w:b w:val="0"/>
          <w:bCs w:val="0"/>
          <w:caps w:val="0"/>
          <w:color w:val="auto"/>
          <w:kern w:val="0"/>
          <w:sz w:val="21"/>
          <w:szCs w:val="21"/>
          <w:lang w:val="en-US" w:eastAsia="zh-CN" w:bidi="ar-SA"/>
        </w:rPr>
        <w:instrText xml:space="preserve"> HYPERLINK \l "_Toc513492488" </w:instrText>
      </w:r>
      <w:r>
        <w:rPr>
          <w:rFonts w:hint="eastAsia" w:ascii="宋体" w:hAnsi="宋体" w:eastAsia="宋体" w:cs="宋体"/>
          <w:b w:val="0"/>
          <w:bCs w:val="0"/>
          <w:caps w:val="0"/>
          <w:color w:val="auto"/>
          <w:kern w:val="0"/>
          <w:sz w:val="21"/>
          <w:szCs w:val="21"/>
          <w:lang w:val="en-US" w:eastAsia="zh-CN" w:bidi="ar-SA"/>
        </w:rPr>
        <w:fldChar w:fldCharType="separate"/>
      </w:r>
      <w:r>
        <w:rPr>
          <w:rFonts w:hint="eastAsia" w:ascii="宋体" w:hAnsi="宋体" w:eastAsia="宋体" w:cs="宋体"/>
          <w:b w:val="0"/>
          <w:bCs w:val="0"/>
          <w:caps w:val="0"/>
          <w:color w:val="auto"/>
          <w:kern w:val="0"/>
          <w:sz w:val="21"/>
          <w:szCs w:val="21"/>
          <w:lang w:val="en-US" w:eastAsia="zh-CN" w:bidi="ar-SA"/>
        </w:rPr>
        <w:t>第二章  投标人须知</w:t>
      </w:r>
      <w:r>
        <w:rPr>
          <w:rFonts w:hint="eastAsia" w:ascii="宋体" w:hAnsi="宋体" w:eastAsia="宋体" w:cs="宋体"/>
          <w:b w:val="0"/>
          <w:bCs w:val="0"/>
          <w:caps w:val="0"/>
          <w:color w:val="auto"/>
          <w:kern w:val="0"/>
          <w:sz w:val="21"/>
          <w:szCs w:val="21"/>
          <w:lang w:val="en-US" w:eastAsia="zh-CN" w:bidi="ar-SA"/>
        </w:rPr>
        <w:tab/>
      </w:r>
      <w:r>
        <w:rPr>
          <w:rFonts w:hint="eastAsia" w:ascii="宋体" w:hAnsi="宋体" w:eastAsia="宋体" w:cs="宋体"/>
          <w:b w:val="0"/>
          <w:bCs w:val="0"/>
          <w:caps w:val="0"/>
          <w:color w:val="auto"/>
          <w:kern w:val="0"/>
          <w:sz w:val="21"/>
          <w:szCs w:val="21"/>
          <w:lang w:val="en-US" w:eastAsia="zh-CN" w:bidi="ar-SA"/>
        </w:rPr>
        <w:fldChar w:fldCharType="begin"/>
      </w:r>
      <w:r>
        <w:rPr>
          <w:rFonts w:hint="eastAsia" w:ascii="宋体" w:hAnsi="宋体" w:eastAsia="宋体" w:cs="宋体"/>
          <w:b w:val="0"/>
          <w:bCs w:val="0"/>
          <w:caps w:val="0"/>
          <w:color w:val="auto"/>
          <w:kern w:val="0"/>
          <w:sz w:val="21"/>
          <w:szCs w:val="21"/>
          <w:lang w:val="en-US" w:eastAsia="zh-CN" w:bidi="ar-SA"/>
        </w:rPr>
        <w:instrText xml:space="preserve"> PAGEREF _Toc513492488 \h </w:instrText>
      </w:r>
      <w:r>
        <w:rPr>
          <w:rFonts w:hint="eastAsia" w:ascii="宋体" w:hAnsi="宋体" w:eastAsia="宋体" w:cs="宋体"/>
          <w:b w:val="0"/>
          <w:bCs w:val="0"/>
          <w:caps w:val="0"/>
          <w:color w:val="auto"/>
          <w:kern w:val="0"/>
          <w:sz w:val="21"/>
          <w:szCs w:val="21"/>
          <w:lang w:val="en-US" w:eastAsia="zh-CN" w:bidi="ar-SA"/>
        </w:rPr>
        <w:fldChar w:fldCharType="separate"/>
      </w:r>
      <w:r>
        <w:rPr>
          <w:rFonts w:hint="eastAsia" w:ascii="宋体" w:hAnsi="宋体" w:eastAsia="宋体" w:cs="宋体"/>
          <w:b w:val="0"/>
          <w:bCs w:val="0"/>
          <w:caps w:val="0"/>
          <w:color w:val="auto"/>
          <w:kern w:val="0"/>
          <w:sz w:val="21"/>
          <w:szCs w:val="21"/>
          <w:lang w:val="en-US" w:eastAsia="zh-CN" w:bidi="ar-SA"/>
        </w:rPr>
        <w:t>5</w:t>
      </w:r>
      <w:r>
        <w:rPr>
          <w:rFonts w:hint="eastAsia" w:ascii="宋体" w:hAnsi="宋体" w:eastAsia="宋体" w:cs="宋体"/>
          <w:b w:val="0"/>
          <w:bCs w:val="0"/>
          <w:caps w:val="0"/>
          <w:color w:val="auto"/>
          <w:kern w:val="0"/>
          <w:sz w:val="21"/>
          <w:szCs w:val="21"/>
          <w:lang w:val="en-US" w:eastAsia="zh-CN" w:bidi="ar-SA"/>
        </w:rPr>
        <w:fldChar w:fldCharType="end"/>
      </w:r>
      <w:r>
        <w:rPr>
          <w:rFonts w:hint="eastAsia" w:ascii="宋体" w:hAnsi="宋体" w:eastAsia="宋体" w:cs="宋体"/>
          <w:b w:val="0"/>
          <w:bCs w:val="0"/>
          <w:caps w:val="0"/>
          <w:color w:val="auto"/>
          <w:kern w:val="0"/>
          <w:sz w:val="21"/>
          <w:szCs w:val="21"/>
          <w:lang w:val="en-US" w:eastAsia="zh-CN" w:bidi="ar-SA"/>
        </w:rPr>
        <w:fldChar w:fldCharType="end"/>
      </w:r>
    </w:p>
    <w:p>
      <w:pPr>
        <w:pStyle w:val="35"/>
        <w:pageBreakBefore w:val="0"/>
        <w:widowControl w:val="0"/>
        <w:tabs>
          <w:tab w:val="right" w:leader="dot" w:pos="9214"/>
          <w:tab w:val="clear" w:pos="8608"/>
        </w:tabs>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 w:val="0"/>
          <w:bCs w:val="0"/>
          <w:caps w:val="0"/>
          <w:color w:val="auto"/>
          <w:kern w:val="0"/>
          <w:sz w:val="21"/>
          <w:szCs w:val="21"/>
          <w:lang w:val="en-US" w:eastAsia="zh-CN" w:bidi="ar-SA"/>
        </w:rPr>
      </w:pPr>
      <w:r>
        <w:rPr>
          <w:rFonts w:hint="eastAsia" w:ascii="宋体" w:hAnsi="宋体" w:eastAsia="宋体" w:cs="宋体"/>
          <w:b w:val="0"/>
          <w:bCs w:val="0"/>
          <w:caps w:val="0"/>
          <w:color w:val="auto"/>
          <w:kern w:val="0"/>
          <w:sz w:val="21"/>
          <w:szCs w:val="21"/>
          <w:lang w:val="en-US" w:eastAsia="zh-CN" w:bidi="ar-SA"/>
        </w:rPr>
        <w:fldChar w:fldCharType="begin"/>
      </w:r>
      <w:r>
        <w:rPr>
          <w:rFonts w:hint="eastAsia" w:ascii="宋体" w:hAnsi="宋体" w:eastAsia="宋体" w:cs="宋体"/>
          <w:b w:val="0"/>
          <w:bCs w:val="0"/>
          <w:caps w:val="0"/>
          <w:color w:val="auto"/>
          <w:kern w:val="0"/>
          <w:sz w:val="21"/>
          <w:szCs w:val="21"/>
          <w:lang w:val="en-US" w:eastAsia="zh-CN" w:bidi="ar-SA"/>
        </w:rPr>
        <w:instrText xml:space="preserve"> HYPERLINK \l "_Toc513492489" </w:instrText>
      </w:r>
      <w:r>
        <w:rPr>
          <w:rFonts w:hint="eastAsia" w:ascii="宋体" w:hAnsi="宋体" w:eastAsia="宋体" w:cs="宋体"/>
          <w:b w:val="0"/>
          <w:bCs w:val="0"/>
          <w:caps w:val="0"/>
          <w:color w:val="auto"/>
          <w:kern w:val="0"/>
          <w:sz w:val="21"/>
          <w:szCs w:val="21"/>
          <w:lang w:val="en-US" w:eastAsia="zh-CN" w:bidi="ar-SA"/>
        </w:rPr>
        <w:fldChar w:fldCharType="separate"/>
      </w:r>
      <w:r>
        <w:rPr>
          <w:rFonts w:hint="eastAsia" w:ascii="宋体" w:hAnsi="宋体" w:eastAsia="宋体" w:cs="宋体"/>
          <w:b w:val="0"/>
          <w:bCs w:val="0"/>
          <w:caps w:val="0"/>
          <w:color w:val="auto"/>
          <w:kern w:val="0"/>
          <w:sz w:val="21"/>
          <w:szCs w:val="21"/>
          <w:lang w:val="en-US" w:eastAsia="zh-CN" w:bidi="ar-SA"/>
        </w:rPr>
        <w:t>第三章  评标办法（经评审的最低投标价法）</w:t>
      </w:r>
      <w:r>
        <w:rPr>
          <w:rFonts w:hint="eastAsia" w:ascii="宋体" w:hAnsi="宋体" w:eastAsia="宋体" w:cs="宋体"/>
          <w:b w:val="0"/>
          <w:bCs w:val="0"/>
          <w:caps w:val="0"/>
          <w:color w:val="auto"/>
          <w:kern w:val="0"/>
          <w:sz w:val="21"/>
          <w:szCs w:val="21"/>
          <w:lang w:val="en-US" w:eastAsia="zh-CN" w:bidi="ar-SA"/>
        </w:rPr>
        <w:tab/>
      </w:r>
      <w:r>
        <w:rPr>
          <w:rFonts w:hint="eastAsia" w:ascii="宋体" w:hAnsi="宋体" w:eastAsia="宋体" w:cs="宋体"/>
          <w:b w:val="0"/>
          <w:bCs w:val="0"/>
          <w:caps w:val="0"/>
          <w:color w:val="auto"/>
          <w:kern w:val="0"/>
          <w:sz w:val="21"/>
          <w:szCs w:val="21"/>
          <w:lang w:val="en-US" w:eastAsia="zh-CN" w:bidi="ar-SA"/>
        </w:rPr>
        <w:fldChar w:fldCharType="begin"/>
      </w:r>
      <w:r>
        <w:rPr>
          <w:rFonts w:hint="eastAsia" w:ascii="宋体" w:hAnsi="宋体" w:eastAsia="宋体" w:cs="宋体"/>
          <w:b w:val="0"/>
          <w:bCs w:val="0"/>
          <w:caps w:val="0"/>
          <w:color w:val="auto"/>
          <w:kern w:val="0"/>
          <w:sz w:val="21"/>
          <w:szCs w:val="21"/>
          <w:lang w:val="en-US" w:eastAsia="zh-CN" w:bidi="ar-SA"/>
        </w:rPr>
        <w:instrText xml:space="preserve"> PAGEREF _Toc513492489 \h </w:instrText>
      </w:r>
      <w:r>
        <w:rPr>
          <w:rFonts w:hint="eastAsia" w:ascii="宋体" w:hAnsi="宋体" w:eastAsia="宋体" w:cs="宋体"/>
          <w:b w:val="0"/>
          <w:bCs w:val="0"/>
          <w:caps w:val="0"/>
          <w:color w:val="auto"/>
          <w:kern w:val="0"/>
          <w:sz w:val="21"/>
          <w:szCs w:val="21"/>
          <w:lang w:val="en-US" w:eastAsia="zh-CN" w:bidi="ar-SA"/>
        </w:rPr>
        <w:fldChar w:fldCharType="separate"/>
      </w:r>
      <w:r>
        <w:rPr>
          <w:rFonts w:hint="eastAsia" w:ascii="宋体" w:hAnsi="宋体" w:eastAsia="宋体" w:cs="宋体"/>
          <w:b w:val="0"/>
          <w:bCs w:val="0"/>
          <w:caps w:val="0"/>
          <w:color w:val="auto"/>
          <w:kern w:val="0"/>
          <w:sz w:val="21"/>
          <w:szCs w:val="21"/>
          <w:lang w:val="en-US" w:eastAsia="zh-CN" w:bidi="ar-SA"/>
        </w:rPr>
        <w:t>24</w:t>
      </w:r>
      <w:r>
        <w:rPr>
          <w:rFonts w:hint="eastAsia" w:ascii="宋体" w:hAnsi="宋体" w:eastAsia="宋体" w:cs="宋体"/>
          <w:b w:val="0"/>
          <w:bCs w:val="0"/>
          <w:caps w:val="0"/>
          <w:color w:val="auto"/>
          <w:kern w:val="0"/>
          <w:sz w:val="21"/>
          <w:szCs w:val="21"/>
          <w:lang w:val="en-US" w:eastAsia="zh-CN" w:bidi="ar-SA"/>
        </w:rPr>
        <w:fldChar w:fldCharType="end"/>
      </w:r>
      <w:r>
        <w:rPr>
          <w:rFonts w:hint="eastAsia" w:ascii="宋体" w:hAnsi="宋体" w:eastAsia="宋体" w:cs="宋体"/>
          <w:b w:val="0"/>
          <w:bCs w:val="0"/>
          <w:caps w:val="0"/>
          <w:color w:val="auto"/>
          <w:kern w:val="0"/>
          <w:sz w:val="21"/>
          <w:szCs w:val="21"/>
          <w:lang w:val="en-US" w:eastAsia="zh-CN" w:bidi="ar-SA"/>
        </w:rPr>
        <w:fldChar w:fldCharType="end"/>
      </w:r>
    </w:p>
    <w:p>
      <w:pPr>
        <w:pStyle w:val="35"/>
        <w:pageBreakBefore w:val="0"/>
        <w:widowControl w:val="0"/>
        <w:tabs>
          <w:tab w:val="right" w:leader="dot" w:pos="9214"/>
          <w:tab w:val="clear" w:pos="8608"/>
        </w:tabs>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 w:val="0"/>
          <w:bCs w:val="0"/>
          <w:caps w:val="0"/>
          <w:color w:val="auto"/>
          <w:kern w:val="0"/>
          <w:sz w:val="21"/>
          <w:szCs w:val="21"/>
          <w:lang w:val="en-US" w:eastAsia="zh-CN" w:bidi="ar-SA"/>
        </w:rPr>
      </w:pPr>
      <w:r>
        <w:rPr>
          <w:rFonts w:hint="eastAsia" w:ascii="宋体" w:hAnsi="宋体" w:eastAsia="宋体" w:cs="宋体"/>
          <w:b w:val="0"/>
          <w:bCs w:val="0"/>
          <w:caps w:val="0"/>
          <w:color w:val="auto"/>
          <w:kern w:val="0"/>
          <w:sz w:val="21"/>
          <w:szCs w:val="21"/>
          <w:lang w:val="en-US" w:eastAsia="zh-CN" w:bidi="ar-SA"/>
        </w:rPr>
        <w:fldChar w:fldCharType="begin"/>
      </w:r>
      <w:r>
        <w:rPr>
          <w:rFonts w:hint="eastAsia" w:ascii="宋体" w:hAnsi="宋体" w:eastAsia="宋体" w:cs="宋体"/>
          <w:b w:val="0"/>
          <w:bCs w:val="0"/>
          <w:caps w:val="0"/>
          <w:color w:val="auto"/>
          <w:kern w:val="0"/>
          <w:sz w:val="21"/>
          <w:szCs w:val="21"/>
          <w:lang w:val="en-US" w:eastAsia="zh-CN" w:bidi="ar-SA"/>
        </w:rPr>
        <w:instrText xml:space="preserve"> HYPERLINK \l "_Toc513492490" </w:instrText>
      </w:r>
      <w:r>
        <w:rPr>
          <w:rFonts w:hint="eastAsia" w:ascii="宋体" w:hAnsi="宋体" w:eastAsia="宋体" w:cs="宋体"/>
          <w:b w:val="0"/>
          <w:bCs w:val="0"/>
          <w:caps w:val="0"/>
          <w:color w:val="auto"/>
          <w:kern w:val="0"/>
          <w:sz w:val="21"/>
          <w:szCs w:val="21"/>
          <w:lang w:val="en-US" w:eastAsia="zh-CN" w:bidi="ar-SA"/>
        </w:rPr>
        <w:fldChar w:fldCharType="separate"/>
      </w:r>
      <w:r>
        <w:rPr>
          <w:rFonts w:hint="eastAsia" w:ascii="宋体" w:hAnsi="宋体" w:eastAsia="宋体" w:cs="宋体"/>
          <w:b w:val="0"/>
          <w:bCs w:val="0"/>
          <w:caps w:val="0"/>
          <w:color w:val="auto"/>
          <w:kern w:val="0"/>
          <w:sz w:val="21"/>
          <w:szCs w:val="21"/>
          <w:lang w:val="en-US" w:eastAsia="zh-CN" w:bidi="ar-SA"/>
        </w:rPr>
        <w:t>第四章  合同条款及</w:t>
      </w:r>
      <w:bookmarkStart w:id="6" w:name="_Hlt514795948"/>
      <w:r>
        <w:rPr>
          <w:rFonts w:hint="eastAsia" w:ascii="宋体" w:hAnsi="宋体" w:eastAsia="宋体" w:cs="宋体"/>
          <w:b w:val="0"/>
          <w:bCs w:val="0"/>
          <w:caps w:val="0"/>
          <w:color w:val="auto"/>
          <w:kern w:val="0"/>
          <w:sz w:val="21"/>
          <w:szCs w:val="21"/>
          <w:lang w:val="en-US" w:eastAsia="zh-CN" w:bidi="ar-SA"/>
        </w:rPr>
        <w:t>格</w:t>
      </w:r>
      <w:bookmarkEnd w:id="6"/>
      <w:r>
        <w:rPr>
          <w:rFonts w:hint="eastAsia" w:ascii="宋体" w:hAnsi="宋体" w:eastAsia="宋体" w:cs="宋体"/>
          <w:b w:val="0"/>
          <w:bCs w:val="0"/>
          <w:caps w:val="0"/>
          <w:color w:val="auto"/>
          <w:kern w:val="0"/>
          <w:sz w:val="21"/>
          <w:szCs w:val="21"/>
          <w:lang w:val="en-US" w:eastAsia="zh-CN" w:bidi="ar-SA"/>
        </w:rPr>
        <w:t>式</w:t>
      </w:r>
      <w:r>
        <w:rPr>
          <w:rFonts w:hint="eastAsia" w:ascii="宋体" w:hAnsi="宋体" w:eastAsia="宋体" w:cs="宋体"/>
          <w:b w:val="0"/>
          <w:bCs w:val="0"/>
          <w:caps w:val="0"/>
          <w:color w:val="auto"/>
          <w:kern w:val="0"/>
          <w:sz w:val="21"/>
          <w:szCs w:val="21"/>
          <w:lang w:val="en-US" w:eastAsia="zh-CN" w:bidi="ar-SA"/>
        </w:rPr>
        <w:tab/>
      </w:r>
      <w:bookmarkStart w:id="7" w:name="_Hlt514795804"/>
      <w:bookmarkStart w:id="8" w:name="_Hlt514795805"/>
      <w:r>
        <w:rPr>
          <w:rFonts w:hint="eastAsia" w:ascii="宋体" w:hAnsi="宋体" w:eastAsia="宋体" w:cs="宋体"/>
          <w:b w:val="0"/>
          <w:bCs w:val="0"/>
          <w:caps w:val="0"/>
          <w:color w:val="auto"/>
          <w:kern w:val="0"/>
          <w:sz w:val="21"/>
          <w:szCs w:val="21"/>
          <w:lang w:val="en-US" w:eastAsia="zh-CN" w:bidi="ar-SA"/>
        </w:rPr>
        <w:fldChar w:fldCharType="begin"/>
      </w:r>
      <w:r>
        <w:rPr>
          <w:rFonts w:hint="eastAsia" w:ascii="宋体" w:hAnsi="宋体" w:eastAsia="宋体" w:cs="宋体"/>
          <w:b w:val="0"/>
          <w:bCs w:val="0"/>
          <w:caps w:val="0"/>
          <w:color w:val="auto"/>
          <w:kern w:val="0"/>
          <w:sz w:val="21"/>
          <w:szCs w:val="21"/>
          <w:lang w:val="en-US" w:eastAsia="zh-CN" w:bidi="ar-SA"/>
        </w:rPr>
        <w:instrText xml:space="preserve"> PAGEREF _Toc513492490 \h </w:instrText>
      </w:r>
      <w:r>
        <w:rPr>
          <w:rFonts w:hint="eastAsia" w:ascii="宋体" w:hAnsi="宋体" w:eastAsia="宋体" w:cs="宋体"/>
          <w:b w:val="0"/>
          <w:bCs w:val="0"/>
          <w:caps w:val="0"/>
          <w:color w:val="auto"/>
          <w:kern w:val="0"/>
          <w:sz w:val="21"/>
          <w:szCs w:val="21"/>
          <w:lang w:val="en-US" w:eastAsia="zh-CN" w:bidi="ar-SA"/>
        </w:rPr>
        <w:fldChar w:fldCharType="separate"/>
      </w:r>
      <w:r>
        <w:rPr>
          <w:rFonts w:hint="eastAsia" w:ascii="宋体" w:hAnsi="宋体" w:eastAsia="宋体" w:cs="宋体"/>
          <w:b w:val="0"/>
          <w:bCs w:val="0"/>
          <w:caps w:val="0"/>
          <w:color w:val="auto"/>
          <w:kern w:val="0"/>
          <w:sz w:val="21"/>
          <w:szCs w:val="21"/>
          <w:lang w:val="en-US" w:eastAsia="zh-CN" w:bidi="ar-SA"/>
        </w:rPr>
        <w:t>25</w:t>
      </w:r>
      <w:r>
        <w:rPr>
          <w:rFonts w:hint="eastAsia" w:ascii="宋体" w:hAnsi="宋体" w:eastAsia="宋体" w:cs="宋体"/>
          <w:b w:val="0"/>
          <w:bCs w:val="0"/>
          <w:caps w:val="0"/>
          <w:color w:val="auto"/>
          <w:kern w:val="0"/>
          <w:sz w:val="21"/>
          <w:szCs w:val="21"/>
          <w:lang w:val="en-US" w:eastAsia="zh-CN" w:bidi="ar-SA"/>
        </w:rPr>
        <w:fldChar w:fldCharType="end"/>
      </w:r>
      <w:bookmarkEnd w:id="7"/>
      <w:bookmarkEnd w:id="8"/>
      <w:r>
        <w:rPr>
          <w:rFonts w:hint="eastAsia" w:ascii="宋体" w:hAnsi="宋体" w:eastAsia="宋体" w:cs="宋体"/>
          <w:b w:val="0"/>
          <w:bCs w:val="0"/>
          <w:caps w:val="0"/>
          <w:color w:val="auto"/>
          <w:kern w:val="0"/>
          <w:sz w:val="21"/>
          <w:szCs w:val="21"/>
          <w:lang w:val="en-US" w:eastAsia="zh-CN" w:bidi="ar-SA"/>
        </w:rPr>
        <w:fldChar w:fldCharType="end"/>
      </w:r>
    </w:p>
    <w:p>
      <w:pPr>
        <w:pStyle w:val="35"/>
        <w:pageBreakBefore w:val="0"/>
        <w:widowControl w:val="0"/>
        <w:tabs>
          <w:tab w:val="right" w:leader="dot" w:pos="9214"/>
          <w:tab w:val="clear" w:pos="8608"/>
        </w:tabs>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 w:val="0"/>
          <w:bCs w:val="0"/>
          <w:caps w:val="0"/>
          <w:color w:val="auto"/>
          <w:kern w:val="0"/>
          <w:sz w:val="21"/>
          <w:szCs w:val="21"/>
          <w:lang w:val="en-US" w:eastAsia="zh-CN" w:bidi="ar-SA"/>
        </w:rPr>
      </w:pPr>
      <w:r>
        <w:rPr>
          <w:rFonts w:hint="eastAsia" w:ascii="宋体" w:hAnsi="宋体" w:eastAsia="宋体" w:cs="宋体"/>
          <w:b w:val="0"/>
          <w:bCs w:val="0"/>
          <w:caps w:val="0"/>
          <w:color w:val="auto"/>
          <w:kern w:val="0"/>
          <w:sz w:val="21"/>
          <w:szCs w:val="21"/>
          <w:lang w:val="en-US" w:eastAsia="zh-CN" w:bidi="ar-SA"/>
        </w:rPr>
        <w:fldChar w:fldCharType="begin"/>
      </w:r>
      <w:r>
        <w:rPr>
          <w:rFonts w:hint="eastAsia" w:ascii="宋体" w:hAnsi="宋体" w:eastAsia="宋体" w:cs="宋体"/>
          <w:b w:val="0"/>
          <w:bCs w:val="0"/>
          <w:caps w:val="0"/>
          <w:color w:val="auto"/>
          <w:kern w:val="0"/>
          <w:sz w:val="21"/>
          <w:szCs w:val="21"/>
          <w:lang w:val="en-US" w:eastAsia="zh-CN" w:bidi="ar-SA"/>
        </w:rPr>
        <w:instrText xml:space="preserve"> HYPERLINK \l "_Toc513492491" </w:instrText>
      </w:r>
      <w:r>
        <w:rPr>
          <w:rFonts w:hint="eastAsia" w:ascii="宋体" w:hAnsi="宋体" w:eastAsia="宋体" w:cs="宋体"/>
          <w:b w:val="0"/>
          <w:bCs w:val="0"/>
          <w:caps w:val="0"/>
          <w:color w:val="auto"/>
          <w:kern w:val="0"/>
          <w:sz w:val="21"/>
          <w:szCs w:val="21"/>
          <w:lang w:val="en-US" w:eastAsia="zh-CN" w:bidi="ar-SA"/>
        </w:rPr>
        <w:fldChar w:fldCharType="separate"/>
      </w:r>
      <w:r>
        <w:rPr>
          <w:rFonts w:hint="eastAsia" w:ascii="宋体" w:hAnsi="宋体" w:eastAsia="宋体" w:cs="宋体"/>
          <w:b w:val="0"/>
          <w:bCs w:val="0"/>
          <w:caps w:val="0"/>
          <w:color w:val="auto"/>
          <w:kern w:val="0"/>
          <w:sz w:val="21"/>
          <w:szCs w:val="21"/>
          <w:lang w:val="en-US" w:eastAsia="zh-CN" w:bidi="ar-SA"/>
        </w:rPr>
        <w:t>第五章  工程量清单</w:t>
      </w:r>
      <w:r>
        <w:rPr>
          <w:rFonts w:hint="eastAsia" w:ascii="宋体" w:hAnsi="宋体" w:eastAsia="宋体" w:cs="宋体"/>
          <w:b w:val="0"/>
          <w:bCs w:val="0"/>
          <w:caps w:val="0"/>
          <w:color w:val="auto"/>
          <w:kern w:val="0"/>
          <w:sz w:val="21"/>
          <w:szCs w:val="21"/>
          <w:lang w:val="en-US" w:eastAsia="zh-CN" w:bidi="ar-SA"/>
        </w:rPr>
        <w:tab/>
      </w:r>
      <w:r>
        <w:rPr>
          <w:rFonts w:hint="eastAsia" w:ascii="宋体" w:hAnsi="宋体" w:eastAsia="宋体" w:cs="宋体"/>
          <w:b w:val="0"/>
          <w:bCs w:val="0"/>
          <w:caps w:val="0"/>
          <w:color w:val="auto"/>
          <w:kern w:val="0"/>
          <w:sz w:val="21"/>
          <w:szCs w:val="21"/>
          <w:lang w:val="en-US" w:eastAsia="zh-CN" w:bidi="ar-SA"/>
        </w:rPr>
        <w:fldChar w:fldCharType="begin"/>
      </w:r>
      <w:r>
        <w:rPr>
          <w:rFonts w:hint="eastAsia" w:ascii="宋体" w:hAnsi="宋体" w:eastAsia="宋体" w:cs="宋体"/>
          <w:b w:val="0"/>
          <w:bCs w:val="0"/>
          <w:caps w:val="0"/>
          <w:color w:val="auto"/>
          <w:kern w:val="0"/>
          <w:sz w:val="21"/>
          <w:szCs w:val="21"/>
          <w:lang w:val="en-US" w:eastAsia="zh-CN" w:bidi="ar-SA"/>
        </w:rPr>
        <w:instrText xml:space="preserve"> PAGEREF _Toc513492491 \h </w:instrText>
      </w:r>
      <w:r>
        <w:rPr>
          <w:rFonts w:hint="eastAsia" w:ascii="宋体" w:hAnsi="宋体" w:eastAsia="宋体" w:cs="宋体"/>
          <w:b w:val="0"/>
          <w:bCs w:val="0"/>
          <w:caps w:val="0"/>
          <w:color w:val="auto"/>
          <w:kern w:val="0"/>
          <w:sz w:val="21"/>
          <w:szCs w:val="21"/>
          <w:lang w:val="en-US" w:eastAsia="zh-CN" w:bidi="ar-SA"/>
        </w:rPr>
        <w:fldChar w:fldCharType="separate"/>
      </w:r>
      <w:r>
        <w:rPr>
          <w:rFonts w:hint="eastAsia" w:ascii="宋体" w:hAnsi="宋体" w:eastAsia="宋体" w:cs="宋体"/>
          <w:b w:val="0"/>
          <w:bCs w:val="0"/>
          <w:caps w:val="0"/>
          <w:color w:val="auto"/>
          <w:kern w:val="0"/>
          <w:sz w:val="21"/>
          <w:szCs w:val="21"/>
          <w:lang w:val="en-US" w:eastAsia="zh-CN" w:bidi="ar-SA"/>
        </w:rPr>
        <w:t>53</w:t>
      </w:r>
      <w:r>
        <w:rPr>
          <w:rFonts w:hint="eastAsia" w:ascii="宋体" w:hAnsi="宋体" w:eastAsia="宋体" w:cs="宋体"/>
          <w:b w:val="0"/>
          <w:bCs w:val="0"/>
          <w:caps w:val="0"/>
          <w:color w:val="auto"/>
          <w:kern w:val="0"/>
          <w:sz w:val="21"/>
          <w:szCs w:val="21"/>
          <w:lang w:val="en-US" w:eastAsia="zh-CN" w:bidi="ar-SA"/>
        </w:rPr>
        <w:fldChar w:fldCharType="end"/>
      </w:r>
      <w:r>
        <w:rPr>
          <w:rFonts w:hint="eastAsia" w:ascii="宋体" w:hAnsi="宋体" w:eastAsia="宋体" w:cs="宋体"/>
          <w:b w:val="0"/>
          <w:bCs w:val="0"/>
          <w:caps w:val="0"/>
          <w:color w:val="auto"/>
          <w:kern w:val="0"/>
          <w:sz w:val="21"/>
          <w:szCs w:val="21"/>
          <w:lang w:val="en-US" w:eastAsia="zh-CN" w:bidi="ar-SA"/>
        </w:rPr>
        <w:fldChar w:fldCharType="end"/>
      </w:r>
    </w:p>
    <w:p>
      <w:pPr>
        <w:pStyle w:val="35"/>
        <w:pageBreakBefore w:val="0"/>
        <w:widowControl w:val="0"/>
        <w:tabs>
          <w:tab w:val="right" w:leader="dot" w:pos="9214"/>
          <w:tab w:val="clear" w:pos="8608"/>
        </w:tabs>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 w:val="0"/>
          <w:bCs w:val="0"/>
          <w:caps w:val="0"/>
          <w:color w:val="auto"/>
          <w:kern w:val="0"/>
          <w:sz w:val="21"/>
          <w:szCs w:val="21"/>
          <w:lang w:val="en-US" w:eastAsia="zh-CN" w:bidi="ar-SA"/>
        </w:rPr>
      </w:pPr>
      <w:r>
        <w:rPr>
          <w:rFonts w:hint="eastAsia" w:ascii="宋体" w:hAnsi="宋体" w:eastAsia="宋体" w:cs="宋体"/>
          <w:b w:val="0"/>
          <w:bCs w:val="0"/>
          <w:caps w:val="0"/>
          <w:color w:val="auto"/>
          <w:kern w:val="0"/>
          <w:sz w:val="21"/>
          <w:szCs w:val="21"/>
          <w:lang w:val="en-US" w:eastAsia="zh-CN" w:bidi="ar-SA"/>
        </w:rPr>
        <w:fldChar w:fldCharType="begin"/>
      </w:r>
      <w:r>
        <w:rPr>
          <w:rFonts w:hint="eastAsia" w:ascii="宋体" w:hAnsi="宋体" w:eastAsia="宋体" w:cs="宋体"/>
          <w:b w:val="0"/>
          <w:bCs w:val="0"/>
          <w:caps w:val="0"/>
          <w:color w:val="auto"/>
          <w:kern w:val="0"/>
          <w:sz w:val="21"/>
          <w:szCs w:val="21"/>
          <w:lang w:val="en-US" w:eastAsia="zh-CN" w:bidi="ar-SA"/>
        </w:rPr>
        <w:instrText xml:space="preserve"> HYPERLINK \l "_Toc513492492" </w:instrText>
      </w:r>
      <w:r>
        <w:rPr>
          <w:rFonts w:hint="eastAsia" w:ascii="宋体" w:hAnsi="宋体" w:eastAsia="宋体" w:cs="宋体"/>
          <w:b w:val="0"/>
          <w:bCs w:val="0"/>
          <w:caps w:val="0"/>
          <w:color w:val="auto"/>
          <w:kern w:val="0"/>
          <w:sz w:val="21"/>
          <w:szCs w:val="21"/>
          <w:lang w:val="en-US" w:eastAsia="zh-CN" w:bidi="ar-SA"/>
        </w:rPr>
        <w:fldChar w:fldCharType="separate"/>
      </w:r>
      <w:r>
        <w:rPr>
          <w:rFonts w:hint="eastAsia" w:ascii="宋体" w:hAnsi="宋体" w:eastAsia="宋体" w:cs="宋体"/>
          <w:b w:val="0"/>
          <w:bCs w:val="0"/>
          <w:caps w:val="0"/>
          <w:color w:val="auto"/>
          <w:kern w:val="0"/>
          <w:sz w:val="21"/>
          <w:szCs w:val="21"/>
          <w:lang w:val="en-US" w:eastAsia="zh-CN" w:bidi="ar-SA"/>
        </w:rPr>
        <w:t>第六章  图纸</w:t>
      </w:r>
      <w:r>
        <w:rPr>
          <w:rFonts w:hint="eastAsia" w:ascii="宋体" w:hAnsi="宋体" w:eastAsia="宋体" w:cs="宋体"/>
          <w:b w:val="0"/>
          <w:bCs w:val="0"/>
          <w:caps w:val="0"/>
          <w:color w:val="auto"/>
          <w:kern w:val="0"/>
          <w:sz w:val="21"/>
          <w:szCs w:val="21"/>
          <w:lang w:val="en-US" w:eastAsia="zh-CN" w:bidi="ar-SA"/>
        </w:rPr>
        <w:tab/>
      </w:r>
      <w:r>
        <w:rPr>
          <w:rFonts w:hint="eastAsia" w:ascii="宋体" w:hAnsi="宋体" w:eastAsia="宋体" w:cs="宋体"/>
          <w:b w:val="0"/>
          <w:bCs w:val="0"/>
          <w:caps w:val="0"/>
          <w:color w:val="auto"/>
          <w:kern w:val="0"/>
          <w:sz w:val="21"/>
          <w:szCs w:val="21"/>
          <w:lang w:val="en-US" w:eastAsia="zh-CN" w:bidi="ar-SA"/>
        </w:rPr>
        <w:fldChar w:fldCharType="begin"/>
      </w:r>
      <w:r>
        <w:rPr>
          <w:rFonts w:hint="eastAsia" w:ascii="宋体" w:hAnsi="宋体" w:eastAsia="宋体" w:cs="宋体"/>
          <w:b w:val="0"/>
          <w:bCs w:val="0"/>
          <w:caps w:val="0"/>
          <w:color w:val="auto"/>
          <w:kern w:val="0"/>
          <w:sz w:val="21"/>
          <w:szCs w:val="21"/>
          <w:lang w:val="en-US" w:eastAsia="zh-CN" w:bidi="ar-SA"/>
        </w:rPr>
        <w:instrText xml:space="preserve"> PAGEREF _Toc513492492 \h </w:instrText>
      </w:r>
      <w:r>
        <w:rPr>
          <w:rFonts w:hint="eastAsia" w:ascii="宋体" w:hAnsi="宋体" w:eastAsia="宋体" w:cs="宋体"/>
          <w:b w:val="0"/>
          <w:bCs w:val="0"/>
          <w:caps w:val="0"/>
          <w:color w:val="auto"/>
          <w:kern w:val="0"/>
          <w:sz w:val="21"/>
          <w:szCs w:val="21"/>
          <w:lang w:val="en-US" w:eastAsia="zh-CN" w:bidi="ar-SA"/>
        </w:rPr>
        <w:fldChar w:fldCharType="separate"/>
      </w:r>
      <w:r>
        <w:rPr>
          <w:rFonts w:hint="eastAsia" w:ascii="宋体" w:hAnsi="宋体" w:eastAsia="宋体" w:cs="宋体"/>
          <w:b w:val="0"/>
          <w:bCs w:val="0"/>
          <w:caps w:val="0"/>
          <w:color w:val="auto"/>
          <w:kern w:val="0"/>
          <w:sz w:val="21"/>
          <w:szCs w:val="21"/>
          <w:lang w:val="en-US" w:eastAsia="zh-CN" w:bidi="ar-SA"/>
        </w:rPr>
        <w:t>54</w:t>
      </w:r>
      <w:r>
        <w:rPr>
          <w:rFonts w:hint="eastAsia" w:ascii="宋体" w:hAnsi="宋体" w:eastAsia="宋体" w:cs="宋体"/>
          <w:b w:val="0"/>
          <w:bCs w:val="0"/>
          <w:caps w:val="0"/>
          <w:color w:val="auto"/>
          <w:kern w:val="0"/>
          <w:sz w:val="21"/>
          <w:szCs w:val="21"/>
          <w:lang w:val="en-US" w:eastAsia="zh-CN" w:bidi="ar-SA"/>
        </w:rPr>
        <w:fldChar w:fldCharType="end"/>
      </w:r>
      <w:r>
        <w:rPr>
          <w:rFonts w:hint="eastAsia" w:ascii="宋体" w:hAnsi="宋体" w:eastAsia="宋体" w:cs="宋体"/>
          <w:b w:val="0"/>
          <w:bCs w:val="0"/>
          <w:caps w:val="0"/>
          <w:color w:val="auto"/>
          <w:kern w:val="0"/>
          <w:sz w:val="21"/>
          <w:szCs w:val="21"/>
          <w:lang w:val="en-US" w:eastAsia="zh-CN" w:bidi="ar-SA"/>
        </w:rPr>
        <w:fldChar w:fldCharType="end"/>
      </w:r>
    </w:p>
    <w:p>
      <w:pPr>
        <w:pStyle w:val="35"/>
        <w:pageBreakBefore w:val="0"/>
        <w:widowControl w:val="0"/>
        <w:tabs>
          <w:tab w:val="right" w:leader="dot" w:pos="9214"/>
          <w:tab w:val="clear" w:pos="8608"/>
        </w:tabs>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 w:val="0"/>
          <w:bCs w:val="0"/>
          <w:caps w:val="0"/>
          <w:color w:val="auto"/>
          <w:kern w:val="0"/>
          <w:sz w:val="21"/>
          <w:szCs w:val="21"/>
          <w:lang w:val="en-US" w:eastAsia="zh-CN" w:bidi="ar-SA"/>
        </w:rPr>
      </w:pPr>
      <w:r>
        <w:rPr>
          <w:rFonts w:hint="eastAsia" w:ascii="宋体" w:hAnsi="宋体" w:eastAsia="宋体" w:cs="宋体"/>
          <w:b w:val="0"/>
          <w:bCs w:val="0"/>
          <w:caps w:val="0"/>
          <w:color w:val="auto"/>
          <w:kern w:val="0"/>
          <w:sz w:val="21"/>
          <w:szCs w:val="21"/>
          <w:lang w:val="en-US" w:eastAsia="zh-CN" w:bidi="ar-SA"/>
        </w:rPr>
        <w:fldChar w:fldCharType="begin"/>
      </w:r>
      <w:r>
        <w:rPr>
          <w:rFonts w:hint="eastAsia" w:ascii="宋体" w:hAnsi="宋体" w:eastAsia="宋体" w:cs="宋体"/>
          <w:b w:val="0"/>
          <w:bCs w:val="0"/>
          <w:caps w:val="0"/>
          <w:color w:val="auto"/>
          <w:kern w:val="0"/>
          <w:sz w:val="21"/>
          <w:szCs w:val="21"/>
          <w:lang w:val="en-US" w:eastAsia="zh-CN" w:bidi="ar-SA"/>
        </w:rPr>
        <w:instrText xml:space="preserve"> HYPERLINK \l "_Toc513492493" </w:instrText>
      </w:r>
      <w:r>
        <w:rPr>
          <w:rFonts w:hint="eastAsia" w:ascii="宋体" w:hAnsi="宋体" w:eastAsia="宋体" w:cs="宋体"/>
          <w:b w:val="0"/>
          <w:bCs w:val="0"/>
          <w:caps w:val="0"/>
          <w:color w:val="auto"/>
          <w:kern w:val="0"/>
          <w:sz w:val="21"/>
          <w:szCs w:val="21"/>
          <w:lang w:val="en-US" w:eastAsia="zh-CN" w:bidi="ar-SA"/>
        </w:rPr>
        <w:fldChar w:fldCharType="separate"/>
      </w:r>
      <w:r>
        <w:rPr>
          <w:rFonts w:hint="eastAsia" w:ascii="宋体" w:hAnsi="宋体" w:eastAsia="宋体" w:cs="宋体"/>
          <w:b w:val="0"/>
          <w:bCs w:val="0"/>
          <w:caps w:val="0"/>
          <w:color w:val="auto"/>
          <w:kern w:val="0"/>
          <w:sz w:val="21"/>
          <w:szCs w:val="21"/>
          <w:lang w:val="en-US" w:eastAsia="zh-CN" w:bidi="ar-SA"/>
        </w:rPr>
        <w:t>第七章  技术标准和要求</w:t>
      </w:r>
      <w:r>
        <w:rPr>
          <w:rFonts w:hint="eastAsia" w:ascii="宋体" w:hAnsi="宋体" w:eastAsia="宋体" w:cs="宋体"/>
          <w:b w:val="0"/>
          <w:bCs w:val="0"/>
          <w:caps w:val="0"/>
          <w:color w:val="auto"/>
          <w:kern w:val="0"/>
          <w:sz w:val="21"/>
          <w:szCs w:val="21"/>
          <w:lang w:val="en-US" w:eastAsia="zh-CN" w:bidi="ar-SA"/>
        </w:rPr>
        <w:tab/>
      </w:r>
      <w:r>
        <w:rPr>
          <w:rFonts w:hint="eastAsia" w:ascii="宋体" w:hAnsi="宋体" w:eastAsia="宋体" w:cs="宋体"/>
          <w:b w:val="0"/>
          <w:bCs w:val="0"/>
          <w:caps w:val="0"/>
          <w:color w:val="auto"/>
          <w:kern w:val="0"/>
          <w:sz w:val="21"/>
          <w:szCs w:val="21"/>
          <w:lang w:val="en-US" w:eastAsia="zh-CN" w:bidi="ar-SA"/>
        </w:rPr>
        <w:fldChar w:fldCharType="begin"/>
      </w:r>
      <w:r>
        <w:rPr>
          <w:rFonts w:hint="eastAsia" w:ascii="宋体" w:hAnsi="宋体" w:eastAsia="宋体" w:cs="宋体"/>
          <w:b w:val="0"/>
          <w:bCs w:val="0"/>
          <w:caps w:val="0"/>
          <w:color w:val="auto"/>
          <w:kern w:val="0"/>
          <w:sz w:val="21"/>
          <w:szCs w:val="21"/>
          <w:lang w:val="en-US" w:eastAsia="zh-CN" w:bidi="ar-SA"/>
        </w:rPr>
        <w:instrText xml:space="preserve"> PAGEREF _Toc513492493 \h </w:instrText>
      </w:r>
      <w:r>
        <w:rPr>
          <w:rFonts w:hint="eastAsia" w:ascii="宋体" w:hAnsi="宋体" w:eastAsia="宋体" w:cs="宋体"/>
          <w:b w:val="0"/>
          <w:bCs w:val="0"/>
          <w:caps w:val="0"/>
          <w:color w:val="auto"/>
          <w:kern w:val="0"/>
          <w:sz w:val="21"/>
          <w:szCs w:val="21"/>
          <w:lang w:val="en-US" w:eastAsia="zh-CN" w:bidi="ar-SA"/>
        </w:rPr>
        <w:fldChar w:fldCharType="separate"/>
      </w:r>
      <w:r>
        <w:rPr>
          <w:rFonts w:hint="eastAsia" w:ascii="宋体" w:hAnsi="宋体" w:eastAsia="宋体" w:cs="宋体"/>
          <w:b w:val="0"/>
          <w:bCs w:val="0"/>
          <w:caps w:val="0"/>
          <w:color w:val="auto"/>
          <w:kern w:val="0"/>
          <w:sz w:val="21"/>
          <w:szCs w:val="21"/>
          <w:lang w:val="en-US" w:eastAsia="zh-CN" w:bidi="ar-SA"/>
        </w:rPr>
        <w:t>55</w:t>
      </w:r>
      <w:r>
        <w:rPr>
          <w:rFonts w:hint="eastAsia" w:ascii="宋体" w:hAnsi="宋体" w:eastAsia="宋体" w:cs="宋体"/>
          <w:b w:val="0"/>
          <w:bCs w:val="0"/>
          <w:caps w:val="0"/>
          <w:color w:val="auto"/>
          <w:kern w:val="0"/>
          <w:sz w:val="21"/>
          <w:szCs w:val="21"/>
          <w:lang w:val="en-US" w:eastAsia="zh-CN" w:bidi="ar-SA"/>
        </w:rPr>
        <w:fldChar w:fldCharType="end"/>
      </w:r>
      <w:r>
        <w:rPr>
          <w:rFonts w:hint="eastAsia" w:ascii="宋体" w:hAnsi="宋体" w:eastAsia="宋体" w:cs="宋体"/>
          <w:b w:val="0"/>
          <w:bCs w:val="0"/>
          <w:caps w:val="0"/>
          <w:color w:val="auto"/>
          <w:kern w:val="0"/>
          <w:sz w:val="21"/>
          <w:szCs w:val="21"/>
          <w:lang w:val="en-US" w:eastAsia="zh-CN" w:bidi="ar-SA"/>
        </w:rPr>
        <w:fldChar w:fldCharType="end"/>
      </w:r>
    </w:p>
    <w:p>
      <w:pPr>
        <w:pStyle w:val="35"/>
        <w:pageBreakBefore w:val="0"/>
        <w:widowControl w:val="0"/>
        <w:tabs>
          <w:tab w:val="right" w:leader="dot" w:pos="9214"/>
          <w:tab w:val="clear" w:pos="8608"/>
        </w:tabs>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 w:val="0"/>
          <w:bCs w:val="0"/>
          <w:caps w:val="0"/>
          <w:color w:val="auto"/>
          <w:kern w:val="0"/>
          <w:sz w:val="21"/>
          <w:szCs w:val="21"/>
          <w:lang w:val="en-US" w:eastAsia="zh-CN" w:bidi="ar-SA"/>
        </w:rPr>
      </w:pPr>
      <w:r>
        <w:rPr>
          <w:rFonts w:hint="eastAsia" w:ascii="宋体" w:hAnsi="宋体" w:eastAsia="宋体" w:cs="宋体"/>
          <w:b w:val="0"/>
          <w:bCs w:val="0"/>
          <w:caps w:val="0"/>
          <w:color w:val="auto"/>
          <w:kern w:val="0"/>
          <w:sz w:val="21"/>
          <w:szCs w:val="21"/>
          <w:lang w:val="en-US" w:eastAsia="zh-CN" w:bidi="ar-SA"/>
        </w:rPr>
        <w:fldChar w:fldCharType="begin"/>
      </w:r>
      <w:r>
        <w:rPr>
          <w:rFonts w:hint="eastAsia" w:ascii="宋体" w:hAnsi="宋体" w:eastAsia="宋体" w:cs="宋体"/>
          <w:b w:val="0"/>
          <w:bCs w:val="0"/>
          <w:caps w:val="0"/>
          <w:color w:val="auto"/>
          <w:kern w:val="0"/>
          <w:sz w:val="21"/>
          <w:szCs w:val="21"/>
          <w:lang w:val="en-US" w:eastAsia="zh-CN" w:bidi="ar-SA"/>
        </w:rPr>
        <w:instrText xml:space="preserve"> HYPERLINK \l "_Toc513492494" </w:instrText>
      </w:r>
      <w:r>
        <w:rPr>
          <w:rFonts w:hint="eastAsia" w:ascii="宋体" w:hAnsi="宋体" w:eastAsia="宋体" w:cs="宋体"/>
          <w:b w:val="0"/>
          <w:bCs w:val="0"/>
          <w:caps w:val="0"/>
          <w:color w:val="auto"/>
          <w:kern w:val="0"/>
          <w:sz w:val="21"/>
          <w:szCs w:val="21"/>
          <w:lang w:val="en-US" w:eastAsia="zh-CN" w:bidi="ar-SA"/>
        </w:rPr>
        <w:fldChar w:fldCharType="separate"/>
      </w:r>
      <w:r>
        <w:rPr>
          <w:rFonts w:hint="eastAsia" w:ascii="宋体" w:hAnsi="宋体" w:eastAsia="宋体" w:cs="宋体"/>
          <w:b w:val="0"/>
          <w:bCs w:val="0"/>
          <w:caps w:val="0"/>
          <w:color w:val="auto"/>
          <w:kern w:val="0"/>
          <w:sz w:val="21"/>
          <w:szCs w:val="21"/>
          <w:lang w:val="en-US" w:eastAsia="zh-CN" w:bidi="ar-SA"/>
        </w:rPr>
        <w:t>第八章  投标文件格式</w:t>
      </w:r>
      <w:r>
        <w:rPr>
          <w:rFonts w:hint="eastAsia" w:ascii="宋体" w:hAnsi="宋体" w:eastAsia="宋体" w:cs="宋体"/>
          <w:b w:val="0"/>
          <w:bCs w:val="0"/>
          <w:caps w:val="0"/>
          <w:color w:val="auto"/>
          <w:kern w:val="0"/>
          <w:sz w:val="21"/>
          <w:szCs w:val="21"/>
          <w:lang w:val="en-US" w:eastAsia="zh-CN" w:bidi="ar-SA"/>
        </w:rPr>
        <w:tab/>
      </w:r>
      <w:r>
        <w:rPr>
          <w:rFonts w:hint="eastAsia" w:ascii="宋体" w:hAnsi="宋体" w:eastAsia="宋体" w:cs="宋体"/>
          <w:b w:val="0"/>
          <w:bCs w:val="0"/>
          <w:caps w:val="0"/>
          <w:color w:val="auto"/>
          <w:kern w:val="0"/>
          <w:sz w:val="21"/>
          <w:szCs w:val="21"/>
          <w:lang w:val="en-US" w:eastAsia="zh-CN" w:bidi="ar-SA"/>
        </w:rPr>
        <w:fldChar w:fldCharType="begin"/>
      </w:r>
      <w:r>
        <w:rPr>
          <w:rFonts w:hint="eastAsia" w:ascii="宋体" w:hAnsi="宋体" w:eastAsia="宋体" w:cs="宋体"/>
          <w:b w:val="0"/>
          <w:bCs w:val="0"/>
          <w:caps w:val="0"/>
          <w:color w:val="auto"/>
          <w:kern w:val="0"/>
          <w:sz w:val="21"/>
          <w:szCs w:val="21"/>
          <w:lang w:val="en-US" w:eastAsia="zh-CN" w:bidi="ar-SA"/>
        </w:rPr>
        <w:instrText xml:space="preserve"> PAGEREF _Toc513492493 \h </w:instrText>
      </w:r>
      <w:r>
        <w:rPr>
          <w:rFonts w:hint="eastAsia" w:ascii="宋体" w:hAnsi="宋体" w:eastAsia="宋体" w:cs="宋体"/>
          <w:b w:val="0"/>
          <w:bCs w:val="0"/>
          <w:caps w:val="0"/>
          <w:color w:val="auto"/>
          <w:kern w:val="0"/>
          <w:sz w:val="21"/>
          <w:szCs w:val="21"/>
          <w:lang w:val="en-US" w:eastAsia="zh-CN" w:bidi="ar-SA"/>
        </w:rPr>
        <w:fldChar w:fldCharType="separate"/>
      </w:r>
      <w:r>
        <w:rPr>
          <w:rFonts w:hint="eastAsia" w:ascii="宋体" w:hAnsi="宋体" w:eastAsia="宋体" w:cs="宋体"/>
          <w:b w:val="0"/>
          <w:bCs w:val="0"/>
          <w:caps w:val="0"/>
          <w:color w:val="auto"/>
          <w:kern w:val="0"/>
          <w:sz w:val="21"/>
          <w:szCs w:val="21"/>
          <w:lang w:val="en-US" w:eastAsia="zh-CN" w:bidi="ar-SA"/>
        </w:rPr>
        <w:t>56</w:t>
      </w:r>
      <w:r>
        <w:rPr>
          <w:rFonts w:hint="eastAsia" w:ascii="宋体" w:hAnsi="宋体" w:eastAsia="宋体" w:cs="宋体"/>
          <w:b w:val="0"/>
          <w:bCs w:val="0"/>
          <w:caps w:val="0"/>
          <w:color w:val="auto"/>
          <w:kern w:val="0"/>
          <w:sz w:val="21"/>
          <w:szCs w:val="21"/>
          <w:lang w:val="en-US" w:eastAsia="zh-CN" w:bidi="ar-SA"/>
        </w:rPr>
        <w:fldChar w:fldCharType="end"/>
      </w:r>
      <w:r>
        <w:rPr>
          <w:rFonts w:hint="eastAsia" w:ascii="宋体" w:hAnsi="宋体" w:eastAsia="宋体" w:cs="宋体"/>
          <w:b w:val="0"/>
          <w:bCs w:val="0"/>
          <w:caps w:val="0"/>
          <w:color w:val="auto"/>
          <w:kern w:val="0"/>
          <w:sz w:val="21"/>
          <w:szCs w:val="21"/>
          <w:lang w:val="en-US" w:eastAsia="zh-CN" w:bidi="ar-SA"/>
        </w:rPr>
        <w:fldChar w:fldCharType="end"/>
      </w:r>
    </w:p>
    <w:p>
      <w:pPr>
        <w:pStyle w:val="3"/>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aps w:val="0"/>
          <w:color w:val="auto"/>
          <w:kern w:val="0"/>
          <w:sz w:val="21"/>
          <w:szCs w:val="21"/>
          <w:lang w:val="en-US" w:eastAsia="zh-CN" w:bidi="ar-SA"/>
        </w:rPr>
      </w:pPr>
      <w:r>
        <w:rPr>
          <w:rFonts w:hint="eastAsia" w:ascii="宋体" w:hAnsi="宋体" w:eastAsia="宋体" w:cs="宋体"/>
          <w:b w:val="0"/>
          <w:bCs w:val="0"/>
          <w:caps w:val="0"/>
          <w:color w:val="auto"/>
          <w:kern w:val="0"/>
          <w:sz w:val="21"/>
          <w:szCs w:val="21"/>
          <w:lang w:val="en-US" w:eastAsia="zh-CN" w:bidi="ar-SA"/>
        </w:rPr>
        <w:fldChar w:fldCharType="end"/>
      </w: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pStyle w:val="2"/>
        <w:rPr>
          <w:color w:val="auto"/>
        </w:rPr>
      </w:pPr>
    </w:p>
    <w:p>
      <w:pPr>
        <w:pStyle w:val="64"/>
        <w:rPr>
          <w:color w:val="auto"/>
        </w:rPr>
      </w:pPr>
    </w:p>
    <w:p>
      <w:pPr>
        <w:pStyle w:val="65"/>
        <w:rPr>
          <w:color w:val="auto"/>
        </w:rPr>
      </w:pPr>
    </w:p>
    <w:p>
      <w:pPr>
        <w:pStyle w:val="66"/>
        <w:rPr>
          <w:color w:val="auto"/>
        </w:rPr>
      </w:pPr>
    </w:p>
    <w:p>
      <w:pPr>
        <w:pStyle w:val="64"/>
        <w:rPr>
          <w:color w:val="auto"/>
        </w:rPr>
      </w:pPr>
    </w:p>
    <w:p>
      <w:pPr>
        <w:pStyle w:val="65"/>
        <w:rPr>
          <w:color w:val="auto"/>
        </w:rPr>
      </w:pPr>
    </w:p>
    <w:p>
      <w:pPr>
        <w:pStyle w:val="66"/>
        <w:rPr>
          <w:color w:val="auto"/>
        </w:rPr>
      </w:pPr>
    </w:p>
    <w:p>
      <w:pPr>
        <w:pStyle w:val="64"/>
        <w:rPr>
          <w:color w:val="auto"/>
        </w:rPr>
      </w:pPr>
    </w:p>
    <w:p>
      <w:pPr>
        <w:rPr>
          <w:color w:val="auto"/>
        </w:rPr>
      </w:pPr>
    </w:p>
    <w:p>
      <w:pPr>
        <w:rPr>
          <w:color w:val="auto"/>
        </w:rPr>
      </w:pPr>
    </w:p>
    <w:p>
      <w:pPr>
        <w:rPr>
          <w:color w:val="auto"/>
        </w:rPr>
      </w:pPr>
    </w:p>
    <w:p>
      <w:pPr>
        <w:rPr>
          <w:color w:val="auto"/>
        </w:rPr>
      </w:pPr>
    </w:p>
    <w:p>
      <w:pPr>
        <w:rPr>
          <w:color w:val="auto"/>
        </w:rPr>
      </w:pPr>
    </w:p>
    <w:p>
      <w:pPr>
        <w:pStyle w:val="3"/>
        <w:spacing w:before="0" w:after="0" w:line="460" w:lineRule="exact"/>
        <w:jc w:val="center"/>
        <w:rPr>
          <w:rFonts w:ascii="宋体" w:hAnsi="宋体" w:cs="宋体"/>
          <w:color w:val="auto"/>
          <w:kern w:val="0"/>
          <w:sz w:val="36"/>
          <w:szCs w:val="36"/>
        </w:rPr>
      </w:pPr>
      <w:bookmarkStart w:id="9" w:name="_Toc513492487"/>
      <w:bookmarkStart w:id="10" w:name="_Toc452058672"/>
      <w:r>
        <w:rPr>
          <w:rFonts w:hint="eastAsia" w:ascii="宋体" w:hAnsi="宋体" w:cs="宋体"/>
          <w:color w:val="auto"/>
          <w:kern w:val="0"/>
          <w:sz w:val="36"/>
          <w:szCs w:val="36"/>
        </w:rPr>
        <w:t>第一章  竞争性比选公告</w:t>
      </w:r>
      <w:bookmarkEnd w:id="0"/>
      <w:bookmarkEnd w:id="1"/>
      <w:bookmarkEnd w:id="2"/>
      <w:bookmarkEnd w:id="3"/>
      <w:bookmarkEnd w:id="4"/>
      <w:bookmarkEnd w:id="5"/>
      <w:bookmarkEnd w:id="9"/>
      <w:bookmarkEnd w:id="10"/>
    </w:p>
    <w:p>
      <w:pPr>
        <w:autoSpaceDE w:val="0"/>
        <w:autoSpaceDN w:val="0"/>
        <w:adjustRightInd w:val="0"/>
        <w:snapToGrid w:val="0"/>
        <w:spacing w:line="460" w:lineRule="exact"/>
        <w:jc w:val="center"/>
        <w:rPr>
          <w:rFonts w:ascii="宋体" w:hAnsi="宋体" w:cs="宋体"/>
          <w:b/>
          <w:snapToGrid w:val="0"/>
          <w:color w:val="auto"/>
          <w:w w:val="99"/>
          <w:kern w:val="0"/>
          <w:sz w:val="32"/>
          <w:szCs w:val="32"/>
        </w:rPr>
      </w:pPr>
      <w:r>
        <w:rPr>
          <w:rFonts w:hint="eastAsia" w:ascii="宋体" w:hAnsi="宋体" w:cs="宋体"/>
          <w:b/>
          <w:bCs/>
          <w:color w:val="auto"/>
          <w:kern w:val="0"/>
          <w:sz w:val="36"/>
          <w:szCs w:val="36"/>
          <w:lang w:eastAsia="zh-CN"/>
        </w:rPr>
        <w:t>2025年度福果镇农村公路护栏建设项目</w:t>
      </w:r>
      <w:r>
        <w:rPr>
          <w:rFonts w:hint="eastAsia" w:ascii="宋体" w:hAnsi="宋体" w:cs="宋体"/>
          <w:b/>
          <w:snapToGrid w:val="0"/>
          <w:color w:val="auto"/>
          <w:w w:val="99"/>
          <w:kern w:val="0"/>
          <w:sz w:val="32"/>
          <w:szCs w:val="32"/>
        </w:rPr>
        <w:t xml:space="preserve"> </w:t>
      </w:r>
    </w:p>
    <w:p>
      <w:pPr>
        <w:pStyle w:val="4"/>
        <w:pageBreakBefore w:val="0"/>
        <w:kinsoku/>
        <w:wordWrap/>
        <w:overflowPunct/>
        <w:topLinePunct w:val="0"/>
        <w:bidi w:val="0"/>
        <w:spacing w:before="0" w:after="0" w:line="440" w:lineRule="exact"/>
        <w:textAlignment w:val="auto"/>
        <w:rPr>
          <w:rFonts w:hint="eastAsia" w:ascii="宋体" w:hAnsi="宋体" w:eastAsia="宋体" w:cs="宋体"/>
          <w:bCs w:val="0"/>
          <w:snapToGrid w:val="0"/>
          <w:color w:val="auto"/>
          <w:sz w:val="21"/>
          <w:szCs w:val="21"/>
        </w:rPr>
      </w:pPr>
      <w:bookmarkStart w:id="11" w:name="_Toc428455483"/>
      <w:bookmarkStart w:id="12" w:name="_Toc452058673"/>
      <w:r>
        <w:rPr>
          <w:rFonts w:hint="eastAsia" w:ascii="宋体" w:hAnsi="宋体" w:eastAsia="宋体" w:cs="宋体"/>
          <w:snapToGrid w:val="0"/>
          <w:color w:val="auto"/>
          <w:sz w:val="21"/>
          <w:szCs w:val="21"/>
        </w:rPr>
        <w:t>1. 竞争性比选条件</w:t>
      </w:r>
      <w:bookmarkEnd w:id="11"/>
      <w:bookmarkEnd w:id="12"/>
    </w:p>
    <w:p>
      <w:pPr>
        <w:pageBreakBefore w:val="0"/>
        <w:kinsoku/>
        <w:wordWrap/>
        <w:overflowPunct/>
        <w:topLinePunct w:val="0"/>
        <w:bidi w:val="0"/>
        <w:spacing w:line="440" w:lineRule="exact"/>
        <w:ind w:firstLine="420" w:firstLineChars="200"/>
        <w:textAlignment w:val="auto"/>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本招标项目</w:t>
      </w:r>
      <w:r>
        <w:rPr>
          <w:rFonts w:hint="eastAsia" w:ascii="宋体" w:hAnsi="宋体" w:cs="宋体"/>
          <w:snapToGrid w:val="0"/>
          <w:color w:val="auto"/>
          <w:kern w:val="0"/>
          <w:szCs w:val="21"/>
          <w:u w:val="single"/>
          <w:lang w:eastAsia="zh-CN"/>
        </w:rPr>
        <w:t>2025年度福果镇农村公路护栏建设项目</w:t>
      </w:r>
      <w:r>
        <w:rPr>
          <w:rFonts w:hint="eastAsia" w:ascii="宋体" w:hAnsi="宋体" w:eastAsia="宋体" w:cs="宋体"/>
          <w:snapToGrid w:val="0"/>
          <w:color w:val="auto"/>
          <w:kern w:val="0"/>
          <w:szCs w:val="21"/>
        </w:rPr>
        <w:t>业主为</w:t>
      </w:r>
      <w:r>
        <w:rPr>
          <w:rFonts w:hint="eastAsia" w:ascii="宋体" w:hAnsi="宋体" w:cs="宋体"/>
          <w:snapToGrid w:val="0"/>
          <w:color w:val="auto"/>
          <w:kern w:val="0"/>
          <w:szCs w:val="21"/>
          <w:u w:val="single"/>
          <w:lang w:eastAsia="zh-CN"/>
        </w:rPr>
        <w:t>重庆市铜梁区福果镇人民政府</w:t>
      </w:r>
      <w:r>
        <w:rPr>
          <w:rFonts w:hint="eastAsia" w:ascii="宋体" w:hAnsi="宋体" w:eastAsia="宋体" w:cs="宋体"/>
          <w:snapToGrid w:val="0"/>
          <w:color w:val="auto"/>
          <w:kern w:val="0"/>
          <w:szCs w:val="21"/>
        </w:rPr>
        <w:t>，资金来源为</w:t>
      </w:r>
      <w:r>
        <w:rPr>
          <w:rFonts w:hint="eastAsia" w:ascii="宋体" w:hAnsi="宋体" w:cs="宋体"/>
          <w:snapToGrid w:val="0"/>
          <w:color w:val="auto"/>
          <w:kern w:val="0"/>
          <w:szCs w:val="21"/>
          <w:highlight w:val="none"/>
          <w:u w:val="single"/>
          <w:lang w:eastAsia="zh-CN"/>
        </w:rPr>
        <w:t>财政资金</w:t>
      </w:r>
      <w:r>
        <w:rPr>
          <w:rFonts w:hint="eastAsia" w:ascii="宋体" w:hAnsi="宋体" w:eastAsia="宋体" w:cs="宋体"/>
          <w:snapToGrid w:val="0"/>
          <w:color w:val="auto"/>
          <w:kern w:val="0"/>
          <w:szCs w:val="21"/>
        </w:rPr>
        <w:t>，</w:t>
      </w:r>
      <w:r>
        <w:rPr>
          <w:rFonts w:hint="eastAsia" w:ascii="宋体" w:hAnsi="宋体" w:cs="宋体"/>
          <w:snapToGrid w:val="0"/>
          <w:color w:val="auto"/>
          <w:kern w:val="0"/>
          <w:szCs w:val="21"/>
          <w:lang w:eastAsia="zh-CN"/>
        </w:rPr>
        <w:t>招标人</w:t>
      </w:r>
      <w:r>
        <w:rPr>
          <w:rFonts w:hint="eastAsia" w:ascii="宋体" w:hAnsi="宋体" w:eastAsia="宋体" w:cs="宋体"/>
          <w:snapToGrid w:val="0"/>
          <w:color w:val="auto"/>
          <w:kern w:val="0"/>
          <w:szCs w:val="21"/>
        </w:rPr>
        <w:t>为</w:t>
      </w:r>
      <w:r>
        <w:rPr>
          <w:rFonts w:hint="eastAsia" w:ascii="宋体" w:hAnsi="宋体" w:cs="宋体"/>
          <w:snapToGrid w:val="0"/>
          <w:color w:val="auto"/>
          <w:kern w:val="0"/>
          <w:szCs w:val="21"/>
          <w:u w:val="single"/>
          <w:lang w:eastAsia="zh-CN"/>
        </w:rPr>
        <w:t>重庆市铜梁区福果镇人民政府</w:t>
      </w:r>
      <w:r>
        <w:rPr>
          <w:rFonts w:hint="eastAsia" w:ascii="宋体" w:hAnsi="宋体" w:eastAsia="宋体" w:cs="宋体"/>
          <w:snapToGrid w:val="0"/>
          <w:color w:val="auto"/>
          <w:kern w:val="0"/>
          <w:szCs w:val="21"/>
        </w:rPr>
        <w:t>。项目已具备招标条件，现对该项目施工进行竞争性比选。</w:t>
      </w:r>
    </w:p>
    <w:p>
      <w:pPr>
        <w:pStyle w:val="4"/>
        <w:pageBreakBefore w:val="0"/>
        <w:kinsoku/>
        <w:wordWrap/>
        <w:overflowPunct/>
        <w:topLinePunct w:val="0"/>
        <w:bidi w:val="0"/>
        <w:spacing w:before="0" w:after="0" w:line="440" w:lineRule="exact"/>
        <w:textAlignment w:val="auto"/>
        <w:rPr>
          <w:rFonts w:hint="eastAsia" w:ascii="宋体" w:hAnsi="宋体" w:eastAsia="宋体" w:cs="宋体"/>
          <w:snapToGrid w:val="0"/>
          <w:color w:val="auto"/>
          <w:sz w:val="21"/>
          <w:szCs w:val="21"/>
        </w:rPr>
      </w:pPr>
      <w:bookmarkStart w:id="13" w:name="_Toc452058674"/>
      <w:r>
        <w:rPr>
          <w:rFonts w:hint="eastAsia" w:ascii="宋体" w:hAnsi="宋体" w:cs="宋体"/>
          <w:snapToGrid w:val="0"/>
          <w:color w:val="auto"/>
          <w:sz w:val="21"/>
          <w:szCs w:val="21"/>
          <w:lang w:eastAsia="zh-CN"/>
        </w:rPr>
        <w:t>2.</w:t>
      </w:r>
      <w:r>
        <w:rPr>
          <w:rFonts w:hint="eastAsia" w:ascii="宋体" w:hAnsi="宋体" w:eastAsia="宋体" w:cs="宋体"/>
          <w:snapToGrid w:val="0"/>
          <w:color w:val="auto"/>
          <w:sz w:val="21"/>
          <w:szCs w:val="21"/>
        </w:rPr>
        <w:t>项目概况与比选范围</w:t>
      </w:r>
      <w:bookmarkEnd w:id="13"/>
    </w:p>
    <w:p>
      <w:pPr>
        <w:pageBreakBefore w:val="0"/>
        <w:kinsoku/>
        <w:wordWrap/>
        <w:overflowPunct/>
        <w:topLinePunct w:val="0"/>
        <w:bidi w:val="0"/>
        <w:spacing w:line="440" w:lineRule="exact"/>
        <w:ind w:firstLine="420" w:firstLineChars="200"/>
        <w:textAlignment w:val="auto"/>
        <w:rPr>
          <w:rFonts w:hint="eastAsia" w:ascii="宋体" w:hAnsi="宋体" w:eastAsia="宋体" w:cs="宋体"/>
          <w:color w:val="auto"/>
          <w:kern w:val="0"/>
          <w:szCs w:val="21"/>
        </w:rPr>
      </w:pPr>
      <w:bookmarkStart w:id="14" w:name="_Toc452058675"/>
      <w:r>
        <w:rPr>
          <w:rFonts w:hint="eastAsia" w:ascii="宋体" w:hAnsi="宋体" w:eastAsia="宋体" w:cs="宋体"/>
          <w:color w:val="auto"/>
          <w:kern w:val="0"/>
          <w:szCs w:val="21"/>
        </w:rPr>
        <w:t>2.1 项目概况：建设的主要内容包括新建公路护栏工程等内容</w:t>
      </w:r>
      <w:r>
        <w:rPr>
          <w:rFonts w:hint="eastAsia" w:ascii="宋体" w:hAnsi="宋体" w:cs="宋体"/>
          <w:color w:val="auto"/>
          <w:lang w:eastAsia="zh-CN"/>
        </w:rPr>
        <w:t>。</w:t>
      </w:r>
    </w:p>
    <w:p>
      <w:pPr>
        <w:pageBreakBefore w:val="0"/>
        <w:kinsoku/>
        <w:wordWrap/>
        <w:overflowPunct/>
        <w:topLinePunct w:val="0"/>
        <w:bidi w:val="0"/>
        <w:spacing w:line="440" w:lineRule="exact"/>
        <w:ind w:firstLine="420" w:firstLineChars="200"/>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2.2 建设地址：</w:t>
      </w:r>
      <w:r>
        <w:rPr>
          <w:rFonts w:hint="eastAsia" w:ascii="宋体" w:hAnsi="宋体" w:cs="宋体"/>
          <w:color w:val="auto"/>
          <w:kern w:val="0"/>
          <w:szCs w:val="21"/>
          <w:lang w:eastAsia="zh-CN"/>
        </w:rPr>
        <w:t>铜梁区福果镇</w:t>
      </w:r>
      <w:r>
        <w:rPr>
          <w:rFonts w:hint="eastAsia" w:ascii="宋体" w:hAnsi="宋体" w:eastAsia="宋体" w:cs="宋体"/>
          <w:color w:val="auto"/>
          <w:kern w:val="0"/>
          <w:szCs w:val="21"/>
        </w:rPr>
        <w:t>。</w:t>
      </w:r>
    </w:p>
    <w:p>
      <w:pPr>
        <w:pageBreakBefore w:val="0"/>
        <w:kinsoku/>
        <w:wordWrap/>
        <w:overflowPunct/>
        <w:topLinePunct w:val="0"/>
        <w:bidi w:val="0"/>
        <w:spacing w:line="440" w:lineRule="exact"/>
        <w:ind w:firstLine="420" w:firstLineChars="200"/>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2.3 比选范围：</w:t>
      </w:r>
      <w:r>
        <w:rPr>
          <w:rFonts w:hint="eastAsia" w:ascii="宋体" w:hAnsi="宋体" w:eastAsia="宋体" w:cs="宋体"/>
          <w:color w:val="auto"/>
          <w:kern w:val="0"/>
          <w:szCs w:val="21"/>
          <w:lang w:eastAsia="zh-CN"/>
        </w:rPr>
        <w:t>本工程施工图设计范围内的全部内容，具体以</w:t>
      </w:r>
      <w:r>
        <w:rPr>
          <w:rFonts w:hint="eastAsia" w:ascii="宋体" w:hAnsi="宋体" w:cs="宋体"/>
          <w:color w:val="auto"/>
          <w:kern w:val="0"/>
          <w:szCs w:val="21"/>
          <w:lang w:eastAsia="zh-CN"/>
        </w:rPr>
        <w:t>招标人</w:t>
      </w:r>
      <w:r>
        <w:rPr>
          <w:rFonts w:hint="eastAsia" w:ascii="宋体" w:hAnsi="宋体" w:eastAsia="宋体" w:cs="宋体"/>
          <w:color w:val="auto"/>
          <w:kern w:val="0"/>
          <w:szCs w:val="21"/>
          <w:lang w:eastAsia="zh-CN"/>
        </w:rPr>
        <w:t>发出的工程量清单为准。</w:t>
      </w:r>
    </w:p>
    <w:p>
      <w:pPr>
        <w:pageBreakBefore w:val="0"/>
        <w:kinsoku/>
        <w:wordWrap/>
        <w:overflowPunct/>
        <w:topLinePunct w:val="0"/>
        <w:bidi w:val="0"/>
        <w:spacing w:line="440" w:lineRule="exact"/>
        <w:ind w:firstLine="420" w:firstLineChars="200"/>
        <w:textAlignment w:val="auto"/>
        <w:rPr>
          <w:rFonts w:hint="eastAsia" w:ascii="宋体" w:hAnsi="宋体" w:eastAsia="宋体" w:cs="宋体"/>
          <w:color w:val="auto"/>
          <w:kern w:val="0"/>
          <w:szCs w:val="21"/>
          <w:lang w:eastAsia="zh-CN"/>
        </w:rPr>
      </w:pPr>
      <w:r>
        <w:rPr>
          <w:rFonts w:hint="eastAsia" w:ascii="宋体" w:hAnsi="宋体" w:eastAsia="宋体" w:cs="宋体"/>
          <w:color w:val="auto"/>
          <w:kern w:val="0"/>
          <w:szCs w:val="21"/>
        </w:rPr>
        <w:t>2.4 本次招标项目工程总投资额：481225</w:t>
      </w:r>
      <w:r>
        <w:rPr>
          <w:rFonts w:hint="eastAsia" w:ascii="宋体" w:hAnsi="宋体" w:cs="宋体"/>
          <w:color w:val="auto"/>
          <w:kern w:val="0"/>
          <w:szCs w:val="21"/>
          <w:lang w:eastAsia="zh-CN"/>
        </w:rPr>
        <w:t>元</w:t>
      </w:r>
    </w:p>
    <w:p>
      <w:pPr>
        <w:pageBreakBefore w:val="0"/>
        <w:kinsoku/>
        <w:wordWrap/>
        <w:overflowPunct/>
        <w:topLinePunct w:val="0"/>
        <w:bidi w:val="0"/>
        <w:spacing w:line="440" w:lineRule="exact"/>
        <w:ind w:firstLine="420" w:firstLineChars="200"/>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本次比选项目合同估算金额：481225</w:t>
      </w:r>
      <w:r>
        <w:rPr>
          <w:rFonts w:hint="eastAsia" w:ascii="宋体" w:hAnsi="宋体" w:cs="宋体"/>
          <w:color w:val="auto"/>
          <w:kern w:val="0"/>
          <w:szCs w:val="21"/>
          <w:lang w:eastAsia="zh-CN"/>
        </w:rPr>
        <w:t>元</w:t>
      </w:r>
      <w:r>
        <w:rPr>
          <w:rFonts w:hint="eastAsia" w:ascii="宋体" w:hAnsi="宋体" w:eastAsia="宋体" w:cs="宋体"/>
          <w:color w:val="auto"/>
          <w:kern w:val="0"/>
          <w:szCs w:val="21"/>
        </w:rPr>
        <w:t>。</w:t>
      </w:r>
    </w:p>
    <w:p>
      <w:pPr>
        <w:pageBreakBefore w:val="0"/>
        <w:kinsoku/>
        <w:wordWrap/>
        <w:overflowPunct/>
        <w:topLinePunct w:val="0"/>
        <w:bidi w:val="0"/>
        <w:spacing w:line="440" w:lineRule="exact"/>
        <w:ind w:firstLine="420" w:firstLineChars="200"/>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2.</w:t>
      </w:r>
      <w:r>
        <w:rPr>
          <w:rFonts w:hint="eastAsia" w:ascii="宋体" w:hAnsi="宋体" w:cs="宋体"/>
          <w:color w:val="auto"/>
          <w:kern w:val="0"/>
          <w:szCs w:val="21"/>
          <w:lang w:val="en-US" w:eastAsia="zh-CN"/>
        </w:rPr>
        <w:t>5</w:t>
      </w:r>
      <w:r>
        <w:rPr>
          <w:rFonts w:hint="eastAsia" w:ascii="宋体" w:hAnsi="宋体" w:eastAsia="宋体" w:cs="宋体"/>
          <w:color w:val="auto"/>
          <w:kern w:val="0"/>
          <w:szCs w:val="21"/>
        </w:rPr>
        <w:t xml:space="preserve"> 工期：</w:t>
      </w:r>
      <w:r>
        <w:rPr>
          <w:rFonts w:hint="eastAsia" w:ascii="宋体" w:hAnsi="宋体" w:cs="宋体"/>
          <w:color w:val="auto"/>
          <w:kern w:val="0"/>
          <w:szCs w:val="21"/>
          <w:lang w:val="en-US" w:eastAsia="zh-CN"/>
        </w:rPr>
        <w:t>30日历天</w:t>
      </w:r>
      <w:r>
        <w:rPr>
          <w:rFonts w:hint="eastAsia" w:ascii="宋体" w:hAnsi="宋体" w:eastAsia="宋体" w:cs="宋体"/>
          <w:color w:val="auto"/>
          <w:kern w:val="0"/>
          <w:szCs w:val="21"/>
        </w:rPr>
        <w:t>。</w:t>
      </w:r>
    </w:p>
    <w:p>
      <w:pPr>
        <w:pageBreakBefore w:val="0"/>
        <w:kinsoku/>
        <w:wordWrap/>
        <w:overflowPunct/>
        <w:topLinePunct w:val="0"/>
        <w:bidi w:val="0"/>
        <w:spacing w:line="440" w:lineRule="exact"/>
        <w:ind w:firstLine="420" w:firstLineChars="200"/>
        <w:textAlignment w:val="auto"/>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rPr>
        <w:t>2.</w:t>
      </w:r>
      <w:r>
        <w:rPr>
          <w:rFonts w:hint="eastAsia" w:ascii="宋体" w:hAnsi="宋体" w:cs="宋体"/>
          <w:color w:val="auto"/>
          <w:kern w:val="0"/>
          <w:szCs w:val="21"/>
          <w:lang w:val="en-US" w:eastAsia="zh-CN"/>
        </w:rPr>
        <w:t>6</w:t>
      </w:r>
      <w:r>
        <w:rPr>
          <w:rFonts w:hint="eastAsia" w:ascii="宋体" w:hAnsi="宋体" w:eastAsia="宋体" w:cs="宋体"/>
          <w:color w:val="auto"/>
          <w:kern w:val="0"/>
          <w:szCs w:val="21"/>
        </w:rPr>
        <w:t xml:space="preserve"> 标段划分：本次招标设1个标段。</w:t>
      </w:r>
    </w:p>
    <w:p>
      <w:pPr>
        <w:pStyle w:val="4"/>
        <w:pageBreakBefore w:val="0"/>
        <w:kinsoku/>
        <w:wordWrap/>
        <w:overflowPunct/>
        <w:topLinePunct w:val="0"/>
        <w:bidi w:val="0"/>
        <w:spacing w:before="0" w:after="0" w:line="440" w:lineRule="exact"/>
        <w:textAlignment w:val="auto"/>
        <w:rPr>
          <w:rFonts w:hint="eastAsia" w:ascii="宋体" w:hAnsi="宋体" w:eastAsia="宋体" w:cs="宋体"/>
          <w:snapToGrid w:val="0"/>
          <w:color w:val="auto"/>
          <w:sz w:val="21"/>
          <w:szCs w:val="21"/>
        </w:rPr>
      </w:pPr>
      <w:r>
        <w:rPr>
          <w:rFonts w:hint="eastAsia" w:ascii="宋体" w:hAnsi="宋体" w:cs="宋体"/>
          <w:snapToGrid w:val="0"/>
          <w:color w:val="auto"/>
          <w:sz w:val="21"/>
          <w:szCs w:val="21"/>
          <w:lang w:eastAsia="zh-CN"/>
        </w:rPr>
        <w:t>3.</w:t>
      </w:r>
      <w:r>
        <w:rPr>
          <w:rFonts w:hint="eastAsia" w:ascii="宋体" w:hAnsi="宋体" w:eastAsia="宋体" w:cs="宋体"/>
          <w:snapToGrid w:val="0"/>
          <w:color w:val="auto"/>
          <w:sz w:val="21"/>
          <w:szCs w:val="21"/>
        </w:rPr>
        <w:t>投标人资格要求</w:t>
      </w:r>
      <w:bookmarkEnd w:id="14"/>
    </w:p>
    <w:p>
      <w:pPr>
        <w:pageBreakBefore w:val="0"/>
        <w:kinsoku/>
        <w:wordWrap/>
        <w:overflowPunct/>
        <w:topLinePunct w:val="0"/>
        <w:bidi w:val="0"/>
        <w:spacing w:line="440" w:lineRule="exact"/>
        <w:ind w:firstLine="420" w:firstLineChars="200"/>
        <w:textAlignment w:val="auto"/>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3.1 本次招标要求投标人</w:t>
      </w:r>
      <w:r>
        <w:rPr>
          <w:rFonts w:hint="eastAsia" w:ascii="宋体" w:hAnsi="宋体" w:cs="宋体"/>
          <w:snapToGrid w:val="0"/>
          <w:color w:val="auto"/>
          <w:kern w:val="0"/>
          <w:szCs w:val="21"/>
          <w:lang w:eastAsia="zh-CN"/>
        </w:rPr>
        <w:t>须具备</w:t>
      </w:r>
      <w:r>
        <w:rPr>
          <w:rFonts w:hint="eastAsia" w:ascii="宋体" w:hAnsi="宋体" w:eastAsia="宋体" w:cs="宋体"/>
          <w:snapToGrid w:val="0"/>
          <w:color w:val="auto"/>
          <w:kern w:val="0"/>
          <w:szCs w:val="21"/>
        </w:rPr>
        <w:t>建设行政主管部门颁发的有效的</w:t>
      </w:r>
      <w:r>
        <w:rPr>
          <w:rFonts w:hint="eastAsia" w:ascii="宋体" w:hAnsi="宋体" w:cs="宋体"/>
          <w:b/>
          <w:bCs/>
          <w:snapToGrid w:val="0"/>
          <w:color w:val="auto"/>
          <w:kern w:val="0"/>
          <w:szCs w:val="21"/>
          <w:u w:val="single"/>
          <w:lang w:val="en-US" w:eastAsia="zh-CN"/>
        </w:rPr>
        <w:t>公路工程施工总承包叁级及以上资质</w:t>
      </w:r>
      <w:r>
        <w:rPr>
          <w:rFonts w:hint="eastAsia" w:ascii="宋体" w:hAnsi="宋体" w:eastAsia="宋体" w:cs="宋体"/>
          <w:snapToGrid w:val="0"/>
          <w:color w:val="auto"/>
          <w:kern w:val="0"/>
          <w:szCs w:val="21"/>
        </w:rPr>
        <w:t>。</w:t>
      </w:r>
    </w:p>
    <w:p>
      <w:pPr>
        <w:pageBreakBefore w:val="0"/>
        <w:tabs>
          <w:tab w:val="left" w:pos="3840"/>
        </w:tabs>
        <w:kinsoku/>
        <w:wordWrap/>
        <w:overflowPunct/>
        <w:topLinePunct w:val="0"/>
        <w:autoSpaceDE w:val="0"/>
        <w:autoSpaceDN w:val="0"/>
        <w:bidi w:val="0"/>
        <w:adjustRightInd w:val="0"/>
        <w:snapToGrid w:val="0"/>
        <w:spacing w:line="440" w:lineRule="exact"/>
        <w:ind w:firstLine="420"/>
        <w:jc w:val="left"/>
        <w:textAlignment w:val="auto"/>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3.2 资格审查方式：资格后审。</w:t>
      </w:r>
    </w:p>
    <w:p>
      <w:pPr>
        <w:pageBreakBefore w:val="0"/>
        <w:kinsoku/>
        <w:wordWrap/>
        <w:overflowPunct/>
        <w:topLinePunct w:val="0"/>
        <w:autoSpaceDE w:val="0"/>
        <w:autoSpaceDN w:val="0"/>
        <w:bidi w:val="0"/>
        <w:adjustRightInd w:val="0"/>
        <w:snapToGrid w:val="0"/>
        <w:spacing w:line="440" w:lineRule="exact"/>
        <w:ind w:firstLine="420"/>
        <w:jc w:val="left"/>
        <w:textAlignment w:val="auto"/>
        <w:rPr>
          <w:rFonts w:hint="eastAsia" w:ascii="宋体" w:hAnsi="宋体" w:eastAsia="宋体" w:cs="宋体"/>
          <w:color w:val="auto"/>
          <w:kern w:val="0"/>
          <w:szCs w:val="21"/>
        </w:rPr>
      </w:pPr>
      <w:bookmarkStart w:id="15" w:name="_Toc452058676"/>
      <w:r>
        <w:rPr>
          <w:rFonts w:hint="eastAsia" w:ascii="宋体" w:hAnsi="宋体" w:eastAsia="宋体" w:cs="宋体"/>
          <w:color w:val="auto"/>
          <w:kern w:val="0"/>
          <w:szCs w:val="21"/>
        </w:rPr>
        <w:t>3.3 本次比选不接受联合体投标。</w:t>
      </w:r>
    </w:p>
    <w:p>
      <w:pPr>
        <w:pStyle w:val="4"/>
        <w:pageBreakBefore w:val="0"/>
        <w:kinsoku/>
        <w:wordWrap/>
        <w:overflowPunct/>
        <w:topLinePunct w:val="0"/>
        <w:bidi w:val="0"/>
        <w:spacing w:before="0" w:after="0" w:line="440" w:lineRule="exact"/>
        <w:textAlignment w:val="auto"/>
        <w:rPr>
          <w:rFonts w:hint="eastAsia" w:ascii="宋体" w:hAnsi="宋体" w:eastAsia="宋体" w:cs="宋体"/>
          <w:snapToGrid w:val="0"/>
          <w:color w:val="auto"/>
          <w:sz w:val="21"/>
          <w:szCs w:val="21"/>
        </w:rPr>
      </w:pPr>
      <w:r>
        <w:rPr>
          <w:rFonts w:hint="eastAsia" w:ascii="宋体" w:hAnsi="宋体" w:cs="宋体"/>
          <w:snapToGrid w:val="0"/>
          <w:color w:val="auto"/>
          <w:sz w:val="21"/>
          <w:szCs w:val="21"/>
          <w:lang w:eastAsia="zh-CN"/>
        </w:rPr>
        <w:t>4.</w:t>
      </w:r>
      <w:r>
        <w:rPr>
          <w:rFonts w:hint="eastAsia" w:ascii="宋体" w:hAnsi="宋体" w:eastAsia="宋体" w:cs="宋体"/>
          <w:snapToGrid w:val="0"/>
          <w:color w:val="auto"/>
          <w:sz w:val="21"/>
          <w:szCs w:val="21"/>
        </w:rPr>
        <w:t>比选文件的获取</w:t>
      </w:r>
      <w:bookmarkEnd w:id="15"/>
    </w:p>
    <w:p>
      <w:pPr>
        <w:pageBreakBefore w:val="0"/>
        <w:kinsoku/>
        <w:wordWrap/>
        <w:overflowPunct/>
        <w:topLinePunct w:val="0"/>
        <w:bidi w:val="0"/>
        <w:spacing w:line="440" w:lineRule="exact"/>
        <w:ind w:firstLine="420" w:firstLineChars="200"/>
        <w:textAlignment w:val="auto"/>
        <w:rPr>
          <w:rFonts w:hint="eastAsia" w:ascii="宋体" w:hAnsi="宋体" w:eastAsia="宋体" w:cs="宋体"/>
          <w:color w:val="auto"/>
          <w:kern w:val="0"/>
          <w:szCs w:val="21"/>
        </w:rPr>
      </w:pPr>
      <w:bookmarkStart w:id="16" w:name="_Toc452058677"/>
      <w:r>
        <w:rPr>
          <w:rFonts w:hint="eastAsia" w:ascii="宋体" w:hAnsi="宋体" w:eastAsia="宋体" w:cs="宋体"/>
          <w:color w:val="auto"/>
          <w:kern w:val="0"/>
          <w:szCs w:val="21"/>
        </w:rPr>
        <w:t>4.1凡有意参加投标的</w:t>
      </w:r>
      <w:r>
        <w:rPr>
          <w:rFonts w:hint="eastAsia" w:ascii="宋体" w:hAnsi="宋体" w:cs="宋体"/>
          <w:color w:val="auto"/>
          <w:kern w:val="0"/>
          <w:szCs w:val="21"/>
          <w:lang w:val="en-US" w:eastAsia="zh-CN"/>
        </w:rPr>
        <w:t>投标人</w:t>
      </w:r>
      <w:r>
        <w:rPr>
          <w:rFonts w:hint="eastAsia" w:ascii="宋体" w:hAnsi="宋体" w:eastAsia="宋体" w:cs="宋体"/>
          <w:color w:val="auto"/>
          <w:kern w:val="0"/>
          <w:szCs w:val="21"/>
        </w:rPr>
        <w:t>，请于</w:t>
      </w:r>
      <w:r>
        <w:rPr>
          <w:rFonts w:hint="eastAsia" w:ascii="宋体" w:hAnsi="宋体" w:cs="宋体"/>
          <w:color w:val="auto"/>
          <w:kern w:val="0"/>
          <w:szCs w:val="21"/>
          <w:lang w:eastAsia="zh-CN"/>
        </w:rPr>
        <w:t>202</w:t>
      </w:r>
      <w:r>
        <w:rPr>
          <w:rFonts w:hint="eastAsia" w:ascii="宋体" w:hAnsi="宋体" w:cs="宋体"/>
          <w:color w:val="auto"/>
          <w:kern w:val="0"/>
          <w:szCs w:val="21"/>
          <w:lang w:val="en-US" w:eastAsia="zh-CN"/>
        </w:rPr>
        <w:t>5</w:t>
      </w:r>
      <w:r>
        <w:rPr>
          <w:rFonts w:hint="eastAsia" w:ascii="宋体" w:hAnsi="宋体" w:cs="宋体"/>
          <w:color w:val="auto"/>
          <w:kern w:val="0"/>
          <w:szCs w:val="21"/>
          <w:lang w:eastAsia="zh-CN"/>
        </w:rPr>
        <w:t>年</w:t>
      </w:r>
      <w:r>
        <w:rPr>
          <w:rFonts w:hint="eastAsia" w:ascii="宋体" w:hAnsi="宋体" w:cs="宋体"/>
          <w:color w:val="auto"/>
          <w:kern w:val="0"/>
          <w:szCs w:val="21"/>
          <w:lang w:val="en-US" w:eastAsia="zh-CN"/>
        </w:rPr>
        <w:t>9</w:t>
      </w:r>
      <w:r>
        <w:rPr>
          <w:rFonts w:hint="eastAsia" w:ascii="宋体" w:hAnsi="宋体" w:cs="宋体"/>
          <w:color w:val="auto"/>
          <w:kern w:val="0"/>
          <w:szCs w:val="21"/>
          <w:lang w:eastAsia="zh-CN"/>
        </w:rPr>
        <w:t>月</w:t>
      </w:r>
      <w:r>
        <w:rPr>
          <w:rFonts w:hint="eastAsia" w:ascii="宋体" w:hAnsi="宋体" w:cs="宋体"/>
          <w:color w:val="auto"/>
          <w:kern w:val="0"/>
          <w:szCs w:val="21"/>
          <w:lang w:val="en-US" w:eastAsia="zh-CN"/>
        </w:rPr>
        <w:t>23日</w:t>
      </w:r>
      <w:r>
        <w:rPr>
          <w:rFonts w:hint="eastAsia" w:ascii="宋体" w:hAnsi="宋体" w:eastAsia="宋体" w:cs="宋体"/>
          <w:color w:val="auto"/>
          <w:kern w:val="0"/>
          <w:szCs w:val="21"/>
        </w:rPr>
        <w:t>起至</w:t>
      </w:r>
      <w:r>
        <w:rPr>
          <w:rFonts w:hint="eastAsia" w:ascii="宋体" w:hAnsi="宋体" w:cs="宋体"/>
          <w:color w:val="auto"/>
          <w:kern w:val="0"/>
          <w:szCs w:val="21"/>
          <w:lang w:eastAsia="zh-CN"/>
        </w:rPr>
        <w:t>202</w:t>
      </w:r>
      <w:r>
        <w:rPr>
          <w:rFonts w:hint="eastAsia" w:ascii="宋体" w:hAnsi="宋体" w:cs="宋体"/>
          <w:color w:val="auto"/>
          <w:kern w:val="0"/>
          <w:szCs w:val="21"/>
          <w:lang w:val="en-US" w:eastAsia="zh-CN"/>
        </w:rPr>
        <w:t>5</w:t>
      </w:r>
      <w:r>
        <w:rPr>
          <w:rFonts w:hint="eastAsia" w:ascii="宋体" w:hAnsi="宋体" w:cs="宋体"/>
          <w:color w:val="auto"/>
          <w:kern w:val="0"/>
          <w:szCs w:val="21"/>
          <w:lang w:eastAsia="zh-CN"/>
        </w:rPr>
        <w:t>年</w:t>
      </w:r>
      <w:r>
        <w:rPr>
          <w:rFonts w:hint="eastAsia" w:ascii="宋体" w:hAnsi="宋体" w:cs="宋体"/>
          <w:color w:val="auto"/>
          <w:kern w:val="0"/>
          <w:szCs w:val="21"/>
          <w:lang w:val="en-US" w:eastAsia="zh-CN"/>
        </w:rPr>
        <w:t>9</w:t>
      </w:r>
      <w:r>
        <w:rPr>
          <w:rFonts w:hint="eastAsia" w:ascii="宋体" w:hAnsi="宋体" w:cs="宋体"/>
          <w:color w:val="auto"/>
          <w:kern w:val="0"/>
          <w:szCs w:val="21"/>
          <w:lang w:eastAsia="zh-CN"/>
        </w:rPr>
        <w:t>月</w:t>
      </w:r>
      <w:r>
        <w:rPr>
          <w:rFonts w:hint="eastAsia" w:ascii="宋体" w:hAnsi="宋体" w:cs="宋体"/>
          <w:color w:val="auto"/>
          <w:kern w:val="0"/>
          <w:szCs w:val="21"/>
          <w:lang w:val="en-US" w:eastAsia="zh-CN"/>
        </w:rPr>
        <w:t>26</w:t>
      </w:r>
      <w:r>
        <w:rPr>
          <w:rFonts w:hint="eastAsia" w:ascii="宋体" w:hAnsi="宋体" w:eastAsia="宋体" w:cs="宋体"/>
          <w:color w:val="auto"/>
          <w:kern w:val="0"/>
          <w:szCs w:val="21"/>
        </w:rPr>
        <w:t>日17时00分止在在重庆市铜梁区人民政府网（www.cqstl.gov.cn）</w:t>
      </w:r>
      <w:r>
        <w:rPr>
          <w:rFonts w:hint="eastAsia" w:ascii="宋体" w:hAnsi="宋体" w:cs="宋体"/>
          <w:color w:val="auto"/>
          <w:kern w:val="0"/>
          <w:szCs w:val="21"/>
          <w:lang w:val="en-US" w:eastAsia="zh-CN"/>
        </w:rPr>
        <w:t>上下载</w:t>
      </w:r>
      <w:r>
        <w:rPr>
          <w:rFonts w:hint="eastAsia" w:ascii="宋体" w:hAnsi="宋体" w:eastAsia="宋体" w:cs="宋体"/>
          <w:color w:val="auto"/>
          <w:kern w:val="0"/>
          <w:szCs w:val="21"/>
        </w:rPr>
        <w:t>本项目比选文件、工程量清单、图纸、澄清、修改、补充通知等全部内容并报名。</w:t>
      </w:r>
    </w:p>
    <w:p>
      <w:pPr>
        <w:pageBreakBefore w:val="0"/>
        <w:kinsoku/>
        <w:wordWrap/>
        <w:overflowPunct/>
        <w:topLinePunct w:val="0"/>
        <w:bidi w:val="0"/>
        <w:spacing w:line="440" w:lineRule="exact"/>
        <w:ind w:firstLine="420" w:firstLineChars="200"/>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4.2投标人可以以匿名传真的形式提出疑问，将问题传真至比选代理机构。提问时间从本公告发布至</w:t>
      </w:r>
      <w:r>
        <w:rPr>
          <w:rFonts w:hint="eastAsia" w:ascii="宋体" w:hAnsi="宋体" w:cs="宋体"/>
          <w:color w:val="auto"/>
          <w:kern w:val="0"/>
          <w:szCs w:val="21"/>
          <w:lang w:eastAsia="zh-CN"/>
        </w:rPr>
        <w:t>202</w:t>
      </w:r>
      <w:r>
        <w:rPr>
          <w:rFonts w:hint="eastAsia" w:ascii="宋体" w:hAnsi="宋体" w:cs="宋体"/>
          <w:color w:val="auto"/>
          <w:kern w:val="0"/>
          <w:szCs w:val="21"/>
          <w:lang w:val="en-US" w:eastAsia="zh-CN"/>
        </w:rPr>
        <w:t>5</w:t>
      </w:r>
      <w:r>
        <w:rPr>
          <w:rFonts w:hint="eastAsia" w:ascii="宋体" w:hAnsi="宋体" w:cs="宋体"/>
          <w:color w:val="auto"/>
          <w:kern w:val="0"/>
          <w:szCs w:val="21"/>
          <w:lang w:eastAsia="zh-CN"/>
        </w:rPr>
        <w:t>年</w:t>
      </w:r>
      <w:r>
        <w:rPr>
          <w:rFonts w:hint="eastAsia" w:ascii="宋体" w:hAnsi="宋体" w:cs="宋体"/>
          <w:color w:val="auto"/>
          <w:kern w:val="0"/>
          <w:szCs w:val="21"/>
          <w:lang w:val="en-US" w:eastAsia="zh-CN"/>
        </w:rPr>
        <w:t>9</w:t>
      </w:r>
      <w:r>
        <w:rPr>
          <w:rFonts w:hint="eastAsia" w:ascii="宋体" w:hAnsi="宋体" w:cs="宋体"/>
          <w:color w:val="auto"/>
          <w:kern w:val="0"/>
          <w:szCs w:val="21"/>
          <w:lang w:eastAsia="zh-CN"/>
        </w:rPr>
        <w:t>月</w:t>
      </w:r>
      <w:r>
        <w:rPr>
          <w:rFonts w:hint="eastAsia" w:ascii="宋体" w:hAnsi="宋体" w:cs="宋体"/>
          <w:color w:val="auto"/>
          <w:kern w:val="0"/>
          <w:szCs w:val="21"/>
          <w:lang w:val="en-US" w:eastAsia="zh-CN"/>
        </w:rPr>
        <w:t>24</w:t>
      </w:r>
      <w:r>
        <w:rPr>
          <w:rFonts w:hint="eastAsia" w:ascii="宋体" w:hAnsi="宋体" w:eastAsia="宋体" w:cs="宋体"/>
          <w:color w:val="auto"/>
          <w:kern w:val="0"/>
          <w:szCs w:val="21"/>
        </w:rPr>
        <w:t>日1</w:t>
      </w:r>
      <w:r>
        <w:rPr>
          <w:rFonts w:hint="eastAsia" w:ascii="宋体" w:hAnsi="宋体" w:cs="宋体"/>
          <w:color w:val="auto"/>
          <w:kern w:val="0"/>
          <w:szCs w:val="21"/>
          <w:lang w:val="en-US" w:eastAsia="zh-CN"/>
        </w:rPr>
        <w:t>2</w:t>
      </w:r>
      <w:r>
        <w:rPr>
          <w:rFonts w:hint="eastAsia" w:ascii="宋体" w:hAnsi="宋体" w:eastAsia="宋体" w:cs="宋体"/>
          <w:color w:val="auto"/>
          <w:kern w:val="0"/>
          <w:szCs w:val="21"/>
        </w:rPr>
        <w:t>时00分（北京时间）前。</w:t>
      </w:r>
    </w:p>
    <w:p>
      <w:pPr>
        <w:pageBreakBefore w:val="0"/>
        <w:kinsoku/>
        <w:wordWrap/>
        <w:overflowPunct/>
        <w:topLinePunct w:val="0"/>
        <w:bidi w:val="0"/>
        <w:spacing w:line="440" w:lineRule="exact"/>
        <w:ind w:firstLine="420" w:firstLineChars="200"/>
        <w:textAlignment w:val="auto"/>
        <w:rPr>
          <w:rFonts w:hint="eastAsia" w:ascii="宋体" w:hAnsi="宋体" w:eastAsia="宋体" w:cs="宋体"/>
          <w:bCs/>
          <w:color w:val="auto"/>
          <w:kern w:val="0"/>
          <w:szCs w:val="21"/>
          <w:highlight w:val="yellow"/>
          <w:lang w:val="en-US" w:eastAsia="zh-CN"/>
        </w:rPr>
      </w:pPr>
      <w:r>
        <w:rPr>
          <w:rFonts w:hint="eastAsia" w:ascii="宋体" w:hAnsi="宋体" w:eastAsia="宋体" w:cs="宋体"/>
          <w:color w:val="auto"/>
          <w:kern w:val="0"/>
          <w:szCs w:val="21"/>
        </w:rPr>
        <w:t>4.</w:t>
      </w:r>
      <w:r>
        <w:rPr>
          <w:rFonts w:hint="eastAsia" w:ascii="宋体" w:hAnsi="宋体" w:cs="宋体"/>
          <w:color w:val="auto"/>
          <w:kern w:val="0"/>
          <w:szCs w:val="21"/>
          <w:lang w:val="en-US" w:eastAsia="zh-CN"/>
        </w:rPr>
        <w:t>3</w:t>
      </w:r>
      <w:r>
        <w:rPr>
          <w:rFonts w:hint="eastAsia" w:ascii="宋体" w:hAnsi="宋体" w:cs="宋体"/>
          <w:color w:val="auto"/>
          <w:kern w:val="0"/>
          <w:szCs w:val="21"/>
          <w:lang w:eastAsia="zh-CN"/>
        </w:rPr>
        <w:t>招标人</w:t>
      </w:r>
      <w:r>
        <w:rPr>
          <w:rFonts w:hint="eastAsia" w:ascii="宋体" w:hAnsi="宋体" w:eastAsia="宋体" w:cs="宋体"/>
          <w:color w:val="auto"/>
          <w:kern w:val="0"/>
          <w:szCs w:val="21"/>
        </w:rPr>
        <w:t>应于</w:t>
      </w:r>
      <w:r>
        <w:rPr>
          <w:rFonts w:hint="eastAsia" w:ascii="宋体" w:hAnsi="宋体" w:cs="宋体"/>
          <w:color w:val="auto"/>
          <w:kern w:val="0"/>
          <w:szCs w:val="21"/>
          <w:lang w:eastAsia="zh-CN"/>
        </w:rPr>
        <w:t>202</w:t>
      </w:r>
      <w:r>
        <w:rPr>
          <w:rFonts w:hint="eastAsia" w:ascii="宋体" w:hAnsi="宋体" w:cs="宋体"/>
          <w:color w:val="auto"/>
          <w:kern w:val="0"/>
          <w:szCs w:val="21"/>
          <w:lang w:val="en-US" w:eastAsia="zh-CN"/>
        </w:rPr>
        <w:t>5</w:t>
      </w:r>
      <w:r>
        <w:rPr>
          <w:rFonts w:hint="eastAsia" w:ascii="宋体" w:hAnsi="宋体" w:cs="宋体"/>
          <w:color w:val="auto"/>
          <w:kern w:val="0"/>
          <w:szCs w:val="21"/>
          <w:lang w:eastAsia="zh-CN"/>
        </w:rPr>
        <w:t>年</w:t>
      </w:r>
      <w:r>
        <w:rPr>
          <w:rFonts w:hint="eastAsia" w:ascii="宋体" w:hAnsi="宋体" w:cs="宋体"/>
          <w:color w:val="auto"/>
          <w:kern w:val="0"/>
          <w:szCs w:val="21"/>
          <w:lang w:val="en-US" w:eastAsia="zh-CN"/>
        </w:rPr>
        <w:t>9</w:t>
      </w:r>
      <w:r>
        <w:rPr>
          <w:rFonts w:hint="eastAsia" w:ascii="宋体" w:hAnsi="宋体" w:cs="宋体"/>
          <w:color w:val="auto"/>
          <w:kern w:val="0"/>
          <w:szCs w:val="21"/>
          <w:lang w:eastAsia="zh-CN"/>
        </w:rPr>
        <w:t>月</w:t>
      </w:r>
      <w:r>
        <w:rPr>
          <w:rFonts w:hint="eastAsia" w:ascii="宋体" w:hAnsi="宋体" w:cs="宋体"/>
          <w:color w:val="auto"/>
          <w:kern w:val="0"/>
          <w:szCs w:val="21"/>
          <w:lang w:val="en-US" w:eastAsia="zh-CN"/>
        </w:rPr>
        <w:t>24</w:t>
      </w:r>
      <w:r>
        <w:rPr>
          <w:rFonts w:hint="eastAsia" w:ascii="宋体" w:hAnsi="宋体" w:eastAsia="宋体" w:cs="宋体"/>
          <w:color w:val="auto"/>
          <w:kern w:val="0"/>
          <w:szCs w:val="21"/>
        </w:rPr>
        <w:t>日17时00分（北京时间）前在</w:t>
      </w:r>
      <w:r>
        <w:rPr>
          <w:rFonts w:hint="eastAsia" w:ascii="宋体" w:hAnsi="宋体" w:eastAsia="宋体" w:cs="宋体"/>
          <w:color w:val="auto"/>
          <w:kern w:val="0"/>
          <w:szCs w:val="21"/>
          <w:lang w:eastAsia="zh-CN"/>
        </w:rPr>
        <w:t>重庆市铜梁区人民政府网（http://www.cqstl.gov.cn</w:t>
      </w:r>
      <w:r>
        <w:rPr>
          <w:rFonts w:hint="eastAsia" w:ascii="宋体" w:hAnsi="宋体" w:cs="宋体"/>
          <w:color w:val="auto"/>
          <w:kern w:val="0"/>
          <w:szCs w:val="21"/>
          <w:lang w:eastAsia="zh-CN"/>
        </w:rPr>
        <w:t>）</w:t>
      </w:r>
      <w:r>
        <w:rPr>
          <w:rFonts w:hint="eastAsia" w:ascii="宋体" w:hAnsi="宋体" w:eastAsia="宋体" w:cs="宋体"/>
          <w:color w:val="auto"/>
          <w:kern w:val="0"/>
          <w:szCs w:val="21"/>
        </w:rPr>
        <w:t>发布澄清。</w:t>
      </w:r>
    </w:p>
    <w:p>
      <w:pPr>
        <w:pStyle w:val="4"/>
        <w:pageBreakBefore w:val="0"/>
        <w:kinsoku/>
        <w:wordWrap/>
        <w:overflowPunct/>
        <w:topLinePunct w:val="0"/>
        <w:bidi w:val="0"/>
        <w:spacing w:before="0" w:after="0" w:line="440" w:lineRule="exact"/>
        <w:textAlignment w:val="auto"/>
        <w:rPr>
          <w:rFonts w:hint="eastAsia" w:ascii="宋体" w:hAnsi="宋体" w:eastAsia="宋体" w:cs="宋体"/>
          <w:snapToGrid w:val="0"/>
          <w:color w:val="auto"/>
          <w:sz w:val="21"/>
          <w:szCs w:val="21"/>
        </w:rPr>
      </w:pPr>
      <w:r>
        <w:rPr>
          <w:rFonts w:hint="eastAsia" w:ascii="宋体" w:hAnsi="宋体" w:cs="宋体"/>
          <w:snapToGrid w:val="0"/>
          <w:color w:val="auto"/>
          <w:sz w:val="21"/>
          <w:szCs w:val="21"/>
          <w:lang w:eastAsia="zh-CN"/>
        </w:rPr>
        <w:t>5.</w:t>
      </w:r>
      <w:r>
        <w:rPr>
          <w:rFonts w:hint="eastAsia" w:ascii="宋体" w:hAnsi="宋体" w:eastAsia="宋体" w:cs="宋体"/>
          <w:snapToGrid w:val="0"/>
          <w:color w:val="auto"/>
          <w:sz w:val="21"/>
          <w:szCs w:val="21"/>
        </w:rPr>
        <w:t>投标文件的递交</w:t>
      </w:r>
      <w:bookmarkEnd w:id="16"/>
    </w:p>
    <w:p>
      <w:pPr>
        <w:pageBreakBefore w:val="0"/>
        <w:kinsoku/>
        <w:wordWrap/>
        <w:overflowPunct/>
        <w:topLinePunct w:val="0"/>
        <w:bidi w:val="0"/>
        <w:spacing w:line="440" w:lineRule="exact"/>
        <w:ind w:firstLine="420" w:firstLineChars="200"/>
        <w:textAlignment w:val="auto"/>
        <w:rPr>
          <w:rFonts w:hint="eastAsia" w:ascii="宋体" w:hAnsi="宋体" w:eastAsia="宋体" w:cs="宋体"/>
          <w:snapToGrid w:val="0"/>
          <w:color w:val="auto"/>
          <w:kern w:val="0"/>
          <w:szCs w:val="21"/>
        </w:rPr>
      </w:pPr>
      <w:bookmarkStart w:id="17" w:name="_Toc452058678"/>
      <w:r>
        <w:rPr>
          <w:rFonts w:hint="eastAsia" w:ascii="宋体" w:hAnsi="宋体" w:eastAsia="宋体" w:cs="宋体"/>
          <w:snapToGrid w:val="0"/>
          <w:color w:val="auto"/>
          <w:kern w:val="0"/>
          <w:szCs w:val="21"/>
        </w:rPr>
        <w:t>5.1 投标文件递交时间为</w:t>
      </w:r>
      <w:r>
        <w:rPr>
          <w:rFonts w:hint="eastAsia" w:ascii="宋体" w:hAnsi="宋体" w:cs="宋体"/>
          <w:bCs/>
          <w:color w:val="auto"/>
          <w:kern w:val="0"/>
          <w:szCs w:val="21"/>
          <w:lang w:eastAsia="zh-CN"/>
        </w:rPr>
        <w:t>202</w:t>
      </w:r>
      <w:r>
        <w:rPr>
          <w:rFonts w:hint="eastAsia" w:ascii="宋体" w:hAnsi="宋体" w:cs="宋体"/>
          <w:bCs/>
          <w:color w:val="auto"/>
          <w:kern w:val="0"/>
          <w:szCs w:val="21"/>
          <w:lang w:val="en-US" w:eastAsia="zh-CN"/>
        </w:rPr>
        <w:t>5</w:t>
      </w:r>
      <w:r>
        <w:rPr>
          <w:rFonts w:hint="eastAsia" w:ascii="宋体" w:hAnsi="宋体" w:cs="宋体"/>
          <w:bCs/>
          <w:color w:val="auto"/>
          <w:kern w:val="0"/>
          <w:szCs w:val="21"/>
          <w:lang w:eastAsia="zh-CN"/>
        </w:rPr>
        <w:t>年</w:t>
      </w:r>
      <w:r>
        <w:rPr>
          <w:rFonts w:hint="eastAsia" w:ascii="宋体" w:hAnsi="宋体" w:cs="宋体"/>
          <w:bCs/>
          <w:color w:val="auto"/>
          <w:kern w:val="0"/>
          <w:szCs w:val="21"/>
          <w:lang w:val="en-US" w:eastAsia="zh-CN"/>
        </w:rPr>
        <w:t>9</w:t>
      </w:r>
      <w:r>
        <w:rPr>
          <w:rFonts w:hint="eastAsia" w:ascii="宋体" w:hAnsi="宋体" w:cs="宋体"/>
          <w:bCs/>
          <w:color w:val="auto"/>
          <w:kern w:val="0"/>
          <w:szCs w:val="21"/>
          <w:lang w:eastAsia="zh-CN"/>
        </w:rPr>
        <w:t>月</w:t>
      </w:r>
      <w:r>
        <w:rPr>
          <w:rFonts w:hint="eastAsia" w:ascii="宋体" w:hAnsi="宋体" w:cs="宋体"/>
          <w:bCs/>
          <w:color w:val="auto"/>
          <w:kern w:val="0"/>
          <w:szCs w:val="21"/>
          <w:lang w:val="en-US" w:eastAsia="zh-CN"/>
        </w:rPr>
        <w:t>28日</w:t>
      </w:r>
      <w:r>
        <w:rPr>
          <w:rFonts w:hint="eastAsia" w:ascii="宋体" w:hAnsi="宋体" w:cs="宋体"/>
          <w:bCs/>
          <w:snapToGrid w:val="0"/>
          <w:color w:val="auto"/>
          <w:kern w:val="0"/>
          <w:szCs w:val="21"/>
          <w:lang w:val="en-US" w:eastAsia="zh-CN"/>
        </w:rPr>
        <w:t>9</w:t>
      </w:r>
      <w:r>
        <w:rPr>
          <w:rFonts w:hint="eastAsia" w:ascii="宋体" w:hAnsi="宋体" w:eastAsia="宋体" w:cs="宋体"/>
          <w:bCs/>
          <w:snapToGrid w:val="0"/>
          <w:color w:val="auto"/>
          <w:kern w:val="0"/>
          <w:szCs w:val="21"/>
          <w:lang w:eastAsia="zh-CN"/>
        </w:rPr>
        <w:t>时</w:t>
      </w:r>
      <w:r>
        <w:rPr>
          <w:rFonts w:hint="eastAsia" w:ascii="宋体" w:hAnsi="宋体" w:eastAsia="宋体" w:cs="宋体"/>
          <w:bCs/>
          <w:snapToGrid w:val="0"/>
          <w:color w:val="auto"/>
          <w:kern w:val="0"/>
          <w:szCs w:val="21"/>
        </w:rPr>
        <w:t>00分至</w:t>
      </w:r>
      <w:r>
        <w:rPr>
          <w:rFonts w:hint="eastAsia" w:ascii="宋体" w:hAnsi="宋体" w:cs="宋体"/>
          <w:bCs/>
          <w:color w:val="auto"/>
          <w:kern w:val="0"/>
          <w:szCs w:val="21"/>
          <w:lang w:eastAsia="zh-CN"/>
        </w:rPr>
        <w:t>202</w:t>
      </w:r>
      <w:r>
        <w:rPr>
          <w:rFonts w:hint="eastAsia" w:ascii="宋体" w:hAnsi="宋体" w:cs="宋体"/>
          <w:bCs/>
          <w:color w:val="auto"/>
          <w:kern w:val="0"/>
          <w:szCs w:val="21"/>
          <w:lang w:val="en-US" w:eastAsia="zh-CN"/>
        </w:rPr>
        <w:t>5</w:t>
      </w:r>
      <w:r>
        <w:rPr>
          <w:rFonts w:hint="eastAsia" w:ascii="宋体" w:hAnsi="宋体" w:cs="宋体"/>
          <w:bCs/>
          <w:color w:val="auto"/>
          <w:kern w:val="0"/>
          <w:szCs w:val="21"/>
          <w:lang w:eastAsia="zh-CN"/>
        </w:rPr>
        <w:t>年</w:t>
      </w:r>
      <w:r>
        <w:rPr>
          <w:rFonts w:hint="eastAsia" w:ascii="宋体" w:hAnsi="宋体" w:cs="宋体"/>
          <w:bCs/>
          <w:color w:val="auto"/>
          <w:kern w:val="0"/>
          <w:szCs w:val="21"/>
          <w:lang w:val="en-US" w:eastAsia="zh-CN"/>
        </w:rPr>
        <w:t>9</w:t>
      </w:r>
      <w:r>
        <w:rPr>
          <w:rFonts w:hint="eastAsia" w:ascii="宋体" w:hAnsi="宋体" w:cs="宋体"/>
          <w:bCs/>
          <w:color w:val="auto"/>
          <w:kern w:val="0"/>
          <w:szCs w:val="21"/>
          <w:lang w:eastAsia="zh-CN"/>
        </w:rPr>
        <w:t>月</w:t>
      </w:r>
      <w:r>
        <w:rPr>
          <w:rFonts w:hint="eastAsia" w:ascii="宋体" w:hAnsi="宋体" w:cs="宋体"/>
          <w:bCs/>
          <w:color w:val="auto"/>
          <w:kern w:val="0"/>
          <w:szCs w:val="21"/>
          <w:lang w:val="en-US" w:eastAsia="zh-CN"/>
        </w:rPr>
        <w:t>28日</w:t>
      </w:r>
      <w:r>
        <w:rPr>
          <w:rFonts w:hint="eastAsia" w:ascii="宋体" w:hAnsi="宋体" w:cs="宋体"/>
          <w:bCs/>
          <w:snapToGrid w:val="0"/>
          <w:color w:val="auto"/>
          <w:kern w:val="0"/>
          <w:szCs w:val="21"/>
          <w:lang w:val="en-US" w:eastAsia="zh-CN"/>
        </w:rPr>
        <w:t>9</w:t>
      </w:r>
      <w:r>
        <w:rPr>
          <w:rFonts w:hint="eastAsia" w:ascii="宋体" w:hAnsi="宋体" w:eastAsia="宋体" w:cs="宋体"/>
          <w:bCs/>
          <w:snapToGrid w:val="0"/>
          <w:color w:val="auto"/>
          <w:kern w:val="0"/>
          <w:szCs w:val="21"/>
          <w:lang w:eastAsia="zh-CN"/>
        </w:rPr>
        <w:t>时</w:t>
      </w:r>
      <w:r>
        <w:rPr>
          <w:rFonts w:hint="eastAsia" w:ascii="宋体" w:hAnsi="宋体" w:eastAsia="宋体" w:cs="宋体"/>
          <w:bCs/>
          <w:snapToGrid w:val="0"/>
          <w:color w:val="auto"/>
          <w:kern w:val="0"/>
          <w:szCs w:val="21"/>
        </w:rPr>
        <w:t>30分，投标文件递交的截止时间（投标截止时间，下同）为</w:t>
      </w:r>
      <w:r>
        <w:rPr>
          <w:rFonts w:hint="eastAsia" w:ascii="宋体" w:hAnsi="宋体" w:cs="宋体"/>
          <w:bCs/>
          <w:color w:val="auto"/>
          <w:kern w:val="0"/>
          <w:szCs w:val="21"/>
          <w:lang w:eastAsia="zh-CN"/>
        </w:rPr>
        <w:t>202</w:t>
      </w:r>
      <w:r>
        <w:rPr>
          <w:rFonts w:hint="eastAsia" w:ascii="宋体" w:hAnsi="宋体" w:cs="宋体"/>
          <w:bCs/>
          <w:color w:val="auto"/>
          <w:kern w:val="0"/>
          <w:szCs w:val="21"/>
          <w:lang w:val="en-US" w:eastAsia="zh-CN"/>
        </w:rPr>
        <w:t>5</w:t>
      </w:r>
      <w:r>
        <w:rPr>
          <w:rFonts w:hint="eastAsia" w:ascii="宋体" w:hAnsi="宋体" w:cs="宋体"/>
          <w:bCs/>
          <w:color w:val="auto"/>
          <w:kern w:val="0"/>
          <w:szCs w:val="21"/>
          <w:lang w:eastAsia="zh-CN"/>
        </w:rPr>
        <w:t>年</w:t>
      </w:r>
      <w:r>
        <w:rPr>
          <w:rFonts w:hint="eastAsia" w:ascii="宋体" w:hAnsi="宋体" w:cs="宋体"/>
          <w:bCs/>
          <w:color w:val="auto"/>
          <w:kern w:val="0"/>
          <w:szCs w:val="21"/>
          <w:lang w:val="en-US" w:eastAsia="zh-CN"/>
        </w:rPr>
        <w:t>9</w:t>
      </w:r>
      <w:r>
        <w:rPr>
          <w:rFonts w:hint="eastAsia" w:ascii="宋体" w:hAnsi="宋体" w:cs="宋体"/>
          <w:bCs/>
          <w:color w:val="auto"/>
          <w:kern w:val="0"/>
          <w:szCs w:val="21"/>
          <w:lang w:eastAsia="zh-CN"/>
        </w:rPr>
        <w:t>月</w:t>
      </w:r>
      <w:r>
        <w:rPr>
          <w:rFonts w:hint="eastAsia" w:ascii="宋体" w:hAnsi="宋体" w:cs="宋体"/>
          <w:bCs/>
          <w:color w:val="auto"/>
          <w:kern w:val="0"/>
          <w:szCs w:val="21"/>
          <w:lang w:val="en-US" w:eastAsia="zh-CN"/>
        </w:rPr>
        <w:t>28日</w:t>
      </w:r>
      <w:r>
        <w:rPr>
          <w:rFonts w:hint="eastAsia" w:ascii="宋体" w:hAnsi="宋体" w:cs="宋体"/>
          <w:bCs/>
          <w:snapToGrid w:val="0"/>
          <w:color w:val="auto"/>
          <w:kern w:val="0"/>
          <w:szCs w:val="21"/>
          <w:lang w:val="en-US" w:eastAsia="zh-CN"/>
        </w:rPr>
        <w:t>9</w:t>
      </w:r>
      <w:r>
        <w:rPr>
          <w:rFonts w:hint="eastAsia" w:ascii="宋体" w:hAnsi="宋体" w:eastAsia="宋体" w:cs="宋体"/>
          <w:bCs/>
          <w:snapToGrid w:val="0"/>
          <w:color w:val="auto"/>
          <w:kern w:val="0"/>
          <w:szCs w:val="21"/>
          <w:lang w:eastAsia="zh-CN"/>
        </w:rPr>
        <w:t>时</w:t>
      </w:r>
      <w:r>
        <w:rPr>
          <w:rFonts w:hint="eastAsia" w:ascii="宋体" w:hAnsi="宋体" w:eastAsia="宋体" w:cs="宋体"/>
          <w:bCs/>
          <w:snapToGrid w:val="0"/>
          <w:color w:val="auto"/>
          <w:kern w:val="0"/>
          <w:szCs w:val="21"/>
        </w:rPr>
        <w:t>30分，地点：</w:t>
      </w:r>
      <w:r>
        <w:rPr>
          <w:rFonts w:hint="eastAsia" w:ascii="宋体" w:hAnsi="宋体" w:cs="宋体"/>
          <w:bCs/>
          <w:snapToGrid w:val="0"/>
          <w:color w:val="auto"/>
          <w:kern w:val="0"/>
          <w:szCs w:val="21"/>
          <w:lang w:eastAsia="zh-CN"/>
        </w:rPr>
        <w:t>重庆市铜梁区福果镇人民政府</w:t>
      </w:r>
      <w:r>
        <w:rPr>
          <w:rFonts w:hint="eastAsia" w:ascii="宋体" w:hAnsi="宋体" w:eastAsia="宋体" w:cs="宋体"/>
          <w:bCs/>
          <w:snapToGrid w:val="0"/>
          <w:color w:val="auto"/>
          <w:kern w:val="0"/>
          <w:szCs w:val="21"/>
          <w:lang w:eastAsia="zh-CN"/>
        </w:rPr>
        <w:t>会议室</w:t>
      </w:r>
      <w:r>
        <w:rPr>
          <w:rFonts w:hint="eastAsia" w:ascii="宋体" w:hAnsi="宋体" w:eastAsia="宋体" w:cs="宋体"/>
          <w:snapToGrid w:val="0"/>
          <w:color w:val="auto"/>
          <w:kern w:val="0"/>
          <w:szCs w:val="21"/>
        </w:rPr>
        <w:t>。</w:t>
      </w:r>
    </w:p>
    <w:p>
      <w:pPr>
        <w:pageBreakBefore w:val="0"/>
        <w:kinsoku/>
        <w:wordWrap/>
        <w:overflowPunct/>
        <w:topLinePunct w:val="0"/>
        <w:bidi w:val="0"/>
        <w:spacing w:line="440" w:lineRule="exact"/>
        <w:ind w:firstLine="420" w:firstLineChars="200"/>
        <w:textAlignment w:val="auto"/>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5.2 逾期送达的或者未送达指定地点的投标文件，</w:t>
      </w:r>
      <w:r>
        <w:rPr>
          <w:rFonts w:hint="eastAsia" w:ascii="宋体" w:hAnsi="宋体" w:cs="宋体"/>
          <w:snapToGrid w:val="0"/>
          <w:color w:val="auto"/>
          <w:kern w:val="0"/>
          <w:szCs w:val="21"/>
          <w:lang w:eastAsia="zh-CN"/>
        </w:rPr>
        <w:t>招标人</w:t>
      </w:r>
      <w:r>
        <w:rPr>
          <w:rFonts w:hint="eastAsia" w:ascii="宋体" w:hAnsi="宋体" w:eastAsia="宋体" w:cs="宋体"/>
          <w:snapToGrid w:val="0"/>
          <w:color w:val="auto"/>
          <w:kern w:val="0"/>
          <w:szCs w:val="21"/>
        </w:rPr>
        <w:t>不予受理。</w:t>
      </w:r>
    </w:p>
    <w:p>
      <w:pPr>
        <w:pStyle w:val="4"/>
        <w:pageBreakBefore w:val="0"/>
        <w:kinsoku/>
        <w:wordWrap/>
        <w:overflowPunct/>
        <w:topLinePunct w:val="0"/>
        <w:bidi w:val="0"/>
        <w:spacing w:before="0" w:after="0" w:line="440" w:lineRule="exact"/>
        <w:textAlignment w:val="auto"/>
        <w:rPr>
          <w:rFonts w:hint="eastAsia" w:ascii="宋体" w:hAnsi="宋体" w:eastAsia="宋体" w:cs="宋体"/>
          <w:snapToGrid w:val="0"/>
          <w:color w:val="auto"/>
          <w:sz w:val="21"/>
          <w:szCs w:val="21"/>
        </w:rPr>
      </w:pPr>
      <w:r>
        <w:rPr>
          <w:rFonts w:hint="eastAsia" w:ascii="宋体" w:hAnsi="宋体" w:cs="宋体"/>
          <w:snapToGrid w:val="0"/>
          <w:color w:val="auto"/>
          <w:sz w:val="21"/>
          <w:szCs w:val="21"/>
          <w:lang w:eastAsia="zh-CN"/>
        </w:rPr>
        <w:t>6.</w:t>
      </w:r>
      <w:r>
        <w:rPr>
          <w:rFonts w:hint="eastAsia" w:ascii="宋体" w:hAnsi="宋体" w:eastAsia="宋体" w:cs="宋体"/>
          <w:snapToGrid w:val="0"/>
          <w:color w:val="auto"/>
          <w:sz w:val="21"/>
          <w:szCs w:val="21"/>
        </w:rPr>
        <w:t>发布公告的媒介</w:t>
      </w:r>
      <w:bookmarkEnd w:id="17"/>
    </w:p>
    <w:p>
      <w:pPr>
        <w:pageBreakBefore w:val="0"/>
        <w:kinsoku/>
        <w:wordWrap/>
        <w:overflowPunct/>
        <w:topLinePunct w:val="0"/>
        <w:bidi w:val="0"/>
        <w:spacing w:line="440" w:lineRule="exact"/>
        <w:ind w:firstLine="420" w:firstLineChars="200"/>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本次比选公告在</w:t>
      </w:r>
      <w:r>
        <w:rPr>
          <w:rFonts w:hint="eastAsia" w:ascii="宋体" w:hAnsi="宋体" w:eastAsia="宋体" w:cs="宋体"/>
          <w:color w:val="auto"/>
          <w:kern w:val="0"/>
          <w:szCs w:val="21"/>
          <w:lang w:eastAsia="zh-CN"/>
        </w:rPr>
        <w:t>重庆市铜梁区人民政府网（http://www.cqstl.gov.cn</w:t>
      </w:r>
      <w:r>
        <w:rPr>
          <w:rFonts w:hint="eastAsia" w:ascii="宋体" w:hAnsi="宋体" w:cs="宋体"/>
          <w:color w:val="auto"/>
          <w:kern w:val="0"/>
          <w:szCs w:val="21"/>
          <w:lang w:eastAsia="zh-CN"/>
        </w:rPr>
        <w:t>）</w:t>
      </w:r>
      <w:r>
        <w:rPr>
          <w:rFonts w:hint="eastAsia" w:ascii="宋体" w:hAnsi="宋体" w:eastAsia="宋体" w:cs="宋体"/>
          <w:color w:val="auto"/>
          <w:kern w:val="0"/>
          <w:szCs w:val="21"/>
        </w:rPr>
        <w:t>上发布。</w:t>
      </w:r>
    </w:p>
    <w:p>
      <w:pPr>
        <w:pStyle w:val="4"/>
        <w:pageBreakBefore w:val="0"/>
        <w:kinsoku/>
        <w:wordWrap/>
        <w:overflowPunct/>
        <w:topLinePunct w:val="0"/>
        <w:bidi w:val="0"/>
        <w:spacing w:before="0" w:after="0" w:line="440" w:lineRule="exact"/>
        <w:textAlignment w:val="auto"/>
        <w:rPr>
          <w:rFonts w:hint="eastAsia" w:ascii="宋体" w:hAnsi="宋体" w:eastAsia="宋体" w:cs="宋体"/>
          <w:snapToGrid w:val="0"/>
          <w:color w:val="auto"/>
          <w:sz w:val="21"/>
          <w:szCs w:val="21"/>
        </w:rPr>
      </w:pPr>
      <w:bookmarkStart w:id="18" w:name="_Toc452058679"/>
      <w:r>
        <w:rPr>
          <w:rFonts w:hint="eastAsia" w:ascii="宋体" w:hAnsi="宋体" w:cs="宋体"/>
          <w:snapToGrid w:val="0"/>
          <w:color w:val="auto"/>
          <w:sz w:val="21"/>
          <w:szCs w:val="21"/>
          <w:lang w:eastAsia="zh-CN"/>
        </w:rPr>
        <w:t>7.</w:t>
      </w:r>
      <w:r>
        <w:rPr>
          <w:rFonts w:hint="eastAsia" w:ascii="宋体" w:hAnsi="宋体" w:eastAsia="宋体" w:cs="宋体"/>
          <w:snapToGrid w:val="0"/>
          <w:color w:val="auto"/>
          <w:sz w:val="21"/>
          <w:szCs w:val="21"/>
        </w:rPr>
        <w:t>联系方式</w:t>
      </w:r>
      <w:bookmarkEnd w:id="18"/>
    </w:p>
    <w:p>
      <w:pPr>
        <w:pageBreakBefore w:val="0"/>
        <w:kinsoku/>
        <w:wordWrap/>
        <w:overflowPunct/>
        <w:topLinePunct w:val="0"/>
        <w:bidi w:val="0"/>
        <w:spacing w:line="440" w:lineRule="exact"/>
        <w:ind w:firstLine="420" w:firstLineChars="200"/>
        <w:jc w:val="left"/>
        <w:textAlignment w:val="auto"/>
        <w:rPr>
          <w:rFonts w:hint="eastAsia" w:ascii="宋体" w:hAnsi="宋体" w:eastAsia="宋体" w:cs="宋体"/>
          <w:snapToGrid w:val="0"/>
          <w:color w:val="auto"/>
          <w:kern w:val="0"/>
          <w:szCs w:val="21"/>
          <w:lang w:eastAsia="zh-CN"/>
        </w:rPr>
      </w:pPr>
      <w:bookmarkStart w:id="19" w:name="_Toc13425"/>
      <w:bookmarkStart w:id="20" w:name="_Toc15706"/>
      <w:bookmarkStart w:id="21" w:name="_Toc224103315"/>
      <w:bookmarkStart w:id="22" w:name="_Toc24949"/>
      <w:bookmarkStart w:id="23" w:name="_Toc287607744"/>
      <w:r>
        <w:rPr>
          <w:rFonts w:hint="eastAsia" w:ascii="宋体" w:hAnsi="宋体" w:cs="宋体"/>
          <w:color w:val="auto"/>
          <w:kern w:val="0"/>
          <w:szCs w:val="21"/>
          <w:lang w:eastAsia="zh-CN"/>
        </w:rPr>
        <w:t>招标人</w:t>
      </w:r>
      <w:r>
        <w:rPr>
          <w:rFonts w:hint="eastAsia" w:ascii="宋体" w:hAnsi="宋体" w:eastAsia="宋体" w:cs="宋体"/>
          <w:color w:val="auto"/>
          <w:kern w:val="0"/>
          <w:szCs w:val="21"/>
        </w:rPr>
        <w:t>：</w:t>
      </w:r>
      <w:r>
        <w:rPr>
          <w:rFonts w:hint="eastAsia" w:ascii="宋体" w:hAnsi="宋体" w:cs="宋体"/>
          <w:snapToGrid w:val="0"/>
          <w:color w:val="auto"/>
          <w:kern w:val="0"/>
          <w:szCs w:val="21"/>
          <w:lang w:eastAsia="zh-CN"/>
        </w:rPr>
        <w:t>重庆市铜梁区福果镇人民政府</w:t>
      </w:r>
    </w:p>
    <w:p>
      <w:pPr>
        <w:pageBreakBefore w:val="0"/>
        <w:kinsoku/>
        <w:wordWrap/>
        <w:overflowPunct/>
        <w:topLinePunct w:val="0"/>
        <w:bidi w:val="0"/>
        <w:spacing w:line="440" w:lineRule="exact"/>
        <w:ind w:right="67" w:rightChars="32" w:firstLine="420" w:firstLineChars="200"/>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地址：</w:t>
      </w:r>
      <w:r>
        <w:rPr>
          <w:rFonts w:hint="eastAsia" w:ascii="宋体" w:hAnsi="宋体" w:cs="宋体"/>
          <w:snapToGrid w:val="0"/>
          <w:color w:val="auto"/>
          <w:kern w:val="0"/>
          <w:szCs w:val="21"/>
          <w:highlight w:val="none"/>
          <w:lang w:eastAsia="zh-CN"/>
        </w:rPr>
        <w:t>重庆市铜梁区福果镇福兴路64号</w:t>
      </w:r>
    </w:p>
    <w:p>
      <w:pPr>
        <w:pageBreakBefore w:val="0"/>
        <w:kinsoku/>
        <w:wordWrap/>
        <w:overflowPunct/>
        <w:topLinePunct w:val="0"/>
        <w:bidi w:val="0"/>
        <w:spacing w:line="440" w:lineRule="exact"/>
        <w:ind w:firstLine="420" w:firstLineChars="200"/>
        <w:textAlignment w:val="auto"/>
        <w:rPr>
          <w:rFonts w:hint="eastAsia" w:ascii="宋体" w:hAnsi="宋体" w:cs="宋体"/>
          <w:snapToGrid w:val="0"/>
          <w:color w:val="auto"/>
          <w:kern w:val="0"/>
          <w:szCs w:val="21"/>
          <w:highlight w:val="none"/>
          <w:lang w:val="en-US" w:eastAsia="zh-CN"/>
        </w:rPr>
      </w:pPr>
      <w:r>
        <w:rPr>
          <w:rFonts w:hint="eastAsia" w:ascii="宋体" w:hAnsi="宋体" w:eastAsia="宋体" w:cs="宋体"/>
          <w:snapToGrid w:val="0"/>
          <w:color w:val="auto"/>
          <w:kern w:val="0"/>
          <w:szCs w:val="21"/>
          <w:highlight w:val="none"/>
        </w:rPr>
        <w:t>联系人：</w:t>
      </w:r>
      <w:r>
        <w:rPr>
          <w:rFonts w:hint="eastAsia" w:ascii="宋体" w:hAnsi="宋体" w:cs="宋体"/>
          <w:snapToGrid w:val="0"/>
          <w:color w:val="auto"/>
          <w:kern w:val="0"/>
          <w:szCs w:val="21"/>
          <w:highlight w:val="none"/>
          <w:lang w:val="en-US" w:eastAsia="zh-CN"/>
        </w:rPr>
        <w:t>张老师</w:t>
      </w:r>
    </w:p>
    <w:p>
      <w:pPr>
        <w:pageBreakBefore w:val="0"/>
        <w:kinsoku/>
        <w:wordWrap/>
        <w:overflowPunct/>
        <w:topLinePunct w:val="0"/>
        <w:bidi w:val="0"/>
        <w:spacing w:line="440" w:lineRule="exact"/>
        <w:ind w:firstLine="420" w:firstLineChars="200"/>
        <w:textAlignment w:val="auto"/>
        <w:rPr>
          <w:rFonts w:hint="default" w:ascii="宋体" w:hAnsi="宋体" w:eastAsia="宋体" w:cs="宋体"/>
          <w:snapToGrid w:val="0"/>
          <w:color w:val="auto"/>
          <w:kern w:val="0"/>
          <w:szCs w:val="21"/>
          <w:highlight w:val="none"/>
          <w:lang w:val="en-US" w:eastAsia="zh-CN"/>
        </w:rPr>
      </w:pPr>
      <w:r>
        <w:rPr>
          <w:rFonts w:hint="eastAsia" w:ascii="宋体" w:hAnsi="宋体" w:eastAsia="宋体" w:cs="宋体"/>
          <w:snapToGrid w:val="0"/>
          <w:color w:val="auto"/>
          <w:kern w:val="0"/>
          <w:szCs w:val="21"/>
          <w:highlight w:val="none"/>
        </w:rPr>
        <w:t>联系电话：</w:t>
      </w:r>
      <w:r>
        <w:rPr>
          <w:rFonts w:hint="eastAsia" w:ascii="宋体" w:hAnsi="宋体" w:cs="宋体"/>
          <w:snapToGrid w:val="0"/>
          <w:color w:val="auto"/>
          <w:kern w:val="0"/>
          <w:szCs w:val="21"/>
          <w:highlight w:val="none"/>
          <w:lang w:val="en-US" w:eastAsia="zh-CN"/>
        </w:rPr>
        <w:t>17783828191</w:t>
      </w:r>
    </w:p>
    <w:p>
      <w:pPr>
        <w:pageBreakBefore w:val="0"/>
        <w:kinsoku/>
        <w:wordWrap/>
        <w:overflowPunct/>
        <w:topLinePunct w:val="0"/>
        <w:bidi w:val="0"/>
        <w:spacing w:line="440" w:lineRule="exact"/>
        <w:ind w:firstLine="420" w:firstLineChars="200"/>
        <w:textAlignment w:val="auto"/>
        <w:rPr>
          <w:rFonts w:hint="eastAsia" w:ascii="宋体" w:hAnsi="宋体" w:eastAsia="宋体" w:cs="宋体"/>
          <w:snapToGrid w:val="0"/>
          <w:color w:val="auto"/>
          <w:kern w:val="0"/>
          <w:szCs w:val="21"/>
          <w:highlight w:val="none"/>
        </w:rPr>
      </w:pPr>
      <w:r>
        <w:rPr>
          <w:rFonts w:hint="eastAsia" w:ascii="宋体" w:hAnsi="宋体" w:eastAsia="宋体" w:cs="宋体"/>
          <w:color w:val="auto"/>
          <w:kern w:val="0"/>
          <w:szCs w:val="21"/>
          <w:highlight w:val="none"/>
        </w:rPr>
        <w:t xml:space="preserve">                     </w:t>
      </w:r>
    </w:p>
    <w:p>
      <w:pPr>
        <w:pStyle w:val="46"/>
        <w:pageBreakBefore w:val="0"/>
        <w:kinsoku/>
        <w:wordWrap/>
        <w:overflowPunct/>
        <w:topLinePunct w:val="0"/>
        <w:bidi w:val="0"/>
        <w:spacing w:before="0" w:beforeAutospacing="0" w:after="0" w:afterAutospacing="0" w:line="440" w:lineRule="exact"/>
        <w:ind w:firstLine="420" w:firstLineChars="200"/>
        <w:textAlignment w:val="auto"/>
        <w:rPr>
          <w:rFonts w:hint="eastAsia" w:ascii="宋体" w:hAnsi="宋体" w:eastAsia="宋体" w:cs="宋体"/>
          <w:snapToGrid w:val="0"/>
          <w:color w:val="auto"/>
          <w:sz w:val="21"/>
          <w:szCs w:val="21"/>
          <w:highlight w:val="none"/>
          <w:lang w:eastAsia="zh-CN"/>
        </w:rPr>
      </w:pPr>
      <w:r>
        <w:rPr>
          <w:rFonts w:hint="eastAsia" w:ascii="宋体" w:hAnsi="宋体" w:eastAsia="宋体" w:cs="宋体"/>
          <w:snapToGrid w:val="0"/>
          <w:color w:val="auto"/>
          <w:sz w:val="21"/>
          <w:szCs w:val="21"/>
          <w:highlight w:val="none"/>
        </w:rPr>
        <w:t xml:space="preserve">比选代理机构： </w:t>
      </w:r>
      <w:r>
        <w:rPr>
          <w:rFonts w:hint="eastAsia" w:cs="宋体"/>
          <w:snapToGrid w:val="0"/>
          <w:color w:val="auto"/>
          <w:sz w:val="21"/>
          <w:szCs w:val="21"/>
          <w:highlight w:val="none"/>
          <w:lang w:eastAsia="zh-CN"/>
        </w:rPr>
        <w:t xml:space="preserve">重庆尚宇工程项目管理有限公司 </w:t>
      </w:r>
    </w:p>
    <w:p>
      <w:pPr>
        <w:pStyle w:val="46"/>
        <w:pageBreakBefore w:val="0"/>
        <w:kinsoku/>
        <w:wordWrap/>
        <w:overflowPunct/>
        <w:topLinePunct w:val="0"/>
        <w:bidi w:val="0"/>
        <w:spacing w:before="0" w:beforeAutospacing="0" w:after="0" w:afterAutospacing="0" w:line="440" w:lineRule="exact"/>
        <w:ind w:firstLine="420" w:firstLineChars="200"/>
        <w:textAlignment w:val="auto"/>
        <w:rPr>
          <w:rFonts w:hint="eastAsia" w:ascii="宋体" w:hAnsi="宋体" w:eastAsia="宋体" w:cs="宋体"/>
          <w:snapToGrid w:val="0"/>
          <w:color w:val="auto"/>
          <w:sz w:val="21"/>
          <w:szCs w:val="21"/>
          <w:highlight w:val="none"/>
          <w:lang w:eastAsia="zh-CN"/>
        </w:rPr>
      </w:pPr>
      <w:r>
        <w:rPr>
          <w:rFonts w:hint="eastAsia" w:ascii="宋体" w:hAnsi="宋体" w:eastAsia="宋体" w:cs="宋体"/>
          <w:snapToGrid w:val="0"/>
          <w:color w:val="auto"/>
          <w:sz w:val="21"/>
          <w:szCs w:val="21"/>
          <w:highlight w:val="none"/>
        </w:rPr>
        <w:t>地</w:t>
      </w:r>
      <w:r>
        <w:rPr>
          <w:rFonts w:hint="eastAsia" w:cs="宋体"/>
          <w:snapToGrid w:val="0"/>
          <w:color w:val="auto"/>
          <w:sz w:val="21"/>
          <w:szCs w:val="21"/>
          <w:highlight w:val="none"/>
          <w:lang w:val="en-US" w:eastAsia="zh-CN"/>
        </w:rPr>
        <w:t xml:space="preserve">   </w:t>
      </w:r>
      <w:r>
        <w:rPr>
          <w:rFonts w:hint="eastAsia" w:ascii="宋体" w:hAnsi="宋体" w:eastAsia="宋体" w:cs="宋体"/>
          <w:snapToGrid w:val="0"/>
          <w:color w:val="auto"/>
          <w:sz w:val="21"/>
          <w:szCs w:val="21"/>
          <w:highlight w:val="none"/>
        </w:rPr>
        <w:t>址：</w:t>
      </w:r>
      <w:r>
        <w:rPr>
          <w:rFonts w:hint="eastAsia" w:cs="宋体"/>
          <w:snapToGrid w:val="0"/>
          <w:color w:val="auto"/>
          <w:sz w:val="21"/>
          <w:szCs w:val="21"/>
          <w:highlight w:val="none"/>
          <w:lang w:eastAsia="zh-CN"/>
        </w:rPr>
        <w:t>重庆市铜梁区宝莲国际1栋13-4</w:t>
      </w:r>
    </w:p>
    <w:p>
      <w:pPr>
        <w:pStyle w:val="46"/>
        <w:pageBreakBefore w:val="0"/>
        <w:kinsoku/>
        <w:wordWrap/>
        <w:overflowPunct/>
        <w:topLinePunct w:val="0"/>
        <w:bidi w:val="0"/>
        <w:spacing w:before="0" w:beforeAutospacing="0" w:after="0" w:afterAutospacing="0" w:line="440" w:lineRule="exact"/>
        <w:ind w:firstLine="420" w:firstLineChars="200"/>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联系人：</w:t>
      </w:r>
      <w:r>
        <w:rPr>
          <w:rFonts w:hint="eastAsia" w:cs="宋体"/>
          <w:snapToGrid w:val="0"/>
          <w:color w:val="auto"/>
          <w:sz w:val="21"/>
          <w:szCs w:val="21"/>
          <w:highlight w:val="none"/>
          <w:lang w:val="en-US" w:eastAsia="zh-CN"/>
        </w:rPr>
        <w:t>陈老师</w:t>
      </w:r>
    </w:p>
    <w:p>
      <w:pPr>
        <w:pageBreakBefore w:val="0"/>
        <w:kinsoku/>
        <w:wordWrap/>
        <w:overflowPunct/>
        <w:topLinePunct w:val="0"/>
        <w:bidi w:val="0"/>
        <w:spacing w:line="440" w:lineRule="exact"/>
        <w:ind w:firstLine="420" w:firstLineChars="200"/>
        <w:textAlignment w:val="auto"/>
        <w:rPr>
          <w:rFonts w:hint="default" w:ascii="宋体" w:hAnsi="宋体" w:eastAsia="宋体" w:cs="宋体"/>
          <w:snapToGrid w:val="0"/>
          <w:color w:val="auto"/>
          <w:kern w:val="0"/>
          <w:szCs w:val="21"/>
          <w:highlight w:val="none"/>
          <w:lang w:val="en-US" w:eastAsia="zh-CN"/>
        </w:rPr>
      </w:pPr>
      <w:r>
        <w:rPr>
          <w:rFonts w:hint="eastAsia" w:ascii="宋体" w:hAnsi="宋体" w:eastAsia="宋体" w:cs="宋体"/>
          <w:snapToGrid w:val="0"/>
          <w:color w:val="auto"/>
          <w:kern w:val="0"/>
          <w:szCs w:val="21"/>
          <w:highlight w:val="none"/>
        </w:rPr>
        <w:t>联系电话：</w:t>
      </w:r>
      <w:r>
        <w:rPr>
          <w:rFonts w:hint="eastAsia" w:ascii="宋体" w:hAnsi="宋体" w:cs="宋体"/>
          <w:snapToGrid w:val="0"/>
          <w:color w:val="auto"/>
          <w:kern w:val="0"/>
          <w:szCs w:val="21"/>
          <w:highlight w:val="none"/>
          <w:lang w:val="en-US" w:eastAsia="zh-CN"/>
        </w:rPr>
        <w:t>18580491646</w:t>
      </w:r>
    </w:p>
    <w:p>
      <w:pPr>
        <w:pageBreakBefore w:val="0"/>
        <w:kinsoku/>
        <w:wordWrap/>
        <w:overflowPunct/>
        <w:topLinePunct w:val="0"/>
        <w:autoSpaceDE w:val="0"/>
        <w:autoSpaceDN w:val="0"/>
        <w:bidi w:val="0"/>
        <w:adjustRightInd w:val="0"/>
        <w:snapToGrid w:val="0"/>
        <w:spacing w:line="440" w:lineRule="exact"/>
        <w:ind w:firstLine="420" w:firstLineChars="200"/>
        <w:jc w:val="left"/>
        <w:textAlignment w:val="auto"/>
        <w:rPr>
          <w:rFonts w:hint="eastAsia" w:ascii="宋体" w:hAnsi="宋体" w:eastAsia="宋体" w:cs="宋体"/>
          <w:snapToGrid w:val="0"/>
          <w:color w:val="auto"/>
          <w:kern w:val="0"/>
          <w:szCs w:val="21"/>
        </w:rPr>
      </w:pPr>
      <w:r>
        <w:rPr>
          <w:rFonts w:hint="eastAsia" w:ascii="宋体" w:hAnsi="宋体" w:eastAsia="宋体" w:cs="宋体"/>
          <w:color w:val="auto"/>
          <w:kern w:val="0"/>
          <w:szCs w:val="21"/>
        </w:rPr>
        <w:t xml:space="preserve">                         </w:t>
      </w:r>
    </w:p>
    <w:p>
      <w:pPr>
        <w:pageBreakBefore w:val="0"/>
        <w:kinsoku/>
        <w:wordWrap/>
        <w:overflowPunct/>
        <w:topLinePunct w:val="0"/>
        <w:autoSpaceDE w:val="0"/>
        <w:autoSpaceDN w:val="0"/>
        <w:bidi w:val="0"/>
        <w:adjustRightInd w:val="0"/>
        <w:snapToGrid w:val="0"/>
        <w:spacing w:line="440" w:lineRule="exact"/>
        <w:ind w:firstLine="7053" w:firstLineChars="3359"/>
        <w:jc w:val="left"/>
        <w:textAlignment w:val="auto"/>
        <w:rPr>
          <w:rFonts w:hint="eastAsia" w:ascii="宋体" w:hAnsi="宋体" w:eastAsia="宋体" w:cs="宋体"/>
          <w:bCs/>
          <w:color w:val="auto"/>
          <w:kern w:val="0"/>
          <w:szCs w:val="21"/>
        </w:rPr>
      </w:pPr>
      <w:r>
        <w:rPr>
          <w:rFonts w:hint="eastAsia" w:ascii="宋体" w:hAnsi="宋体" w:eastAsia="宋体" w:cs="宋体"/>
          <w:snapToGrid w:val="0"/>
          <w:color w:val="auto"/>
          <w:kern w:val="0"/>
          <w:szCs w:val="21"/>
        </w:rPr>
        <w:t xml:space="preserve"> </w:t>
      </w:r>
      <w:r>
        <w:rPr>
          <w:rFonts w:hint="eastAsia" w:ascii="宋体" w:hAnsi="宋体" w:eastAsia="宋体" w:cs="宋体"/>
          <w:bCs/>
          <w:color w:val="auto"/>
          <w:kern w:val="0"/>
          <w:szCs w:val="21"/>
        </w:rPr>
        <w:t xml:space="preserve"> </w:t>
      </w:r>
      <w:r>
        <w:rPr>
          <w:rFonts w:hint="eastAsia" w:ascii="宋体" w:hAnsi="宋体" w:cs="宋体"/>
          <w:bCs/>
          <w:color w:val="auto"/>
          <w:kern w:val="0"/>
          <w:szCs w:val="21"/>
          <w:lang w:eastAsia="zh-CN"/>
        </w:rPr>
        <w:t>202</w:t>
      </w:r>
      <w:r>
        <w:rPr>
          <w:rFonts w:hint="eastAsia" w:ascii="宋体" w:hAnsi="宋体" w:cs="宋体"/>
          <w:bCs/>
          <w:color w:val="auto"/>
          <w:kern w:val="0"/>
          <w:szCs w:val="21"/>
          <w:lang w:val="en-US" w:eastAsia="zh-CN"/>
        </w:rPr>
        <w:t>5</w:t>
      </w:r>
      <w:r>
        <w:rPr>
          <w:rFonts w:hint="eastAsia" w:ascii="宋体" w:hAnsi="宋体" w:cs="宋体"/>
          <w:bCs/>
          <w:color w:val="auto"/>
          <w:kern w:val="0"/>
          <w:szCs w:val="21"/>
          <w:lang w:eastAsia="zh-CN"/>
        </w:rPr>
        <w:t>年</w:t>
      </w:r>
      <w:r>
        <w:rPr>
          <w:rFonts w:hint="eastAsia" w:ascii="宋体" w:hAnsi="宋体" w:cs="宋体"/>
          <w:bCs/>
          <w:color w:val="auto"/>
          <w:kern w:val="0"/>
          <w:szCs w:val="21"/>
          <w:lang w:val="en-US" w:eastAsia="zh-CN"/>
        </w:rPr>
        <w:t>9</w:t>
      </w:r>
      <w:r>
        <w:rPr>
          <w:rFonts w:hint="eastAsia" w:ascii="宋体" w:hAnsi="宋体" w:cs="宋体"/>
          <w:bCs/>
          <w:color w:val="auto"/>
          <w:kern w:val="0"/>
          <w:szCs w:val="21"/>
          <w:lang w:eastAsia="zh-CN"/>
        </w:rPr>
        <w:t>月</w:t>
      </w:r>
      <w:r>
        <w:rPr>
          <w:rFonts w:hint="eastAsia" w:ascii="宋体" w:hAnsi="宋体" w:cs="宋体"/>
          <w:bCs/>
          <w:color w:val="auto"/>
          <w:kern w:val="0"/>
          <w:szCs w:val="21"/>
          <w:lang w:val="en-US" w:eastAsia="zh-CN"/>
        </w:rPr>
        <w:t>23日</w:t>
      </w:r>
    </w:p>
    <w:p>
      <w:pPr>
        <w:autoSpaceDE w:val="0"/>
        <w:autoSpaceDN w:val="0"/>
        <w:adjustRightInd w:val="0"/>
        <w:snapToGrid w:val="0"/>
        <w:spacing w:line="440" w:lineRule="exact"/>
        <w:ind w:firstLine="7053" w:firstLineChars="3359"/>
        <w:jc w:val="left"/>
        <w:rPr>
          <w:rFonts w:ascii="宋体" w:hAnsi="宋体" w:cs="宋体"/>
          <w:bCs/>
          <w:color w:val="auto"/>
          <w:kern w:val="0"/>
          <w:szCs w:val="21"/>
        </w:rPr>
      </w:pPr>
    </w:p>
    <w:p>
      <w:pPr>
        <w:autoSpaceDE w:val="0"/>
        <w:autoSpaceDN w:val="0"/>
        <w:adjustRightInd w:val="0"/>
        <w:snapToGrid w:val="0"/>
        <w:spacing w:line="440" w:lineRule="exact"/>
        <w:ind w:firstLine="7053" w:firstLineChars="3359"/>
        <w:jc w:val="left"/>
        <w:rPr>
          <w:rFonts w:ascii="宋体" w:hAnsi="宋体" w:cs="宋体"/>
          <w:bCs/>
          <w:color w:val="auto"/>
          <w:kern w:val="0"/>
          <w:szCs w:val="21"/>
        </w:rPr>
      </w:pPr>
    </w:p>
    <w:p>
      <w:pPr>
        <w:autoSpaceDE w:val="0"/>
        <w:autoSpaceDN w:val="0"/>
        <w:adjustRightInd w:val="0"/>
        <w:snapToGrid w:val="0"/>
        <w:spacing w:line="440" w:lineRule="exact"/>
        <w:ind w:firstLine="7053" w:firstLineChars="3359"/>
        <w:jc w:val="left"/>
        <w:rPr>
          <w:rFonts w:ascii="宋体" w:hAnsi="宋体" w:cs="宋体"/>
          <w:bCs/>
          <w:color w:val="auto"/>
          <w:kern w:val="0"/>
          <w:szCs w:val="21"/>
        </w:rPr>
      </w:pPr>
    </w:p>
    <w:p>
      <w:pPr>
        <w:autoSpaceDE w:val="0"/>
        <w:autoSpaceDN w:val="0"/>
        <w:adjustRightInd w:val="0"/>
        <w:snapToGrid w:val="0"/>
        <w:spacing w:line="440" w:lineRule="exact"/>
        <w:ind w:firstLine="7053" w:firstLineChars="3359"/>
        <w:jc w:val="left"/>
        <w:rPr>
          <w:rFonts w:ascii="宋体" w:hAnsi="宋体" w:cs="宋体"/>
          <w:bCs/>
          <w:color w:val="auto"/>
          <w:kern w:val="0"/>
          <w:szCs w:val="21"/>
        </w:rPr>
      </w:pPr>
    </w:p>
    <w:p>
      <w:pPr>
        <w:autoSpaceDE w:val="0"/>
        <w:autoSpaceDN w:val="0"/>
        <w:adjustRightInd w:val="0"/>
        <w:snapToGrid w:val="0"/>
        <w:spacing w:line="440" w:lineRule="exact"/>
        <w:ind w:firstLine="7053" w:firstLineChars="3359"/>
        <w:jc w:val="left"/>
        <w:rPr>
          <w:rFonts w:ascii="宋体" w:hAnsi="宋体" w:cs="宋体"/>
          <w:bCs/>
          <w:color w:val="auto"/>
          <w:kern w:val="0"/>
          <w:szCs w:val="21"/>
        </w:rPr>
      </w:pPr>
    </w:p>
    <w:p>
      <w:pPr>
        <w:autoSpaceDE w:val="0"/>
        <w:autoSpaceDN w:val="0"/>
        <w:adjustRightInd w:val="0"/>
        <w:snapToGrid w:val="0"/>
        <w:spacing w:line="440" w:lineRule="exact"/>
        <w:ind w:firstLine="7053" w:firstLineChars="3359"/>
        <w:jc w:val="left"/>
        <w:rPr>
          <w:rFonts w:ascii="宋体" w:hAnsi="宋体" w:cs="宋体"/>
          <w:bCs/>
          <w:color w:val="auto"/>
          <w:kern w:val="0"/>
          <w:szCs w:val="21"/>
        </w:rPr>
      </w:pPr>
    </w:p>
    <w:p>
      <w:pPr>
        <w:autoSpaceDE w:val="0"/>
        <w:autoSpaceDN w:val="0"/>
        <w:adjustRightInd w:val="0"/>
        <w:snapToGrid w:val="0"/>
        <w:spacing w:line="440" w:lineRule="exact"/>
        <w:ind w:firstLine="7053" w:firstLineChars="3359"/>
        <w:jc w:val="left"/>
        <w:rPr>
          <w:rFonts w:ascii="宋体" w:hAnsi="宋体" w:cs="宋体"/>
          <w:bCs/>
          <w:color w:val="auto"/>
          <w:kern w:val="0"/>
          <w:szCs w:val="21"/>
        </w:rPr>
      </w:pPr>
    </w:p>
    <w:p>
      <w:pPr>
        <w:autoSpaceDE w:val="0"/>
        <w:autoSpaceDN w:val="0"/>
        <w:adjustRightInd w:val="0"/>
        <w:snapToGrid w:val="0"/>
        <w:spacing w:line="440" w:lineRule="exact"/>
        <w:ind w:firstLine="7053" w:firstLineChars="3359"/>
        <w:jc w:val="left"/>
        <w:rPr>
          <w:rFonts w:ascii="宋体" w:hAnsi="宋体" w:cs="宋体"/>
          <w:bCs/>
          <w:color w:val="auto"/>
          <w:kern w:val="0"/>
          <w:szCs w:val="21"/>
        </w:rPr>
      </w:pPr>
    </w:p>
    <w:p>
      <w:pPr>
        <w:autoSpaceDE w:val="0"/>
        <w:autoSpaceDN w:val="0"/>
        <w:adjustRightInd w:val="0"/>
        <w:snapToGrid w:val="0"/>
        <w:spacing w:line="440" w:lineRule="exact"/>
        <w:ind w:firstLine="7053" w:firstLineChars="3359"/>
        <w:jc w:val="left"/>
        <w:rPr>
          <w:rFonts w:ascii="宋体" w:hAnsi="宋体" w:cs="宋体"/>
          <w:bCs/>
          <w:color w:val="auto"/>
          <w:kern w:val="0"/>
          <w:szCs w:val="21"/>
        </w:rPr>
      </w:pPr>
    </w:p>
    <w:p>
      <w:pPr>
        <w:pStyle w:val="2"/>
        <w:rPr>
          <w:rFonts w:ascii="宋体" w:hAnsi="宋体" w:cs="宋体"/>
          <w:bCs/>
          <w:color w:val="auto"/>
          <w:kern w:val="0"/>
          <w:szCs w:val="21"/>
        </w:rPr>
      </w:pPr>
    </w:p>
    <w:p>
      <w:pPr>
        <w:rPr>
          <w:color w:val="auto"/>
        </w:rPr>
      </w:pPr>
    </w:p>
    <w:p>
      <w:pPr>
        <w:pStyle w:val="2"/>
        <w:rPr>
          <w:rFonts w:ascii="宋体" w:hAnsi="宋体" w:cs="宋体"/>
          <w:bCs/>
          <w:color w:val="auto"/>
          <w:kern w:val="0"/>
          <w:szCs w:val="21"/>
        </w:rPr>
      </w:pPr>
    </w:p>
    <w:p>
      <w:pPr>
        <w:pStyle w:val="64"/>
        <w:rPr>
          <w:rFonts w:ascii="宋体" w:hAnsi="宋体" w:cs="宋体"/>
          <w:bCs/>
          <w:color w:val="auto"/>
          <w:szCs w:val="21"/>
        </w:rPr>
      </w:pPr>
    </w:p>
    <w:p>
      <w:pPr>
        <w:rPr>
          <w:rFonts w:ascii="宋体" w:hAnsi="宋体" w:cs="宋体"/>
          <w:bCs/>
          <w:color w:val="auto"/>
          <w:kern w:val="0"/>
          <w:szCs w:val="21"/>
        </w:rPr>
      </w:pPr>
    </w:p>
    <w:p>
      <w:pPr>
        <w:pStyle w:val="2"/>
        <w:rPr>
          <w:color w:val="auto"/>
        </w:rPr>
      </w:pPr>
    </w:p>
    <w:p>
      <w:pPr>
        <w:autoSpaceDE w:val="0"/>
        <w:autoSpaceDN w:val="0"/>
        <w:adjustRightInd w:val="0"/>
        <w:snapToGrid w:val="0"/>
        <w:spacing w:line="440" w:lineRule="exact"/>
        <w:ind w:firstLine="7053" w:firstLineChars="3359"/>
        <w:jc w:val="left"/>
        <w:rPr>
          <w:rFonts w:ascii="宋体" w:hAnsi="宋体" w:cs="宋体"/>
          <w:bCs/>
          <w:color w:val="auto"/>
          <w:kern w:val="0"/>
          <w:szCs w:val="21"/>
        </w:rPr>
      </w:pPr>
    </w:p>
    <w:p>
      <w:pPr>
        <w:autoSpaceDE w:val="0"/>
        <w:autoSpaceDN w:val="0"/>
        <w:adjustRightInd w:val="0"/>
        <w:snapToGrid w:val="0"/>
        <w:spacing w:line="440" w:lineRule="exact"/>
        <w:ind w:firstLine="7053" w:firstLineChars="3359"/>
        <w:jc w:val="left"/>
        <w:rPr>
          <w:rFonts w:ascii="宋体" w:hAnsi="宋体" w:cs="宋体"/>
          <w:bCs/>
          <w:color w:val="auto"/>
          <w:kern w:val="0"/>
          <w:szCs w:val="21"/>
        </w:rPr>
      </w:pPr>
    </w:p>
    <w:p>
      <w:pPr>
        <w:pStyle w:val="2"/>
        <w:rPr>
          <w:rFonts w:ascii="宋体" w:hAnsi="宋体" w:cs="宋体"/>
          <w:bCs/>
          <w:color w:val="auto"/>
          <w:kern w:val="0"/>
          <w:szCs w:val="21"/>
        </w:rPr>
      </w:pPr>
    </w:p>
    <w:p>
      <w:pPr>
        <w:pStyle w:val="3"/>
        <w:spacing w:before="0" w:after="0" w:line="400" w:lineRule="exact"/>
        <w:jc w:val="center"/>
        <w:rPr>
          <w:rFonts w:ascii="宋体" w:hAnsi="宋体" w:cs="宋体"/>
          <w:color w:val="auto"/>
          <w:kern w:val="0"/>
          <w:sz w:val="36"/>
          <w:szCs w:val="36"/>
        </w:rPr>
      </w:pPr>
      <w:bookmarkStart w:id="24" w:name="_Toc452058680"/>
      <w:bookmarkStart w:id="25" w:name="_Toc513492488"/>
      <w:r>
        <w:rPr>
          <w:rFonts w:hint="eastAsia" w:ascii="宋体" w:hAnsi="宋体" w:cs="宋体"/>
          <w:color w:val="auto"/>
          <w:kern w:val="0"/>
          <w:sz w:val="36"/>
          <w:szCs w:val="36"/>
        </w:rPr>
        <w:t>第二章  投标人须知</w:t>
      </w:r>
      <w:bookmarkEnd w:id="24"/>
      <w:bookmarkEnd w:id="25"/>
    </w:p>
    <w:p>
      <w:pPr>
        <w:pStyle w:val="4"/>
        <w:spacing w:before="0" w:after="0" w:line="400" w:lineRule="exact"/>
        <w:rPr>
          <w:rFonts w:ascii="宋体" w:hAnsi="宋体" w:cs="宋体"/>
          <w:color w:val="auto"/>
          <w:sz w:val="28"/>
          <w:szCs w:val="28"/>
        </w:rPr>
      </w:pPr>
      <w:bookmarkStart w:id="26" w:name="_Toc18480"/>
      <w:bookmarkStart w:id="27" w:name="_Toc277082551"/>
      <w:bookmarkStart w:id="28" w:name="_Toc224103316"/>
      <w:bookmarkStart w:id="29" w:name="_Toc5936"/>
      <w:bookmarkStart w:id="30" w:name="_Toc386029645"/>
      <w:bookmarkStart w:id="31" w:name="_Toc452058681"/>
      <w:bookmarkStart w:id="32" w:name="_Toc287607745"/>
      <w:bookmarkStart w:id="33" w:name="_Toc658"/>
      <w:r>
        <w:rPr>
          <w:rFonts w:hint="eastAsia" w:ascii="宋体" w:hAnsi="宋体" w:cs="宋体"/>
          <w:color w:val="auto"/>
          <w:sz w:val="28"/>
          <w:szCs w:val="28"/>
        </w:rPr>
        <w:t>投标人须知前附表</w:t>
      </w:r>
      <w:bookmarkEnd w:id="26"/>
      <w:bookmarkEnd w:id="27"/>
      <w:bookmarkEnd w:id="28"/>
      <w:bookmarkEnd w:id="29"/>
      <w:bookmarkEnd w:id="30"/>
      <w:bookmarkEnd w:id="31"/>
      <w:bookmarkEnd w:id="32"/>
      <w:bookmarkEnd w:id="33"/>
    </w:p>
    <w:tbl>
      <w:tblPr>
        <w:tblStyle w:val="52"/>
        <w:tblW w:w="982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1500"/>
        <w:gridCol w:w="71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tblHeader/>
          <w:jc w:val="center"/>
        </w:trPr>
        <w:tc>
          <w:tcPr>
            <w:tcW w:w="1135" w:type="dxa"/>
            <w:vAlign w:val="center"/>
          </w:tcPr>
          <w:p>
            <w:pPr>
              <w:snapToGrid w:val="0"/>
              <w:spacing w:line="460" w:lineRule="exact"/>
              <w:jc w:val="center"/>
              <w:rPr>
                <w:rFonts w:ascii="宋体" w:hAnsi="宋体" w:cs="宋体"/>
                <w:b/>
                <w:color w:val="auto"/>
                <w:kern w:val="0"/>
                <w:szCs w:val="21"/>
              </w:rPr>
            </w:pPr>
            <w:r>
              <w:rPr>
                <w:rFonts w:hint="eastAsia" w:ascii="宋体" w:hAnsi="宋体" w:cs="宋体"/>
                <w:b/>
                <w:color w:val="auto"/>
                <w:kern w:val="0"/>
                <w:szCs w:val="21"/>
              </w:rPr>
              <w:t>条 款 号</w:t>
            </w:r>
          </w:p>
        </w:tc>
        <w:tc>
          <w:tcPr>
            <w:tcW w:w="1500" w:type="dxa"/>
            <w:vAlign w:val="center"/>
          </w:tcPr>
          <w:p>
            <w:pPr>
              <w:snapToGrid w:val="0"/>
              <w:spacing w:line="460" w:lineRule="exact"/>
              <w:jc w:val="center"/>
              <w:rPr>
                <w:rFonts w:ascii="宋体" w:hAnsi="宋体" w:cs="宋体"/>
                <w:b/>
                <w:color w:val="auto"/>
                <w:kern w:val="0"/>
                <w:szCs w:val="21"/>
              </w:rPr>
            </w:pPr>
            <w:r>
              <w:rPr>
                <w:rFonts w:hint="eastAsia" w:ascii="宋体" w:hAnsi="宋体" w:cs="宋体"/>
                <w:b/>
                <w:color w:val="auto"/>
                <w:kern w:val="0"/>
                <w:szCs w:val="21"/>
              </w:rPr>
              <w:t>条款名称</w:t>
            </w:r>
          </w:p>
        </w:tc>
        <w:tc>
          <w:tcPr>
            <w:tcW w:w="7189" w:type="dxa"/>
            <w:vAlign w:val="center"/>
          </w:tcPr>
          <w:p>
            <w:pPr>
              <w:snapToGrid w:val="0"/>
              <w:spacing w:line="460" w:lineRule="exact"/>
              <w:jc w:val="center"/>
              <w:rPr>
                <w:rFonts w:ascii="宋体" w:hAnsi="宋体" w:cs="宋体"/>
                <w:b/>
                <w:color w:val="auto"/>
                <w:kern w:val="0"/>
                <w:szCs w:val="21"/>
              </w:rPr>
            </w:pPr>
            <w:r>
              <w:rPr>
                <w:rFonts w:hint="eastAsia" w:ascii="宋体" w:hAnsi="宋体" w:cs="宋体"/>
                <w:b/>
                <w:color w:val="auto"/>
                <w:kern w:val="0"/>
                <w:szCs w:val="21"/>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3"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1.1.2</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lang w:eastAsia="zh-CN"/>
              </w:rPr>
            </w:pPr>
            <w:r>
              <w:rPr>
                <w:rFonts w:hint="eastAsia" w:ascii="宋体" w:hAnsi="宋体" w:cs="宋体"/>
                <w:color w:val="auto"/>
                <w:kern w:val="0"/>
                <w:szCs w:val="21"/>
                <w:lang w:eastAsia="zh-CN"/>
              </w:rPr>
              <w:t>招标人</w:t>
            </w:r>
          </w:p>
        </w:tc>
        <w:tc>
          <w:tcPr>
            <w:tcW w:w="7189" w:type="dxa"/>
            <w:vAlign w:val="center"/>
          </w:tcPr>
          <w:p>
            <w:pPr>
              <w:pStyle w:val="46"/>
              <w:keepNext w:val="0"/>
              <w:keepLines w:val="0"/>
              <w:pageBreakBefore w:val="0"/>
              <w:kinsoku/>
              <w:wordWrap/>
              <w:overflowPunct/>
              <w:topLinePunct w:val="0"/>
              <w:autoSpaceDE/>
              <w:autoSpaceDN/>
              <w:bidi w:val="0"/>
              <w:adjustRightInd/>
              <w:spacing w:before="0" w:beforeAutospacing="0" w:after="0" w:afterAutospacing="0" w:line="400" w:lineRule="exact"/>
              <w:textAlignment w:val="auto"/>
              <w:rPr>
                <w:rFonts w:hint="eastAsia" w:ascii="宋体" w:hAnsi="宋体" w:eastAsia="宋体" w:cs="宋体"/>
                <w:snapToGrid w:val="0"/>
                <w:color w:val="auto"/>
                <w:sz w:val="21"/>
                <w:szCs w:val="21"/>
                <w:lang w:eastAsia="zh-CN"/>
              </w:rPr>
            </w:pPr>
            <w:r>
              <w:rPr>
                <w:rFonts w:hint="eastAsia" w:cs="宋体"/>
                <w:snapToGrid w:val="0"/>
                <w:color w:val="auto"/>
                <w:sz w:val="21"/>
                <w:szCs w:val="21"/>
                <w:lang w:eastAsia="zh-CN"/>
              </w:rPr>
              <w:t>招标人</w:t>
            </w:r>
            <w:r>
              <w:rPr>
                <w:rFonts w:hint="eastAsia" w:ascii="宋体" w:hAnsi="宋体" w:eastAsia="宋体" w:cs="宋体"/>
                <w:snapToGrid w:val="0"/>
                <w:color w:val="auto"/>
                <w:sz w:val="21"/>
                <w:szCs w:val="21"/>
              </w:rPr>
              <w:t>：</w:t>
            </w:r>
            <w:r>
              <w:rPr>
                <w:rFonts w:hint="eastAsia" w:cs="宋体"/>
                <w:snapToGrid w:val="0"/>
                <w:color w:val="auto"/>
                <w:sz w:val="21"/>
                <w:szCs w:val="21"/>
                <w:lang w:eastAsia="zh-CN"/>
              </w:rPr>
              <w:t>重庆市铜梁区福果镇人民政府</w:t>
            </w:r>
          </w:p>
          <w:p>
            <w:pPr>
              <w:pStyle w:val="46"/>
              <w:keepNext w:val="0"/>
              <w:keepLines w:val="0"/>
              <w:pageBreakBefore w:val="0"/>
              <w:kinsoku/>
              <w:wordWrap/>
              <w:overflowPunct/>
              <w:topLinePunct w:val="0"/>
              <w:autoSpaceDE/>
              <w:autoSpaceDN/>
              <w:bidi w:val="0"/>
              <w:adjustRightInd/>
              <w:spacing w:before="0" w:beforeAutospacing="0" w:after="0" w:afterAutospacing="0" w:line="400" w:lineRule="exact"/>
              <w:textAlignment w:val="auto"/>
              <w:rPr>
                <w:rFonts w:hint="eastAsia" w:ascii="宋体" w:hAnsi="宋体" w:eastAsia="宋体" w:cs="宋体"/>
                <w:snapToGrid w:val="0"/>
                <w:color w:val="auto"/>
                <w:sz w:val="21"/>
                <w:szCs w:val="21"/>
                <w:lang w:eastAsia="zh-CN"/>
              </w:rPr>
            </w:pPr>
            <w:r>
              <w:rPr>
                <w:rFonts w:hint="eastAsia" w:ascii="宋体" w:hAnsi="宋体" w:eastAsia="宋体" w:cs="宋体"/>
                <w:snapToGrid w:val="0"/>
                <w:color w:val="auto"/>
                <w:sz w:val="21"/>
                <w:szCs w:val="21"/>
              </w:rPr>
              <w:t>地址：</w:t>
            </w:r>
            <w:r>
              <w:rPr>
                <w:rFonts w:hint="eastAsia" w:cs="宋体"/>
                <w:snapToGrid w:val="0"/>
                <w:color w:val="auto"/>
                <w:sz w:val="21"/>
                <w:szCs w:val="21"/>
                <w:lang w:eastAsia="zh-CN"/>
              </w:rPr>
              <w:t>重庆市铜梁区福果镇福兴路64号</w:t>
            </w:r>
          </w:p>
          <w:p>
            <w:pPr>
              <w:pStyle w:val="46"/>
              <w:keepNext w:val="0"/>
              <w:keepLines w:val="0"/>
              <w:pageBreakBefore w:val="0"/>
              <w:kinsoku/>
              <w:wordWrap/>
              <w:overflowPunct/>
              <w:topLinePunct w:val="0"/>
              <w:autoSpaceDE/>
              <w:autoSpaceDN/>
              <w:bidi w:val="0"/>
              <w:adjustRightInd/>
              <w:spacing w:before="0" w:beforeAutospacing="0" w:after="0" w:afterAutospacing="0" w:line="400" w:lineRule="exact"/>
              <w:textAlignment w:val="auto"/>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联系人：</w:t>
            </w:r>
            <w:r>
              <w:rPr>
                <w:rFonts w:hint="eastAsia" w:cs="宋体"/>
                <w:snapToGrid w:val="0"/>
                <w:color w:val="auto"/>
                <w:sz w:val="21"/>
                <w:szCs w:val="21"/>
                <w:lang w:val="en-US" w:eastAsia="zh-CN"/>
              </w:rPr>
              <w:t>张</w:t>
            </w:r>
            <w:r>
              <w:rPr>
                <w:rFonts w:hint="eastAsia" w:ascii="宋体" w:hAnsi="宋体" w:eastAsia="宋体" w:cs="宋体"/>
                <w:snapToGrid w:val="0"/>
                <w:color w:val="auto"/>
                <w:sz w:val="21"/>
                <w:szCs w:val="21"/>
              </w:rPr>
              <w:t>老师</w:t>
            </w:r>
          </w:p>
          <w:p>
            <w:pPr>
              <w:pStyle w:val="46"/>
              <w:keepNext w:val="0"/>
              <w:keepLines w:val="0"/>
              <w:pageBreakBefore w:val="0"/>
              <w:kinsoku/>
              <w:wordWrap/>
              <w:overflowPunct/>
              <w:topLinePunct w:val="0"/>
              <w:autoSpaceDE/>
              <w:autoSpaceDN/>
              <w:bidi w:val="0"/>
              <w:adjustRightInd/>
              <w:spacing w:before="0" w:beforeAutospacing="0" w:after="0" w:afterAutospacing="0" w:line="400" w:lineRule="exact"/>
              <w:textAlignment w:val="auto"/>
              <w:rPr>
                <w:rFonts w:hint="eastAsia" w:ascii="宋体" w:hAnsi="宋体" w:eastAsia="宋体" w:cs="宋体"/>
                <w:snapToGrid w:val="0"/>
                <w:color w:val="auto"/>
                <w:sz w:val="21"/>
                <w:szCs w:val="21"/>
                <w:lang w:eastAsia="zh-CN"/>
              </w:rPr>
            </w:pPr>
            <w:r>
              <w:rPr>
                <w:rFonts w:hint="eastAsia" w:ascii="宋体" w:hAnsi="宋体" w:eastAsia="宋体" w:cs="宋体"/>
                <w:snapToGrid w:val="0"/>
                <w:color w:val="auto"/>
                <w:sz w:val="21"/>
                <w:szCs w:val="21"/>
              </w:rPr>
              <w:t>联系电话：</w:t>
            </w:r>
            <w:r>
              <w:rPr>
                <w:rFonts w:hint="eastAsia" w:cs="宋体"/>
                <w:snapToGrid w:val="0"/>
                <w:color w:val="auto"/>
                <w:sz w:val="21"/>
                <w:szCs w:val="21"/>
                <w:lang w:eastAsia="zh-CN"/>
              </w:rPr>
              <w:t>17783828191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9"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1.1.3</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比选代理机构</w:t>
            </w:r>
          </w:p>
        </w:tc>
        <w:tc>
          <w:tcPr>
            <w:tcW w:w="7189" w:type="dxa"/>
            <w:vAlign w:val="center"/>
          </w:tcPr>
          <w:p>
            <w:pPr>
              <w:pStyle w:val="46"/>
              <w:keepNext w:val="0"/>
              <w:keepLines w:val="0"/>
              <w:pageBreakBefore w:val="0"/>
              <w:kinsoku/>
              <w:wordWrap/>
              <w:overflowPunct/>
              <w:topLinePunct w:val="0"/>
              <w:autoSpaceDE/>
              <w:autoSpaceDN/>
              <w:bidi w:val="0"/>
              <w:adjustRightInd/>
              <w:spacing w:before="0" w:beforeAutospacing="0" w:after="0" w:afterAutospacing="0" w:line="400" w:lineRule="exact"/>
              <w:textAlignment w:val="auto"/>
              <w:rPr>
                <w:rFonts w:hint="eastAsia" w:ascii="宋体" w:hAnsi="宋体" w:eastAsia="宋体" w:cs="宋体"/>
                <w:snapToGrid w:val="0"/>
                <w:color w:val="auto"/>
                <w:sz w:val="21"/>
                <w:szCs w:val="21"/>
                <w:lang w:eastAsia="zh-CN"/>
              </w:rPr>
            </w:pPr>
            <w:r>
              <w:rPr>
                <w:rFonts w:hint="eastAsia" w:ascii="宋体" w:hAnsi="宋体" w:eastAsia="宋体" w:cs="宋体"/>
                <w:snapToGrid w:val="0"/>
                <w:color w:val="auto"/>
                <w:sz w:val="21"/>
                <w:szCs w:val="21"/>
              </w:rPr>
              <w:t>比选代理机构：</w:t>
            </w:r>
            <w:r>
              <w:rPr>
                <w:rFonts w:hint="eastAsia" w:cs="宋体"/>
                <w:snapToGrid w:val="0"/>
                <w:color w:val="auto"/>
                <w:sz w:val="21"/>
                <w:szCs w:val="21"/>
                <w:lang w:eastAsia="zh-CN"/>
              </w:rPr>
              <w:t xml:space="preserve">重庆尚宇工程项目管理有限公司 </w:t>
            </w:r>
          </w:p>
          <w:p>
            <w:pPr>
              <w:pStyle w:val="46"/>
              <w:keepNext w:val="0"/>
              <w:keepLines w:val="0"/>
              <w:pageBreakBefore w:val="0"/>
              <w:kinsoku/>
              <w:wordWrap/>
              <w:overflowPunct/>
              <w:topLinePunct w:val="0"/>
              <w:autoSpaceDE/>
              <w:autoSpaceDN/>
              <w:bidi w:val="0"/>
              <w:adjustRightInd/>
              <w:spacing w:before="0" w:beforeAutospacing="0" w:after="0" w:afterAutospacing="0" w:line="400" w:lineRule="exact"/>
              <w:textAlignment w:val="auto"/>
              <w:rPr>
                <w:rFonts w:hint="eastAsia" w:ascii="宋体" w:hAnsi="宋体" w:eastAsia="宋体" w:cs="宋体"/>
                <w:snapToGrid w:val="0"/>
                <w:color w:val="auto"/>
                <w:sz w:val="21"/>
                <w:szCs w:val="21"/>
                <w:lang w:eastAsia="zh-CN"/>
              </w:rPr>
            </w:pPr>
            <w:r>
              <w:rPr>
                <w:rFonts w:hint="eastAsia" w:ascii="宋体" w:hAnsi="宋体" w:eastAsia="宋体" w:cs="宋体"/>
                <w:snapToGrid w:val="0"/>
                <w:color w:val="auto"/>
                <w:sz w:val="21"/>
                <w:szCs w:val="21"/>
              </w:rPr>
              <w:t>地  址：</w:t>
            </w:r>
            <w:r>
              <w:rPr>
                <w:rFonts w:hint="eastAsia" w:cs="宋体"/>
                <w:snapToGrid w:val="0"/>
                <w:color w:val="auto"/>
                <w:sz w:val="21"/>
                <w:szCs w:val="21"/>
                <w:lang w:eastAsia="zh-CN"/>
              </w:rPr>
              <w:t>重庆市铜梁区宝莲国际1栋13-4</w:t>
            </w:r>
          </w:p>
          <w:p>
            <w:pPr>
              <w:pStyle w:val="46"/>
              <w:keepNext w:val="0"/>
              <w:keepLines w:val="0"/>
              <w:pageBreakBefore w:val="0"/>
              <w:kinsoku/>
              <w:wordWrap/>
              <w:overflowPunct/>
              <w:topLinePunct w:val="0"/>
              <w:autoSpaceDE/>
              <w:autoSpaceDN/>
              <w:bidi w:val="0"/>
              <w:adjustRightInd/>
              <w:spacing w:before="0" w:beforeAutospacing="0" w:after="0" w:afterAutospacing="0" w:line="40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联系人：</w:t>
            </w:r>
            <w:r>
              <w:rPr>
                <w:rFonts w:hint="eastAsia" w:cs="宋体"/>
                <w:color w:val="auto"/>
                <w:sz w:val="21"/>
                <w:szCs w:val="21"/>
                <w:lang w:eastAsia="zh-CN"/>
              </w:rPr>
              <w:t>陈老师</w:t>
            </w:r>
          </w:p>
          <w:p>
            <w:pPr>
              <w:pStyle w:val="46"/>
              <w:keepNext w:val="0"/>
              <w:keepLines w:val="0"/>
              <w:pageBreakBefore w:val="0"/>
              <w:kinsoku/>
              <w:wordWrap/>
              <w:overflowPunct/>
              <w:topLinePunct w:val="0"/>
              <w:autoSpaceDE/>
              <w:autoSpaceDN/>
              <w:bidi w:val="0"/>
              <w:adjustRightInd/>
              <w:spacing w:before="0" w:beforeAutospacing="0" w:after="0" w:afterAutospacing="0" w:line="40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联系电话：</w:t>
            </w:r>
            <w:r>
              <w:rPr>
                <w:rFonts w:hint="eastAsia" w:cs="宋体"/>
                <w:color w:val="auto"/>
                <w:sz w:val="21"/>
                <w:szCs w:val="21"/>
                <w:lang w:eastAsia="zh-CN"/>
              </w:rPr>
              <w:t>18002315159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1"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1.1.4</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项目名称</w:t>
            </w:r>
          </w:p>
        </w:tc>
        <w:tc>
          <w:tcPr>
            <w:tcW w:w="7189" w:type="dxa"/>
            <w:vAlign w:val="center"/>
          </w:tcPr>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kern w:val="0"/>
                <w:szCs w:val="21"/>
                <w:lang w:eastAsia="zh-CN"/>
              </w:rPr>
            </w:pPr>
            <w:r>
              <w:rPr>
                <w:rFonts w:hint="eastAsia" w:ascii="宋体" w:hAnsi="宋体" w:cs="宋体"/>
                <w:snapToGrid w:val="0"/>
                <w:color w:val="auto"/>
                <w:kern w:val="0"/>
                <w:szCs w:val="21"/>
                <w:lang w:eastAsia="zh-CN"/>
              </w:rPr>
              <w:t>2025年度福果镇农村公路护栏建设项目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5"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1.1.5</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建设地点</w:t>
            </w:r>
          </w:p>
        </w:tc>
        <w:tc>
          <w:tcPr>
            <w:tcW w:w="7189" w:type="dxa"/>
            <w:vAlign w:val="center"/>
          </w:tcPr>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kern w:val="0"/>
                <w:szCs w:val="21"/>
                <w:lang w:eastAsia="zh-CN"/>
              </w:rPr>
            </w:pPr>
            <w:r>
              <w:rPr>
                <w:rFonts w:hint="eastAsia" w:ascii="宋体" w:hAnsi="宋体" w:eastAsia="宋体" w:cs="宋体"/>
                <w:color w:val="auto"/>
                <w:kern w:val="0"/>
                <w:szCs w:val="21"/>
                <w:lang w:eastAsia="zh-CN"/>
              </w:rPr>
              <w:t>铜梁区</w:t>
            </w:r>
            <w:r>
              <w:rPr>
                <w:rFonts w:hint="eastAsia" w:ascii="宋体" w:hAnsi="宋体" w:cs="宋体"/>
                <w:color w:val="auto"/>
                <w:kern w:val="0"/>
                <w:szCs w:val="21"/>
                <w:lang w:eastAsia="zh-CN"/>
              </w:rPr>
              <w:t>福果镇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1.2.1</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资金来源</w:t>
            </w:r>
          </w:p>
        </w:tc>
        <w:tc>
          <w:tcPr>
            <w:tcW w:w="7189" w:type="dxa"/>
            <w:vAlign w:val="center"/>
          </w:tcPr>
          <w:p>
            <w:pPr>
              <w:keepNext w:val="0"/>
              <w:keepLines w:val="0"/>
              <w:pageBreakBefore w:val="0"/>
              <w:kinsoku/>
              <w:wordWrap/>
              <w:overflowPunct/>
              <w:topLinePunct w:val="0"/>
              <w:autoSpaceDE/>
              <w:autoSpaceDN/>
              <w:bidi w:val="0"/>
              <w:adjustRightInd/>
              <w:snapToGrid w:val="0"/>
              <w:spacing w:line="400" w:lineRule="exact"/>
              <w:jc w:val="left"/>
              <w:textAlignment w:val="auto"/>
              <w:rPr>
                <w:rFonts w:hint="eastAsia" w:ascii="宋体" w:hAnsi="宋体" w:eastAsia="宋体" w:cs="宋体"/>
                <w:color w:val="auto"/>
                <w:kern w:val="0"/>
                <w:szCs w:val="21"/>
                <w:lang w:eastAsia="zh-CN"/>
              </w:rPr>
            </w:pPr>
            <w:r>
              <w:rPr>
                <w:rFonts w:hint="eastAsia" w:ascii="宋体" w:hAnsi="宋体" w:cs="宋体"/>
                <w:color w:val="auto"/>
                <w:kern w:val="0"/>
                <w:szCs w:val="21"/>
                <w:lang w:eastAsia="zh-CN"/>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1.2.2</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出资比例</w:t>
            </w:r>
          </w:p>
        </w:tc>
        <w:tc>
          <w:tcPr>
            <w:tcW w:w="7189" w:type="dxa"/>
            <w:vAlign w:val="center"/>
          </w:tcPr>
          <w:p>
            <w:pPr>
              <w:keepNext w:val="0"/>
              <w:keepLines w:val="0"/>
              <w:pageBreakBefore w:val="0"/>
              <w:kinsoku/>
              <w:wordWrap/>
              <w:overflowPunct/>
              <w:topLinePunct w:val="0"/>
              <w:autoSpaceDE/>
              <w:autoSpaceDN/>
              <w:bidi w:val="0"/>
              <w:adjustRightInd/>
              <w:snapToGrid w:val="0"/>
              <w:spacing w:line="400" w:lineRule="exact"/>
              <w:jc w:val="lef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1.2.3</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资金落</w:t>
            </w:r>
          </w:p>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实情况</w:t>
            </w:r>
          </w:p>
        </w:tc>
        <w:tc>
          <w:tcPr>
            <w:tcW w:w="7189" w:type="dxa"/>
            <w:vAlign w:val="center"/>
          </w:tcPr>
          <w:p>
            <w:pPr>
              <w:keepNext w:val="0"/>
              <w:keepLines w:val="0"/>
              <w:pageBreakBefore w:val="0"/>
              <w:kinsoku/>
              <w:wordWrap/>
              <w:overflowPunct/>
              <w:topLinePunct w:val="0"/>
              <w:autoSpaceDE/>
              <w:autoSpaceDN/>
              <w:bidi w:val="0"/>
              <w:adjustRightInd/>
              <w:snapToGrid w:val="0"/>
              <w:spacing w:line="400" w:lineRule="exact"/>
              <w:jc w:val="lef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8"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1.3.1</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比选范围</w:t>
            </w:r>
          </w:p>
        </w:tc>
        <w:tc>
          <w:tcPr>
            <w:tcW w:w="7189" w:type="dxa"/>
            <w:vAlign w:val="center"/>
          </w:tcPr>
          <w:p>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rPr>
            </w:pPr>
            <w:r>
              <w:rPr>
                <w:rFonts w:hint="eastAsia" w:ascii="宋体" w:hAnsi="宋体" w:eastAsia="宋体" w:cs="宋体"/>
                <w:color w:val="auto"/>
                <w:kern w:val="0"/>
                <w:szCs w:val="21"/>
                <w:lang w:eastAsia="zh-CN"/>
              </w:rPr>
              <w:t>本工程施工图设计范围内的全部内容，具体以</w:t>
            </w:r>
            <w:r>
              <w:rPr>
                <w:rFonts w:hint="eastAsia" w:ascii="宋体" w:hAnsi="宋体" w:cs="宋体"/>
                <w:color w:val="auto"/>
                <w:kern w:val="0"/>
                <w:szCs w:val="21"/>
                <w:lang w:eastAsia="zh-CN"/>
              </w:rPr>
              <w:t>招标人</w:t>
            </w:r>
            <w:r>
              <w:rPr>
                <w:rFonts w:hint="eastAsia" w:ascii="宋体" w:hAnsi="宋体" w:eastAsia="宋体" w:cs="宋体"/>
                <w:color w:val="auto"/>
                <w:kern w:val="0"/>
                <w:szCs w:val="21"/>
                <w:lang w:eastAsia="zh-CN"/>
              </w:rPr>
              <w:t>发出的工程量清单为准。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1.3.2</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计划工期</w:t>
            </w:r>
          </w:p>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缺陷责任期</w:t>
            </w:r>
          </w:p>
        </w:tc>
        <w:tc>
          <w:tcPr>
            <w:tcW w:w="7189" w:type="dxa"/>
            <w:vAlign w:val="center"/>
          </w:tcPr>
          <w:p>
            <w:pPr>
              <w:keepNext w:val="0"/>
              <w:keepLines w:val="0"/>
              <w:pageBreakBefore w:val="0"/>
              <w:kinsoku/>
              <w:wordWrap/>
              <w:overflowPunct/>
              <w:topLinePunct w:val="0"/>
              <w:autoSpaceDE/>
              <w:autoSpaceDN/>
              <w:bidi w:val="0"/>
              <w:adjustRightInd/>
              <w:snapToGrid w:val="0"/>
              <w:spacing w:line="400" w:lineRule="exact"/>
              <w:ind w:firstLine="210" w:firstLineChars="100"/>
              <w:textAlignment w:val="auto"/>
              <w:rPr>
                <w:rFonts w:hint="eastAsia" w:ascii="宋体" w:hAnsi="宋体" w:eastAsia="宋体" w:cs="宋体"/>
                <w:snapToGrid w:val="0"/>
                <w:color w:val="auto"/>
                <w:kern w:val="0"/>
                <w:szCs w:val="21"/>
                <w:u w:val="single"/>
              </w:rPr>
            </w:pPr>
            <w:r>
              <w:rPr>
                <w:rFonts w:hint="eastAsia" w:ascii="宋体" w:hAnsi="宋体" w:eastAsia="宋体" w:cs="宋体"/>
                <w:color w:val="auto"/>
                <w:kern w:val="0"/>
                <w:szCs w:val="21"/>
              </w:rPr>
              <w:t>工期：</w:t>
            </w:r>
            <w:r>
              <w:rPr>
                <w:rFonts w:hint="eastAsia" w:ascii="宋体" w:hAnsi="宋体" w:cs="宋体"/>
                <w:snapToGrid w:val="0"/>
                <w:color w:val="auto"/>
                <w:kern w:val="0"/>
                <w:szCs w:val="21"/>
                <w:u w:val="single"/>
                <w:lang w:val="en-US" w:eastAsia="zh-CN"/>
              </w:rPr>
              <w:t>30日历天</w:t>
            </w:r>
          </w:p>
          <w:p>
            <w:pPr>
              <w:keepNext w:val="0"/>
              <w:keepLines w:val="0"/>
              <w:pageBreakBefore w:val="0"/>
              <w:kinsoku/>
              <w:wordWrap/>
              <w:overflowPunct/>
              <w:topLinePunct w:val="0"/>
              <w:autoSpaceDE/>
              <w:autoSpaceDN/>
              <w:bidi w:val="0"/>
              <w:adjustRightInd/>
              <w:snapToGrid w:val="0"/>
              <w:spacing w:line="400" w:lineRule="exact"/>
              <w:ind w:firstLine="210" w:firstLineChars="100"/>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缺陷责任期：</w:t>
            </w:r>
            <w:r>
              <w:rPr>
                <w:rFonts w:hint="eastAsia" w:ascii="宋体" w:hAnsi="宋体" w:cs="宋体"/>
                <w:snapToGrid w:val="0"/>
                <w:color w:val="auto"/>
                <w:kern w:val="0"/>
                <w:szCs w:val="21"/>
                <w:u w:val="single"/>
                <w:lang w:val="en-US" w:eastAsia="zh-CN"/>
              </w:rPr>
              <w:t>12</w:t>
            </w:r>
            <w:r>
              <w:rPr>
                <w:rFonts w:hint="eastAsia" w:ascii="宋体" w:hAnsi="宋体" w:eastAsia="宋体" w:cs="宋体"/>
                <w:snapToGrid w:val="0"/>
                <w:color w:val="auto"/>
                <w:kern w:val="0"/>
                <w:szCs w:val="21"/>
              </w:rPr>
              <w:t>个月</w:t>
            </w:r>
            <w:r>
              <w:rPr>
                <w:rFonts w:hint="eastAsia" w:ascii="宋体" w:hAnsi="宋体" w:cs="宋体"/>
                <w:snapToGrid w:val="0"/>
                <w:color w:val="auto"/>
                <w:kern w:val="0"/>
                <w:szCs w:val="21"/>
                <w:lang w:eastAsia="zh-CN"/>
              </w:rPr>
              <w:t>，</w:t>
            </w:r>
            <w:r>
              <w:rPr>
                <w:rFonts w:hint="eastAsia" w:ascii="宋体" w:hAnsi="宋体" w:cs="宋体"/>
                <w:snapToGrid w:val="0"/>
                <w:color w:val="auto"/>
                <w:kern w:val="0"/>
                <w:szCs w:val="21"/>
                <w:lang w:val="en-US" w:eastAsia="zh-CN"/>
              </w:rPr>
              <w:t>自工程竣工验收合格之日起计算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9"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1.3.3</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质量要求</w:t>
            </w:r>
          </w:p>
        </w:tc>
        <w:tc>
          <w:tcPr>
            <w:tcW w:w="7189" w:type="dxa"/>
            <w:vAlign w:val="center"/>
          </w:tcPr>
          <w:p>
            <w:pPr>
              <w:keepNext w:val="0"/>
              <w:keepLines w:val="0"/>
              <w:pageBreakBefore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达到国家现行有关施工质量验收规范要求，并达到合格标准。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p>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p>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p>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p>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1.4.1</w:t>
            </w:r>
          </w:p>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p>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p>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p>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p>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p>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p>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p>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p>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p>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p>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p>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p>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kern w:val="0"/>
                <w:szCs w:val="21"/>
              </w:rPr>
            </w:pPr>
          </w:p>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p>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投标人资质条件、能力和信誉</w:t>
            </w:r>
          </w:p>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p>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p>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p>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p>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p>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p>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p>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p>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p>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p>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p>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p>
        </w:tc>
        <w:tc>
          <w:tcPr>
            <w:tcW w:w="7189" w:type="dxa"/>
            <w:vAlign w:val="center"/>
          </w:tcPr>
          <w:p>
            <w:pPr>
              <w:autoSpaceDE w:val="0"/>
              <w:autoSpaceDN w:val="0"/>
              <w:adjustRightInd w:val="0"/>
              <w:snapToGrid w:val="0"/>
              <w:spacing w:line="400" w:lineRule="exact"/>
              <w:ind w:firstLine="422" w:firstLineChars="200"/>
              <w:rPr>
                <w:rFonts w:hint="eastAsia" w:ascii="宋体" w:hAnsi="宋体" w:cs="宋体"/>
                <w:b/>
                <w:color w:val="auto"/>
                <w:kern w:val="0"/>
                <w:szCs w:val="21"/>
                <w:highlight w:val="none"/>
                <w:lang w:bidi="ar"/>
              </w:rPr>
            </w:pPr>
            <w:r>
              <w:rPr>
                <w:rFonts w:hint="eastAsia" w:ascii="宋体" w:hAnsi="宋体" w:cs="宋体"/>
                <w:b/>
                <w:color w:val="auto"/>
                <w:kern w:val="0"/>
                <w:szCs w:val="21"/>
                <w:highlight w:val="none"/>
                <w:lang w:eastAsia="zh-CN" w:bidi="ar"/>
              </w:rPr>
              <w:t>1.</w:t>
            </w:r>
            <w:r>
              <w:rPr>
                <w:rFonts w:hint="eastAsia" w:ascii="宋体" w:hAnsi="宋体" w:cs="宋体"/>
                <w:b/>
                <w:color w:val="auto"/>
                <w:kern w:val="0"/>
                <w:szCs w:val="21"/>
                <w:highlight w:val="none"/>
                <w:lang w:bidi="ar"/>
              </w:rPr>
              <w:t>资质条件、营业执照及安全生产条件</w:t>
            </w:r>
          </w:p>
          <w:p>
            <w:pPr>
              <w:autoSpaceDE w:val="0"/>
              <w:autoSpaceDN w:val="0"/>
              <w:adjustRightInd w:val="0"/>
              <w:snapToGrid w:val="0"/>
              <w:spacing w:line="400" w:lineRule="exact"/>
              <w:ind w:firstLine="420" w:firstLineChars="200"/>
              <w:rPr>
                <w:rFonts w:ascii="宋体" w:hAnsi="宋体"/>
                <w:color w:val="auto"/>
                <w:highlight w:val="none"/>
              </w:rPr>
            </w:pPr>
            <w:r>
              <w:rPr>
                <w:rFonts w:ascii="宋体" w:hAnsi="宋体"/>
                <w:color w:val="auto"/>
                <w:highlight w:val="none"/>
              </w:rPr>
              <w:t>（1）具备建设行政主管部门颁发的有效的</w:t>
            </w:r>
            <w:r>
              <w:rPr>
                <w:rFonts w:hint="eastAsia" w:ascii="宋体" w:hAnsi="宋体"/>
                <w:color w:val="auto"/>
                <w:highlight w:val="none"/>
                <w:u w:val="single"/>
                <w:lang w:val="en-US" w:eastAsia="zh-CN"/>
              </w:rPr>
              <w:t>公路工程施工总承包叁级</w:t>
            </w:r>
            <w:r>
              <w:rPr>
                <w:rFonts w:ascii="宋体" w:hAnsi="宋体"/>
                <w:color w:val="auto"/>
                <w:highlight w:val="none"/>
                <w:u w:val="single"/>
              </w:rPr>
              <w:t>及以上</w:t>
            </w:r>
            <w:r>
              <w:rPr>
                <w:rFonts w:hint="eastAsia" w:ascii="宋体" w:hAnsi="宋体"/>
                <w:color w:val="auto"/>
                <w:highlight w:val="none"/>
              </w:rPr>
              <w:t>资质</w:t>
            </w:r>
            <w:r>
              <w:rPr>
                <w:rFonts w:ascii="宋体" w:hAnsi="宋体"/>
                <w:color w:val="auto"/>
                <w:highlight w:val="none"/>
              </w:rPr>
              <w:t>。</w:t>
            </w:r>
          </w:p>
          <w:p>
            <w:pPr>
              <w:autoSpaceDE w:val="0"/>
              <w:autoSpaceDN w:val="0"/>
              <w:adjustRightInd w:val="0"/>
              <w:snapToGrid w:val="0"/>
              <w:spacing w:line="400" w:lineRule="exact"/>
              <w:ind w:firstLine="420" w:firstLineChars="200"/>
              <w:rPr>
                <w:rFonts w:hint="eastAsia" w:ascii="宋体" w:hAnsi="宋体"/>
                <w:color w:val="auto"/>
                <w:highlight w:val="none"/>
              </w:rPr>
            </w:pPr>
            <w:r>
              <w:rPr>
                <w:rFonts w:hint="eastAsia" w:ascii="宋体" w:hAnsi="宋体"/>
                <w:color w:val="auto"/>
                <w:highlight w:val="none"/>
              </w:rPr>
              <w:t>投标人须在投标文件资格审查部分提供有效的资质证书。</w:t>
            </w:r>
          </w:p>
          <w:p>
            <w:pPr>
              <w:autoSpaceDE w:val="0"/>
              <w:autoSpaceDN w:val="0"/>
              <w:adjustRightInd w:val="0"/>
              <w:snapToGrid w:val="0"/>
              <w:spacing w:line="400" w:lineRule="exact"/>
              <w:ind w:firstLine="420" w:firstLineChars="200"/>
              <w:rPr>
                <w:rFonts w:ascii="宋体" w:hAnsi="宋体"/>
                <w:color w:val="auto"/>
                <w:highlight w:val="none"/>
              </w:rPr>
            </w:pPr>
            <w:r>
              <w:rPr>
                <w:rFonts w:ascii="宋体" w:hAnsi="宋体"/>
                <w:color w:val="auto"/>
                <w:highlight w:val="none"/>
              </w:rPr>
              <w:t>（2）具备有效的营业执照。</w:t>
            </w:r>
          </w:p>
          <w:p>
            <w:pPr>
              <w:autoSpaceDE w:val="0"/>
              <w:autoSpaceDN w:val="0"/>
              <w:adjustRightInd w:val="0"/>
              <w:snapToGrid w:val="0"/>
              <w:spacing w:line="400" w:lineRule="exact"/>
              <w:ind w:firstLine="420" w:firstLineChars="200"/>
              <w:rPr>
                <w:rFonts w:hint="eastAsia" w:ascii="宋体" w:hAnsi="宋体"/>
                <w:color w:val="auto"/>
                <w:highlight w:val="none"/>
              </w:rPr>
            </w:pPr>
            <w:r>
              <w:rPr>
                <w:rFonts w:hint="eastAsia" w:ascii="宋体" w:hAnsi="宋体"/>
                <w:color w:val="auto"/>
                <w:highlight w:val="none"/>
              </w:rPr>
              <w:t>投标人须在投标文件资格审查部分提供有效的营业执照。</w:t>
            </w:r>
            <w:r>
              <w:rPr>
                <w:rFonts w:hint="eastAsia" w:ascii="宋体" w:hAnsi="宋体"/>
                <w:color w:val="auto"/>
                <w:szCs w:val="21"/>
                <w:highlight w:val="none"/>
              </w:rPr>
              <w:t>注：不得将投标人营业执照记载的经营范围作为评审因素</w:t>
            </w:r>
            <w:r>
              <w:rPr>
                <w:rFonts w:hint="eastAsia" w:ascii="宋体" w:hAnsi="宋体"/>
                <w:color w:val="auto"/>
                <w:highlight w:val="none"/>
              </w:rPr>
              <w:t>。</w:t>
            </w:r>
          </w:p>
          <w:p>
            <w:pPr>
              <w:autoSpaceDE w:val="0"/>
              <w:autoSpaceDN w:val="0"/>
              <w:adjustRightInd w:val="0"/>
              <w:snapToGrid w:val="0"/>
              <w:spacing w:line="400" w:lineRule="exact"/>
              <w:ind w:firstLine="420" w:firstLineChars="200"/>
              <w:rPr>
                <w:rFonts w:ascii="宋体" w:hAnsi="宋体"/>
                <w:color w:val="auto"/>
                <w:highlight w:val="none"/>
              </w:rPr>
            </w:pPr>
            <w:r>
              <w:rPr>
                <w:rFonts w:hint="eastAsia" w:ascii="宋体" w:hAnsi="宋体"/>
                <w:color w:val="auto"/>
                <w:highlight w:val="none"/>
              </w:rPr>
              <w:t>（3）具备建设行政主管部门颁发的安全生产许可证</w:t>
            </w:r>
            <w:r>
              <w:rPr>
                <w:rFonts w:hint="eastAsia" w:ascii="宋体" w:hAnsi="宋体"/>
                <w:color w:val="auto"/>
                <w:highlight w:val="none"/>
                <w:lang w:eastAsia="zh-CN"/>
              </w:rPr>
              <w:t>，</w:t>
            </w:r>
            <w:r>
              <w:rPr>
                <w:rFonts w:hint="eastAsia"/>
                <w:color w:val="auto"/>
                <w:highlight w:val="none"/>
              </w:rPr>
              <w:t xml:space="preserve"> </w:t>
            </w:r>
            <w:r>
              <w:rPr>
                <w:rFonts w:hint="eastAsia" w:ascii="宋体" w:hAnsi="宋体" w:cs="ATKPMP+ºÚÌå"/>
                <w:color w:val="auto"/>
                <w:spacing w:val="2"/>
                <w:szCs w:val="21"/>
                <w:highlight w:val="none"/>
              </w:rPr>
              <w:t>企业主要负责人具备相应的由交通行政主管部门颁发的有效的安全生产考核合格证书</w:t>
            </w:r>
            <w:r>
              <w:rPr>
                <w:rFonts w:hint="eastAsia" w:ascii="宋体" w:hAnsi="宋体"/>
                <w:color w:val="auto"/>
                <w:highlight w:val="none"/>
              </w:rPr>
              <w:t>。</w:t>
            </w:r>
          </w:p>
          <w:p>
            <w:pPr>
              <w:autoSpaceDE w:val="0"/>
              <w:autoSpaceDN w:val="0"/>
              <w:adjustRightInd w:val="0"/>
              <w:snapToGrid w:val="0"/>
              <w:spacing w:line="400" w:lineRule="exact"/>
              <w:ind w:firstLine="428" w:firstLineChars="200"/>
              <w:rPr>
                <w:rFonts w:hint="eastAsia" w:ascii="宋体" w:hAnsi="宋体" w:cs="ATKPMP+ºÚÌå"/>
                <w:color w:val="auto"/>
                <w:spacing w:val="2"/>
                <w:szCs w:val="21"/>
                <w:highlight w:val="none"/>
              </w:rPr>
            </w:pPr>
            <w:r>
              <w:rPr>
                <w:rFonts w:hint="eastAsia" w:ascii="宋体" w:hAnsi="宋体" w:cs="ATKPMP+ºÚÌå"/>
                <w:color w:val="auto"/>
                <w:spacing w:val="2"/>
                <w:szCs w:val="21"/>
                <w:highlight w:val="none"/>
              </w:rPr>
              <w:t>投标人须在投标文件资格审查部分提供有效的安全生产许可证</w:t>
            </w:r>
            <w:r>
              <w:rPr>
                <w:rFonts w:ascii="宋体" w:hAnsi="宋体"/>
                <w:color w:val="auto"/>
                <w:szCs w:val="21"/>
                <w:highlight w:val="none"/>
              </w:rPr>
              <w:t>及安全生产考核合格证书</w:t>
            </w:r>
            <w:r>
              <w:rPr>
                <w:rFonts w:hint="eastAsia" w:ascii="宋体" w:hAnsi="宋体" w:cs="ATKPMP+ºÚÌå"/>
                <w:color w:val="auto"/>
                <w:spacing w:val="2"/>
                <w:szCs w:val="21"/>
                <w:highlight w:val="none"/>
              </w:rPr>
              <w:t>。</w:t>
            </w:r>
          </w:p>
          <w:p>
            <w:pPr>
              <w:autoSpaceDE w:val="0"/>
              <w:autoSpaceDN w:val="0"/>
              <w:adjustRightInd w:val="0"/>
              <w:snapToGrid w:val="0"/>
              <w:spacing w:line="400" w:lineRule="exact"/>
              <w:ind w:firstLine="422" w:firstLineChars="200"/>
              <w:rPr>
                <w:rFonts w:ascii="宋体" w:hAnsi="宋体" w:cs="宋体"/>
                <w:b/>
                <w:color w:val="auto"/>
                <w:kern w:val="0"/>
                <w:szCs w:val="21"/>
                <w:highlight w:val="none"/>
                <w:lang w:bidi="ar"/>
              </w:rPr>
            </w:pPr>
            <w:r>
              <w:rPr>
                <w:rFonts w:hint="eastAsia" w:ascii="宋体" w:hAnsi="宋体" w:cs="宋体"/>
                <w:b/>
                <w:color w:val="auto"/>
                <w:kern w:val="0"/>
                <w:szCs w:val="21"/>
                <w:highlight w:val="none"/>
                <w:lang w:val="en-US" w:eastAsia="zh-CN" w:bidi="ar"/>
              </w:rPr>
              <w:t>2.</w:t>
            </w:r>
            <w:r>
              <w:rPr>
                <w:rFonts w:hint="eastAsia" w:ascii="宋体" w:hAnsi="宋体" w:cs="宋体"/>
                <w:b/>
                <w:color w:val="auto"/>
                <w:kern w:val="0"/>
                <w:szCs w:val="21"/>
                <w:highlight w:val="none"/>
                <w:lang w:bidi="ar"/>
              </w:rPr>
              <w:t>投标截止日投标资格情</w:t>
            </w:r>
            <w:r>
              <w:rPr>
                <w:rFonts w:hint="eastAsia" w:ascii="宋体" w:hAnsi="宋体" w:cs="宋体"/>
                <w:b/>
                <w:color w:val="auto"/>
                <w:kern w:val="0"/>
                <w:szCs w:val="21"/>
                <w:highlight w:val="none"/>
                <w:lang w:eastAsia="zh-CN" w:bidi="ar"/>
              </w:rPr>
              <w:t>况和</w:t>
            </w:r>
            <w:r>
              <w:rPr>
                <w:rFonts w:hint="eastAsia" w:ascii="宋体" w:hAnsi="宋体" w:cs="宋体"/>
                <w:b/>
                <w:color w:val="auto"/>
                <w:kern w:val="0"/>
                <w:szCs w:val="21"/>
                <w:highlight w:val="none"/>
                <w:lang w:bidi="ar"/>
              </w:rPr>
              <w:t>要求</w:t>
            </w:r>
          </w:p>
          <w:p>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投标人自行承诺（格式见第九章投标文件格式）不得存在下列情形之一：</w:t>
            </w:r>
          </w:p>
          <w:p>
            <w:pPr>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（1）被人民法院列入失信被执行人名单且在被执行期内；</w:t>
            </w:r>
          </w:p>
          <w:p>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（2）被列入《重庆市工程建设领域招标投标信用管理暂行办法》规定的重点关注名单且记分达到12分且在记分有效期内；</w:t>
            </w:r>
          </w:p>
          <w:p>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（3）被列入《重庆市工程建设领域招标投标信用管理暂行办法》规定的重庆市工程建设领域招标投标失信惩戒对象名单（以下称黑名单）且在记分有效期内；</w:t>
            </w:r>
          </w:p>
          <w:p>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（4）被国家、重庆市（含市或任意区县）有关行政部门处以暂停投标资格行政处罚，且在处罚期限内；</w:t>
            </w:r>
          </w:p>
          <w:p>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（5）被重庆市</w:t>
            </w:r>
            <w:r>
              <w:rPr>
                <w:rFonts w:hint="eastAsia" w:ascii="宋体" w:hAnsi="宋体"/>
                <w:color w:val="auto"/>
                <w:szCs w:val="21"/>
                <w:highlight w:val="none"/>
                <w:lang w:val="en-US" w:eastAsia="zh-CN"/>
              </w:rPr>
              <w:t>市级有关行业</w:t>
            </w:r>
            <w:r>
              <w:rPr>
                <w:rFonts w:hint="eastAsia" w:ascii="宋体" w:hAnsi="宋体"/>
                <w:color w:val="auto"/>
                <w:szCs w:val="21"/>
                <w:highlight w:val="none"/>
              </w:rPr>
              <w:t>主管部门暂停在渝承揽新业务且在暂停期内；</w:t>
            </w:r>
          </w:p>
          <w:p>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（6）被责令停业，暂扣或吊销执照，或吊销资质证书；</w:t>
            </w:r>
          </w:p>
          <w:p>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（7）进入清算程序，或被宣告破产，或其他丧失履约能力的情形；</w:t>
            </w:r>
          </w:p>
          <w:p>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（8）在国家企业信用信息公示系统（http://www.gsxt.gov.cn</w:t>
            </w:r>
            <w:r>
              <w:rPr>
                <w:rFonts w:hint="eastAsia" w:ascii="宋体" w:hAnsi="宋体"/>
                <w:color w:val="auto"/>
                <w:szCs w:val="21"/>
                <w:highlight w:val="none"/>
                <w:lang w:eastAsia="zh-CN"/>
              </w:rPr>
              <w:t>）</w:t>
            </w:r>
            <w:r>
              <w:rPr>
                <w:rFonts w:hint="eastAsia" w:ascii="宋体" w:hAnsi="宋体"/>
                <w:color w:val="auto"/>
                <w:szCs w:val="21"/>
                <w:highlight w:val="none"/>
              </w:rPr>
              <w:t>中被列入严重违法失信企业名单；</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（9）投标人或其法定代表人、拟</w:t>
            </w:r>
            <w:r>
              <w:rPr>
                <w:rFonts w:hint="eastAsia" w:ascii="宋体" w:hAnsi="宋体"/>
                <w:color w:val="auto"/>
                <w:szCs w:val="21"/>
                <w:highlight w:val="none"/>
                <w:lang w:eastAsia="zh-CN"/>
              </w:rPr>
              <w:t>委派</w:t>
            </w:r>
            <w:r>
              <w:rPr>
                <w:rFonts w:hint="eastAsia" w:ascii="宋体" w:hAnsi="宋体"/>
                <w:color w:val="auto"/>
                <w:szCs w:val="21"/>
                <w:highlight w:val="none"/>
              </w:rPr>
              <w:t>的项目经理在近两年内有行贿犯罪行为的。</w:t>
            </w:r>
          </w:p>
          <w:p>
            <w:pPr>
              <w:spacing w:line="400" w:lineRule="exact"/>
              <w:ind w:firstLine="420" w:firstLineChars="200"/>
              <w:rPr>
                <w:rFonts w:hint="eastAsia"/>
                <w:color w:val="auto"/>
                <w:highlight w:val="none"/>
              </w:rPr>
            </w:pPr>
            <w:r>
              <w:rPr>
                <w:rFonts w:hint="eastAsia"/>
                <w:color w:val="auto"/>
                <w:highlight w:val="none"/>
              </w:rPr>
              <w:t>投标人须在投标文件资格审查部分提供承诺。</w:t>
            </w:r>
          </w:p>
          <w:p>
            <w:pPr>
              <w:autoSpaceDE w:val="0"/>
              <w:autoSpaceDN w:val="0"/>
              <w:adjustRightInd w:val="0"/>
              <w:snapToGrid w:val="0"/>
              <w:spacing w:line="400" w:lineRule="exact"/>
              <w:ind w:firstLine="422" w:firstLineChars="200"/>
              <w:rPr>
                <w:rFonts w:ascii="宋体" w:hAnsi="宋体" w:cs="宋体"/>
                <w:b/>
                <w:color w:val="auto"/>
                <w:kern w:val="0"/>
                <w:szCs w:val="21"/>
                <w:highlight w:val="none"/>
                <w:lang w:bidi="ar"/>
              </w:rPr>
            </w:pPr>
            <w:r>
              <w:rPr>
                <w:rFonts w:hint="eastAsia" w:ascii="宋体" w:hAnsi="宋体" w:cs="宋体"/>
                <w:b/>
                <w:color w:val="auto"/>
                <w:kern w:val="0"/>
                <w:szCs w:val="21"/>
                <w:highlight w:val="none"/>
                <w:lang w:val="en-US" w:eastAsia="zh-CN" w:bidi="ar"/>
              </w:rPr>
              <w:t>3.</w:t>
            </w:r>
            <w:r>
              <w:rPr>
                <w:rFonts w:hint="eastAsia" w:ascii="宋体" w:hAnsi="宋体" w:cs="宋体"/>
                <w:b/>
                <w:color w:val="auto"/>
                <w:kern w:val="0"/>
                <w:szCs w:val="21"/>
                <w:highlight w:val="none"/>
                <w:lang w:bidi="ar"/>
              </w:rPr>
              <w:t>项目经理和项目总工资格</w:t>
            </w:r>
          </w:p>
          <w:p>
            <w:pPr>
              <w:spacing w:line="400" w:lineRule="exact"/>
              <w:ind w:firstLine="420" w:firstLineChars="200"/>
              <w:rPr>
                <w:rFonts w:ascii="宋体" w:hAnsi="宋体"/>
                <w:bCs/>
                <w:snapToGrid w:val="0"/>
                <w:color w:val="auto"/>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.1</w:t>
            </w:r>
            <w:r>
              <w:rPr>
                <w:rFonts w:hint="eastAsia" w:ascii="宋体" w:hAnsi="宋体"/>
                <w:bCs/>
                <w:snapToGrid w:val="0"/>
                <w:color w:val="auto"/>
                <w:highlight w:val="none"/>
              </w:rPr>
              <w:t>项目经理：1 人。</w:t>
            </w:r>
          </w:p>
          <w:p>
            <w:pPr>
              <w:snapToGrid w:val="0"/>
              <w:spacing w:line="400" w:lineRule="exact"/>
              <w:ind w:firstLine="420" w:firstLineChars="200"/>
              <w:rPr>
                <w:rFonts w:hint="eastAsia" w:ascii="宋体" w:hAnsi="宋体"/>
                <w:color w:val="auto"/>
                <w:szCs w:val="21"/>
                <w:highlight w:val="none"/>
                <w:u w:val="singl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.1.1</w:t>
            </w:r>
            <w:r>
              <w:rPr>
                <w:rFonts w:hint="eastAsia" w:ascii="宋体" w:hAnsi="宋体"/>
                <w:color w:val="auto"/>
                <w:szCs w:val="21"/>
                <w:highlight w:val="none"/>
              </w:rPr>
              <w:t>投标人拟派的</w:t>
            </w:r>
            <w:r>
              <w:rPr>
                <w:rFonts w:ascii="宋体" w:hAnsi="宋体"/>
                <w:color w:val="auto"/>
                <w:szCs w:val="21"/>
                <w:highlight w:val="none"/>
              </w:rPr>
              <w:t>项目经理必须已在</w:t>
            </w:r>
            <w:r>
              <w:rPr>
                <w:rFonts w:hint="eastAsia" w:ascii="宋体" w:hAnsi="宋体"/>
                <w:color w:val="auto"/>
                <w:szCs w:val="21"/>
                <w:highlight w:val="none"/>
              </w:rPr>
              <w:t>投标人本</w:t>
            </w:r>
            <w:r>
              <w:rPr>
                <w:rFonts w:ascii="宋体" w:hAnsi="宋体"/>
                <w:color w:val="auto"/>
                <w:szCs w:val="21"/>
                <w:highlight w:val="none"/>
              </w:rPr>
              <w:t>单位注册并应具有</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i/>
                <w:color w:val="auto"/>
                <w:szCs w:val="21"/>
                <w:highlight w:val="none"/>
                <w:u w:val="single"/>
              </w:rPr>
              <w:t xml:space="preserve">    </w:t>
            </w:r>
            <w:r>
              <w:rPr>
                <w:rFonts w:hint="eastAsia" w:ascii="宋体" w:hAnsi="宋体"/>
                <w:i w:val="0"/>
                <w:iCs/>
                <w:color w:val="auto"/>
                <w:szCs w:val="21"/>
                <w:highlight w:val="none"/>
                <w:u w:val="single"/>
                <w:lang w:val="en-US" w:eastAsia="zh-CN"/>
              </w:rPr>
              <w:t>公路工程</w:t>
            </w:r>
            <w:r>
              <w:rPr>
                <w:rFonts w:hint="eastAsia" w:ascii="宋体" w:hAnsi="宋体"/>
                <w:color w:val="auto"/>
                <w:szCs w:val="21"/>
                <w:highlight w:val="none"/>
              </w:rPr>
              <w:t>专业</w:t>
            </w:r>
            <w:r>
              <w:rPr>
                <w:rFonts w:hint="eastAsia" w:ascii="宋体" w:hAnsi="宋体"/>
                <w:color w:val="auto"/>
                <w:szCs w:val="21"/>
                <w:highlight w:val="none"/>
                <w:u w:val="single"/>
                <w:lang w:val="en-US" w:eastAsia="zh-CN"/>
              </w:rPr>
              <w:t>二</w:t>
            </w:r>
            <w:r>
              <w:rPr>
                <w:rFonts w:ascii="宋体" w:hAnsi="宋体"/>
                <w:color w:val="auto"/>
                <w:szCs w:val="21"/>
                <w:highlight w:val="none"/>
                <w:u w:val="single"/>
              </w:rPr>
              <w:t>级及以上</w:t>
            </w:r>
            <w:r>
              <w:rPr>
                <w:rFonts w:ascii="宋体" w:hAnsi="宋体"/>
                <w:color w:val="auto"/>
                <w:szCs w:val="21"/>
                <w:highlight w:val="none"/>
              </w:rPr>
              <w:t>注册建造师执业资格</w:t>
            </w:r>
            <w:r>
              <w:rPr>
                <w:rFonts w:hint="eastAsia" w:ascii="宋体" w:hAnsi="宋体"/>
                <w:color w:val="auto"/>
                <w:szCs w:val="21"/>
                <w:highlight w:val="none"/>
              </w:rPr>
              <w:t>，并</w:t>
            </w:r>
            <w:r>
              <w:rPr>
                <w:rFonts w:hint="eastAsia" w:ascii="宋体" w:hAnsi="宋体" w:cs="宋体"/>
                <w:color w:val="auto"/>
                <w:szCs w:val="21"/>
                <w:highlight w:val="none"/>
              </w:rPr>
              <w:t>具有省级及以上交通行政主管部门颁发的安全生产考核合格证书（B类）。</w:t>
            </w:r>
          </w:p>
          <w:p>
            <w:pPr>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.1.2项目经理承诺要求：投标人须承诺拟派项目经理按注册建造师的相关规定到岗履职和未被禁止参与投标。</w:t>
            </w:r>
          </w:p>
          <w:p>
            <w:pPr>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1.2.1到岗履职承诺要求：承诺拟派项目经理中标后在本项目任职，签订合同时拟派的项目经理必须与投标文件中的项目经理一致，并满足办理施工许可手续的相关要求。不能按承诺到岗履约的，按合同相关条款处罚并上报行政主管部门，给招标人造成损失的，投标人依法承担违约赔偿责任。拟派项目经理中标后不得随意更换。</w:t>
            </w:r>
          </w:p>
          <w:p>
            <w:pPr>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.1.2.2未被禁止参与投标承诺要求：承诺拟派项目经理未被重庆市</w:t>
            </w:r>
            <w:r>
              <w:rPr>
                <w:rFonts w:hint="eastAsia" w:ascii="宋体" w:hAnsi="宋体"/>
                <w:color w:val="auto"/>
                <w:szCs w:val="21"/>
                <w:highlight w:val="none"/>
                <w:lang w:val="en-US" w:eastAsia="zh-CN"/>
              </w:rPr>
              <w:t>市级有关行业</w:t>
            </w:r>
            <w:r>
              <w:rPr>
                <w:rFonts w:hint="eastAsia" w:ascii="宋体" w:hAnsi="宋体"/>
                <w:color w:val="auto"/>
                <w:szCs w:val="21"/>
                <w:highlight w:val="none"/>
              </w:rPr>
              <w:t>主管部门暂停在渝承揽新业务。若被暂停在渝承揽新业务但仍参加投标，将被否决投标；已取得中标候选人资格或中标资格的，招标人有权取消其中标候选人资格或中标资格；给招标人造成损失的，投标人依法承担违约赔偿责任。</w:t>
            </w:r>
          </w:p>
          <w:p>
            <w:pPr>
              <w:snapToGrid w:val="0"/>
              <w:spacing w:line="400" w:lineRule="exact"/>
              <w:ind w:firstLine="420" w:firstLineChars="200"/>
              <w:rPr>
                <w:rFonts w:ascii="宋体" w:hAnsi="宋体"/>
                <w:color w:val="auto"/>
              </w:rPr>
            </w:pPr>
            <w:r>
              <w:rPr>
                <w:rFonts w:hint="eastAsia" w:ascii="宋体" w:hAnsi="宋体"/>
                <w:color w:val="auto"/>
                <w:szCs w:val="21"/>
                <w:highlight w:val="none"/>
                <w:lang w:val="en-US" w:eastAsia="zh-CN"/>
              </w:rPr>
              <w:t>3</w:t>
            </w:r>
            <w:r>
              <w:rPr>
                <w:rFonts w:hint="eastAsia" w:ascii="宋体" w:hAnsi="宋体"/>
                <w:color w:val="auto"/>
                <w:szCs w:val="21"/>
                <w:highlight w:val="none"/>
              </w:rPr>
              <w:t>.1.2.3</w:t>
            </w:r>
            <w:r>
              <w:rPr>
                <w:rFonts w:ascii="宋体" w:hAnsi="宋体"/>
                <w:color w:val="auto"/>
              </w:rPr>
              <w:t>项目经理的其它承诺要求：为保证</w:t>
            </w:r>
            <w:r>
              <w:rPr>
                <w:rFonts w:hint="eastAsia" w:ascii="宋体" w:hAnsi="宋体"/>
                <w:color w:val="auto"/>
                <w:lang w:val="en-US" w:eastAsia="zh-CN"/>
              </w:rPr>
              <w:t>投标人</w:t>
            </w:r>
            <w:r>
              <w:rPr>
                <w:rFonts w:ascii="宋体" w:hAnsi="宋体"/>
                <w:color w:val="auto"/>
              </w:rPr>
              <w:t>拟派的项目经理到本项目到岗履职，</w:t>
            </w:r>
            <w:r>
              <w:rPr>
                <w:rFonts w:hint="eastAsia" w:ascii="宋体" w:hAnsi="宋体"/>
                <w:color w:val="auto"/>
                <w:lang w:val="en-US" w:eastAsia="zh-CN"/>
              </w:rPr>
              <w:t>投标人</w:t>
            </w:r>
            <w:r>
              <w:rPr>
                <w:rFonts w:ascii="宋体" w:hAnsi="宋体"/>
                <w:color w:val="auto"/>
              </w:rPr>
              <w:t>还需承诺：</w:t>
            </w:r>
          </w:p>
          <w:p>
            <w:pPr>
              <w:snapToGrid w:val="0"/>
              <w:spacing w:line="400" w:lineRule="exact"/>
              <w:ind w:firstLine="420" w:firstLineChars="200"/>
              <w:rPr>
                <w:rFonts w:hint="default" w:ascii="宋体" w:hAnsi="宋体"/>
                <w:color w:val="auto"/>
              </w:rPr>
            </w:pPr>
            <w:r>
              <w:rPr>
                <w:rFonts w:ascii="宋体" w:hAnsi="宋体"/>
                <w:color w:val="auto"/>
              </w:rPr>
              <w:t>若</w:t>
            </w:r>
            <w:r>
              <w:rPr>
                <w:rFonts w:hint="eastAsia" w:ascii="宋体" w:hAnsi="宋体"/>
                <w:color w:val="auto"/>
                <w:lang w:val="en-US" w:eastAsia="zh-CN"/>
              </w:rPr>
              <w:t>投标人</w:t>
            </w:r>
            <w:r>
              <w:rPr>
                <w:rFonts w:ascii="宋体" w:hAnsi="宋体"/>
                <w:color w:val="auto"/>
              </w:rPr>
              <w:t>拟派本项目的项目经理有在其他项目任职的情形的（或有在其他项目中标或拟中标的情形的），应在收到中标通知书后</w:t>
            </w:r>
            <w:r>
              <w:rPr>
                <w:rFonts w:ascii="宋体" w:hAnsi="宋体"/>
                <w:color w:val="auto"/>
                <w:u w:val="single"/>
              </w:rPr>
              <w:t xml:space="preserve"> 14 </w:t>
            </w:r>
            <w:r>
              <w:rPr>
                <w:rFonts w:ascii="宋体" w:hAnsi="宋体"/>
                <w:color w:val="auto"/>
              </w:rPr>
              <w:t>日内，办理完成放弃在其他项目任职的手续（或办理完成放弃在其他项目中标</w:t>
            </w:r>
            <w:r>
              <w:rPr>
                <w:rFonts w:hint="eastAsia" w:ascii="宋体" w:hAnsi="宋体"/>
                <w:color w:val="auto"/>
              </w:rPr>
              <w:t>或拟中标</w:t>
            </w:r>
            <w:r>
              <w:rPr>
                <w:rFonts w:ascii="宋体" w:hAnsi="宋体"/>
                <w:color w:val="auto"/>
              </w:rPr>
              <w:t>的手续），招标人在合同签订前有权对</w:t>
            </w:r>
            <w:r>
              <w:rPr>
                <w:rFonts w:hint="eastAsia" w:ascii="宋体" w:hAnsi="宋体"/>
                <w:color w:val="auto"/>
                <w:lang w:val="en-US" w:eastAsia="zh-CN"/>
              </w:rPr>
              <w:t>投标人</w:t>
            </w:r>
            <w:r>
              <w:rPr>
                <w:rFonts w:ascii="宋体" w:hAnsi="宋体"/>
                <w:color w:val="auto"/>
              </w:rPr>
              <w:t>拟派项目经理在其他项目的任职情形（或在其他项目的中标或拟中标情形）进行核查，若与</w:t>
            </w:r>
            <w:r>
              <w:rPr>
                <w:rFonts w:hint="eastAsia" w:ascii="宋体" w:hAnsi="宋体"/>
                <w:color w:val="auto"/>
                <w:lang w:val="en-US" w:eastAsia="zh-CN"/>
              </w:rPr>
              <w:t>投标人</w:t>
            </w:r>
            <w:r>
              <w:rPr>
                <w:rFonts w:ascii="宋体" w:hAnsi="宋体"/>
                <w:color w:val="auto"/>
              </w:rPr>
              <w:t>承诺内容不符或</w:t>
            </w:r>
            <w:r>
              <w:rPr>
                <w:rFonts w:hint="eastAsia" w:ascii="宋体" w:hAnsi="宋体"/>
                <w:color w:val="auto"/>
                <w:lang w:val="en-US" w:eastAsia="zh-CN"/>
              </w:rPr>
              <w:t>投标人</w:t>
            </w:r>
            <w:r>
              <w:rPr>
                <w:rFonts w:ascii="宋体" w:hAnsi="宋体"/>
                <w:color w:val="auto"/>
              </w:rPr>
              <w:t>未在上述时间内按照招标文件规定递交放弃在其他项目任职、中标或拟中标的相关资料，视为</w:t>
            </w:r>
            <w:r>
              <w:rPr>
                <w:rFonts w:hint="eastAsia" w:ascii="宋体" w:hAnsi="宋体"/>
                <w:color w:val="auto"/>
                <w:lang w:val="en-US" w:eastAsia="zh-CN"/>
              </w:rPr>
              <w:t>投标人</w:t>
            </w:r>
            <w:r>
              <w:rPr>
                <w:rFonts w:ascii="宋体" w:hAnsi="宋体"/>
                <w:color w:val="auto"/>
              </w:rPr>
              <w:t>放弃中标资格，招标人不退还其投标保证金。在合同签订时，</w:t>
            </w:r>
            <w:r>
              <w:rPr>
                <w:rFonts w:hint="eastAsia" w:ascii="宋体" w:hAnsi="宋体"/>
                <w:color w:val="auto"/>
                <w:lang w:val="en-US" w:eastAsia="zh-CN"/>
              </w:rPr>
              <w:t>投标人</w:t>
            </w:r>
            <w:r>
              <w:rPr>
                <w:rFonts w:ascii="宋体" w:hAnsi="宋体"/>
                <w:color w:val="auto"/>
              </w:rPr>
              <w:t>需确保拟派项目经理符合《建筑施工企业项目经理资质管理办法》规定的项目经理任职条件，否则视为</w:t>
            </w:r>
            <w:r>
              <w:rPr>
                <w:rFonts w:hint="eastAsia" w:ascii="宋体" w:hAnsi="宋体"/>
                <w:color w:val="auto"/>
                <w:lang w:val="en-US" w:eastAsia="zh-CN"/>
              </w:rPr>
              <w:t>投标人</w:t>
            </w:r>
            <w:r>
              <w:rPr>
                <w:rFonts w:ascii="宋体" w:hAnsi="宋体"/>
                <w:color w:val="auto"/>
              </w:rPr>
              <w:t>放弃中标资格，招标人不退还其投标保证金</w:t>
            </w:r>
            <w:r>
              <w:rPr>
                <w:rFonts w:hint="default" w:ascii="宋体" w:hAnsi="宋体"/>
                <w:color w:val="auto"/>
              </w:rPr>
              <w:t>。</w:t>
            </w:r>
          </w:p>
          <w:p>
            <w:pPr>
              <w:snapToGrid w:val="0"/>
              <w:spacing w:line="400" w:lineRule="exact"/>
              <w:ind w:firstLine="420" w:firstLineChars="200"/>
              <w:rPr>
                <w:rFonts w:hint="default" w:ascii="宋体" w:hAnsi="宋体"/>
                <w:color w:val="auto"/>
              </w:rPr>
            </w:pPr>
            <w:r>
              <w:rPr>
                <w:rFonts w:hint="default" w:ascii="宋体" w:hAnsi="宋体"/>
                <w:color w:val="auto"/>
              </w:rPr>
              <w:t>放弃在其他项目任职的需提供</w:t>
            </w:r>
            <w:r>
              <w:rPr>
                <w:rFonts w:hint="eastAsia" w:ascii="宋体" w:hAnsi="宋体"/>
                <w:color w:val="auto"/>
                <w:lang w:eastAsia="zh-CN"/>
              </w:rPr>
              <w:t>：</w:t>
            </w:r>
            <w:r>
              <w:rPr>
                <w:rFonts w:hint="default" w:ascii="宋体" w:hAnsi="宋体"/>
                <w:color w:val="auto"/>
              </w:rPr>
              <w:t>①</w:t>
            </w:r>
            <w:r>
              <w:rPr>
                <w:rFonts w:hint="eastAsia" w:ascii="宋体" w:hAnsi="宋体"/>
                <w:color w:val="auto"/>
                <w:lang w:val="en-US" w:eastAsia="zh-CN"/>
              </w:rPr>
              <w:t>经</w:t>
            </w:r>
            <w:r>
              <w:rPr>
                <w:rFonts w:hint="default" w:ascii="宋体" w:hAnsi="宋体"/>
                <w:color w:val="auto"/>
              </w:rPr>
              <w:t>业主或建设单位同意任职变更的文件；②负责项目监管的行业行政主管部门出具同意任职变更的证明材料。</w:t>
            </w:r>
          </w:p>
          <w:p>
            <w:pPr>
              <w:snapToGrid w:val="0"/>
              <w:spacing w:line="400" w:lineRule="exact"/>
              <w:ind w:firstLine="420" w:firstLineChars="200"/>
              <w:rPr>
                <w:rFonts w:hint="eastAsia" w:ascii="宋体" w:hAnsi="宋体"/>
                <w:color w:val="auto"/>
                <w:szCs w:val="21"/>
                <w:highlight w:val="none"/>
              </w:rPr>
            </w:pPr>
            <w:r>
              <w:rPr>
                <w:rFonts w:hint="default" w:ascii="宋体" w:hAnsi="宋体"/>
                <w:color w:val="auto"/>
              </w:rPr>
              <w:t>放弃在其他项目中标或拟中标的需提供</w:t>
            </w:r>
            <w:r>
              <w:rPr>
                <w:rFonts w:hint="eastAsia" w:ascii="宋体" w:hAnsi="宋体"/>
                <w:color w:val="auto"/>
                <w:lang w:eastAsia="zh-CN"/>
              </w:rPr>
              <w:t>：</w:t>
            </w:r>
            <w:r>
              <w:rPr>
                <w:rFonts w:hint="default" w:ascii="宋体" w:hAnsi="宋体"/>
                <w:color w:val="auto"/>
              </w:rPr>
              <w:t>①经中标或拟中标的其他项目建设单位同意的放弃中标函</w:t>
            </w:r>
            <w:r>
              <w:rPr>
                <w:rFonts w:hint="eastAsia" w:ascii="宋体" w:hAnsi="宋体"/>
                <w:color w:val="auto"/>
                <w:szCs w:val="21"/>
                <w:highlight w:val="none"/>
              </w:rPr>
              <w:t>。</w:t>
            </w:r>
          </w:p>
          <w:p>
            <w:pPr>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.1.2.4未提供上述承诺或承诺内容不符合要求的，由评标委员会作否决投标处理</w:t>
            </w:r>
            <w:r>
              <w:rPr>
                <w:rFonts w:hint="default" w:ascii="宋体" w:hAnsi="宋体" w:eastAsia="宋体"/>
                <w:color w:val="auto"/>
                <w:sz w:val="21"/>
              </w:rPr>
              <w:t>。</w:t>
            </w:r>
          </w:p>
          <w:p>
            <w:pPr>
              <w:snapToGrid w:val="0"/>
              <w:spacing w:line="400" w:lineRule="exact"/>
              <w:ind w:firstLine="420" w:firstLineChars="200"/>
              <w:rPr>
                <w:rFonts w:hint="eastAsia" w:eastAsia="宋体"/>
                <w:color w:val="auto"/>
                <w:highlight w:val="none"/>
                <w:lang w:eastAsia="zh-CN"/>
              </w:rPr>
            </w:pPr>
            <w:r>
              <w:rPr>
                <w:rFonts w:hint="eastAsia"/>
                <w:color w:val="auto"/>
                <w:highlight w:val="none"/>
              </w:rPr>
              <w:t>投标人</w:t>
            </w:r>
            <w:r>
              <w:rPr>
                <w:rFonts w:hint="eastAsia"/>
                <w:color w:val="auto"/>
                <w:highlight w:val="none"/>
                <w:lang w:eastAsia="zh-CN"/>
              </w:rPr>
              <w:t>必</w:t>
            </w:r>
            <w:r>
              <w:rPr>
                <w:rFonts w:hint="eastAsia"/>
                <w:color w:val="auto"/>
                <w:highlight w:val="none"/>
              </w:rPr>
              <w:t>须在投标文件资格审查部分提供有效的拟派项目经理身份证、建造师注册证、安全生产考核合格证书（B类）、投标人为其交纳的养老保险证明材料，拟派项目经理到岗履职和未被禁止参与投标的承诺（承诺格式见第九章投标文件格式）</w:t>
            </w:r>
            <w:r>
              <w:rPr>
                <w:rFonts w:hint="eastAsia"/>
                <w:color w:val="auto"/>
                <w:highlight w:val="none"/>
                <w:lang w:eastAsia="zh-CN"/>
              </w:rPr>
              <w:t>。</w:t>
            </w:r>
          </w:p>
          <w:p>
            <w:pPr>
              <w:snapToGrid w:val="0"/>
              <w:spacing w:line="400" w:lineRule="exact"/>
              <w:ind w:firstLine="420" w:firstLineChars="200"/>
              <w:rPr>
                <w:rFonts w:hint="eastAsia" w:ascii="宋体" w:hAnsi="宋体"/>
                <w:color w:val="auto"/>
                <w:kern w:val="0"/>
                <w:szCs w:val="21"/>
              </w:rPr>
            </w:pPr>
            <w:r>
              <w:rPr>
                <w:rFonts w:hint="eastAsia" w:ascii="宋体" w:hAnsi="宋体"/>
                <w:color w:val="auto"/>
                <w:kern w:val="0"/>
                <w:szCs w:val="21"/>
              </w:rPr>
              <w:t>注：</w:t>
            </w:r>
            <w:r>
              <w:rPr>
                <w:rFonts w:hint="eastAsia" w:ascii="宋体" w:hAnsi="宋体"/>
                <w:color w:val="auto"/>
                <w:kern w:val="0"/>
                <w:szCs w:val="21"/>
                <w:lang w:eastAsia="zh-CN"/>
              </w:rPr>
              <w:t>（</w:t>
            </w:r>
            <w:r>
              <w:rPr>
                <w:rFonts w:hint="eastAsia" w:ascii="宋体" w:hAnsi="宋体"/>
                <w:color w:val="auto"/>
                <w:kern w:val="0"/>
                <w:szCs w:val="21"/>
                <w:lang w:val="en-US" w:eastAsia="zh-CN"/>
              </w:rPr>
              <w:t>1</w:t>
            </w:r>
            <w:r>
              <w:rPr>
                <w:rFonts w:hint="eastAsia" w:ascii="宋体" w:hAnsi="宋体"/>
                <w:color w:val="auto"/>
                <w:kern w:val="0"/>
                <w:szCs w:val="21"/>
                <w:lang w:eastAsia="zh-CN"/>
              </w:rPr>
              <w:t>）</w:t>
            </w:r>
            <w:r>
              <w:rPr>
                <w:rFonts w:hint="eastAsia" w:ascii="宋体" w:hAnsi="宋体"/>
                <w:color w:val="auto"/>
                <w:kern w:val="0"/>
                <w:szCs w:val="21"/>
              </w:rPr>
              <w:t>提供拟派的项目经理为一级建造师或重庆市二级建造师注册人员的，必须提供建造师电子注册证书，且该建造师电子注册证书须由建造师本人在个人签名处手写本人签名。</w:t>
            </w:r>
          </w:p>
          <w:p>
            <w:pPr>
              <w:snapToGrid w:val="0"/>
              <w:spacing w:line="400" w:lineRule="exact"/>
              <w:ind w:firstLine="420" w:firstLineChars="200"/>
              <w:rPr>
                <w:rFonts w:hint="eastAsia" w:ascii="宋体" w:hAnsi="宋体"/>
                <w:color w:val="auto"/>
                <w:kern w:val="0"/>
                <w:szCs w:val="21"/>
              </w:rPr>
            </w:pPr>
            <w:r>
              <w:rPr>
                <w:rFonts w:hint="eastAsia" w:ascii="宋体" w:hAnsi="宋体"/>
                <w:color w:val="auto"/>
                <w:kern w:val="0"/>
                <w:szCs w:val="21"/>
                <w:lang w:eastAsia="zh-CN"/>
              </w:rPr>
              <w:t>（</w:t>
            </w:r>
            <w:r>
              <w:rPr>
                <w:rFonts w:hint="eastAsia" w:ascii="宋体" w:hAnsi="宋体"/>
                <w:color w:val="auto"/>
                <w:kern w:val="0"/>
                <w:szCs w:val="21"/>
                <w:lang w:val="en-US" w:eastAsia="zh-CN"/>
              </w:rPr>
              <w:t>2</w:t>
            </w:r>
            <w:r>
              <w:rPr>
                <w:rFonts w:hint="eastAsia" w:ascii="宋体" w:hAnsi="宋体"/>
                <w:color w:val="auto"/>
                <w:kern w:val="0"/>
                <w:szCs w:val="21"/>
                <w:lang w:eastAsia="zh-CN"/>
              </w:rPr>
              <w:t>）</w:t>
            </w:r>
            <w:r>
              <w:rPr>
                <w:rFonts w:hint="eastAsia" w:ascii="宋体" w:hAnsi="宋体"/>
                <w:color w:val="auto"/>
                <w:kern w:val="0"/>
                <w:szCs w:val="21"/>
              </w:rPr>
              <w:t>重庆市以外的省级住房城乡建设主管部门对二级建造师电子注册证书使用有明确规定的，从其规定。未规定使用电子注册证书的，可提供纸质证书扫描件。</w:t>
            </w:r>
          </w:p>
          <w:p>
            <w:pPr>
              <w:autoSpaceDE w:val="0"/>
              <w:autoSpaceDN w:val="0"/>
              <w:adjustRightInd w:val="0"/>
              <w:snapToGrid w:val="0"/>
              <w:spacing w:line="400" w:lineRule="exact"/>
              <w:ind w:firstLine="420" w:firstLineChars="200"/>
              <w:rPr>
                <w:rFonts w:hint="eastAsia"/>
                <w:color w:val="auto"/>
                <w:highlight w:val="none"/>
              </w:rPr>
            </w:pPr>
            <w:r>
              <w:rPr>
                <w:rFonts w:hint="eastAsia" w:ascii="宋体" w:hAnsi="宋体"/>
                <w:color w:val="auto"/>
                <w:kern w:val="0"/>
                <w:szCs w:val="21"/>
                <w:lang w:eastAsia="zh-CN"/>
              </w:rPr>
              <w:t>（</w:t>
            </w:r>
            <w:r>
              <w:rPr>
                <w:rFonts w:hint="eastAsia" w:ascii="宋体" w:hAnsi="宋体"/>
                <w:color w:val="auto"/>
                <w:kern w:val="0"/>
                <w:szCs w:val="21"/>
                <w:lang w:val="en-US" w:eastAsia="zh-CN"/>
              </w:rPr>
              <w:t>3</w:t>
            </w:r>
            <w:r>
              <w:rPr>
                <w:rFonts w:hint="eastAsia" w:ascii="宋体" w:hAnsi="宋体"/>
                <w:color w:val="auto"/>
                <w:kern w:val="0"/>
                <w:szCs w:val="21"/>
                <w:lang w:eastAsia="zh-CN"/>
              </w:rPr>
              <w:t>）</w:t>
            </w:r>
            <w:r>
              <w:rPr>
                <w:rFonts w:hint="eastAsia" w:ascii="宋体" w:hAnsi="宋体"/>
                <w:color w:val="auto"/>
                <w:kern w:val="0"/>
                <w:szCs w:val="21"/>
              </w:rPr>
              <w:t>建造师电子注册证书本人手写签名与签名图像笔迹是否一致不作为否决投标的情形。</w:t>
            </w:r>
          </w:p>
          <w:p>
            <w:pPr>
              <w:spacing w:line="400" w:lineRule="exact"/>
              <w:ind w:firstLine="420" w:firstLineChars="200"/>
              <w:rPr>
                <w:rFonts w:ascii="宋体" w:hAnsi="宋体"/>
                <w:i/>
                <w:color w:val="auto"/>
                <w:szCs w:val="21"/>
                <w:highlight w:val="none"/>
              </w:rPr>
            </w:pPr>
            <w:r>
              <w:rPr>
                <w:rFonts w:hint="eastAsia" w:ascii="宋体" w:hAnsi="宋体"/>
                <w:bCs/>
                <w:snapToGrid w:val="0"/>
                <w:color w:val="auto"/>
                <w:highlight w:val="none"/>
                <w:lang w:val="en-US" w:eastAsia="zh-CN"/>
              </w:rPr>
              <w:t>3</w:t>
            </w:r>
            <w:r>
              <w:rPr>
                <w:rFonts w:hint="eastAsia" w:ascii="宋体" w:hAnsi="宋体"/>
                <w:bCs/>
                <w:snapToGrid w:val="0"/>
                <w:color w:val="auto"/>
                <w:highlight w:val="none"/>
              </w:rPr>
              <w:t>.2项目总工：1人。</w:t>
            </w:r>
          </w:p>
          <w:p>
            <w:pPr>
              <w:autoSpaceDE w:val="0"/>
              <w:autoSpaceDN w:val="0"/>
              <w:adjustRightInd w:val="0"/>
              <w:snapToGrid w:val="0"/>
              <w:spacing w:line="400" w:lineRule="exact"/>
              <w:ind w:firstLine="420" w:firstLineChars="200"/>
              <w:rPr>
                <w:rFonts w:ascii="宋体" w:hAnsi="宋体"/>
                <w:color w:val="auto"/>
                <w:szCs w:val="21"/>
                <w:highlight w:val="none"/>
                <w:u w:val="single"/>
              </w:rPr>
            </w:pPr>
            <w:r>
              <w:rPr>
                <w:rFonts w:hint="eastAsia" w:ascii="宋体" w:hAnsi="宋体"/>
                <w:color w:val="auto"/>
                <w:szCs w:val="21"/>
                <w:highlight w:val="none"/>
                <w:lang w:val="en-US" w:eastAsia="zh-CN"/>
              </w:rPr>
              <w:t>3</w:t>
            </w:r>
            <w:r>
              <w:rPr>
                <w:rFonts w:hint="eastAsia" w:ascii="宋体" w:hAnsi="宋体"/>
                <w:color w:val="auto"/>
                <w:szCs w:val="21"/>
                <w:highlight w:val="none"/>
              </w:rPr>
              <w:t>.2.1投标人拟派的项目总工</w:t>
            </w:r>
            <w:r>
              <w:rPr>
                <w:rFonts w:ascii="宋体" w:hAnsi="宋体"/>
                <w:color w:val="auto"/>
                <w:szCs w:val="21"/>
                <w:highlight w:val="none"/>
              </w:rPr>
              <w:t>应具有</w:t>
            </w:r>
            <w:r>
              <w:rPr>
                <w:rFonts w:hint="eastAsia" w:ascii="宋体" w:hAnsi="宋体"/>
                <w:i w:val="0"/>
                <w:iCs/>
                <w:color w:val="auto"/>
                <w:szCs w:val="21"/>
                <w:highlight w:val="none"/>
                <w:u w:val="single"/>
                <w:lang w:val="en-US" w:eastAsia="zh-CN"/>
              </w:rPr>
              <w:t>工程类</w:t>
            </w:r>
            <w:r>
              <w:rPr>
                <w:rFonts w:hint="eastAsia" w:ascii="宋体" w:hAnsi="宋体"/>
                <w:color w:val="auto"/>
                <w:szCs w:val="21"/>
                <w:highlight w:val="none"/>
                <w:u w:val="single"/>
                <w:lang w:val="en-US" w:eastAsia="zh-CN"/>
              </w:rPr>
              <w:t>中</w:t>
            </w:r>
            <w:r>
              <w:rPr>
                <w:rFonts w:ascii="宋体" w:hAnsi="宋体"/>
                <w:color w:val="auto"/>
                <w:szCs w:val="21"/>
                <w:highlight w:val="none"/>
                <w:u w:val="single"/>
              </w:rPr>
              <w:t>级及以</w:t>
            </w:r>
            <w:r>
              <w:rPr>
                <w:rFonts w:ascii="宋体" w:hAnsi="宋体"/>
                <w:color w:val="auto"/>
                <w:szCs w:val="21"/>
                <w:highlight w:val="none"/>
              </w:rPr>
              <w:t>上职称</w:t>
            </w:r>
            <w:r>
              <w:rPr>
                <w:rFonts w:hint="eastAsia" w:ascii="宋体" w:hAnsi="宋体"/>
                <w:color w:val="auto"/>
                <w:szCs w:val="21"/>
                <w:highlight w:val="none"/>
              </w:rPr>
              <w:t>。</w:t>
            </w:r>
          </w:p>
          <w:p>
            <w:pPr>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.2.2项目总工承诺要求：投标人须承诺拟派项目总工按相关规定到岗履职和未被禁止参与投标。</w:t>
            </w:r>
          </w:p>
          <w:p>
            <w:pPr>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.2.2.1到岗履职承诺要求：承诺拟派项目总工中标后</w:t>
            </w:r>
            <w:r>
              <w:rPr>
                <w:rFonts w:hint="eastAsia" w:ascii="宋体" w:hAnsi="宋体"/>
                <w:color w:val="auto"/>
                <w:szCs w:val="21"/>
                <w:highlight w:val="none"/>
                <w:lang w:val="en-US" w:eastAsia="zh-CN"/>
              </w:rPr>
              <w:t>只能</w:t>
            </w:r>
            <w:r>
              <w:rPr>
                <w:rFonts w:hint="eastAsia" w:ascii="宋体" w:hAnsi="宋体"/>
                <w:color w:val="auto"/>
                <w:szCs w:val="21"/>
                <w:highlight w:val="none"/>
              </w:rPr>
              <w:t>在本项目任职，签订合同时拟派的项目总工必须与投标文件中的项目总工一致，并满足办理施工许可手续的相关要求。不能按承诺到岗履约的，按合同相关条款处罚并上报行政主管部门，给招标人造成损失的，投标人依法承担违约赔偿责任。拟派项目总工中标后不得随意更换。</w:t>
            </w:r>
          </w:p>
          <w:p>
            <w:pPr>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2.2.2未被禁止参与投标承诺要求：承诺拟派项目总工未被重庆市交通主管部门暂停在渝承揽新业务。若被暂停在渝承揽新业务但仍参加投标，将被否决投标；已取得中标候选人资格或中标资格的，招标人有权取消其中标候选人资格或中标资格；给招标人造成损失的，投标人依法承担违约赔偿责任。</w:t>
            </w:r>
          </w:p>
          <w:p>
            <w:pPr>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.2.</w:t>
            </w:r>
            <w:r>
              <w:rPr>
                <w:rFonts w:hint="eastAsia" w:ascii="宋体" w:hAnsi="宋体"/>
                <w:color w:val="auto"/>
                <w:szCs w:val="21"/>
                <w:highlight w:val="none"/>
                <w:lang w:val="en-US" w:eastAsia="zh-CN"/>
              </w:rPr>
              <w:t>3</w:t>
            </w:r>
            <w:r>
              <w:rPr>
                <w:rFonts w:hint="eastAsia" w:ascii="宋体" w:hAnsi="宋体"/>
                <w:color w:val="auto"/>
                <w:szCs w:val="21"/>
                <w:highlight w:val="none"/>
              </w:rPr>
              <w:t>未提供上述承诺或承诺内容不符合要求的，由评标委员会作否决投标处理</w:t>
            </w:r>
            <w:r>
              <w:rPr>
                <w:rFonts w:hint="default" w:ascii="宋体" w:hAnsi="宋体" w:eastAsia="宋体"/>
                <w:color w:val="auto"/>
                <w:sz w:val="21"/>
              </w:rPr>
              <w:t>。</w:t>
            </w:r>
          </w:p>
          <w:p>
            <w:pPr>
              <w:autoSpaceDE w:val="0"/>
              <w:autoSpaceDN w:val="0"/>
              <w:adjustRightInd w:val="0"/>
              <w:snapToGrid w:val="0"/>
              <w:spacing w:line="400" w:lineRule="exact"/>
              <w:ind w:firstLine="420" w:firstLineChars="200"/>
              <w:rPr>
                <w:color w:val="auto"/>
                <w:highlight w:val="none"/>
              </w:rPr>
            </w:pPr>
            <w:r>
              <w:rPr>
                <w:rFonts w:hint="eastAsia" w:ascii="宋体" w:hAnsi="宋体"/>
                <w:color w:val="auto"/>
                <w:szCs w:val="21"/>
                <w:highlight w:val="none"/>
              </w:rPr>
              <w:t>投标人</w:t>
            </w:r>
            <w:r>
              <w:rPr>
                <w:rFonts w:hint="eastAsia" w:ascii="宋体" w:hAnsi="宋体"/>
                <w:color w:val="auto"/>
                <w:szCs w:val="21"/>
                <w:highlight w:val="none"/>
                <w:lang w:eastAsia="zh-CN"/>
              </w:rPr>
              <w:t>必须</w:t>
            </w:r>
            <w:r>
              <w:rPr>
                <w:rFonts w:hint="eastAsia" w:ascii="宋体" w:hAnsi="宋体"/>
                <w:color w:val="auto"/>
                <w:szCs w:val="21"/>
                <w:highlight w:val="none"/>
              </w:rPr>
              <w:t>在投标文件资格审查部分提供有效的拟派项目总工身份证、职称证、</w:t>
            </w:r>
            <w:r>
              <w:rPr>
                <w:rFonts w:hint="eastAsia"/>
                <w:color w:val="auto"/>
                <w:highlight w:val="none"/>
              </w:rPr>
              <w:t>投标人为其交纳的养老保险证明材料，拟派项目总工到岗履职和未被禁止参与投标的承诺（承诺格式见第九章投标文件格式）。</w:t>
            </w:r>
          </w:p>
          <w:p>
            <w:pPr>
              <w:autoSpaceDE w:val="0"/>
              <w:autoSpaceDN w:val="0"/>
              <w:adjustRightInd w:val="0"/>
              <w:snapToGrid w:val="0"/>
              <w:spacing w:line="400" w:lineRule="exact"/>
              <w:ind w:firstLine="422" w:firstLineChars="200"/>
              <w:rPr>
                <w:rFonts w:ascii="宋体" w:hAnsi="宋体" w:cs="宋体"/>
                <w:b/>
                <w:color w:val="auto"/>
                <w:kern w:val="0"/>
                <w:szCs w:val="21"/>
                <w:highlight w:val="none"/>
                <w:lang w:bidi="ar"/>
              </w:rPr>
            </w:pPr>
            <w:r>
              <w:rPr>
                <w:rFonts w:hint="eastAsia" w:ascii="宋体" w:hAnsi="宋体" w:cs="宋体"/>
                <w:b/>
                <w:color w:val="auto"/>
                <w:kern w:val="0"/>
                <w:szCs w:val="21"/>
                <w:highlight w:val="none"/>
                <w:lang w:val="en-US" w:eastAsia="zh-CN" w:bidi="ar"/>
              </w:rPr>
              <w:t>4.</w:t>
            </w:r>
            <w:r>
              <w:rPr>
                <w:rFonts w:hint="eastAsia" w:ascii="宋体" w:hAnsi="宋体" w:cs="宋体"/>
                <w:b/>
                <w:color w:val="auto"/>
                <w:kern w:val="0"/>
                <w:szCs w:val="21"/>
                <w:highlight w:val="none"/>
                <w:lang w:bidi="ar"/>
              </w:rPr>
              <w:t>其他管理和技术人员要求</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投标时投标人只须在投标文件资格审查部分提供拟投入其他管理和技术人员承诺，无需提供人员的具体证明材料，具体人员由招标人和中标人在合同谈判阶段确定。</w:t>
            </w:r>
          </w:p>
          <w:p>
            <w:pPr>
              <w:autoSpaceDE w:val="0"/>
              <w:autoSpaceDN w:val="0"/>
              <w:adjustRightInd w:val="0"/>
              <w:snapToGrid w:val="0"/>
              <w:spacing w:line="400" w:lineRule="exact"/>
              <w:ind w:firstLine="422" w:firstLineChars="200"/>
              <w:rPr>
                <w:rFonts w:ascii="宋体" w:hAnsi="宋体" w:cs="宋体"/>
                <w:b/>
                <w:color w:val="auto"/>
                <w:kern w:val="0"/>
                <w:szCs w:val="21"/>
                <w:highlight w:val="none"/>
                <w:lang w:bidi="ar"/>
              </w:rPr>
            </w:pPr>
            <w:r>
              <w:rPr>
                <w:rFonts w:hint="eastAsia" w:ascii="宋体" w:hAnsi="宋体"/>
                <w:b/>
                <w:color w:val="auto"/>
                <w:szCs w:val="21"/>
                <w:highlight w:val="none"/>
                <w:lang w:val="en-US" w:eastAsia="zh-CN"/>
              </w:rPr>
              <w:t>5.</w:t>
            </w:r>
            <w:r>
              <w:rPr>
                <w:rFonts w:hint="eastAsia" w:ascii="宋体" w:hAnsi="宋体" w:cs="宋体"/>
                <w:b/>
                <w:color w:val="auto"/>
                <w:kern w:val="0"/>
                <w:szCs w:val="21"/>
                <w:highlight w:val="none"/>
                <w:lang w:bidi="ar"/>
              </w:rPr>
              <w:t>委托代理人：</w:t>
            </w:r>
          </w:p>
          <w:p>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委托代理人必须为投标人本单位人员。</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投标人须在投标文件资格审查部分提供投标人为该委托代理人缴纳的养老保险证明。否则，将由评标委员会作否决投标处理。</w:t>
            </w:r>
          </w:p>
          <w:p>
            <w:pPr>
              <w:autoSpaceDE w:val="0"/>
              <w:autoSpaceDN w:val="0"/>
              <w:adjustRightInd w:val="0"/>
              <w:snapToGrid w:val="0"/>
              <w:spacing w:line="400" w:lineRule="exact"/>
              <w:ind w:firstLine="417" w:firstLineChars="198"/>
              <w:rPr>
                <w:rFonts w:hint="eastAsia" w:ascii="宋体" w:hAnsi="宋体" w:cs="宋体"/>
                <w:b/>
                <w:color w:val="auto"/>
                <w:szCs w:val="21"/>
                <w:highlight w:val="none"/>
              </w:rPr>
            </w:pPr>
            <w:r>
              <w:rPr>
                <w:rFonts w:hint="eastAsia" w:ascii="宋体" w:hAnsi="宋体" w:cs="宋体"/>
                <w:b/>
                <w:color w:val="auto"/>
                <w:szCs w:val="21"/>
                <w:highlight w:val="none"/>
              </w:rPr>
              <w:t>特别说明：</w:t>
            </w:r>
          </w:p>
          <w:p>
            <w:pPr>
              <w:autoSpaceDE w:val="0"/>
              <w:autoSpaceDN w:val="0"/>
              <w:adjustRightInd w:val="0"/>
              <w:snapToGrid w:val="0"/>
              <w:spacing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上述要求</w:t>
            </w:r>
            <w:r>
              <w:rPr>
                <w:rFonts w:hint="eastAsia" w:ascii="宋体" w:hAnsi="宋体" w:cs="宋体"/>
                <w:color w:val="auto"/>
                <w:szCs w:val="21"/>
                <w:highlight w:val="none"/>
              </w:rPr>
              <w:t>须提交的相关证明材料均为扫描件</w:t>
            </w:r>
            <w:r>
              <w:rPr>
                <w:rFonts w:hint="eastAsia" w:ascii="宋体" w:hAnsi="宋体" w:cs="宋体"/>
                <w:color w:val="auto"/>
                <w:szCs w:val="21"/>
                <w:highlight w:val="none"/>
                <w:lang w:eastAsia="zh-CN"/>
              </w:rPr>
              <w:t>（原件或复印件的扫描件均可），</w:t>
            </w:r>
            <w:r>
              <w:rPr>
                <w:rFonts w:hint="eastAsia" w:ascii="宋体" w:hAnsi="宋体" w:cs="宋体"/>
                <w:color w:val="auto"/>
                <w:szCs w:val="21"/>
                <w:highlight w:val="none"/>
              </w:rPr>
              <w:t>扫描件须清晰可辨，</w:t>
            </w:r>
            <w:r>
              <w:rPr>
                <w:rFonts w:hint="eastAsia" w:ascii="宋体" w:hAnsi="宋体" w:cs="宋体"/>
                <w:color w:val="auto"/>
                <w:kern w:val="0"/>
                <w:szCs w:val="21"/>
                <w:highlight w:val="none"/>
              </w:rPr>
              <w:t>有一条不满足</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则投标文件由评标委员会</w:t>
            </w:r>
            <w:r>
              <w:rPr>
                <w:rFonts w:hint="eastAsia" w:ascii="宋体" w:hAnsi="宋体" w:cs="宋体"/>
                <w:color w:val="auto"/>
                <w:szCs w:val="21"/>
                <w:highlight w:val="none"/>
              </w:rPr>
              <w:t>作否决投标处理</w:t>
            </w:r>
            <w:r>
              <w:rPr>
                <w:rFonts w:hint="eastAsia" w:ascii="宋体" w:hAnsi="宋体" w:cs="宋体"/>
                <w:color w:val="auto"/>
                <w:kern w:val="0"/>
                <w:szCs w:val="21"/>
                <w:highlight w:val="none"/>
              </w:rPr>
              <w:t>。</w:t>
            </w:r>
          </w:p>
          <w:p>
            <w:pPr>
              <w:autoSpaceDE w:val="0"/>
              <w:autoSpaceDN w:val="0"/>
              <w:adjustRightInd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（2）投标人须自行承诺其提供的上述相关证明材料真实有效，不存在弄虚作假情形（格式见第九章投标文件格式）。</w:t>
            </w:r>
            <w:r>
              <w:rPr>
                <w:rFonts w:hint="eastAsia" w:ascii="宋体" w:hAnsi="宋体" w:cs="宋体"/>
                <w:color w:val="auto"/>
                <w:szCs w:val="21"/>
                <w:highlight w:val="none"/>
                <w:u w:val="single"/>
              </w:rPr>
              <w:t>招标人在合同签订前均有权对投标人提供的资料进行核实，若发现弄虚作假，</w:t>
            </w:r>
            <w:r>
              <w:rPr>
                <w:rFonts w:hint="eastAsia" w:ascii="宋体" w:hAnsi="宋体" w:cs="宋体"/>
                <w:color w:val="auto"/>
                <w:szCs w:val="21"/>
                <w:highlight w:val="none"/>
                <w:u w:val="single"/>
                <w:lang w:val="en-US" w:eastAsia="zh-CN"/>
              </w:rPr>
              <w:t>按相关规定</w:t>
            </w:r>
            <w:r>
              <w:rPr>
                <w:rFonts w:hint="eastAsia" w:ascii="宋体" w:hAnsi="宋体" w:cs="宋体"/>
                <w:color w:val="auto"/>
                <w:szCs w:val="21"/>
                <w:highlight w:val="none"/>
                <w:u w:val="single"/>
              </w:rPr>
              <w:t>取消其中标资格，并按相关法律法规报招标投标监督部门，其投标保证金不予退还，投标人承担因此造成的相关责任并赔偿相应损失</w:t>
            </w:r>
            <w:r>
              <w:rPr>
                <w:rFonts w:hint="eastAsia" w:ascii="宋体" w:hAnsi="宋体" w:cs="宋体"/>
                <w:color w:val="auto"/>
                <w:szCs w:val="21"/>
                <w:highlight w:val="none"/>
              </w:rPr>
              <w:t>。</w:t>
            </w:r>
          </w:p>
          <w:p>
            <w:pPr>
              <w:spacing w:line="400" w:lineRule="exact"/>
              <w:ind w:firstLine="420" w:firstLineChars="20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（3）本招标文件中所要求的人员养老保险证明要求如下：</w:t>
            </w:r>
          </w:p>
          <w:p>
            <w:pPr>
              <w:spacing w:line="400" w:lineRule="exact"/>
              <w:ind w:firstLine="420" w:firstLineChars="20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①</w:t>
            </w:r>
            <w:r>
              <w:rPr>
                <w:rFonts w:hint="eastAsia" w:ascii="宋体" w:hAnsi="宋体" w:cs="宋体"/>
                <w:bCs/>
                <w:color w:val="auto"/>
                <w:kern w:val="0"/>
                <w:szCs w:val="21"/>
                <w:highlight w:val="none"/>
                <w:lang w:val="en-US" w:eastAsia="zh-CN"/>
              </w:rPr>
              <w:t>企业</w:t>
            </w:r>
            <w:r>
              <w:rPr>
                <w:rFonts w:hint="eastAsia" w:ascii="宋体" w:hAnsi="宋体" w:cs="宋体"/>
                <w:bCs/>
                <w:color w:val="auto"/>
                <w:kern w:val="0"/>
                <w:szCs w:val="21"/>
                <w:highlight w:val="none"/>
              </w:rPr>
              <w:t>提供养老保险证明，事业单位提供养老保险证明或行政主管部门在编证明。</w:t>
            </w:r>
          </w:p>
          <w:p>
            <w:pPr>
              <w:spacing w:line="400" w:lineRule="exact"/>
              <w:ind w:firstLine="420" w:firstLineChars="200"/>
              <w:rPr>
                <w:rFonts w:hint="eastAsia" w:ascii="宋体" w:hAnsi="宋体" w:eastAsia="宋体" w:cs="宋体"/>
                <w:color w:val="auto"/>
                <w:szCs w:val="21"/>
                <w:shd w:val="clear" w:color="auto" w:fill="FFFFFF"/>
              </w:rPr>
            </w:pPr>
            <w:r>
              <w:rPr>
                <w:rFonts w:hint="eastAsia" w:ascii="宋体" w:hAnsi="宋体" w:cs="宋体"/>
                <w:bCs/>
                <w:color w:val="auto"/>
                <w:kern w:val="0"/>
                <w:szCs w:val="21"/>
                <w:highlight w:val="none"/>
              </w:rPr>
              <w:t>②</w:t>
            </w:r>
            <w:r>
              <w:rPr>
                <w:rFonts w:hint="eastAsia" w:ascii="宋体" w:hAnsi="宋体" w:cs="宋体"/>
                <w:bCs/>
                <w:snapToGrid w:val="0"/>
                <w:color w:val="auto"/>
                <w:kern w:val="0"/>
                <w:szCs w:val="21"/>
                <w:highlight w:val="none"/>
              </w:rPr>
              <w:t>项目经理、项目总工和委托代理人的</w:t>
            </w:r>
            <w:r>
              <w:rPr>
                <w:rFonts w:hint="eastAsia" w:ascii="宋体" w:hAnsi="宋体" w:cs="宋体"/>
                <w:bCs/>
                <w:snapToGrid w:val="0"/>
                <w:color w:val="auto"/>
                <w:kern w:val="0"/>
                <w:szCs w:val="21"/>
                <w:highlight w:val="none"/>
                <w:lang w:val="en-US" w:eastAsia="zh-CN"/>
              </w:rPr>
              <w:t>连续</w:t>
            </w:r>
            <w:r>
              <w:rPr>
                <w:rFonts w:hint="eastAsia" w:ascii="宋体" w:hAnsi="宋体" w:cs="宋体"/>
                <w:bCs/>
                <w:snapToGrid w:val="0"/>
                <w:color w:val="auto"/>
                <w:kern w:val="0"/>
                <w:szCs w:val="21"/>
                <w:highlight w:val="none"/>
              </w:rPr>
              <w:t>养老保险证明期限</w:t>
            </w:r>
            <w:r>
              <w:rPr>
                <w:rFonts w:hint="eastAsia" w:ascii="宋体" w:hAnsi="宋体" w:cs="宋体"/>
                <w:bCs/>
                <w:snapToGrid w:val="0"/>
                <w:color w:val="auto"/>
                <w:kern w:val="0"/>
                <w:szCs w:val="21"/>
                <w:highlight w:val="none"/>
                <w:lang w:val="en-US" w:eastAsia="zh-CN"/>
              </w:rPr>
              <w:t>须包含</w:t>
            </w:r>
            <w:r>
              <w:rPr>
                <w:rFonts w:hint="eastAsia" w:ascii="宋体" w:hAnsi="宋体" w:cs="宋体"/>
                <w:bCs/>
                <w:snapToGrid w:val="0"/>
                <w:color w:val="auto"/>
                <w:kern w:val="0"/>
                <w:szCs w:val="21"/>
                <w:highlight w:val="none"/>
                <w:u w:val="single"/>
              </w:rPr>
              <w:t xml:space="preserve">    </w:t>
            </w:r>
            <w:r>
              <w:rPr>
                <w:rFonts w:hint="eastAsia" w:ascii="宋体" w:hAnsi="宋体" w:cs="宋体"/>
                <w:bCs/>
                <w:snapToGrid w:val="0"/>
                <w:color w:val="auto"/>
                <w:kern w:val="0"/>
                <w:szCs w:val="21"/>
                <w:highlight w:val="none"/>
                <w:u w:val="single"/>
                <w:lang w:val="en-US" w:eastAsia="zh-CN"/>
              </w:rPr>
              <w:t>2025</w:t>
            </w:r>
            <w:r>
              <w:rPr>
                <w:rFonts w:hint="eastAsia" w:ascii="宋体" w:hAnsi="宋体" w:cs="宋体"/>
                <w:bCs/>
                <w:snapToGrid w:val="0"/>
                <w:color w:val="auto"/>
                <w:kern w:val="0"/>
                <w:szCs w:val="21"/>
                <w:highlight w:val="none"/>
              </w:rPr>
              <w:t>年</w:t>
            </w:r>
            <w:r>
              <w:rPr>
                <w:rFonts w:hint="eastAsia" w:ascii="宋体" w:hAnsi="宋体" w:cs="宋体"/>
                <w:bCs/>
                <w:snapToGrid w:val="0"/>
                <w:color w:val="auto"/>
                <w:kern w:val="0"/>
                <w:szCs w:val="21"/>
                <w:highlight w:val="none"/>
                <w:u w:val="single"/>
                <w:lang w:val="en-US" w:eastAsia="zh-CN"/>
              </w:rPr>
              <w:t>3</w:t>
            </w:r>
            <w:r>
              <w:rPr>
                <w:rFonts w:hint="eastAsia" w:ascii="宋体" w:hAnsi="宋体" w:cs="宋体"/>
                <w:bCs/>
                <w:snapToGrid w:val="0"/>
                <w:color w:val="auto"/>
                <w:kern w:val="0"/>
                <w:szCs w:val="21"/>
                <w:highlight w:val="none"/>
              </w:rPr>
              <w:t>月至</w:t>
            </w:r>
            <w:r>
              <w:rPr>
                <w:rFonts w:hint="eastAsia" w:ascii="宋体" w:hAnsi="宋体" w:cs="宋体"/>
                <w:bCs/>
                <w:snapToGrid w:val="0"/>
                <w:color w:val="auto"/>
                <w:kern w:val="0"/>
                <w:szCs w:val="21"/>
                <w:highlight w:val="none"/>
                <w:u w:val="single"/>
                <w:lang w:val="en-US" w:eastAsia="zh-CN"/>
              </w:rPr>
              <w:t>2025</w:t>
            </w:r>
            <w:r>
              <w:rPr>
                <w:rFonts w:hint="eastAsia" w:ascii="宋体" w:hAnsi="宋体" w:cs="宋体"/>
                <w:bCs/>
                <w:snapToGrid w:val="0"/>
                <w:color w:val="auto"/>
                <w:kern w:val="0"/>
                <w:szCs w:val="21"/>
                <w:highlight w:val="none"/>
              </w:rPr>
              <w:t>年</w:t>
            </w:r>
            <w:r>
              <w:rPr>
                <w:rFonts w:hint="eastAsia" w:ascii="宋体" w:hAnsi="宋体" w:cs="宋体"/>
                <w:bCs/>
                <w:snapToGrid w:val="0"/>
                <w:color w:val="auto"/>
                <w:kern w:val="0"/>
                <w:szCs w:val="21"/>
                <w:highlight w:val="none"/>
                <w:u w:val="single"/>
                <w:lang w:val="en-US" w:eastAsia="zh-CN"/>
              </w:rPr>
              <w:t>8</w:t>
            </w:r>
            <w:r>
              <w:rPr>
                <w:rFonts w:hint="eastAsia" w:ascii="宋体" w:hAnsi="宋体" w:cs="宋体"/>
                <w:bCs/>
                <w:snapToGrid w:val="0"/>
                <w:color w:val="auto"/>
                <w:kern w:val="0"/>
                <w:szCs w:val="21"/>
                <w:highlight w:val="none"/>
              </w:rPr>
              <w:t>月</w:t>
            </w:r>
            <w:r>
              <w:rPr>
                <w:rFonts w:hint="eastAsia" w:ascii="宋体" w:hAnsi="宋体" w:cs="宋体"/>
                <w:bCs/>
                <w:color w:val="auto"/>
                <w:szCs w:val="21"/>
                <w:highlight w:val="none"/>
              </w:rPr>
              <w:t>。提供的养老保险参保证明</w:t>
            </w:r>
            <w:r>
              <w:rPr>
                <w:rFonts w:hint="eastAsia" w:ascii="宋体" w:hAnsi="宋体"/>
                <w:bCs/>
                <w:color w:val="auto"/>
                <w:szCs w:val="21"/>
                <w:highlight w:val="none"/>
              </w:rPr>
              <w:t>须体现上述人员的姓名、身份证号（或社保号）、单位名称、本单位参保时间（或起始参保时间）</w:t>
            </w:r>
            <w:r>
              <w:rPr>
                <w:rFonts w:hint="eastAsia" w:ascii="宋体" w:hAnsi="宋体" w:cs="宋体"/>
                <w:bCs/>
                <w:color w:val="auto"/>
                <w:szCs w:val="21"/>
                <w:highlight w:val="none"/>
              </w:rPr>
              <w:t>，并带有社保部门公章或社保部门的有效电子印章。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6" w:hRule="atLeast"/>
          <w:jc w:val="center"/>
        </w:trPr>
        <w:tc>
          <w:tcPr>
            <w:tcW w:w="1135" w:type="dxa"/>
            <w:vAlign w:val="center"/>
          </w:tcPr>
          <w:p>
            <w:pPr>
              <w:snapToGrid w:val="0"/>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1.4.2</w:t>
            </w:r>
          </w:p>
        </w:tc>
        <w:tc>
          <w:tcPr>
            <w:tcW w:w="1500" w:type="dxa"/>
            <w:vAlign w:val="center"/>
          </w:tcPr>
          <w:p>
            <w:pPr>
              <w:snapToGrid w:val="0"/>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是否接受联合体投标</w:t>
            </w:r>
          </w:p>
        </w:tc>
        <w:tc>
          <w:tcPr>
            <w:tcW w:w="7189" w:type="dxa"/>
            <w:vAlign w:val="center"/>
          </w:tcPr>
          <w:p>
            <w:pPr>
              <w:snapToGrid w:val="0"/>
              <w:spacing w:line="400" w:lineRule="exact"/>
              <w:ind w:firstLine="420" w:firstLineChars="200"/>
              <w:rPr>
                <w:rFonts w:hint="eastAsia" w:ascii="宋体" w:hAnsi="宋体" w:eastAsia="宋体" w:cs="宋体"/>
                <w:color w:val="auto"/>
                <w:kern w:val="0"/>
                <w:szCs w:val="21"/>
              </w:rPr>
            </w:pPr>
            <w:r>
              <w:rPr>
                <w:rFonts w:hint="eastAsia" w:ascii="宋体" w:hAnsi="宋体" w:cs="宋体"/>
                <w:color w:val="auto"/>
                <w:kern w:val="0"/>
                <w:szCs w:val="21"/>
                <w:highlight w:val="none"/>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6" w:hRule="atLeast"/>
          <w:jc w:val="center"/>
        </w:trPr>
        <w:tc>
          <w:tcPr>
            <w:tcW w:w="1135" w:type="dxa"/>
            <w:vAlign w:val="center"/>
          </w:tcPr>
          <w:p>
            <w:pPr>
              <w:snapToGrid w:val="0"/>
              <w:spacing w:line="400" w:lineRule="exact"/>
              <w:jc w:val="center"/>
              <w:rPr>
                <w:rFonts w:hint="eastAsia" w:ascii="宋体" w:hAnsi="宋体" w:eastAsia="宋体" w:cs="宋体"/>
                <w:color w:val="auto"/>
                <w:kern w:val="0"/>
                <w:szCs w:val="21"/>
              </w:rPr>
            </w:pPr>
            <w:r>
              <w:rPr>
                <w:rFonts w:hint="eastAsia" w:ascii="宋体" w:hAnsi="宋体" w:cs="宋体"/>
                <w:color w:val="auto"/>
                <w:kern w:val="0"/>
                <w:szCs w:val="21"/>
                <w:highlight w:val="none"/>
              </w:rPr>
              <w:t>1.4.3</w:t>
            </w:r>
          </w:p>
        </w:tc>
        <w:tc>
          <w:tcPr>
            <w:tcW w:w="1500" w:type="dxa"/>
            <w:vAlign w:val="center"/>
          </w:tcPr>
          <w:p>
            <w:pPr>
              <w:snapToGrid w:val="0"/>
              <w:spacing w:line="400" w:lineRule="exact"/>
              <w:jc w:val="center"/>
              <w:rPr>
                <w:rFonts w:hint="eastAsia" w:ascii="宋体" w:hAnsi="宋体" w:eastAsia="宋体" w:cs="宋体"/>
                <w:color w:val="auto"/>
                <w:kern w:val="0"/>
                <w:szCs w:val="21"/>
              </w:rPr>
            </w:pPr>
            <w:r>
              <w:rPr>
                <w:rFonts w:hint="eastAsia" w:ascii="宋体" w:hAnsi="宋体" w:cs="宋体"/>
                <w:color w:val="auto"/>
                <w:kern w:val="0"/>
                <w:szCs w:val="21"/>
                <w:highlight w:val="none"/>
              </w:rPr>
              <w:t>投标人不得存在的其他关联情形</w:t>
            </w:r>
          </w:p>
        </w:tc>
        <w:tc>
          <w:tcPr>
            <w:tcW w:w="7189" w:type="dxa"/>
            <w:vAlign w:val="center"/>
          </w:tcPr>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（1）为招标人不具有独立法人资格的附属机构（单位）；</w:t>
            </w:r>
          </w:p>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（2）与招标人存在利害关系且可能影响招标公正性；</w:t>
            </w:r>
          </w:p>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（3）与本标段的其他投标人同为一个单位负责人；</w:t>
            </w:r>
          </w:p>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（4）与本标段的其他投标人存在控股、管理关系；</w:t>
            </w:r>
          </w:p>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（5）为本标段前期准备提供设计或咨询服务的法人或其任何附属机构（单位）；</w:t>
            </w:r>
          </w:p>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（6）为本标段的监理人；</w:t>
            </w:r>
          </w:p>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（7）为本标段的代建人；</w:t>
            </w:r>
          </w:p>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（8）为本标段的招标代理机构；</w:t>
            </w:r>
          </w:p>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（9）与本标段的监理人或代建人或招标代理机构同为一个法定代表人；</w:t>
            </w:r>
          </w:p>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（10）与本标段的监理人或代建人或招标代理机构存在控股或参股关系；</w:t>
            </w:r>
          </w:p>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（11）法律法规或投标人须知前附表规定的其他情形。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rPr>
              <w:t>1.11</w:t>
            </w:r>
            <w:r>
              <w:rPr>
                <w:rFonts w:hint="eastAsia" w:ascii="宋体" w:hAnsi="宋体" w:cs="宋体"/>
                <w:color w:val="auto"/>
                <w:kern w:val="0"/>
                <w:szCs w:val="21"/>
                <w:lang w:val="en-US" w:eastAsia="zh-CN"/>
              </w:rPr>
              <w:t>.1</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分包</w:t>
            </w:r>
          </w:p>
        </w:tc>
        <w:tc>
          <w:tcPr>
            <w:tcW w:w="7189" w:type="dxa"/>
            <w:vAlign w:val="center"/>
          </w:tcPr>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szCs w:val="21"/>
              </w:rPr>
            </w:pPr>
            <w:r>
              <w:rPr>
                <w:rFonts w:hint="eastAsia" w:ascii="宋体" w:hAnsi="宋体" w:eastAsia="宋体" w:cs="宋体"/>
                <w:color w:val="auto"/>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3"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2.1</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构成招标文件的其他材料</w:t>
            </w:r>
          </w:p>
        </w:tc>
        <w:tc>
          <w:tcPr>
            <w:tcW w:w="7189" w:type="dxa"/>
            <w:vAlign w:val="center"/>
          </w:tcPr>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szCs w:val="21"/>
              </w:rPr>
            </w:pPr>
            <w:r>
              <w:rPr>
                <w:rFonts w:hint="eastAsia" w:ascii="宋体" w:hAnsi="宋体" w:cs="宋体"/>
                <w:color w:val="auto"/>
                <w:szCs w:val="21"/>
                <w:lang w:val="en-US" w:eastAsia="zh-CN"/>
              </w:rPr>
              <w:t>招标人</w:t>
            </w:r>
            <w:r>
              <w:rPr>
                <w:rFonts w:hint="eastAsia" w:ascii="宋体" w:hAnsi="宋体" w:eastAsia="宋体" w:cs="宋体"/>
                <w:color w:val="auto"/>
                <w:szCs w:val="21"/>
              </w:rPr>
              <w:t>发出的澄清及修改。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3"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2.2.1</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投标人对招标文件提出疑问的截止时间</w:t>
            </w:r>
          </w:p>
        </w:tc>
        <w:tc>
          <w:tcPr>
            <w:tcW w:w="7189" w:type="dxa"/>
            <w:vAlign w:val="center"/>
          </w:tcPr>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rPr>
            </w:pPr>
            <w:r>
              <w:rPr>
                <w:rFonts w:hint="eastAsia" w:ascii="宋体" w:hAnsi="宋体" w:eastAsia="宋体" w:cs="宋体"/>
                <w:color w:val="auto"/>
              </w:rPr>
              <w:t>投标人应仔细阅读招标文件及附件的所有内容，如有文字表述不清，图纸尺寸标注不明以及存在错、漏、缺、概念模糊和有可能出现歧义或理解上的偏差的内容等应在招标公告规定的时间前</w:t>
            </w:r>
            <w:r>
              <w:rPr>
                <w:rFonts w:hint="eastAsia" w:ascii="宋体" w:hAnsi="宋体" w:eastAsia="宋体" w:cs="宋体"/>
                <w:color w:val="auto"/>
                <w:lang w:val="en-US" w:eastAsia="zh-CN"/>
              </w:rPr>
              <w:t>提出</w:t>
            </w:r>
            <w:r>
              <w:rPr>
                <w:rFonts w:hint="eastAsia" w:ascii="宋体" w:hAnsi="宋体" w:eastAsia="宋体" w:cs="宋体"/>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jc w:val="center"/>
        </w:trPr>
        <w:tc>
          <w:tcPr>
            <w:tcW w:w="1135" w:type="dxa"/>
            <w:vMerge w:val="restart"/>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2.2.2</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cs="宋体"/>
                <w:color w:val="auto"/>
                <w:kern w:val="0"/>
                <w:szCs w:val="21"/>
                <w:lang w:eastAsia="zh-CN"/>
              </w:rPr>
              <w:t>招标人</w:t>
            </w:r>
            <w:r>
              <w:rPr>
                <w:rFonts w:hint="eastAsia" w:ascii="宋体" w:hAnsi="宋体" w:eastAsia="宋体" w:cs="宋体"/>
                <w:color w:val="auto"/>
                <w:kern w:val="0"/>
                <w:szCs w:val="21"/>
              </w:rPr>
              <w:t>对招标文件澄清的截止时间</w:t>
            </w:r>
          </w:p>
        </w:tc>
        <w:tc>
          <w:tcPr>
            <w:tcW w:w="7189" w:type="dxa"/>
            <w:vAlign w:val="center"/>
          </w:tcPr>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Cs w:val="21"/>
              </w:rPr>
            </w:pPr>
            <w:r>
              <w:rPr>
                <w:rFonts w:hint="eastAsia" w:ascii="宋体" w:hAnsi="宋体" w:cs="宋体"/>
                <w:color w:val="auto"/>
                <w:lang w:val="en-US" w:eastAsia="zh-CN"/>
              </w:rPr>
              <w:t>招标人</w:t>
            </w:r>
            <w:r>
              <w:rPr>
                <w:rFonts w:hint="eastAsia" w:ascii="宋体" w:hAnsi="宋体" w:eastAsia="宋体" w:cs="宋体"/>
                <w:color w:val="auto"/>
                <w:szCs w:val="21"/>
              </w:rPr>
              <w:t>应在</w:t>
            </w:r>
            <w:r>
              <w:rPr>
                <w:rFonts w:hint="eastAsia" w:ascii="宋体" w:hAnsi="宋体" w:eastAsia="宋体" w:cs="宋体"/>
                <w:color w:val="auto"/>
                <w:lang w:val="en-US" w:eastAsia="zh-CN"/>
              </w:rPr>
              <w:t>比选</w:t>
            </w:r>
            <w:r>
              <w:rPr>
                <w:rFonts w:hint="eastAsia" w:ascii="宋体" w:hAnsi="宋体" w:eastAsia="宋体" w:cs="宋体"/>
                <w:color w:val="auto"/>
                <w:szCs w:val="21"/>
              </w:rPr>
              <w:t>公告规定的时间前，</w:t>
            </w:r>
            <w:r>
              <w:rPr>
                <w:rFonts w:hint="eastAsia" w:ascii="宋体" w:hAnsi="宋体" w:eastAsia="宋体" w:cs="宋体"/>
                <w:color w:val="auto"/>
                <w:kern w:val="0"/>
                <w:szCs w:val="21"/>
              </w:rPr>
              <w:t>在</w:t>
            </w:r>
            <w:r>
              <w:rPr>
                <w:rFonts w:hint="eastAsia" w:ascii="宋体" w:hAnsi="宋体" w:cs="宋体"/>
                <w:color w:val="auto"/>
                <w:kern w:val="0"/>
                <w:szCs w:val="21"/>
                <w:u w:val="single"/>
                <w:lang w:eastAsia="zh-CN"/>
              </w:rPr>
              <w:t>重庆市铜梁区人民政府网</w:t>
            </w:r>
            <w:r>
              <w:rPr>
                <w:rFonts w:hint="eastAsia" w:ascii="宋体" w:hAnsi="宋体" w:eastAsia="宋体" w:cs="宋体"/>
                <w:color w:val="auto"/>
                <w:kern w:val="0"/>
                <w:szCs w:val="21"/>
                <w:u w:val="single"/>
                <w:lang w:eastAsia="zh-CN"/>
              </w:rPr>
              <w:t>（http://www.cqstl.gov.cn</w:t>
            </w:r>
            <w:r>
              <w:rPr>
                <w:rFonts w:hint="eastAsia" w:ascii="宋体" w:hAnsi="宋体" w:cs="宋体"/>
                <w:color w:val="auto"/>
                <w:kern w:val="0"/>
                <w:szCs w:val="21"/>
                <w:u w:val="single"/>
                <w:lang w:eastAsia="zh-CN"/>
              </w:rPr>
              <w:t>）</w:t>
            </w:r>
            <w:r>
              <w:rPr>
                <w:rFonts w:hint="eastAsia" w:ascii="宋体" w:hAnsi="宋体" w:eastAsia="宋体" w:cs="宋体"/>
                <w:color w:val="auto"/>
                <w:kern w:val="0"/>
                <w:szCs w:val="21"/>
              </w:rPr>
              <w:t>发布澄清。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35" w:type="dxa"/>
            <w:vMerge w:val="continue"/>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投标截止时间</w:t>
            </w:r>
          </w:p>
        </w:tc>
        <w:tc>
          <w:tcPr>
            <w:tcW w:w="7189" w:type="dxa"/>
            <w:vAlign w:val="center"/>
          </w:tcPr>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snapToGrid w:val="0"/>
                <w:color w:val="auto"/>
                <w:kern w:val="0"/>
                <w:szCs w:val="21"/>
                <w:u w:val="single"/>
              </w:rPr>
            </w:pPr>
            <w:r>
              <w:rPr>
                <w:rFonts w:hint="eastAsia" w:ascii="宋体" w:hAnsi="宋体" w:eastAsia="宋体" w:cs="宋体"/>
                <w:color w:val="auto"/>
                <w:szCs w:val="21"/>
                <w:highlight w:val="none"/>
              </w:rPr>
              <w:t>详见</w:t>
            </w:r>
            <w:r>
              <w:rPr>
                <w:rFonts w:hint="eastAsia" w:ascii="宋体" w:hAnsi="宋体" w:eastAsia="宋体" w:cs="宋体"/>
                <w:color w:val="auto"/>
                <w:szCs w:val="21"/>
                <w:highlight w:val="none"/>
                <w:lang w:val="en-US" w:eastAsia="zh-CN"/>
              </w:rPr>
              <w:t>比选</w:t>
            </w:r>
            <w:r>
              <w:rPr>
                <w:rFonts w:hint="eastAsia" w:ascii="宋体" w:hAnsi="宋体" w:eastAsia="宋体" w:cs="宋体"/>
                <w:color w:val="auto"/>
                <w:szCs w:val="21"/>
                <w:highlight w:val="none"/>
              </w:rPr>
              <w:t>公告规定的投标截止时间。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6"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2.2.3</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cs="宋体"/>
                <w:color w:val="auto"/>
                <w:kern w:val="0"/>
                <w:szCs w:val="21"/>
                <w:lang w:eastAsia="zh-CN"/>
              </w:rPr>
              <w:t>招标人</w:t>
            </w:r>
            <w:r>
              <w:rPr>
                <w:rFonts w:hint="eastAsia" w:ascii="宋体" w:hAnsi="宋体" w:eastAsia="宋体" w:cs="宋体"/>
                <w:color w:val="auto"/>
                <w:kern w:val="0"/>
                <w:szCs w:val="21"/>
              </w:rPr>
              <w:t>对招标文件进行修改的时间</w:t>
            </w:r>
          </w:p>
        </w:tc>
        <w:tc>
          <w:tcPr>
            <w:tcW w:w="7189" w:type="dxa"/>
            <w:vAlign w:val="center"/>
          </w:tcPr>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kern w:val="0"/>
                <w:szCs w:val="21"/>
              </w:rPr>
            </w:pPr>
            <w:r>
              <w:rPr>
                <w:rFonts w:hint="eastAsia" w:ascii="宋体" w:hAnsi="宋体" w:eastAsia="宋体" w:cs="宋体"/>
                <w:snapToGrid w:val="0"/>
                <w:color w:val="auto"/>
                <w:kern w:val="0"/>
                <w:szCs w:val="21"/>
              </w:rPr>
              <w:t>修改内容可能影响投标文件编制的，须在投标截止时间3日前发布，发布时间至投标截止时间不足3日的，须相应延后投标截止时间。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6"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2.2.4</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投标人对比选文件及澄清修改提出异议的截止时间</w:t>
            </w:r>
          </w:p>
        </w:tc>
        <w:tc>
          <w:tcPr>
            <w:tcW w:w="7189" w:type="dxa"/>
            <w:vAlign w:val="center"/>
          </w:tcPr>
          <w:p>
            <w:pPr>
              <w:keepNext w:val="0"/>
              <w:keepLines w:val="0"/>
              <w:pageBreakBefore w:val="0"/>
              <w:kinsoku/>
              <w:wordWrap/>
              <w:overflowPunct/>
              <w:topLinePunct w:val="0"/>
              <w:autoSpaceDE/>
              <w:autoSpaceDN/>
              <w:bidi w:val="0"/>
              <w:adjustRightInd/>
              <w:snapToGrid w:val="0"/>
              <w:spacing w:line="400" w:lineRule="exact"/>
              <w:ind w:firstLine="210" w:firstLineChars="100"/>
              <w:textAlignment w:val="auto"/>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投标人对比选文件和答疑补遗有异议的，应当在投标截止时间3日前，以书面形式通知</w:t>
            </w:r>
            <w:r>
              <w:rPr>
                <w:rFonts w:hint="eastAsia" w:ascii="宋体" w:hAnsi="宋体" w:cs="宋体"/>
                <w:snapToGrid w:val="0"/>
                <w:color w:val="auto"/>
                <w:kern w:val="0"/>
                <w:szCs w:val="21"/>
                <w:lang w:eastAsia="zh-CN"/>
              </w:rPr>
              <w:t>招标人</w:t>
            </w:r>
            <w:r>
              <w:rPr>
                <w:rFonts w:hint="eastAsia" w:ascii="宋体" w:hAnsi="宋体" w:eastAsia="宋体" w:cs="宋体"/>
                <w:snapToGrid w:val="0"/>
                <w:color w:val="auto"/>
                <w:kern w:val="0"/>
                <w:szCs w:val="21"/>
              </w:rPr>
              <w:t>或招标代理机构。</w:t>
            </w:r>
            <w:r>
              <w:rPr>
                <w:rFonts w:hint="eastAsia" w:ascii="宋体" w:hAnsi="宋体" w:cs="宋体"/>
                <w:snapToGrid w:val="0"/>
                <w:color w:val="auto"/>
                <w:kern w:val="0"/>
                <w:szCs w:val="21"/>
                <w:lang w:eastAsia="zh-CN"/>
              </w:rPr>
              <w:t>招标人</w:t>
            </w:r>
            <w:r>
              <w:rPr>
                <w:rFonts w:hint="eastAsia" w:ascii="宋体" w:hAnsi="宋体" w:eastAsia="宋体" w:cs="宋体"/>
                <w:snapToGrid w:val="0"/>
                <w:color w:val="auto"/>
                <w:kern w:val="0"/>
                <w:szCs w:val="21"/>
              </w:rPr>
              <w:t>应当自收到异议之日起1日内</w:t>
            </w:r>
            <w:r>
              <w:rPr>
                <w:rFonts w:hint="eastAsia" w:ascii="宋体" w:hAnsi="宋体" w:eastAsia="宋体" w:cs="宋体"/>
                <w:snapToGrid w:val="0"/>
                <w:color w:val="auto"/>
                <w:kern w:val="0"/>
                <w:szCs w:val="21"/>
                <w:lang w:eastAsia="zh-CN"/>
              </w:rPr>
              <w:t>作出</w:t>
            </w:r>
            <w:r>
              <w:rPr>
                <w:rFonts w:hint="eastAsia" w:ascii="宋体" w:hAnsi="宋体" w:eastAsia="宋体" w:cs="宋体"/>
                <w:snapToGrid w:val="0"/>
                <w:color w:val="auto"/>
                <w:kern w:val="0"/>
                <w:szCs w:val="21"/>
              </w:rPr>
              <w:t>答复，并将最终答复内容以补遗的形式在</w:t>
            </w:r>
            <w:r>
              <w:rPr>
                <w:rFonts w:hint="eastAsia" w:ascii="宋体" w:hAnsi="宋体" w:eastAsia="宋体" w:cs="宋体"/>
                <w:color w:val="auto"/>
                <w:szCs w:val="21"/>
                <w:lang w:eastAsia="zh-CN"/>
              </w:rPr>
              <w:t>重庆市铜梁区人民政府网（http://www.cqstl.gov.cn</w:t>
            </w:r>
            <w:r>
              <w:rPr>
                <w:rFonts w:hint="eastAsia" w:ascii="宋体" w:hAnsi="宋体" w:cs="宋体"/>
                <w:color w:val="auto"/>
                <w:szCs w:val="21"/>
                <w:lang w:eastAsia="zh-CN"/>
              </w:rPr>
              <w:t>）</w:t>
            </w:r>
            <w:r>
              <w:rPr>
                <w:rFonts w:hint="eastAsia" w:ascii="宋体" w:hAnsi="宋体" w:eastAsia="宋体" w:cs="宋体"/>
                <w:snapToGrid w:val="0"/>
                <w:color w:val="auto"/>
                <w:kern w:val="0"/>
                <w:szCs w:val="21"/>
              </w:rPr>
              <w:t>发布。补遗内容可能影响投标文件编制的，须在投标截止时间3日前发布，发布时间至投标截止时间不足3日的，须相应延后投标截止时间。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3"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3.1.1</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构成投标文件的其他材料</w:t>
            </w:r>
          </w:p>
        </w:tc>
        <w:tc>
          <w:tcPr>
            <w:tcW w:w="7189" w:type="dxa"/>
            <w:vAlign w:val="center"/>
          </w:tcPr>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kern w:val="0"/>
                <w:szCs w:val="21"/>
              </w:rPr>
            </w:pPr>
            <w:r>
              <w:rPr>
                <w:rFonts w:hint="eastAsia" w:ascii="宋体" w:hAnsi="宋体" w:eastAsia="宋体" w:cs="宋体"/>
                <w:color w:val="auto"/>
                <w:szCs w:val="21"/>
              </w:rPr>
              <w:t>投标人的书面澄清、说明和补正（但不得改变投标文件的实质性内容）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3"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3.2.1</w:t>
            </w:r>
          </w:p>
        </w:tc>
        <w:tc>
          <w:tcPr>
            <w:tcW w:w="1500" w:type="dxa"/>
            <w:vAlign w:val="center"/>
          </w:tcPr>
          <w:p>
            <w:pPr>
              <w:snapToGrid w:val="0"/>
              <w:spacing w:line="400" w:lineRule="exact"/>
              <w:jc w:val="center"/>
              <w:rPr>
                <w:rFonts w:hint="eastAsia" w:ascii="宋体" w:hAnsi="宋体" w:eastAsia="宋体" w:cs="宋体"/>
                <w:color w:val="auto"/>
                <w:kern w:val="0"/>
                <w:szCs w:val="21"/>
              </w:rPr>
            </w:pPr>
            <w:r>
              <w:rPr>
                <w:rFonts w:hint="eastAsia" w:ascii="宋体" w:hAnsi="宋体" w:cs="宋体"/>
                <w:snapToGrid w:val="0"/>
                <w:color w:val="auto"/>
                <w:kern w:val="0"/>
                <w:szCs w:val="21"/>
                <w:highlight w:val="none"/>
              </w:rPr>
              <w:t>增值税税金的计算方法</w:t>
            </w:r>
          </w:p>
        </w:tc>
        <w:tc>
          <w:tcPr>
            <w:tcW w:w="7189" w:type="dxa"/>
            <w:vAlign w:val="center"/>
          </w:tcPr>
          <w:p>
            <w:pPr>
              <w:snapToGrid w:val="0"/>
              <w:spacing w:line="400" w:lineRule="exact"/>
              <w:ind w:firstLine="420" w:firstLineChars="200"/>
              <w:rPr>
                <w:rFonts w:hint="eastAsia" w:ascii="宋体" w:hAnsi="宋体" w:eastAsia="宋体" w:cs="宋体"/>
                <w:color w:val="auto"/>
              </w:rPr>
            </w:pPr>
            <w:r>
              <w:rPr>
                <w:rFonts w:hint="eastAsia" w:ascii="宋体" w:hAnsi="宋体" w:cs="宋体"/>
                <w:color w:val="auto"/>
                <w:szCs w:val="21"/>
                <w:highlight w:val="none"/>
              </w:rPr>
              <w:t>一般计税法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3" w:hRule="atLeast"/>
          <w:jc w:val="center"/>
        </w:trPr>
        <w:tc>
          <w:tcPr>
            <w:tcW w:w="1135" w:type="dxa"/>
            <w:vAlign w:val="center"/>
          </w:tcPr>
          <w:p>
            <w:pPr>
              <w:snapToGrid w:val="0"/>
              <w:spacing w:line="400" w:lineRule="exact"/>
              <w:jc w:val="center"/>
              <w:rPr>
                <w:rFonts w:hint="eastAsia" w:ascii="宋体" w:hAnsi="宋体" w:eastAsia="宋体" w:cs="宋体"/>
                <w:color w:val="auto"/>
                <w:kern w:val="0"/>
                <w:szCs w:val="21"/>
              </w:rPr>
            </w:pPr>
            <w:r>
              <w:rPr>
                <w:rFonts w:hint="eastAsia" w:ascii="宋体" w:hAnsi="宋体" w:cs="宋体"/>
                <w:snapToGrid w:val="0"/>
                <w:color w:val="auto"/>
                <w:kern w:val="0"/>
                <w:szCs w:val="21"/>
                <w:highlight w:val="none"/>
              </w:rPr>
              <w:t>3.2.3</w:t>
            </w:r>
          </w:p>
        </w:tc>
        <w:tc>
          <w:tcPr>
            <w:tcW w:w="1500" w:type="dxa"/>
            <w:vAlign w:val="center"/>
          </w:tcPr>
          <w:p>
            <w:pPr>
              <w:widowControl/>
              <w:spacing w:line="400" w:lineRule="exact"/>
              <w:jc w:val="center"/>
              <w:rPr>
                <w:rFonts w:hint="eastAsia" w:ascii="宋体" w:hAnsi="宋体" w:eastAsia="宋体" w:cs="宋体"/>
                <w:color w:val="auto"/>
                <w:kern w:val="0"/>
                <w:szCs w:val="21"/>
              </w:rPr>
            </w:pPr>
            <w:r>
              <w:rPr>
                <w:rFonts w:hint="eastAsia" w:ascii="宋体" w:hAnsi="宋体" w:cs="宋体"/>
                <w:color w:val="auto"/>
                <w:kern w:val="0"/>
                <w:szCs w:val="21"/>
                <w:highlight w:val="none"/>
                <w:lang w:bidi="ar"/>
              </w:rPr>
              <w:t>报价方式</w:t>
            </w:r>
          </w:p>
        </w:tc>
        <w:tc>
          <w:tcPr>
            <w:tcW w:w="7189" w:type="dxa"/>
            <w:vAlign w:val="center"/>
          </w:tcPr>
          <w:p>
            <w:pPr>
              <w:widowControl/>
              <w:spacing w:line="400" w:lineRule="exact"/>
              <w:ind w:firstLine="420" w:firstLineChars="200"/>
              <w:jc w:val="left"/>
              <w:rPr>
                <w:rFonts w:hint="eastAsia" w:ascii="宋体" w:hAnsi="宋体" w:eastAsia="宋体" w:cs="宋体"/>
                <w:color w:val="auto"/>
              </w:rPr>
            </w:pPr>
            <w:r>
              <w:rPr>
                <w:rFonts w:hint="eastAsia" w:ascii="宋体" w:hAnsi="宋体" w:cs="宋体"/>
                <w:color w:val="auto"/>
                <w:kern w:val="0"/>
                <w:szCs w:val="21"/>
                <w:highlight w:val="none"/>
                <w:lang w:bidi="ar"/>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3" w:hRule="atLeast"/>
          <w:jc w:val="center"/>
        </w:trPr>
        <w:tc>
          <w:tcPr>
            <w:tcW w:w="1135" w:type="dxa"/>
            <w:vAlign w:val="center"/>
          </w:tcPr>
          <w:p>
            <w:pPr>
              <w:spacing w:line="400" w:lineRule="exact"/>
              <w:jc w:val="center"/>
              <w:rPr>
                <w:rFonts w:hint="eastAsia" w:ascii="宋体" w:hAnsi="宋体" w:eastAsia="宋体" w:cs="宋体"/>
                <w:color w:val="auto"/>
                <w:kern w:val="0"/>
                <w:szCs w:val="21"/>
              </w:rPr>
            </w:pPr>
            <w:r>
              <w:rPr>
                <w:rFonts w:hint="eastAsia" w:ascii="宋体" w:hAnsi="宋体" w:cs="宋体"/>
                <w:color w:val="auto"/>
                <w:highlight w:val="none"/>
              </w:rPr>
              <w:t>3.2.5</w:t>
            </w:r>
          </w:p>
        </w:tc>
        <w:tc>
          <w:tcPr>
            <w:tcW w:w="1500" w:type="dxa"/>
            <w:vAlign w:val="center"/>
          </w:tcPr>
          <w:p>
            <w:pPr>
              <w:spacing w:line="400" w:lineRule="exact"/>
              <w:jc w:val="center"/>
              <w:rPr>
                <w:rFonts w:hint="eastAsia" w:ascii="宋体" w:hAnsi="宋体" w:eastAsia="宋体" w:cs="宋体"/>
                <w:color w:val="auto"/>
                <w:kern w:val="0"/>
                <w:szCs w:val="21"/>
              </w:rPr>
            </w:pPr>
            <w:r>
              <w:rPr>
                <w:rFonts w:hint="eastAsia" w:ascii="宋体" w:hAnsi="宋体" w:cs="宋体"/>
                <w:color w:val="auto"/>
                <w:highlight w:val="none"/>
              </w:rPr>
              <w:t>安全生产费</w:t>
            </w:r>
          </w:p>
        </w:tc>
        <w:tc>
          <w:tcPr>
            <w:tcW w:w="7189" w:type="dxa"/>
            <w:vAlign w:val="center"/>
          </w:tcPr>
          <w:p>
            <w:pPr>
              <w:pStyle w:val="267"/>
              <w:spacing w:line="400" w:lineRule="exact"/>
              <w:ind w:left="113" w:leftChars="0" w:right="86" w:rightChars="0" w:firstLine="420" w:firstLineChars="200"/>
              <w:jc w:val="left"/>
              <w:rPr>
                <w:rFonts w:hint="eastAsia" w:ascii="宋体" w:hAnsi="宋体" w:eastAsia="宋体" w:cs="宋体"/>
                <w:color w:val="auto"/>
                <w:highlight w:val="none"/>
                <w:lang w:val="en-US" w:eastAsia="zh-CN"/>
              </w:rPr>
            </w:pPr>
            <w:r>
              <w:rPr>
                <w:rFonts w:hint="eastAsia" w:ascii="宋体" w:hAnsi="宋体" w:eastAsia="宋体" w:cs="宋体"/>
                <w:color w:val="auto"/>
                <w:kern w:val="2"/>
                <w:sz w:val="21"/>
                <w:szCs w:val="21"/>
                <w:highlight w:val="none"/>
                <w:lang w:val="en-US" w:eastAsia="zh-CN" w:bidi="ar-SA"/>
              </w:rPr>
              <w:t>7084.00元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3" w:hRule="atLeast"/>
          <w:jc w:val="center"/>
        </w:trPr>
        <w:tc>
          <w:tcPr>
            <w:tcW w:w="1135" w:type="dxa"/>
            <w:vAlign w:val="center"/>
          </w:tcPr>
          <w:p>
            <w:pPr>
              <w:spacing w:line="400" w:lineRule="exact"/>
              <w:jc w:val="center"/>
              <w:rPr>
                <w:rFonts w:hint="eastAsia" w:ascii="宋体" w:hAnsi="宋体" w:eastAsia="宋体" w:cs="宋体"/>
                <w:color w:val="auto"/>
                <w:kern w:val="0"/>
                <w:szCs w:val="21"/>
              </w:rPr>
            </w:pPr>
            <w:r>
              <w:rPr>
                <w:rFonts w:hint="eastAsia" w:ascii="宋体" w:hAnsi="宋体" w:cs="宋体"/>
                <w:snapToGrid w:val="0"/>
                <w:color w:val="auto"/>
                <w:kern w:val="0"/>
                <w:szCs w:val="21"/>
                <w:highlight w:val="none"/>
              </w:rPr>
              <w:t>3.2.6</w:t>
            </w:r>
          </w:p>
        </w:tc>
        <w:tc>
          <w:tcPr>
            <w:tcW w:w="1500" w:type="dxa"/>
            <w:vAlign w:val="center"/>
          </w:tcPr>
          <w:p>
            <w:pPr>
              <w:widowControl/>
              <w:spacing w:line="400" w:lineRule="exact"/>
              <w:jc w:val="center"/>
              <w:rPr>
                <w:rFonts w:hint="eastAsia" w:ascii="宋体" w:hAnsi="宋体" w:eastAsia="宋体" w:cs="宋体"/>
                <w:color w:val="auto"/>
                <w:kern w:val="0"/>
                <w:szCs w:val="21"/>
              </w:rPr>
            </w:pPr>
            <w:r>
              <w:rPr>
                <w:rFonts w:hint="eastAsia" w:ascii="宋体" w:hAnsi="宋体" w:cs="宋体"/>
                <w:color w:val="auto"/>
                <w:kern w:val="0"/>
                <w:szCs w:val="21"/>
                <w:highlight w:val="none"/>
                <w:lang w:bidi="ar"/>
              </w:rPr>
              <w:t>是否接受调价函</w:t>
            </w:r>
          </w:p>
        </w:tc>
        <w:tc>
          <w:tcPr>
            <w:tcW w:w="7189" w:type="dxa"/>
            <w:vAlign w:val="center"/>
          </w:tcPr>
          <w:p>
            <w:pPr>
              <w:widowControl/>
              <w:spacing w:line="400" w:lineRule="exact"/>
              <w:ind w:firstLine="420" w:firstLineChars="200"/>
              <w:jc w:val="left"/>
              <w:rPr>
                <w:rFonts w:hint="eastAsia" w:ascii="宋体" w:hAnsi="宋体" w:eastAsia="宋体" w:cs="宋体"/>
                <w:color w:val="auto"/>
                <w:highlight w:val="none"/>
              </w:rPr>
            </w:pPr>
            <w:r>
              <w:rPr>
                <w:rFonts w:hint="eastAsia" w:ascii="宋体" w:hAnsi="宋体" w:cs="宋体"/>
                <w:color w:val="auto"/>
                <w:kern w:val="0"/>
                <w:szCs w:val="21"/>
                <w:highlight w:val="none"/>
                <w:lang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3" w:hRule="atLeast"/>
          <w:jc w:val="center"/>
        </w:trPr>
        <w:tc>
          <w:tcPr>
            <w:tcW w:w="1135" w:type="dxa"/>
            <w:vAlign w:val="center"/>
          </w:tcPr>
          <w:p>
            <w:pPr>
              <w:spacing w:line="400" w:lineRule="exact"/>
              <w:jc w:val="center"/>
              <w:rPr>
                <w:rFonts w:hint="eastAsia" w:ascii="宋体" w:hAnsi="宋体" w:eastAsia="宋体" w:cs="宋体"/>
                <w:color w:val="auto"/>
                <w:kern w:val="0"/>
                <w:szCs w:val="21"/>
              </w:rPr>
            </w:pPr>
            <w:r>
              <w:rPr>
                <w:rFonts w:hint="eastAsia" w:ascii="宋体" w:hAnsi="宋体" w:cs="宋体"/>
                <w:snapToGrid w:val="0"/>
                <w:color w:val="auto"/>
                <w:kern w:val="0"/>
                <w:szCs w:val="21"/>
                <w:highlight w:val="none"/>
              </w:rPr>
              <w:t>3.2.8</w:t>
            </w:r>
          </w:p>
        </w:tc>
        <w:tc>
          <w:tcPr>
            <w:tcW w:w="1500" w:type="dxa"/>
            <w:vAlign w:val="center"/>
          </w:tcPr>
          <w:p>
            <w:pPr>
              <w:widowControl/>
              <w:spacing w:line="400" w:lineRule="exact"/>
              <w:jc w:val="center"/>
              <w:rPr>
                <w:rFonts w:hint="eastAsia" w:ascii="宋体" w:hAnsi="宋体" w:eastAsia="宋体" w:cs="宋体"/>
                <w:color w:val="auto"/>
                <w:kern w:val="0"/>
                <w:szCs w:val="21"/>
              </w:rPr>
            </w:pPr>
            <w:r>
              <w:rPr>
                <w:rFonts w:hint="eastAsia" w:ascii="宋体" w:hAnsi="宋体" w:cs="宋体"/>
                <w:color w:val="auto"/>
                <w:kern w:val="0"/>
                <w:szCs w:val="21"/>
                <w:highlight w:val="none"/>
                <w:lang w:bidi="ar"/>
              </w:rPr>
              <w:t>最高投标限价</w:t>
            </w:r>
          </w:p>
        </w:tc>
        <w:tc>
          <w:tcPr>
            <w:tcW w:w="7189" w:type="dxa"/>
            <w:vAlign w:val="center"/>
          </w:tcPr>
          <w:p>
            <w:pPr>
              <w:widowControl/>
              <w:spacing w:line="400" w:lineRule="exact"/>
              <w:ind w:firstLine="420" w:firstLineChars="200"/>
              <w:jc w:val="left"/>
              <w:rPr>
                <w:rFonts w:hint="eastAsia" w:ascii="宋体" w:hAnsi="宋体" w:eastAsia="宋体" w:cs="宋体"/>
                <w:color w:val="auto"/>
                <w:highlight w:val="none"/>
              </w:rPr>
            </w:pPr>
            <w:r>
              <w:rPr>
                <w:rFonts w:hint="eastAsia" w:ascii="宋体" w:hAnsi="宋体" w:cs="宋体"/>
                <w:color w:val="auto"/>
                <w:kern w:val="0"/>
                <w:szCs w:val="21"/>
                <w:highlight w:val="none"/>
                <w:lang w:bidi="ar"/>
              </w:rPr>
              <w:t>有，最高投标限价：</w:t>
            </w:r>
            <w:r>
              <w:rPr>
                <w:rFonts w:hint="eastAsia" w:ascii="宋体" w:hAnsi="宋体" w:cs="宋体"/>
                <w:color w:val="auto"/>
                <w:kern w:val="0"/>
                <w:szCs w:val="21"/>
                <w:highlight w:val="none"/>
                <w:u w:val="single"/>
                <w:lang w:val="en-US" w:eastAsia="zh-CN" w:bidi="ar"/>
              </w:rPr>
              <w:t>481225元（大写肆拾捌万壹仟贰佰贰拾伍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3" w:hRule="atLeast"/>
          <w:jc w:val="center"/>
        </w:trPr>
        <w:tc>
          <w:tcPr>
            <w:tcW w:w="1135" w:type="dxa"/>
            <w:vAlign w:val="center"/>
          </w:tcPr>
          <w:p>
            <w:pPr>
              <w:spacing w:line="400" w:lineRule="exact"/>
              <w:jc w:val="center"/>
              <w:rPr>
                <w:rFonts w:hint="eastAsia" w:ascii="宋体" w:hAnsi="宋体" w:eastAsia="宋体" w:cs="宋体"/>
                <w:color w:val="auto"/>
                <w:kern w:val="0"/>
                <w:szCs w:val="21"/>
              </w:rPr>
            </w:pPr>
            <w:r>
              <w:rPr>
                <w:rFonts w:hint="eastAsia" w:ascii="宋体" w:hAnsi="宋体" w:cs="宋体"/>
                <w:snapToGrid w:val="0"/>
                <w:color w:val="auto"/>
                <w:kern w:val="0"/>
                <w:szCs w:val="21"/>
                <w:highlight w:val="none"/>
              </w:rPr>
              <w:t>3.2.9</w:t>
            </w:r>
          </w:p>
        </w:tc>
        <w:tc>
          <w:tcPr>
            <w:tcW w:w="1500" w:type="dxa"/>
            <w:vAlign w:val="center"/>
          </w:tcPr>
          <w:p>
            <w:pPr>
              <w:widowControl/>
              <w:spacing w:line="400" w:lineRule="exact"/>
              <w:jc w:val="center"/>
              <w:rPr>
                <w:rFonts w:hint="eastAsia" w:ascii="宋体" w:hAnsi="宋体" w:eastAsia="宋体" w:cs="宋体"/>
                <w:color w:val="auto"/>
                <w:kern w:val="0"/>
                <w:szCs w:val="21"/>
              </w:rPr>
            </w:pPr>
            <w:r>
              <w:rPr>
                <w:rFonts w:hint="eastAsia" w:ascii="宋体" w:hAnsi="宋体" w:cs="宋体"/>
                <w:color w:val="auto"/>
                <w:kern w:val="0"/>
                <w:szCs w:val="21"/>
                <w:highlight w:val="none"/>
                <w:lang w:bidi="ar"/>
              </w:rPr>
              <w:t>投标报价的其他要求</w:t>
            </w:r>
          </w:p>
        </w:tc>
        <w:tc>
          <w:tcPr>
            <w:tcW w:w="7189" w:type="dxa"/>
            <w:vAlign w:val="center"/>
          </w:tcPr>
          <w:p>
            <w:pPr>
              <w:pStyle w:val="2"/>
              <w:spacing w:after="0"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有，具体要求为：</w:t>
            </w:r>
          </w:p>
          <w:p>
            <w:pPr>
              <w:pStyle w:val="2"/>
              <w:spacing w:after="0"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将公布投标总报价最高限价及各清单子目单价最高限价。</w:t>
            </w:r>
          </w:p>
          <w:p>
            <w:pPr>
              <w:pStyle w:val="2"/>
              <w:spacing w:after="0"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投标人的投标总报价不应高于投标总报价最高限价，否则由评标委员会作否决投标处理；</w:t>
            </w:r>
          </w:p>
          <w:p>
            <w:pPr>
              <w:pStyle w:val="2"/>
              <w:spacing w:after="0"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投标人投标报价中的各清单子目单价不应高于各清单子目单价最高限价。</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在合同签订前将对中标人“已标价工程量清单”进行复核，若出现差错则按以下原则进行处理（或结算）：</w:t>
            </w:r>
          </w:p>
          <w:p>
            <w:pPr>
              <w:pStyle w:val="2"/>
              <w:spacing w:after="0"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分部分项工程量清单报价汇总计算结果与投标函总报价不一致时，按就低不就高原则进行修正，即：汇总计算结果高于投标函总报价则以投标函总报价为准，按汇总计算结果与投标函总报价相比的降低幅度同比例修正分项报价和各清单子目单价； 汇总计算结果低于投标函总报价则以分部分项工程量清单报价汇总计算结果为准进行签约或结算；</w:t>
            </w:r>
          </w:p>
          <w:p>
            <w:pPr>
              <w:pStyle w:val="2"/>
              <w:spacing w:after="0"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（2）依据单价和数量计算结果与其合价不符的，按不利于投标人原则（就低不就高）对其单价和合价进行修正。</w:t>
            </w:r>
          </w:p>
          <w:p>
            <w:pPr>
              <w:pStyle w:val="2"/>
              <w:spacing w:after="0"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（3）单价报价超过工程量清单综合单价最高限价的，以工程量清单综合单价最高限价为基础，按照中标总报价与总价最高限价的下浮比例进行同比例下调修正其单价和合价。</w:t>
            </w:r>
          </w:p>
          <w:p>
            <w:pPr>
              <w:pStyle w:val="2"/>
              <w:spacing w:after="0"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（4）工程量清单漏项的，按该项单价为0进行修正（即视为该项工作内容的报价已包括在其他项目报价内），超出</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提供的工程量清单范围的清单项目报价不予认可，按该清单项目报价为0对其单价和合价进行修正。</w:t>
            </w:r>
          </w:p>
          <w:p>
            <w:pPr>
              <w:pStyle w:val="2"/>
              <w:spacing w:after="0"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投标人须在投标文件资格审查部分提供承诺（格式详见第九章投标文件格式），并包括以下内容：</w:t>
            </w:r>
          </w:p>
          <w:p>
            <w:pPr>
              <w:pStyle w:val="2"/>
              <w:spacing w:after="0"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（1）按照第五章“工程量清单”、第八章“工程量清单计量规则”的规定进行报价。</w:t>
            </w:r>
          </w:p>
          <w:p>
            <w:pPr>
              <w:pStyle w:val="2"/>
              <w:spacing w:after="0"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（2）招标文件中规定工程量清单不允许修改的内容不得修改。</w:t>
            </w:r>
          </w:p>
          <w:p>
            <w:pPr>
              <w:pStyle w:val="2"/>
              <w:spacing w:after="0"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（3）投标总报价不高于</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公布的投标总报价最高限价。</w:t>
            </w:r>
          </w:p>
          <w:p>
            <w:pPr>
              <w:pStyle w:val="2"/>
              <w:spacing w:after="0" w:line="400" w:lineRule="exact"/>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（4）各清单子目单价不高于</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公布的各清单子目单价最高限价的。</w:t>
            </w:r>
          </w:p>
          <w:p>
            <w:pPr>
              <w:pStyle w:val="2"/>
              <w:spacing w:after="0"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hint="default" w:ascii="宋体" w:hAnsi="宋体" w:cs="宋体"/>
                <w:color w:val="auto"/>
                <w:szCs w:val="21"/>
                <w:highlight w:val="none"/>
                <w:lang w:val="en-US"/>
              </w:rPr>
              <w:t>5</w:t>
            </w:r>
            <w:r>
              <w:rPr>
                <w:rFonts w:hint="eastAsia" w:ascii="宋体" w:hAnsi="宋体" w:cs="宋体"/>
                <w:color w:val="auto"/>
                <w:szCs w:val="21"/>
                <w:highlight w:val="none"/>
              </w:rPr>
              <w:t>）若出现差错，按招标文件第二章投标人须知前附表第3.2.9项规定的原则进行处理（或结算）。</w:t>
            </w:r>
          </w:p>
          <w:p>
            <w:pPr>
              <w:pStyle w:val="2"/>
              <w:spacing w:after="0" w:line="400" w:lineRule="exact"/>
              <w:ind w:firstLine="420" w:firstLineChars="200"/>
              <w:rPr>
                <w:rFonts w:hint="eastAsia" w:ascii="宋体" w:hAnsi="宋体" w:eastAsia="宋体" w:cs="宋体"/>
                <w:color w:val="auto"/>
              </w:rPr>
            </w:pPr>
            <w:r>
              <w:rPr>
                <w:rFonts w:hint="eastAsia" w:ascii="宋体" w:hAnsi="宋体" w:cs="宋体"/>
                <w:color w:val="auto"/>
                <w:szCs w:val="21"/>
                <w:highlight w:val="none"/>
              </w:rPr>
              <w:t>投标人未按上述要求提供承诺函的，由评标委员会作否决投标处理。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8"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3.3.1</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投标有效期</w:t>
            </w:r>
          </w:p>
        </w:tc>
        <w:tc>
          <w:tcPr>
            <w:tcW w:w="7189" w:type="dxa"/>
            <w:vAlign w:val="center"/>
          </w:tcPr>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kern w:val="0"/>
                <w:szCs w:val="21"/>
              </w:rPr>
            </w:pPr>
            <w:r>
              <w:rPr>
                <w:rFonts w:hint="eastAsia" w:ascii="宋体" w:hAnsi="宋体" w:eastAsia="宋体" w:cs="宋体"/>
                <w:color w:val="auto"/>
                <w:szCs w:val="21"/>
                <w:u w:val="single"/>
              </w:rPr>
              <w:t>90</w:t>
            </w:r>
            <w:r>
              <w:rPr>
                <w:rFonts w:hint="eastAsia" w:ascii="宋体" w:hAnsi="宋体" w:eastAsia="宋体" w:cs="宋体"/>
                <w:color w:val="auto"/>
                <w:szCs w:val="21"/>
              </w:rPr>
              <w:t>日历天（从提交投标文件截止日起计算）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3"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b/>
                <w:bCs/>
                <w:color w:val="auto"/>
                <w:kern w:val="0"/>
                <w:szCs w:val="21"/>
              </w:rPr>
            </w:pPr>
            <w:r>
              <w:rPr>
                <w:rFonts w:hint="eastAsia" w:ascii="宋体" w:hAnsi="宋体" w:eastAsia="宋体" w:cs="宋体"/>
                <w:b/>
                <w:bCs/>
                <w:color w:val="auto"/>
                <w:kern w:val="0"/>
                <w:szCs w:val="21"/>
              </w:rPr>
              <w:t>3.4.1</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b/>
                <w:bCs/>
                <w:color w:val="auto"/>
                <w:kern w:val="0"/>
                <w:szCs w:val="21"/>
              </w:rPr>
            </w:pPr>
            <w:r>
              <w:rPr>
                <w:rFonts w:hint="eastAsia" w:ascii="宋体" w:hAnsi="宋体" w:eastAsia="宋体" w:cs="宋体"/>
                <w:b/>
                <w:bCs/>
                <w:color w:val="auto"/>
                <w:kern w:val="0"/>
                <w:szCs w:val="21"/>
              </w:rPr>
              <w:t>投标保证金</w:t>
            </w:r>
          </w:p>
        </w:tc>
        <w:tc>
          <w:tcPr>
            <w:tcW w:w="7189" w:type="dxa"/>
            <w:vAlign w:val="center"/>
          </w:tcPr>
          <w:p>
            <w:pPr>
              <w:snapToGrid w:val="0"/>
              <w:spacing w:line="460" w:lineRule="exact"/>
              <w:ind w:firstLine="411" w:firstLineChars="196"/>
              <w:rPr>
                <w:rFonts w:ascii="宋体" w:hAnsi="宋体" w:cs="宋体"/>
                <w:color w:val="auto"/>
                <w:kern w:val="0"/>
                <w:szCs w:val="21"/>
              </w:rPr>
            </w:pPr>
            <w:r>
              <w:rPr>
                <w:rFonts w:hint="eastAsia" w:ascii="宋体" w:hAnsi="宋体" w:cs="宋体"/>
                <w:color w:val="auto"/>
                <w:kern w:val="0"/>
                <w:szCs w:val="21"/>
                <w:lang w:eastAsia="zh-CN"/>
              </w:rPr>
              <w:t>1.</w:t>
            </w:r>
            <w:r>
              <w:rPr>
                <w:rFonts w:hint="eastAsia" w:ascii="宋体" w:hAnsi="宋体" w:cs="宋体"/>
                <w:color w:val="auto"/>
                <w:kern w:val="0"/>
                <w:szCs w:val="21"/>
              </w:rPr>
              <w:t>投标保证金交纳方式：投标保证金以现金方式在递交投标文件时现场交纳，投标保证金交纳截止时间与投标截止时间一致。</w:t>
            </w:r>
          </w:p>
          <w:p>
            <w:pPr>
              <w:snapToGrid w:val="0"/>
              <w:spacing w:line="460" w:lineRule="exact"/>
              <w:rPr>
                <w:rFonts w:ascii="宋体" w:hAnsi="宋体" w:cs="宋体"/>
                <w:snapToGrid w:val="0"/>
                <w:color w:val="auto"/>
                <w:kern w:val="0"/>
                <w:szCs w:val="21"/>
              </w:rPr>
            </w:pPr>
            <w:r>
              <w:rPr>
                <w:rFonts w:hint="eastAsia" w:ascii="宋体" w:hAnsi="宋体" w:cs="宋体"/>
                <w:color w:val="auto"/>
                <w:kern w:val="0"/>
                <w:szCs w:val="21"/>
              </w:rPr>
              <w:t xml:space="preserve">    </w:t>
            </w:r>
            <w:r>
              <w:rPr>
                <w:rFonts w:hint="eastAsia" w:ascii="宋体" w:hAnsi="宋体" w:cs="宋体"/>
                <w:color w:val="auto"/>
                <w:kern w:val="0"/>
                <w:szCs w:val="21"/>
                <w:lang w:eastAsia="zh-CN"/>
              </w:rPr>
              <w:t>2.</w:t>
            </w:r>
            <w:r>
              <w:rPr>
                <w:rFonts w:hint="eastAsia" w:ascii="宋体" w:hAnsi="宋体" w:cs="宋体"/>
                <w:color w:val="auto"/>
                <w:kern w:val="0"/>
                <w:szCs w:val="21"/>
              </w:rPr>
              <w:t>投标保证金的金额：人民币</w:t>
            </w:r>
            <w:r>
              <w:rPr>
                <w:rFonts w:hint="eastAsia" w:ascii="宋体" w:hAnsi="宋体" w:cs="宋体"/>
                <w:b/>
                <w:bCs/>
                <w:color w:val="auto"/>
                <w:kern w:val="0"/>
                <w:szCs w:val="21"/>
                <w:u w:val="single"/>
                <w:lang w:val="en-US" w:eastAsia="zh-CN"/>
              </w:rPr>
              <w:t>9600</w:t>
            </w:r>
            <w:r>
              <w:rPr>
                <w:rFonts w:hint="eastAsia" w:ascii="宋体" w:hAnsi="宋体" w:cs="宋体"/>
                <w:snapToGrid w:val="0"/>
                <w:color w:val="auto"/>
                <w:kern w:val="0"/>
                <w:szCs w:val="21"/>
              </w:rPr>
              <w:t>元整（大写：</w:t>
            </w:r>
            <w:r>
              <w:rPr>
                <w:rFonts w:hint="eastAsia" w:ascii="宋体" w:hAnsi="宋体" w:cs="宋体"/>
                <w:snapToGrid w:val="0"/>
                <w:color w:val="auto"/>
                <w:kern w:val="0"/>
                <w:szCs w:val="21"/>
                <w:lang w:eastAsia="zh-CN"/>
              </w:rPr>
              <w:t>玖仟陆佰元整</w:t>
            </w:r>
            <w:r>
              <w:rPr>
                <w:rFonts w:hint="eastAsia" w:ascii="宋体" w:hAnsi="宋体" w:cs="宋体"/>
                <w:snapToGrid w:val="0"/>
                <w:color w:val="auto"/>
                <w:kern w:val="0"/>
                <w:szCs w:val="21"/>
              </w:rPr>
              <w:t>）。</w:t>
            </w:r>
          </w:p>
          <w:p>
            <w:pPr>
              <w:snapToGrid w:val="0"/>
              <w:spacing w:line="460" w:lineRule="exact"/>
              <w:ind w:firstLine="420" w:firstLineChars="200"/>
              <w:rPr>
                <w:rFonts w:ascii="宋体" w:hAnsi="宋体" w:cs="宋体"/>
                <w:color w:val="auto"/>
                <w:kern w:val="0"/>
                <w:szCs w:val="21"/>
              </w:rPr>
            </w:pPr>
            <w:r>
              <w:rPr>
                <w:rFonts w:hint="eastAsia" w:ascii="宋体" w:hAnsi="宋体" w:cs="宋体"/>
                <w:color w:val="auto"/>
                <w:kern w:val="0"/>
                <w:szCs w:val="21"/>
                <w:lang w:eastAsia="zh-CN"/>
              </w:rPr>
              <w:t>3.</w:t>
            </w:r>
            <w:r>
              <w:rPr>
                <w:rFonts w:hint="eastAsia" w:ascii="宋体" w:hAnsi="宋体" w:cs="宋体"/>
                <w:color w:val="auto"/>
                <w:szCs w:val="21"/>
              </w:rPr>
              <w:t>投标保证金有效期与投标有效期一致。</w:t>
            </w:r>
          </w:p>
          <w:p>
            <w:pPr>
              <w:snapToGrid w:val="0"/>
              <w:spacing w:line="460" w:lineRule="exact"/>
              <w:ind w:firstLine="420" w:firstLineChars="200"/>
              <w:rPr>
                <w:rFonts w:ascii="宋体" w:hAnsi="宋体" w:cs="宋体"/>
                <w:color w:val="auto"/>
                <w:kern w:val="0"/>
                <w:szCs w:val="21"/>
              </w:rPr>
            </w:pPr>
            <w:r>
              <w:rPr>
                <w:rFonts w:hint="eastAsia" w:ascii="宋体" w:hAnsi="宋体" w:cs="宋体"/>
                <w:color w:val="auto"/>
                <w:kern w:val="0"/>
                <w:szCs w:val="21"/>
                <w:lang w:eastAsia="zh-CN"/>
              </w:rPr>
              <w:t>4.</w:t>
            </w:r>
            <w:r>
              <w:rPr>
                <w:rFonts w:hint="eastAsia" w:ascii="宋体" w:hAnsi="宋体" w:cs="宋体"/>
                <w:color w:val="auto"/>
                <w:kern w:val="0"/>
                <w:szCs w:val="21"/>
              </w:rPr>
              <w:t>投标保证金的退还。</w:t>
            </w:r>
          </w:p>
          <w:p>
            <w:pPr>
              <w:snapToGrid w:val="0"/>
              <w:spacing w:line="460" w:lineRule="exact"/>
              <w:ind w:firstLine="210" w:firstLineChars="100"/>
              <w:rPr>
                <w:rFonts w:ascii="宋体" w:hAnsi="宋体" w:cs="宋体"/>
                <w:color w:val="auto"/>
                <w:kern w:val="0"/>
                <w:szCs w:val="21"/>
              </w:rPr>
            </w:pPr>
            <w:r>
              <w:rPr>
                <w:rFonts w:hint="eastAsia" w:ascii="宋体" w:hAnsi="宋体" w:cs="宋体"/>
                <w:color w:val="auto"/>
                <w:kern w:val="0"/>
                <w:szCs w:val="21"/>
              </w:rPr>
              <w:t>（1）</w:t>
            </w:r>
            <w:r>
              <w:rPr>
                <w:rFonts w:ascii="宋体" w:hAnsi="宋体" w:cs="宋体"/>
                <w:color w:val="auto"/>
              </w:rPr>
              <w:t>未中标的</w:t>
            </w:r>
            <w:r>
              <w:rPr>
                <w:rFonts w:hint="eastAsia" w:ascii="宋体" w:hAnsi="宋体" w:cs="宋体"/>
                <w:color w:val="auto"/>
                <w:kern w:val="0"/>
                <w:szCs w:val="21"/>
              </w:rPr>
              <w:t>投标人的投标保证金在评标结束后当场退还。</w:t>
            </w:r>
          </w:p>
          <w:p>
            <w:pPr>
              <w:keepNext w:val="0"/>
              <w:keepLines w:val="0"/>
              <w:pageBreakBefore w:val="0"/>
              <w:widowControl w:val="0"/>
              <w:kinsoku/>
              <w:wordWrap/>
              <w:overflowPunct/>
              <w:topLinePunct w:val="0"/>
              <w:autoSpaceDE/>
              <w:autoSpaceDN/>
              <w:bidi w:val="0"/>
              <w:adjustRightInd/>
              <w:snapToGrid w:val="0"/>
              <w:spacing w:line="400" w:lineRule="exact"/>
              <w:ind w:firstLine="210" w:firstLineChars="100"/>
              <w:textAlignment w:val="auto"/>
              <w:rPr>
                <w:rFonts w:hint="eastAsia" w:ascii="宋体" w:hAnsi="宋体" w:cs="宋体"/>
                <w:color w:val="auto"/>
                <w:kern w:val="0"/>
                <w:szCs w:val="21"/>
              </w:rPr>
            </w:pPr>
            <w:r>
              <w:rPr>
                <w:rFonts w:hint="eastAsia" w:ascii="宋体" w:hAnsi="宋体" w:cs="宋体"/>
                <w:color w:val="auto"/>
                <w:kern w:val="0"/>
                <w:szCs w:val="21"/>
              </w:rPr>
              <w:t>（2）</w:t>
            </w:r>
            <w:r>
              <w:rPr>
                <w:rFonts w:hint="eastAsia" w:ascii="宋体" w:hAnsi="宋体" w:cs="宋体"/>
                <w:color w:val="auto"/>
                <w:szCs w:val="21"/>
              </w:rPr>
              <w:t>比选人应当在法定时间内和中标人签订合同。比选人应当在合同生效后2个工作日内向中标人退还投标保证金</w:t>
            </w:r>
            <w:r>
              <w:rPr>
                <w:rFonts w:hint="eastAsia" w:ascii="宋体" w:hAnsi="宋体" w:cs="宋体"/>
                <w:color w:val="auto"/>
                <w:kern w:val="0"/>
                <w:szCs w:val="21"/>
              </w:rPr>
              <w:t>。</w:t>
            </w:r>
          </w:p>
          <w:p>
            <w:pPr>
              <w:keepNext w:val="0"/>
              <w:keepLines w:val="0"/>
              <w:pageBreakBefore w:val="0"/>
              <w:widowControl w:val="0"/>
              <w:kinsoku/>
              <w:wordWrap/>
              <w:overflowPunct/>
              <w:topLinePunct w:val="0"/>
              <w:autoSpaceDE/>
              <w:autoSpaceDN/>
              <w:bidi w:val="0"/>
              <w:adjustRightInd/>
              <w:snapToGrid w:val="0"/>
              <w:spacing w:line="400" w:lineRule="exact"/>
              <w:ind w:firstLine="210" w:firstLineChars="100"/>
              <w:textAlignment w:val="auto"/>
              <w:rPr>
                <w:rFonts w:hint="eastAsia" w:ascii="宋体" w:hAnsi="宋体" w:eastAsia="宋体" w:cs="宋体"/>
                <w:bCs/>
                <w:color w:val="auto"/>
                <w:kern w:val="0"/>
                <w:szCs w:val="21"/>
              </w:rPr>
            </w:pPr>
            <w:r>
              <w:rPr>
                <w:rFonts w:hint="eastAsia" w:ascii="宋体" w:hAnsi="宋体" w:eastAsia="宋体" w:cs="宋体"/>
                <w:bCs/>
                <w:snapToGrid w:val="0"/>
                <w:color w:val="auto"/>
                <w:kern w:val="0"/>
                <w:szCs w:val="21"/>
              </w:rPr>
              <w:t>特别提示：本工程投标人比选过程中有串标、围标等违法行为的按相关法律法规处理且投标保证金不予退还。本工程中选人无故放弃中选的按相关法律法规处理且投标保证金不予退还。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3"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rPr>
              <w:t>3.6</w:t>
            </w:r>
            <w:r>
              <w:rPr>
                <w:rFonts w:hint="eastAsia" w:ascii="宋体" w:hAnsi="宋体" w:cs="宋体"/>
                <w:color w:val="auto"/>
                <w:kern w:val="0"/>
                <w:szCs w:val="21"/>
                <w:lang w:val="en-US" w:eastAsia="zh-CN"/>
              </w:rPr>
              <w:t>.1</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是否允许递交备选投标方案</w:t>
            </w:r>
          </w:p>
        </w:tc>
        <w:tc>
          <w:tcPr>
            <w:tcW w:w="7189" w:type="dxa"/>
            <w:vAlign w:val="center"/>
          </w:tcPr>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3" w:hRule="atLeast"/>
          <w:jc w:val="center"/>
        </w:trPr>
        <w:tc>
          <w:tcPr>
            <w:tcW w:w="1135" w:type="dxa"/>
            <w:vAlign w:val="center"/>
          </w:tcPr>
          <w:p>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3.7.3</w:t>
            </w:r>
          </w:p>
        </w:tc>
        <w:tc>
          <w:tcPr>
            <w:tcW w:w="1500" w:type="dxa"/>
            <w:vAlign w:val="center"/>
          </w:tcPr>
          <w:p>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签字或盖章要求</w:t>
            </w:r>
          </w:p>
        </w:tc>
        <w:tc>
          <w:tcPr>
            <w:tcW w:w="7189" w:type="dxa"/>
            <w:vAlign w:val="center"/>
          </w:tcPr>
          <w:p>
            <w:pPr>
              <w:keepNext w:val="0"/>
              <w:keepLines w:val="0"/>
              <w:pageBreakBefore w:val="0"/>
              <w:kinsoku/>
              <w:wordWrap/>
              <w:overflowPunct/>
              <w:topLinePunct w:val="0"/>
              <w:autoSpaceDE/>
              <w:autoSpaceDN/>
              <w:bidi w:val="0"/>
              <w:adjustRightInd/>
              <w:snapToGrid w:val="0"/>
              <w:spacing w:line="400" w:lineRule="exact"/>
              <w:ind w:firstLine="210" w:firstLineChars="100"/>
              <w:textAlignment w:val="auto"/>
              <w:rPr>
                <w:rFonts w:hint="eastAsia" w:ascii="宋体" w:hAnsi="宋体" w:eastAsia="宋体" w:cs="宋体"/>
                <w:color w:val="auto"/>
                <w:szCs w:val="21"/>
              </w:rPr>
            </w:pPr>
            <w:r>
              <w:rPr>
                <w:rFonts w:hint="eastAsia" w:ascii="宋体" w:hAnsi="宋体" w:eastAsia="宋体" w:cs="宋体"/>
                <w:color w:val="auto"/>
                <w:szCs w:val="21"/>
              </w:rPr>
              <w:t>投标文件应用不褪色的材料书写或打印，并由投标人的法定代表人或其委托代理人在比选文件规定的位置按比选文件要求签字或盖章、盖单位法人章。委托代理人签字的，投标文件应附法定代表人签署的授权委托书。投标文件应尽量避免涂改、行间插字或删除。如果出现上述情况，改动之处应加盖单位法人章或由投标人的法定代表人或其授权的代理人签字确认。</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kern w:val="0"/>
                <w:szCs w:val="21"/>
              </w:rPr>
            </w:pPr>
            <w:r>
              <w:rPr>
                <w:rFonts w:hint="eastAsia" w:ascii="宋体" w:hAnsi="宋体" w:eastAsia="宋体" w:cs="宋体"/>
                <w:color w:val="auto"/>
                <w:szCs w:val="21"/>
              </w:rPr>
              <w:t>未按上述规定执行的，交由评标委员会作否决投标处理。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27"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3.7.4</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投标文件的份数</w:t>
            </w:r>
          </w:p>
        </w:tc>
        <w:tc>
          <w:tcPr>
            <w:tcW w:w="7189" w:type="dxa"/>
            <w:vAlign w:val="center"/>
          </w:tcPr>
          <w:p>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投标文件正本1份、副本2份，电子版形式（光盘）1份。当副本和正本不一致时，以正本为准。否则由评标委员会作否决投标处理。</w:t>
            </w:r>
          </w:p>
          <w:p>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电子版形式（光盘）中的经济部分：应包含经济部分全部excel格式预算表格，工程量清单综合单价分析表无须装订入投标文件纸质版中，但清单项目的综合单价分析表（excel格式）必须刻入光盘中。</w:t>
            </w:r>
          </w:p>
          <w:p>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注：在核发中标通知书时，中标人应另外补充一式 6 份投标文件（除需增加的工程量清单综合单价分析表外，其他内容必须与投标时提交的投标文件相一致）。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3"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3.7.5</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 xml:space="preserve"> 装订要求</w:t>
            </w:r>
          </w:p>
        </w:tc>
        <w:tc>
          <w:tcPr>
            <w:tcW w:w="7189" w:type="dxa"/>
            <w:vAlign w:val="center"/>
          </w:tcPr>
          <w:p>
            <w:pPr>
              <w:keepNext w:val="0"/>
              <w:keepLines w:val="0"/>
              <w:pageBreakBefore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1.本工程应将投标函部分、经济部分、资格审查部分各自分别装订成册。</w:t>
            </w:r>
          </w:p>
          <w:p>
            <w:pPr>
              <w:keepNext w:val="0"/>
              <w:keepLines w:val="0"/>
              <w:pageBreakBefore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2.装订</w:t>
            </w:r>
          </w:p>
          <w:p>
            <w:pPr>
              <w:keepNext w:val="0"/>
              <w:keepLines w:val="0"/>
              <w:pageBreakBefore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（1）投标函部分的装订要求</w:t>
            </w:r>
          </w:p>
          <w:p>
            <w:pPr>
              <w:keepNext w:val="0"/>
              <w:keepLines w:val="0"/>
              <w:pageBreakBefore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应按照第八章规定格式装订成册，原则上应编制目录（但不得将目录编制作为评审因素），标注页码。</w:t>
            </w:r>
          </w:p>
          <w:p>
            <w:pPr>
              <w:keepNext w:val="0"/>
              <w:keepLines w:val="0"/>
              <w:pageBreakBefore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w:t>
            </w:r>
            <w:r>
              <w:rPr>
                <w:rFonts w:hint="eastAsia" w:ascii="宋体" w:hAnsi="宋体" w:eastAsia="宋体" w:cs="宋体"/>
                <w:color w:val="auto"/>
                <w:kern w:val="0"/>
                <w:szCs w:val="21"/>
                <w:lang w:val="en-US" w:eastAsia="zh-CN"/>
              </w:rPr>
              <w:t>2</w:t>
            </w:r>
            <w:r>
              <w:rPr>
                <w:rFonts w:hint="eastAsia" w:ascii="宋体" w:hAnsi="宋体" w:eastAsia="宋体" w:cs="宋体"/>
                <w:color w:val="auto"/>
                <w:kern w:val="0"/>
                <w:szCs w:val="21"/>
              </w:rPr>
              <w:t>）经济部分的装订要求</w:t>
            </w:r>
          </w:p>
          <w:p>
            <w:pPr>
              <w:keepNext w:val="0"/>
              <w:keepLines w:val="0"/>
              <w:pageBreakBefore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应按照第八章规定格式装订成册，原则上应编制目录（但不得将目录编制作为评审因素），标注页码。</w:t>
            </w:r>
          </w:p>
          <w:p>
            <w:pPr>
              <w:keepNext w:val="0"/>
              <w:keepLines w:val="0"/>
              <w:pageBreakBefore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rPr>
              <w:t>）资格审查部分的装订要求</w:t>
            </w:r>
          </w:p>
          <w:p>
            <w:pPr>
              <w:keepNext w:val="0"/>
              <w:keepLines w:val="0"/>
              <w:pageBreakBefore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应按照第八章规定格式装订成册，原则上应编制目录（但不得将目录编制作为评审因素），标注页码。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ind w:firstLine="210" w:firstLineChars="100"/>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4.1.1</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投标文件的密封</w:t>
            </w:r>
          </w:p>
        </w:tc>
        <w:tc>
          <w:tcPr>
            <w:tcW w:w="7189" w:type="dxa"/>
            <w:vAlign w:val="center"/>
          </w:tcPr>
          <w:p>
            <w:pPr>
              <w:keepNext w:val="0"/>
              <w:keepLines w:val="0"/>
              <w:pageBreakBefore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1. 投标文件袋使用“投标保函部分”袋（如有）、“投标函部分”袋、“经济部分”袋、“技术部分”袋（如有）、“资格审查部分”袋以及“投标文件”大袋。</w:t>
            </w:r>
          </w:p>
          <w:p>
            <w:pPr>
              <w:keepNext w:val="0"/>
              <w:keepLines w:val="0"/>
              <w:pageBreakBefore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2. 投标保函正本复印件装入“投标保函部分”袋，单独封装并在袋上加盖投标人单位法人章，同时应按本表第4.1.2项的规定写明相应内容。[提示：投标保证金采用纸质投标保函形式的按此内容表述，否则删除本条内容</w:t>
            </w:r>
            <w:r>
              <w:rPr>
                <w:rFonts w:hint="eastAsia" w:ascii="宋体" w:hAnsi="宋体" w:cs="宋体"/>
                <w:color w:val="auto"/>
                <w:szCs w:val="21"/>
                <w:lang w:eastAsia="zh-CN"/>
              </w:rPr>
              <w:t>]</w:t>
            </w:r>
          </w:p>
          <w:p>
            <w:pPr>
              <w:keepNext w:val="0"/>
              <w:keepLines w:val="0"/>
              <w:pageBreakBefore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3. 投标函部分和电子版形式（光盘）装入“投标函部分”袋中，密封并在袋上加盖投标人单位法人章。</w:t>
            </w:r>
          </w:p>
          <w:p>
            <w:pPr>
              <w:keepNext w:val="0"/>
              <w:keepLines w:val="0"/>
              <w:pageBreakBefore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4. 经济部分装入“经济部分”袋中，密封并在袋上加盖投标人单位法人章。</w:t>
            </w:r>
          </w:p>
          <w:p>
            <w:pPr>
              <w:keepNext w:val="0"/>
              <w:keepLines w:val="0"/>
              <w:pageBreakBefore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5</w:t>
            </w:r>
            <w:r>
              <w:rPr>
                <w:rFonts w:hint="eastAsia" w:ascii="宋体" w:hAnsi="宋体" w:eastAsia="宋体" w:cs="宋体"/>
                <w:color w:val="auto"/>
                <w:szCs w:val="21"/>
                <w:lang w:val="en-US" w:eastAsia="zh-CN"/>
              </w:rPr>
              <w:t>.</w:t>
            </w:r>
            <w:r>
              <w:rPr>
                <w:rFonts w:hint="eastAsia" w:ascii="宋体" w:hAnsi="宋体" w:eastAsia="宋体" w:cs="宋体"/>
                <w:color w:val="auto"/>
                <w:szCs w:val="21"/>
              </w:rPr>
              <w:t>资格审查部分装入“资格审查部分”袋中，密封并在袋上加盖投标人单位法人章。</w:t>
            </w:r>
          </w:p>
          <w:p>
            <w:pPr>
              <w:keepNext w:val="0"/>
              <w:keepLines w:val="0"/>
              <w:pageBreakBefore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lang w:val="en-US" w:eastAsia="zh-CN"/>
              </w:rPr>
              <w:t>6</w:t>
            </w:r>
            <w:r>
              <w:rPr>
                <w:rFonts w:hint="eastAsia" w:ascii="宋体" w:hAnsi="宋体" w:eastAsia="宋体" w:cs="宋体"/>
                <w:color w:val="auto"/>
                <w:szCs w:val="21"/>
              </w:rPr>
              <w:t>. “投标函部分</w:t>
            </w:r>
            <w:r>
              <w:rPr>
                <w:rFonts w:hint="eastAsia" w:ascii="宋体" w:hAnsi="宋体" w:cs="宋体"/>
                <w:color w:val="auto"/>
                <w:szCs w:val="21"/>
                <w:lang w:eastAsia="zh-CN"/>
              </w:rPr>
              <w:t>”“</w:t>
            </w:r>
            <w:r>
              <w:rPr>
                <w:rFonts w:hint="eastAsia" w:ascii="宋体" w:hAnsi="宋体" w:eastAsia="宋体" w:cs="宋体"/>
                <w:color w:val="auto"/>
                <w:szCs w:val="21"/>
              </w:rPr>
              <w:t>经济部分</w:t>
            </w:r>
            <w:r>
              <w:rPr>
                <w:rFonts w:hint="eastAsia" w:ascii="宋体" w:hAnsi="宋体" w:cs="宋体"/>
                <w:color w:val="auto"/>
                <w:szCs w:val="21"/>
                <w:lang w:eastAsia="zh-CN"/>
              </w:rPr>
              <w:t>”“</w:t>
            </w:r>
            <w:r>
              <w:rPr>
                <w:rFonts w:hint="eastAsia" w:ascii="宋体" w:hAnsi="宋体" w:eastAsia="宋体" w:cs="宋体"/>
                <w:color w:val="auto"/>
                <w:szCs w:val="21"/>
              </w:rPr>
              <w:t>资格审查部分”等小袋装入“投标文件”大袋中，密封并在大袋上加盖投标人单位法人章，同时“投标文件”大袋应按本表第4.1.2项的规定写明相应内容。一个大袋装不下的，可使用多个大袋分册封装。大袋未按要求密封的，</w:t>
            </w:r>
            <w:r>
              <w:rPr>
                <w:rFonts w:hint="eastAsia" w:ascii="宋体" w:hAnsi="宋体" w:cs="宋体"/>
                <w:color w:val="auto"/>
                <w:szCs w:val="21"/>
                <w:lang w:eastAsia="zh-CN"/>
              </w:rPr>
              <w:t>招标人</w:t>
            </w:r>
            <w:r>
              <w:rPr>
                <w:rFonts w:hint="eastAsia" w:ascii="宋体" w:hAnsi="宋体" w:eastAsia="宋体" w:cs="宋体"/>
                <w:color w:val="auto"/>
                <w:szCs w:val="21"/>
              </w:rPr>
              <w:t>或代理机构应该拒收。</w:t>
            </w:r>
          </w:p>
          <w:p>
            <w:pPr>
              <w:keepNext w:val="0"/>
              <w:keepLines w:val="0"/>
              <w:pageBreakBefore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注：“投标函部分”袋、“经济部分”袋、“资格审查部分”袋只为方便投标文件分装，不作为判定密封合格与否的条件。但为了方便开标，请各投标人主动配合，按要求分装。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3"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4.1.2</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封套上写明</w:t>
            </w:r>
          </w:p>
        </w:tc>
        <w:tc>
          <w:tcPr>
            <w:tcW w:w="7189" w:type="dxa"/>
            <w:vAlign w:val="center"/>
          </w:tcPr>
          <w:p>
            <w:pPr>
              <w:keepNext w:val="0"/>
              <w:keepLines w:val="0"/>
              <w:pageBreakBefore w:val="0"/>
              <w:kinsoku/>
              <w:wordWrap/>
              <w:overflowPunct/>
              <w:topLinePunct w:val="0"/>
              <w:autoSpaceDE/>
              <w:autoSpaceDN/>
              <w:bidi w:val="0"/>
              <w:adjustRightInd/>
              <w:snapToGrid w:val="0"/>
              <w:spacing w:line="400" w:lineRule="exact"/>
              <w:ind w:firstLine="210" w:firstLineChars="100"/>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应在“投标文件”大袋封套上写明如下内容：</w:t>
            </w:r>
          </w:p>
          <w:p>
            <w:pPr>
              <w:keepNext w:val="0"/>
              <w:keepLines w:val="0"/>
              <w:pageBreakBefore w:val="0"/>
              <w:kinsoku/>
              <w:wordWrap/>
              <w:overflowPunct/>
              <w:topLinePunct w:val="0"/>
              <w:autoSpaceDE/>
              <w:autoSpaceDN/>
              <w:bidi w:val="0"/>
              <w:adjustRightInd/>
              <w:snapToGrid w:val="0"/>
              <w:spacing w:line="400" w:lineRule="exact"/>
              <w:ind w:firstLine="210" w:firstLineChars="100"/>
              <w:textAlignment w:val="auto"/>
              <w:rPr>
                <w:rFonts w:hint="eastAsia" w:ascii="宋体" w:hAnsi="宋体" w:eastAsia="宋体" w:cs="宋体"/>
                <w:color w:val="auto"/>
                <w:kern w:val="0"/>
                <w:szCs w:val="21"/>
                <w:u w:val="single"/>
                <w:lang w:val="en-US" w:eastAsia="zh-CN"/>
              </w:rPr>
            </w:pPr>
            <w:r>
              <w:rPr>
                <w:rFonts w:hint="eastAsia" w:ascii="宋体" w:hAnsi="宋体" w:cs="宋体"/>
                <w:color w:val="auto"/>
                <w:kern w:val="0"/>
                <w:szCs w:val="21"/>
                <w:lang w:eastAsia="zh-CN"/>
              </w:rPr>
              <w:t>招标人</w:t>
            </w:r>
            <w:r>
              <w:rPr>
                <w:rFonts w:hint="eastAsia" w:ascii="宋体" w:hAnsi="宋体" w:eastAsia="宋体" w:cs="宋体"/>
                <w:color w:val="auto"/>
                <w:kern w:val="0"/>
                <w:szCs w:val="21"/>
              </w:rPr>
              <w:t>名称：</w:t>
            </w:r>
            <w:r>
              <w:rPr>
                <w:rFonts w:hint="eastAsia" w:ascii="宋体" w:hAnsi="宋体" w:eastAsia="宋体" w:cs="宋体"/>
                <w:snapToGrid w:val="0"/>
                <w:color w:val="auto"/>
                <w:kern w:val="0"/>
                <w:u w:val="single"/>
                <w:lang w:val="en-US" w:eastAsia="zh-CN"/>
              </w:rPr>
              <w:t xml:space="preserve">             </w:t>
            </w:r>
          </w:p>
          <w:p>
            <w:pPr>
              <w:keepNext w:val="0"/>
              <w:keepLines w:val="0"/>
              <w:pageBreakBefore w:val="0"/>
              <w:kinsoku/>
              <w:wordWrap/>
              <w:overflowPunct/>
              <w:topLinePunct w:val="0"/>
              <w:autoSpaceDE/>
              <w:autoSpaceDN/>
              <w:bidi w:val="0"/>
              <w:adjustRightInd/>
              <w:snapToGrid w:val="0"/>
              <w:spacing w:line="400" w:lineRule="exact"/>
              <w:ind w:firstLine="210" w:firstLineChars="100"/>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投标人名称：</w:t>
            </w:r>
            <w:r>
              <w:rPr>
                <w:rFonts w:hint="eastAsia" w:ascii="宋体" w:hAnsi="宋体" w:eastAsia="宋体" w:cs="宋体"/>
                <w:color w:val="auto"/>
                <w:kern w:val="0"/>
                <w:szCs w:val="21"/>
                <w:u w:val="single"/>
              </w:rPr>
              <w:t xml:space="preserve">                                </w:t>
            </w:r>
          </w:p>
          <w:p>
            <w:pPr>
              <w:keepNext w:val="0"/>
              <w:keepLines w:val="0"/>
              <w:pageBreakBefore w:val="0"/>
              <w:kinsoku/>
              <w:wordWrap/>
              <w:overflowPunct/>
              <w:topLinePunct w:val="0"/>
              <w:autoSpaceDE/>
              <w:autoSpaceDN/>
              <w:bidi w:val="0"/>
              <w:adjustRightInd/>
              <w:snapToGrid w:val="0"/>
              <w:spacing w:line="400" w:lineRule="exact"/>
              <w:ind w:firstLine="210" w:firstLineChars="100"/>
              <w:textAlignment w:val="auto"/>
              <w:rPr>
                <w:rFonts w:hint="eastAsia" w:ascii="宋体" w:hAnsi="宋体" w:eastAsia="宋体" w:cs="宋体"/>
                <w:color w:val="auto"/>
                <w:kern w:val="0"/>
                <w:szCs w:val="21"/>
              </w:rPr>
            </w:pPr>
            <w:r>
              <w:rPr>
                <w:rFonts w:hint="eastAsia" w:ascii="宋体" w:hAnsi="宋体" w:eastAsia="宋体" w:cs="宋体"/>
                <w:color w:val="auto"/>
                <w:kern w:val="0"/>
                <w:szCs w:val="21"/>
                <w:u w:val="single"/>
                <w:lang w:val="en-US" w:eastAsia="zh-CN"/>
              </w:rPr>
              <w:t xml:space="preserve">                     </w:t>
            </w:r>
            <w:r>
              <w:rPr>
                <w:rFonts w:hint="eastAsia" w:ascii="宋体" w:hAnsi="宋体" w:eastAsia="宋体" w:cs="宋体"/>
                <w:color w:val="auto"/>
                <w:kern w:val="0"/>
                <w:szCs w:val="21"/>
              </w:rPr>
              <w:t>投标文件</w:t>
            </w:r>
          </w:p>
          <w:p>
            <w:pPr>
              <w:keepNext w:val="0"/>
              <w:keepLines w:val="0"/>
              <w:pageBreakBefore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在</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u w:val="single"/>
                <w:lang w:val="en-US" w:eastAsia="zh-CN"/>
              </w:rPr>
              <w:t xml:space="preserve">  </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年</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u w:val="single"/>
                <w:lang w:val="en-US" w:eastAsia="zh-CN"/>
              </w:rPr>
              <w:t xml:space="preserve">  </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月</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日</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u w:val="single"/>
                <w:lang w:val="en-US" w:eastAsia="zh-CN"/>
              </w:rPr>
              <w:t xml:space="preserve">  </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时</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u w:val="single"/>
                <w:lang w:val="en-US" w:eastAsia="zh-CN"/>
              </w:rPr>
              <w:t xml:space="preserve">  </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分前不得开启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3"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4.2.2</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递交投标文件的地点</w:t>
            </w:r>
          </w:p>
        </w:tc>
        <w:tc>
          <w:tcPr>
            <w:tcW w:w="7189" w:type="dxa"/>
            <w:vAlign w:val="center"/>
          </w:tcPr>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kern w:val="0"/>
                <w:szCs w:val="21"/>
              </w:rPr>
            </w:pPr>
            <w:r>
              <w:rPr>
                <w:rFonts w:hint="eastAsia" w:ascii="宋体" w:hAnsi="宋体" w:cs="宋体"/>
                <w:color w:val="auto"/>
                <w:kern w:val="0"/>
                <w:szCs w:val="21"/>
                <w:lang w:eastAsia="zh-CN"/>
              </w:rPr>
              <w:t>重庆市铜梁区福果镇人民政府</w:t>
            </w:r>
            <w:r>
              <w:rPr>
                <w:rFonts w:hint="eastAsia" w:ascii="宋体" w:hAnsi="宋体" w:eastAsia="宋体" w:cs="宋体"/>
                <w:color w:val="auto"/>
                <w:kern w:val="0"/>
                <w:szCs w:val="21"/>
                <w:lang w:eastAsia="zh-CN"/>
              </w:rPr>
              <w:t>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3"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4.2.3</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是否退还投标文件</w:t>
            </w:r>
          </w:p>
        </w:tc>
        <w:tc>
          <w:tcPr>
            <w:tcW w:w="7189" w:type="dxa"/>
            <w:vAlign w:val="center"/>
          </w:tcPr>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3"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rPr>
              <w:t>5.1</w:t>
            </w:r>
            <w:r>
              <w:rPr>
                <w:rFonts w:hint="eastAsia" w:ascii="宋体" w:hAnsi="宋体" w:cs="宋体"/>
                <w:color w:val="auto"/>
                <w:kern w:val="0"/>
                <w:szCs w:val="21"/>
                <w:lang w:val="en-US" w:eastAsia="zh-CN"/>
              </w:rPr>
              <w:t>.1</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开标时间和地点</w:t>
            </w:r>
          </w:p>
        </w:tc>
        <w:tc>
          <w:tcPr>
            <w:tcW w:w="7189" w:type="dxa"/>
            <w:vAlign w:val="center"/>
          </w:tcPr>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开标时间：同投标截止时间</w:t>
            </w:r>
          </w:p>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kern w:val="0"/>
                <w:szCs w:val="21"/>
                <w:u w:val="single"/>
              </w:rPr>
            </w:pPr>
            <w:r>
              <w:rPr>
                <w:rFonts w:hint="eastAsia" w:ascii="宋体" w:hAnsi="宋体" w:eastAsia="宋体" w:cs="宋体"/>
                <w:color w:val="auto"/>
                <w:kern w:val="0"/>
                <w:szCs w:val="21"/>
              </w:rPr>
              <w:t>开标地点：</w:t>
            </w:r>
            <w:r>
              <w:rPr>
                <w:rFonts w:hint="eastAsia" w:ascii="宋体" w:hAnsi="宋体" w:cs="宋体"/>
                <w:snapToGrid w:val="0"/>
                <w:color w:val="auto"/>
                <w:kern w:val="0"/>
                <w:szCs w:val="21"/>
                <w:lang w:eastAsia="zh-CN"/>
              </w:rPr>
              <w:t>重庆市铜梁区福果镇人民政府</w:t>
            </w:r>
            <w:r>
              <w:rPr>
                <w:rFonts w:hint="eastAsia" w:ascii="宋体" w:hAnsi="宋体" w:eastAsia="宋体" w:cs="宋体"/>
                <w:snapToGrid w:val="0"/>
                <w:color w:val="auto"/>
                <w:kern w:val="0"/>
                <w:szCs w:val="21"/>
                <w:lang w:eastAsia="zh-CN"/>
              </w:rPr>
              <w:t>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3"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5.2</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开标程序</w:t>
            </w:r>
          </w:p>
        </w:tc>
        <w:tc>
          <w:tcPr>
            <w:tcW w:w="7189" w:type="dxa"/>
            <w:vAlign w:val="center"/>
          </w:tcPr>
          <w:p>
            <w:pPr>
              <w:keepNext w:val="0"/>
              <w:keepLines w:val="0"/>
              <w:pageBreakBefore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主持人按下列程序进行开标：</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1. 核验参加开标会议的投标人的法定代表人或委托代理人本人身份证（原件），核验委托代理人的授权委托书、养老保险证明材料复印件，以确认其身份合法有效；若经核实委托代理人提</w:t>
            </w:r>
            <w:r>
              <w:rPr>
                <w:rFonts w:hint="eastAsia" w:ascii="宋体" w:hAnsi="宋体" w:cs="宋体"/>
                <w:color w:val="auto"/>
                <w:szCs w:val="21"/>
                <w:lang w:eastAsia="zh-CN"/>
              </w:rPr>
              <w:t>供的</w:t>
            </w:r>
            <w:r>
              <w:rPr>
                <w:rFonts w:hint="eastAsia" w:ascii="宋体" w:hAnsi="宋体" w:eastAsia="宋体" w:cs="宋体"/>
                <w:color w:val="auto"/>
                <w:szCs w:val="21"/>
              </w:rPr>
              <w:t>资料与实际不符的，不得参加开标会。核验合格的法定代表人或委托代理人可自行选择是否参加开标会，不参加开标会的视为默认开标结果。</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2. 宣布开标纪律。</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3. 宣布开标人、唱标人、记录人、监标人等有关人员姓名。</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4. 公布在投标截止时间前递交投标文件的投标人名称。</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5. 投标文件的密封检查：投标人可对自己的投标文件封装情况进行检查，以确认其投标文件密封完好。</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6. 汇总投标保证金交纳情况</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7. 公布最高限价。</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8. 逐单位随机开启投标文件。开启投标文件大袋及投标函部分袋、经济部分袋、资格审查部分袋；公布投标人名称、投标报价、质量要求、工期及其他内容并记录在案。</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lang w:val="en-US" w:eastAsia="zh-CN"/>
              </w:rPr>
              <w:t>9</w:t>
            </w:r>
            <w:r>
              <w:rPr>
                <w:rFonts w:hint="eastAsia" w:ascii="宋体" w:hAnsi="宋体" w:cs="宋体"/>
                <w:color w:val="auto"/>
                <w:szCs w:val="21"/>
                <w:lang w:val="en-US" w:eastAsia="zh-CN"/>
              </w:rPr>
              <w:t>.</w:t>
            </w:r>
            <w:r>
              <w:rPr>
                <w:rFonts w:hint="eastAsia" w:ascii="宋体" w:hAnsi="宋体" w:eastAsia="宋体" w:cs="宋体"/>
                <w:color w:val="auto"/>
                <w:szCs w:val="21"/>
              </w:rPr>
              <w:t xml:space="preserve"> 投标人对开标有异议的，应当场提出，由</w:t>
            </w:r>
            <w:r>
              <w:rPr>
                <w:rFonts w:hint="eastAsia" w:ascii="宋体" w:hAnsi="宋体" w:cs="宋体"/>
                <w:color w:val="auto"/>
                <w:szCs w:val="21"/>
                <w:lang w:eastAsia="zh-CN"/>
              </w:rPr>
              <w:t>招标人</w:t>
            </w:r>
            <w:r>
              <w:rPr>
                <w:rFonts w:hint="eastAsia" w:ascii="宋体" w:hAnsi="宋体" w:eastAsia="宋体" w:cs="宋体"/>
                <w:color w:val="auto"/>
                <w:szCs w:val="21"/>
              </w:rPr>
              <w:t>或代理机构当场答复，并记录到开标记录表中。异议处理完毕后，汇总开标情况，打印开标记录表。</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Cs w:val="21"/>
              </w:rPr>
            </w:pPr>
            <w:r>
              <w:rPr>
                <w:rFonts w:hint="eastAsia" w:ascii="宋体" w:hAnsi="宋体" w:cs="宋体"/>
                <w:color w:val="auto"/>
                <w:szCs w:val="21"/>
                <w:lang w:val="en-US" w:eastAsia="zh-CN"/>
              </w:rPr>
              <w:t>10</w:t>
            </w:r>
            <w:r>
              <w:rPr>
                <w:rFonts w:hint="eastAsia" w:ascii="宋体" w:hAnsi="宋体" w:eastAsia="宋体" w:cs="宋体"/>
                <w:color w:val="auto"/>
                <w:szCs w:val="21"/>
              </w:rPr>
              <w:t>. 投标人代表、</w:t>
            </w:r>
            <w:r>
              <w:rPr>
                <w:rFonts w:hint="eastAsia" w:ascii="宋体" w:hAnsi="宋体" w:cs="宋体"/>
                <w:color w:val="auto"/>
                <w:szCs w:val="21"/>
                <w:lang w:val="en-US" w:eastAsia="zh-CN"/>
              </w:rPr>
              <w:t>招标人</w:t>
            </w:r>
            <w:r>
              <w:rPr>
                <w:rFonts w:hint="eastAsia" w:ascii="宋体" w:hAnsi="宋体" w:eastAsia="宋体" w:cs="宋体"/>
                <w:color w:val="auto"/>
                <w:szCs w:val="21"/>
              </w:rPr>
              <w:t>代表、监标人、主持人、记录人等有关人员在开标记录上签名确认。因其他原因未能签名的，视为默认开标结果。</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开标记录表交由评标委员会评审。</w:t>
            </w:r>
          </w:p>
          <w:p>
            <w:pPr>
              <w:keepNext w:val="0"/>
              <w:keepLines w:val="0"/>
              <w:pageBreakBefore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rPr>
            </w:pPr>
            <w:r>
              <w:rPr>
                <w:rFonts w:hint="eastAsia" w:ascii="宋体" w:hAnsi="宋体" w:cs="宋体"/>
                <w:color w:val="auto"/>
                <w:szCs w:val="21"/>
                <w:lang w:val="en-US" w:eastAsia="zh-CN"/>
              </w:rPr>
              <w:t>11</w:t>
            </w:r>
            <w:r>
              <w:rPr>
                <w:rFonts w:hint="eastAsia" w:ascii="宋体" w:hAnsi="宋体" w:eastAsia="宋体" w:cs="宋体"/>
                <w:color w:val="auto"/>
                <w:szCs w:val="21"/>
              </w:rPr>
              <w:t>. 开标结束。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3"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rPr>
              <w:t>6.1</w:t>
            </w:r>
            <w:r>
              <w:rPr>
                <w:rFonts w:hint="eastAsia" w:ascii="宋体" w:hAnsi="宋体" w:cs="宋体"/>
                <w:color w:val="auto"/>
                <w:kern w:val="0"/>
                <w:szCs w:val="21"/>
                <w:lang w:val="en-US" w:eastAsia="zh-CN"/>
              </w:rPr>
              <w:t>.1</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评标委员会的组建</w:t>
            </w:r>
          </w:p>
        </w:tc>
        <w:tc>
          <w:tcPr>
            <w:tcW w:w="7189" w:type="dxa"/>
            <w:vAlign w:val="center"/>
          </w:tcPr>
          <w:p>
            <w:pPr>
              <w:keepNext w:val="0"/>
              <w:keepLines w:val="0"/>
              <w:pageBreakBefore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kern w:val="0"/>
                <w:szCs w:val="21"/>
              </w:rPr>
            </w:pPr>
            <w:r>
              <w:rPr>
                <w:rFonts w:hint="eastAsia" w:ascii="宋体" w:hAnsi="宋体" w:cs="宋体"/>
                <w:color w:val="auto"/>
                <w:kern w:val="0"/>
                <w:szCs w:val="21"/>
                <w:lang w:eastAsia="zh-CN"/>
              </w:rPr>
              <w:t>1.</w:t>
            </w:r>
            <w:r>
              <w:rPr>
                <w:rFonts w:hint="eastAsia" w:ascii="宋体" w:hAnsi="宋体" w:eastAsia="宋体" w:cs="宋体"/>
                <w:color w:val="auto"/>
                <w:kern w:val="0"/>
                <w:szCs w:val="21"/>
              </w:rPr>
              <w:t>评标委员会构成：</w:t>
            </w:r>
            <w:r>
              <w:rPr>
                <w:rFonts w:hint="eastAsia" w:ascii="宋体" w:hAnsi="宋体" w:eastAsia="宋体" w:cs="宋体"/>
                <w:color w:val="auto"/>
                <w:kern w:val="0"/>
                <w:szCs w:val="21"/>
                <w:u w:val="single"/>
              </w:rPr>
              <w:t xml:space="preserve"> 3 </w:t>
            </w:r>
            <w:r>
              <w:rPr>
                <w:rFonts w:hint="eastAsia" w:ascii="宋体" w:hAnsi="宋体" w:eastAsia="宋体" w:cs="宋体"/>
                <w:color w:val="auto"/>
                <w:kern w:val="0"/>
                <w:szCs w:val="21"/>
              </w:rPr>
              <w:t>人；</w:t>
            </w:r>
          </w:p>
          <w:p>
            <w:pPr>
              <w:keepNext w:val="0"/>
              <w:keepLines w:val="0"/>
              <w:pageBreakBefore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kern w:val="0"/>
                <w:szCs w:val="21"/>
              </w:rPr>
            </w:pPr>
            <w:r>
              <w:rPr>
                <w:rFonts w:hint="eastAsia" w:ascii="宋体" w:hAnsi="宋体" w:cs="宋体"/>
                <w:color w:val="auto"/>
                <w:kern w:val="0"/>
                <w:szCs w:val="21"/>
                <w:lang w:eastAsia="zh-CN"/>
              </w:rPr>
              <w:t>2.</w:t>
            </w:r>
            <w:r>
              <w:rPr>
                <w:rFonts w:hint="eastAsia" w:ascii="宋体" w:hAnsi="宋体" w:eastAsia="宋体" w:cs="宋体"/>
                <w:color w:val="auto"/>
                <w:kern w:val="0"/>
                <w:szCs w:val="21"/>
              </w:rPr>
              <w:t>评标专家确定方式：</w:t>
            </w:r>
            <w:r>
              <w:rPr>
                <w:rFonts w:hint="eastAsia" w:ascii="宋体" w:hAnsi="宋体" w:eastAsia="宋体" w:cs="宋体"/>
                <w:snapToGrid w:val="0"/>
                <w:color w:val="auto"/>
                <w:kern w:val="0"/>
                <w:szCs w:val="21"/>
              </w:rPr>
              <w:t>由</w:t>
            </w:r>
            <w:r>
              <w:rPr>
                <w:rFonts w:hint="eastAsia" w:ascii="宋体" w:hAnsi="宋体" w:cs="宋体"/>
                <w:snapToGrid w:val="0"/>
                <w:color w:val="auto"/>
                <w:kern w:val="0"/>
                <w:szCs w:val="21"/>
                <w:lang w:eastAsia="zh-CN"/>
              </w:rPr>
              <w:t>招标人</w:t>
            </w:r>
            <w:r>
              <w:rPr>
                <w:rFonts w:hint="eastAsia" w:ascii="宋体" w:hAnsi="宋体" w:eastAsia="宋体" w:cs="宋体"/>
                <w:snapToGrid w:val="0"/>
                <w:color w:val="auto"/>
                <w:kern w:val="0"/>
                <w:szCs w:val="21"/>
              </w:rPr>
              <w:t>依法组建</w:t>
            </w:r>
            <w:r>
              <w:rPr>
                <w:rFonts w:hint="eastAsia" w:ascii="宋体" w:hAnsi="宋体" w:eastAsia="宋体" w:cs="宋体"/>
                <w:color w:val="auto"/>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3"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rPr>
              <w:t>7.</w:t>
            </w:r>
            <w:r>
              <w:rPr>
                <w:rFonts w:hint="eastAsia" w:ascii="宋体" w:hAnsi="宋体" w:cs="宋体"/>
                <w:color w:val="auto"/>
                <w:kern w:val="0"/>
                <w:szCs w:val="21"/>
                <w:lang w:val="en-US" w:eastAsia="zh-CN"/>
              </w:rPr>
              <w:t>1</w:t>
            </w:r>
          </w:p>
        </w:tc>
        <w:tc>
          <w:tcPr>
            <w:tcW w:w="1500" w:type="dxa"/>
            <w:vAlign w:val="center"/>
          </w:tcPr>
          <w:p>
            <w:pPr>
              <w:keepNext w:val="0"/>
              <w:keepLines w:val="0"/>
              <w:pageBreakBefore w:val="0"/>
              <w:kinsoku/>
              <w:wordWrap/>
              <w:overflowPunct/>
              <w:topLinePunct w:val="0"/>
              <w:autoSpaceDE/>
              <w:autoSpaceDN/>
              <w:bidi w:val="0"/>
              <w:adjustRightInd/>
              <w:snapToGrid w:val="0"/>
              <w:spacing w:after="48" w:afterLines="20"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中标公示</w:t>
            </w:r>
          </w:p>
        </w:tc>
        <w:tc>
          <w:tcPr>
            <w:tcW w:w="7189" w:type="dxa"/>
            <w:vAlign w:val="center"/>
          </w:tcPr>
          <w:p>
            <w:pPr>
              <w:keepNext w:val="0"/>
              <w:keepLines w:val="0"/>
              <w:pageBreakBefore w:val="0"/>
              <w:kinsoku/>
              <w:wordWrap/>
              <w:overflowPunct/>
              <w:topLinePunct w:val="0"/>
              <w:autoSpaceDE/>
              <w:autoSpaceDN/>
              <w:bidi w:val="0"/>
              <w:adjustRightInd/>
              <w:snapToGrid w:val="0"/>
              <w:spacing w:line="400" w:lineRule="exact"/>
              <w:ind w:firstLine="210" w:firstLineChars="100"/>
              <w:textAlignment w:val="auto"/>
              <w:rPr>
                <w:rFonts w:hint="eastAsia" w:ascii="宋体" w:hAnsi="宋体" w:eastAsia="宋体" w:cs="宋体"/>
                <w:color w:val="auto"/>
                <w:szCs w:val="21"/>
              </w:rPr>
            </w:pPr>
            <w:r>
              <w:rPr>
                <w:rFonts w:hint="eastAsia" w:ascii="宋体" w:hAnsi="宋体" w:cs="宋体"/>
                <w:color w:val="auto"/>
                <w:szCs w:val="21"/>
                <w:lang w:eastAsia="zh-CN"/>
              </w:rPr>
              <w:t>招标人</w:t>
            </w:r>
            <w:r>
              <w:rPr>
                <w:rFonts w:hint="eastAsia" w:ascii="宋体" w:hAnsi="宋体" w:eastAsia="宋体" w:cs="宋体"/>
                <w:color w:val="auto"/>
                <w:szCs w:val="21"/>
              </w:rPr>
              <w:t>在收到评标报告后3日内将评标结果在</w:t>
            </w:r>
            <w:r>
              <w:rPr>
                <w:rFonts w:hint="eastAsia" w:ascii="宋体" w:hAnsi="宋体" w:eastAsia="宋体" w:cs="宋体"/>
                <w:color w:val="auto"/>
                <w:szCs w:val="21"/>
                <w:lang w:eastAsia="zh-CN"/>
              </w:rPr>
              <w:t>重庆市铜梁区人民政府网（http://www.cqstl.gov.cn</w:t>
            </w:r>
            <w:r>
              <w:rPr>
                <w:rFonts w:hint="eastAsia" w:ascii="宋体" w:hAnsi="宋体" w:cs="宋体"/>
                <w:color w:val="auto"/>
                <w:szCs w:val="21"/>
                <w:lang w:eastAsia="zh-CN"/>
              </w:rPr>
              <w:t>）</w:t>
            </w:r>
            <w:r>
              <w:rPr>
                <w:rFonts w:hint="eastAsia" w:ascii="宋体" w:hAnsi="宋体" w:eastAsia="宋体" w:cs="宋体"/>
                <w:color w:val="auto"/>
                <w:szCs w:val="21"/>
              </w:rPr>
              <w:t>进行公示，公示期为3日。为深化信息公开，接受社会监督，公示内容包括中标候选人名称、排序、投标报价、质量、工期。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3"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7.</w:t>
            </w:r>
            <w:r>
              <w:rPr>
                <w:rFonts w:hint="eastAsia" w:ascii="宋体" w:hAnsi="宋体" w:cs="宋体"/>
                <w:color w:val="auto"/>
                <w:kern w:val="0"/>
                <w:szCs w:val="21"/>
                <w:lang w:val="en-US" w:eastAsia="zh-CN"/>
              </w:rPr>
              <w:t>2</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是否授权评标委员会确定中标人</w:t>
            </w:r>
          </w:p>
        </w:tc>
        <w:tc>
          <w:tcPr>
            <w:tcW w:w="7189" w:type="dxa"/>
            <w:vAlign w:val="center"/>
          </w:tcPr>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szCs w:val="21"/>
                <w:lang w:val="en-US"/>
              </w:rPr>
            </w:pPr>
            <w:r>
              <w:rPr>
                <w:rFonts w:ascii="宋体" w:hAnsi="宋体"/>
                <w:color w:val="auto"/>
                <w:kern w:val="0"/>
                <w:szCs w:val="21"/>
              </w:rPr>
              <w:t>否，推荐经评审合格的</w:t>
            </w:r>
            <w:r>
              <w:rPr>
                <w:rFonts w:hint="eastAsia" w:ascii="宋体" w:hAnsi="宋体"/>
                <w:color w:val="auto"/>
                <w:kern w:val="0"/>
                <w:szCs w:val="21"/>
              </w:rPr>
              <w:t>报价</w:t>
            </w:r>
            <w:r>
              <w:rPr>
                <w:rFonts w:ascii="宋体" w:hAnsi="宋体"/>
                <w:color w:val="auto"/>
                <w:kern w:val="0"/>
                <w:szCs w:val="21"/>
              </w:rPr>
              <w:t>由低到高排名前</w:t>
            </w:r>
            <w:r>
              <w:rPr>
                <w:rFonts w:hint="eastAsia" w:ascii="宋体" w:hAnsi="宋体"/>
                <w:color w:val="auto"/>
                <w:kern w:val="0"/>
                <w:szCs w:val="21"/>
              </w:rPr>
              <w:t>1~3</w:t>
            </w:r>
            <w:r>
              <w:rPr>
                <w:rFonts w:ascii="宋体" w:hAnsi="宋体"/>
                <w:color w:val="auto"/>
                <w:kern w:val="0"/>
                <w:szCs w:val="21"/>
              </w:rPr>
              <w:t>名为中标候选人。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3"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rPr>
              <w:t>7.</w:t>
            </w:r>
            <w:r>
              <w:rPr>
                <w:rFonts w:hint="eastAsia" w:ascii="宋体" w:hAnsi="宋体" w:cs="宋体"/>
                <w:color w:val="auto"/>
                <w:kern w:val="0"/>
                <w:szCs w:val="21"/>
                <w:lang w:val="en-US" w:eastAsia="zh-CN"/>
              </w:rPr>
              <w:t>3</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履约担保</w:t>
            </w:r>
          </w:p>
        </w:tc>
        <w:tc>
          <w:tcPr>
            <w:tcW w:w="7189" w:type="dxa"/>
            <w:vAlign w:val="center"/>
          </w:tcPr>
          <w:p>
            <w:pPr>
              <w:keepNext w:val="0"/>
              <w:keepLines w:val="0"/>
              <w:pageBreakBefore w:val="0"/>
              <w:kinsoku/>
              <w:wordWrap/>
              <w:overflowPunct/>
              <w:topLinePunct w:val="0"/>
              <w:autoSpaceDE/>
              <w:autoSpaceDN/>
              <w:bidi w:val="0"/>
              <w:adjustRightInd/>
              <w:snapToGrid w:val="0"/>
              <w:spacing w:line="400" w:lineRule="exact"/>
              <w:ind w:firstLine="210" w:firstLineChars="100"/>
              <w:textAlignment w:val="auto"/>
              <w:rPr>
                <w:rFonts w:hint="eastAsia" w:ascii="宋体" w:hAnsi="宋体" w:eastAsia="宋体" w:cs="宋体"/>
                <w:color w:val="auto"/>
                <w:szCs w:val="21"/>
                <w:lang w:val="en-US"/>
              </w:rPr>
            </w:pPr>
            <w:r>
              <w:rPr>
                <w:rFonts w:hint="eastAsia" w:ascii="宋体" w:hAnsi="宋体" w:eastAsia="宋体" w:cs="宋体"/>
                <w:color w:val="auto"/>
                <w:szCs w:val="21"/>
                <w:lang w:val="en-US"/>
              </w:rPr>
              <w:t>1.担保形式：履约保证金</w:t>
            </w:r>
          </w:p>
          <w:p>
            <w:pPr>
              <w:keepNext w:val="0"/>
              <w:keepLines w:val="0"/>
              <w:pageBreakBefore w:val="0"/>
              <w:kinsoku/>
              <w:wordWrap/>
              <w:overflowPunct/>
              <w:topLinePunct w:val="0"/>
              <w:autoSpaceDE/>
              <w:autoSpaceDN/>
              <w:bidi w:val="0"/>
              <w:adjustRightInd/>
              <w:snapToGrid w:val="0"/>
              <w:spacing w:line="400" w:lineRule="exact"/>
              <w:ind w:firstLine="210" w:firstLineChars="100"/>
              <w:textAlignment w:val="auto"/>
              <w:rPr>
                <w:rFonts w:hint="eastAsia" w:ascii="宋体" w:hAnsi="宋体" w:eastAsia="宋体" w:cs="宋体"/>
                <w:color w:val="auto"/>
                <w:szCs w:val="21"/>
                <w:lang w:val="en-US"/>
              </w:rPr>
            </w:pPr>
            <w:r>
              <w:rPr>
                <w:rFonts w:hint="eastAsia" w:ascii="宋体" w:hAnsi="宋体" w:eastAsia="宋体" w:cs="宋体"/>
                <w:color w:val="auto"/>
                <w:szCs w:val="21"/>
                <w:lang w:val="en-US"/>
              </w:rPr>
              <w:t>2.金额：</w:t>
            </w:r>
            <w:r>
              <w:rPr>
                <w:rFonts w:hint="eastAsia" w:ascii="宋体" w:hAnsi="宋体" w:eastAsia="宋体" w:cs="宋体"/>
                <w:color w:val="auto"/>
                <w:szCs w:val="21"/>
                <w:lang w:val="en-US" w:eastAsia="zh-CN"/>
              </w:rPr>
              <w:t>中标合同金额</w:t>
            </w:r>
            <w:r>
              <w:rPr>
                <w:rFonts w:hint="eastAsia" w:ascii="宋体" w:hAnsi="宋体" w:eastAsia="宋体" w:cs="宋体"/>
                <w:color w:val="auto"/>
                <w:szCs w:val="21"/>
                <w:lang w:val="en-US"/>
              </w:rPr>
              <w:t>的10%</w:t>
            </w:r>
          </w:p>
          <w:p>
            <w:pPr>
              <w:keepNext w:val="0"/>
              <w:keepLines w:val="0"/>
              <w:pageBreakBefore w:val="0"/>
              <w:kinsoku/>
              <w:wordWrap/>
              <w:overflowPunct/>
              <w:topLinePunct w:val="0"/>
              <w:autoSpaceDE/>
              <w:autoSpaceDN/>
              <w:bidi w:val="0"/>
              <w:adjustRightInd/>
              <w:snapToGrid w:val="0"/>
              <w:spacing w:line="400" w:lineRule="exact"/>
              <w:ind w:firstLine="210" w:firstLineChars="100"/>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rPr>
              <w:t>3.</w:t>
            </w:r>
            <w:r>
              <w:rPr>
                <w:rFonts w:hint="eastAsia" w:ascii="宋体" w:hAnsi="宋体" w:cs="宋体"/>
                <w:color w:val="auto"/>
                <w:szCs w:val="21"/>
                <w:lang w:val="en-US" w:eastAsia="zh-CN"/>
              </w:rPr>
              <w:t>提交方式：现金或履约保函或现金+履约保函的组合；采用履约保函形式的，保函必须为不可撤销且见索即付</w:t>
            </w:r>
          </w:p>
          <w:p>
            <w:pPr>
              <w:keepNext w:val="0"/>
              <w:keepLines w:val="0"/>
              <w:pageBreakBefore w:val="0"/>
              <w:kinsoku/>
              <w:wordWrap/>
              <w:overflowPunct/>
              <w:topLinePunct w:val="0"/>
              <w:autoSpaceDE/>
              <w:autoSpaceDN/>
              <w:bidi w:val="0"/>
              <w:adjustRightInd/>
              <w:snapToGrid w:val="0"/>
              <w:spacing w:line="400" w:lineRule="exact"/>
              <w:ind w:firstLine="210" w:firstLineChars="100"/>
              <w:textAlignment w:val="auto"/>
              <w:rPr>
                <w:rFonts w:hint="eastAsia" w:ascii="宋体" w:hAnsi="宋体" w:eastAsia="宋体" w:cs="宋体"/>
                <w:color w:val="auto"/>
                <w:szCs w:val="21"/>
                <w:lang w:val="en-US"/>
              </w:rPr>
            </w:pPr>
            <w:r>
              <w:rPr>
                <w:rFonts w:hint="eastAsia" w:ascii="宋体" w:hAnsi="宋体" w:eastAsia="宋体" w:cs="宋体"/>
                <w:color w:val="auto"/>
                <w:szCs w:val="21"/>
                <w:lang w:val="en-US"/>
              </w:rPr>
              <w:t>4.缴纳时间：中标人收到中标通知书后5个工作日内且在合同签订前，提交至</w:t>
            </w:r>
            <w:r>
              <w:rPr>
                <w:rFonts w:hint="eastAsia" w:ascii="宋体" w:hAnsi="宋体" w:cs="宋体"/>
                <w:color w:val="auto"/>
                <w:szCs w:val="21"/>
                <w:lang w:val="en-US" w:eastAsia="zh-CN"/>
              </w:rPr>
              <w:t>招标人</w:t>
            </w:r>
            <w:r>
              <w:rPr>
                <w:rFonts w:hint="eastAsia" w:ascii="宋体" w:hAnsi="宋体" w:eastAsia="宋体" w:cs="宋体"/>
                <w:color w:val="auto"/>
                <w:szCs w:val="21"/>
                <w:lang w:val="en-US"/>
              </w:rPr>
              <w:t>指定账户；若未按时提交，则视为中标人放弃中标。其投标保证金不予退还。给</w:t>
            </w:r>
            <w:r>
              <w:rPr>
                <w:rFonts w:hint="eastAsia" w:ascii="宋体" w:hAnsi="宋体" w:cs="宋体"/>
                <w:color w:val="auto"/>
                <w:szCs w:val="21"/>
                <w:lang w:val="en-US" w:eastAsia="zh-CN"/>
              </w:rPr>
              <w:t>招标人</w:t>
            </w:r>
            <w:r>
              <w:rPr>
                <w:rFonts w:hint="eastAsia" w:ascii="宋体" w:hAnsi="宋体" w:eastAsia="宋体" w:cs="宋体"/>
                <w:color w:val="auto"/>
                <w:szCs w:val="21"/>
                <w:lang w:val="en-US"/>
              </w:rPr>
              <w:t>造成的损失超过投标保证金数额的，中标人还应当对超过部分予以赔偿。</w:t>
            </w:r>
          </w:p>
          <w:p>
            <w:pPr>
              <w:keepNext w:val="0"/>
              <w:keepLines w:val="0"/>
              <w:pageBreakBefore w:val="0"/>
              <w:kinsoku/>
              <w:wordWrap/>
              <w:overflowPunct/>
              <w:topLinePunct w:val="0"/>
              <w:autoSpaceDE/>
              <w:autoSpaceDN/>
              <w:bidi w:val="0"/>
              <w:adjustRightInd/>
              <w:snapToGrid w:val="0"/>
              <w:spacing w:line="400" w:lineRule="exact"/>
              <w:ind w:firstLine="210" w:firstLineChars="100"/>
              <w:textAlignment w:val="auto"/>
              <w:rPr>
                <w:rFonts w:hint="eastAsia" w:ascii="宋体" w:hAnsi="宋体" w:eastAsia="宋体" w:cs="宋体"/>
                <w:color w:val="auto"/>
                <w:szCs w:val="21"/>
                <w:highlight w:val="yellow"/>
                <w:lang w:val="en-US"/>
              </w:rPr>
            </w:pPr>
            <w:r>
              <w:rPr>
                <w:rFonts w:hint="eastAsia" w:ascii="宋体" w:hAnsi="宋体" w:eastAsia="宋体" w:cs="宋体"/>
                <w:color w:val="auto"/>
                <w:szCs w:val="21"/>
                <w:lang w:val="en-US"/>
              </w:rPr>
              <w:t>5.履约保证金的退还：</w:t>
            </w:r>
            <w:r>
              <w:rPr>
                <w:rFonts w:hint="eastAsia" w:ascii="宋体" w:hAnsi="宋体" w:cs="宋体"/>
                <w:color w:val="auto"/>
                <w:kern w:val="0"/>
                <w:szCs w:val="21"/>
              </w:rPr>
              <w:t>工程竣工验收合格后28日内一次性不计息返还。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3"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b/>
                <w:color w:val="auto"/>
                <w:kern w:val="0"/>
                <w:szCs w:val="21"/>
                <w:lang w:eastAsia="zh-CN"/>
              </w:rPr>
            </w:pPr>
            <w:r>
              <w:rPr>
                <w:rFonts w:hint="eastAsia" w:ascii="宋体" w:hAnsi="宋体" w:cs="宋体"/>
                <w:b/>
                <w:color w:val="auto"/>
                <w:kern w:val="0"/>
                <w:szCs w:val="21"/>
                <w:lang w:val="en-US" w:eastAsia="zh-CN"/>
              </w:rPr>
              <w:t>8</w:t>
            </w:r>
          </w:p>
        </w:tc>
        <w:tc>
          <w:tcPr>
            <w:tcW w:w="8689" w:type="dxa"/>
            <w:gridSpan w:val="2"/>
            <w:vAlign w:val="center"/>
          </w:tcPr>
          <w:p>
            <w:pPr>
              <w:keepNext w:val="0"/>
              <w:keepLines w:val="0"/>
              <w:pageBreakBefore w:val="0"/>
              <w:tabs>
                <w:tab w:val="left" w:pos="1502"/>
              </w:tabs>
              <w:kinsoku/>
              <w:wordWrap/>
              <w:overflowPunct/>
              <w:topLinePunct w:val="0"/>
              <w:autoSpaceDE/>
              <w:autoSpaceDN/>
              <w:bidi w:val="0"/>
              <w:adjustRightInd/>
              <w:snapToGrid w:val="0"/>
              <w:spacing w:line="400" w:lineRule="exact"/>
              <w:jc w:val="center"/>
              <w:textAlignment w:val="auto"/>
              <w:rPr>
                <w:rFonts w:hint="eastAsia" w:ascii="宋体" w:hAnsi="宋体" w:eastAsia="宋体" w:cs="宋体"/>
                <w:b/>
                <w:color w:val="auto"/>
                <w:kern w:val="0"/>
                <w:szCs w:val="21"/>
              </w:rPr>
            </w:pPr>
            <w:r>
              <w:rPr>
                <w:rFonts w:hint="eastAsia" w:ascii="宋体" w:hAnsi="宋体" w:eastAsia="宋体" w:cs="宋体"/>
                <w:b/>
                <w:color w:val="auto"/>
                <w:kern w:val="0"/>
                <w:szCs w:val="21"/>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8.1</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工程款支付</w:t>
            </w:r>
          </w:p>
        </w:tc>
        <w:tc>
          <w:tcPr>
            <w:tcW w:w="7189" w:type="dxa"/>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color w:val="auto"/>
                <w:lang w:eastAsia="zh-CN"/>
              </w:rPr>
            </w:pPr>
            <w:r>
              <w:rPr>
                <w:rFonts w:hint="eastAsia" w:ascii="宋体" w:hAnsi="宋体" w:cs="宋体"/>
                <w:color w:val="auto"/>
                <w:szCs w:val="21"/>
                <w:lang w:eastAsia="zh-CN"/>
              </w:rPr>
              <w:t>本工程无预付款，竣工验收合格资金到位后支付至审定金额的97％，余下审定金额的3%作为工程质保金，缺陷责任期满后如无质量问题一次性无息付清。缺陷责任期为1年，从工程竣工验收合格之日起计算。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8.2</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lang w:val="en-US" w:eastAsia="zh-CN"/>
              </w:rPr>
            </w:pPr>
            <w:r>
              <w:rPr>
                <w:rFonts w:hint="eastAsia" w:ascii="宋体" w:hAnsi="宋体" w:cs="宋体"/>
                <w:color w:val="auto"/>
                <w:kern w:val="0"/>
                <w:szCs w:val="21"/>
                <w:lang w:val="en-US" w:eastAsia="zh-CN"/>
              </w:rPr>
              <w:t>其他</w:t>
            </w:r>
          </w:p>
        </w:tc>
        <w:tc>
          <w:tcPr>
            <w:tcW w:w="7189" w:type="dxa"/>
            <w:vAlign w:val="center"/>
          </w:tcPr>
          <w:p>
            <w:pPr>
              <w:pStyle w:val="64"/>
              <w:ind w:left="0" w:leftChars="0" w:firstLine="2100" w:firstLineChars="1000"/>
              <w:rPr>
                <w:rFonts w:hint="eastAsia" w:eastAsia="宋体"/>
                <w:color w:val="auto"/>
                <w:lang w:val="en-US" w:eastAsia="zh-CN"/>
              </w:rPr>
            </w:pPr>
            <w:r>
              <w:rPr>
                <w:rFonts w:hint="eastAsia"/>
                <w:color w:val="auto"/>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color w:val="auto"/>
                <w:kern w:val="0"/>
                <w:sz w:val="21"/>
                <w:szCs w:val="21"/>
                <w:lang w:val="en-US" w:eastAsia="zh-CN" w:bidi="ar-SA"/>
              </w:rPr>
            </w:pPr>
            <w:bookmarkStart w:id="34" w:name="_Toc287607746"/>
            <w:bookmarkStart w:id="35" w:name="_Toc386029647"/>
            <w:bookmarkStart w:id="36" w:name="_Toc224103317"/>
            <w:bookmarkStart w:id="37" w:name="_Toc452058682"/>
            <w:bookmarkStart w:id="38" w:name="_Toc200513126"/>
            <w:bookmarkStart w:id="39" w:name="_Toc909"/>
            <w:bookmarkStart w:id="40" w:name="_Toc13995"/>
            <w:bookmarkStart w:id="41" w:name="_Toc277082552"/>
            <w:r>
              <w:rPr>
                <w:rFonts w:hint="eastAsia" w:ascii="宋体" w:hAnsi="宋体" w:cs="宋体"/>
                <w:color w:val="auto"/>
                <w:kern w:val="0"/>
                <w:szCs w:val="21"/>
                <w:lang w:val="en-US" w:eastAsia="zh-CN"/>
              </w:rPr>
              <w:t>8.3</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比选代理</w:t>
            </w:r>
          </w:p>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Cs w:val="21"/>
              </w:rPr>
              <w:t>服务费</w:t>
            </w:r>
          </w:p>
        </w:tc>
        <w:tc>
          <w:tcPr>
            <w:tcW w:w="7189" w:type="dxa"/>
            <w:vAlign w:val="center"/>
          </w:tcPr>
          <w:p>
            <w:pPr>
              <w:keepNext w:val="0"/>
              <w:keepLines w:val="0"/>
              <w:pageBreakBefore w:val="0"/>
              <w:kinsoku/>
              <w:wordWrap/>
              <w:overflowPunct/>
              <w:topLinePunct w:val="0"/>
              <w:autoSpaceDE/>
              <w:autoSpaceDN/>
              <w:bidi w:val="0"/>
              <w:adjustRightInd/>
              <w:snapToGrid w:val="0"/>
              <w:spacing w:line="400" w:lineRule="exact"/>
              <w:ind w:firstLine="105" w:firstLineChars="50"/>
              <w:textAlignment w:val="auto"/>
              <w:rPr>
                <w:rFonts w:hint="eastAsia" w:ascii="宋体" w:hAnsi="宋体" w:eastAsia="宋体" w:cs="宋体"/>
                <w:color w:val="auto"/>
                <w:kern w:val="0"/>
                <w:szCs w:val="21"/>
              </w:rPr>
            </w:pPr>
            <w:r>
              <w:rPr>
                <w:rFonts w:hint="eastAsia" w:ascii="宋体" w:hAnsi="宋体" w:eastAsia="宋体" w:cs="宋体"/>
                <w:color w:val="auto"/>
                <w:szCs w:val="21"/>
              </w:rPr>
              <w:t>1</w:t>
            </w:r>
            <w:r>
              <w:rPr>
                <w:rFonts w:hint="eastAsia" w:ascii="宋体" w:hAnsi="宋体" w:eastAsia="宋体" w:cs="宋体"/>
                <w:color w:val="auto"/>
                <w:kern w:val="0"/>
                <w:szCs w:val="21"/>
              </w:rPr>
              <w:t>.本项目招标代理服务费由中标人支付。</w:t>
            </w:r>
          </w:p>
          <w:p>
            <w:pPr>
              <w:keepNext w:val="0"/>
              <w:keepLines w:val="0"/>
              <w:pageBreakBefore w:val="0"/>
              <w:kinsoku/>
              <w:wordWrap/>
              <w:overflowPunct/>
              <w:topLinePunct w:val="0"/>
              <w:autoSpaceDE/>
              <w:autoSpaceDN/>
              <w:bidi w:val="0"/>
              <w:adjustRightInd/>
              <w:snapToGrid w:val="0"/>
              <w:spacing w:line="400" w:lineRule="exact"/>
              <w:ind w:firstLine="105" w:firstLineChars="5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rPr>
              <w:t>2.比选代理服务费金额：</w:t>
            </w:r>
            <w:r>
              <w:rPr>
                <w:rFonts w:hint="eastAsia" w:ascii="宋体" w:hAnsi="宋体" w:cs="宋体"/>
                <w:b/>
                <w:bCs/>
                <w:color w:val="auto"/>
                <w:kern w:val="0"/>
                <w:szCs w:val="21"/>
                <w:highlight w:val="none"/>
                <w:lang w:val="en-US" w:eastAsia="zh-CN"/>
              </w:rPr>
              <w:t>3000</w:t>
            </w:r>
            <w:r>
              <w:rPr>
                <w:rFonts w:hint="eastAsia" w:ascii="宋体" w:hAnsi="宋体" w:eastAsia="宋体" w:cs="宋体"/>
                <w:b/>
                <w:color w:val="auto"/>
                <w:kern w:val="0"/>
                <w:szCs w:val="21"/>
                <w:highlight w:val="none"/>
              </w:rPr>
              <w:t>元（大写：</w:t>
            </w:r>
            <w:r>
              <w:rPr>
                <w:rFonts w:hint="eastAsia" w:ascii="宋体" w:hAnsi="宋体" w:cs="宋体"/>
                <w:b/>
                <w:color w:val="auto"/>
                <w:kern w:val="0"/>
                <w:szCs w:val="21"/>
                <w:highlight w:val="none"/>
                <w:lang w:eastAsia="zh-CN"/>
              </w:rPr>
              <w:t>叁仟元整</w:t>
            </w:r>
            <w:r>
              <w:rPr>
                <w:rFonts w:hint="eastAsia" w:ascii="宋体" w:hAnsi="宋体" w:eastAsia="宋体" w:cs="宋体"/>
                <w:b/>
                <w:color w:val="auto"/>
                <w:kern w:val="0"/>
                <w:szCs w:val="21"/>
                <w:highlight w:val="none"/>
              </w:rPr>
              <w:t>）。</w:t>
            </w:r>
          </w:p>
          <w:p>
            <w:pPr>
              <w:keepNext w:val="0"/>
              <w:keepLines w:val="0"/>
              <w:pageBreakBefore w:val="0"/>
              <w:kinsoku/>
              <w:wordWrap/>
              <w:overflowPunct/>
              <w:topLinePunct w:val="0"/>
              <w:autoSpaceDE/>
              <w:autoSpaceDN/>
              <w:bidi w:val="0"/>
              <w:adjustRightInd/>
              <w:snapToGrid w:val="0"/>
              <w:spacing w:line="400" w:lineRule="exact"/>
              <w:ind w:firstLine="105" w:firstLineChars="50"/>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3.支付时间：在中标通知书发出前由中标人一次性支付比选代理机构。</w:t>
            </w:r>
          </w:p>
          <w:p>
            <w:pPr>
              <w:pStyle w:val="64"/>
              <w:ind w:left="0" w:leftChars="0" w:firstLine="0" w:firstLineChars="0"/>
              <w:rPr>
                <w:rFonts w:hint="eastAsia" w:ascii="Calibri" w:hAnsi="Calibri" w:eastAsia="宋体" w:cs="Times New Roman"/>
                <w:color w:val="auto"/>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atLeast"/>
          <w:jc w:val="center"/>
        </w:trPr>
        <w:tc>
          <w:tcPr>
            <w:tcW w:w="1135" w:type="dxa"/>
            <w:vAlign w:val="center"/>
          </w:tcPr>
          <w:p>
            <w:pPr>
              <w:snapToGrid w:val="0"/>
              <w:spacing w:line="400" w:lineRule="exact"/>
              <w:jc w:val="center"/>
              <w:rPr>
                <w:rFonts w:hint="default" w:ascii="宋体" w:hAnsi="宋体" w:eastAsia="宋体" w:cs="宋体"/>
                <w:color w:val="auto"/>
                <w:kern w:val="0"/>
                <w:sz w:val="21"/>
                <w:szCs w:val="21"/>
                <w:lang w:val="en-US" w:eastAsia="zh-CN" w:bidi="ar-SA"/>
              </w:rPr>
            </w:pPr>
            <w:r>
              <w:rPr>
                <w:rFonts w:hint="eastAsia" w:ascii="宋体" w:hAnsi="宋体" w:cs="宋体"/>
                <w:color w:val="auto"/>
                <w:kern w:val="0"/>
                <w:szCs w:val="21"/>
                <w:highlight w:val="none"/>
                <w:lang w:val="en-US" w:eastAsia="zh-CN"/>
              </w:rPr>
              <w:t>8.4</w:t>
            </w:r>
          </w:p>
        </w:tc>
        <w:tc>
          <w:tcPr>
            <w:tcW w:w="1500" w:type="dxa"/>
            <w:vAlign w:val="center"/>
          </w:tcPr>
          <w:p>
            <w:pPr>
              <w:snapToGrid w:val="0"/>
              <w:spacing w:line="400" w:lineRule="exact"/>
              <w:jc w:val="center"/>
              <w:rPr>
                <w:rFonts w:hint="eastAsia" w:ascii="宋体" w:hAnsi="宋体" w:eastAsia="宋体" w:cs="宋体"/>
                <w:color w:val="auto"/>
                <w:kern w:val="0"/>
                <w:sz w:val="21"/>
                <w:szCs w:val="21"/>
                <w:lang w:val="en-US" w:eastAsia="zh-CN" w:bidi="ar-SA"/>
              </w:rPr>
            </w:pPr>
            <w:r>
              <w:rPr>
                <w:rFonts w:hint="eastAsia" w:ascii="宋体" w:hAnsi="宋体" w:cs="宋体"/>
                <w:color w:val="auto"/>
                <w:kern w:val="0"/>
                <w:szCs w:val="21"/>
                <w:highlight w:val="none"/>
              </w:rPr>
              <w:t>重新招标</w:t>
            </w:r>
            <w:r>
              <w:rPr>
                <w:rFonts w:hint="eastAsia" w:ascii="宋体" w:hAnsi="宋体" w:cs="宋体"/>
                <w:color w:val="auto"/>
                <w:kern w:val="0"/>
                <w:szCs w:val="21"/>
                <w:highlight w:val="none"/>
                <w:lang w:val="en-US" w:eastAsia="zh-CN"/>
              </w:rPr>
              <w:t>的情形</w:t>
            </w:r>
          </w:p>
        </w:tc>
        <w:tc>
          <w:tcPr>
            <w:tcW w:w="7189" w:type="dxa"/>
            <w:vAlign w:val="center"/>
          </w:tcPr>
          <w:p>
            <w:pPr>
              <w:autoSpaceDE w:val="0"/>
              <w:autoSpaceDN w:val="0"/>
              <w:adjustRightInd w:val="0"/>
              <w:snapToGrid w:val="0"/>
              <w:spacing w:line="400" w:lineRule="exact"/>
              <w:ind w:firstLine="420" w:firstLineChars="20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有下列情形之一的，招标人将重新招标：</w:t>
            </w:r>
          </w:p>
          <w:p>
            <w:pPr>
              <w:autoSpaceDE w:val="0"/>
              <w:autoSpaceDN w:val="0"/>
              <w:adjustRightInd w:val="0"/>
              <w:snapToGrid w:val="0"/>
              <w:spacing w:line="400" w:lineRule="exact"/>
              <w:ind w:firstLine="420" w:firstLineChars="20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（1）投标截止时间止，投标人少于 3 个的；</w:t>
            </w:r>
          </w:p>
          <w:p>
            <w:pPr>
              <w:autoSpaceDE w:val="0"/>
              <w:autoSpaceDN w:val="0"/>
              <w:adjustRightInd w:val="0"/>
              <w:snapToGrid w:val="0"/>
              <w:spacing w:line="400" w:lineRule="exact"/>
              <w:ind w:firstLine="420" w:firstLineChars="20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（2）经评标委员会评审后否决所有投标的；</w:t>
            </w:r>
          </w:p>
          <w:p>
            <w:pPr>
              <w:autoSpaceDE w:val="0"/>
              <w:autoSpaceDN w:val="0"/>
              <w:adjustRightInd w:val="0"/>
              <w:snapToGrid w:val="0"/>
              <w:spacing w:line="400" w:lineRule="exact"/>
              <w:ind w:firstLine="420" w:firstLineChars="20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3）经评标委员会评审后部分投标被否决，导致有效投标人不足三个的，评标委员会应当否决所有投标。但是有效投标人的经济、技术等指标仍然具有市场竞争力，能够满足招标文件要求的，评标委员会可以继续评标并确定中标候选人；</w:t>
            </w:r>
          </w:p>
          <w:p>
            <w:pPr>
              <w:autoSpaceDE w:val="0"/>
              <w:autoSpaceDN w:val="0"/>
              <w:adjustRightInd w:val="0"/>
              <w:snapToGrid w:val="0"/>
              <w:spacing w:line="400" w:lineRule="exact"/>
              <w:ind w:firstLine="420" w:firstLineChars="20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（4）法律法规规定的其他情形。</w:t>
            </w:r>
          </w:p>
          <w:p>
            <w:pPr>
              <w:autoSpaceDE w:val="0"/>
              <w:autoSpaceDN w:val="0"/>
              <w:adjustRightInd w:val="0"/>
              <w:snapToGrid w:val="0"/>
              <w:spacing w:line="400" w:lineRule="exact"/>
              <w:ind w:firstLine="420" w:firstLineChars="200"/>
              <w:rPr>
                <w:rFonts w:hint="eastAsia" w:ascii="宋体" w:hAnsi="宋体" w:eastAsia="宋体" w:cs="宋体"/>
                <w:color w:val="auto"/>
                <w:kern w:val="0"/>
                <w:sz w:val="21"/>
                <w:szCs w:val="21"/>
                <w:lang w:val="en-US" w:eastAsia="zh-CN" w:bidi="ar-SA"/>
              </w:rPr>
            </w:pPr>
            <w:r>
              <w:rPr>
                <w:rFonts w:hint="eastAsia" w:ascii="宋体" w:hAnsi="宋体" w:cs="宋体"/>
                <w:snapToGrid w:val="0"/>
                <w:color w:val="auto"/>
                <w:kern w:val="0"/>
                <w:szCs w:val="21"/>
                <w:highlight w:val="none"/>
              </w:rPr>
              <w:t>注：本款只适用于首次招标。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atLeast"/>
          <w:jc w:val="center"/>
        </w:trPr>
        <w:tc>
          <w:tcPr>
            <w:tcW w:w="1135" w:type="dxa"/>
            <w:vAlign w:val="center"/>
          </w:tcPr>
          <w:p>
            <w:pPr>
              <w:snapToGrid w:val="0"/>
              <w:spacing w:line="400" w:lineRule="exact"/>
              <w:jc w:val="center"/>
              <w:rPr>
                <w:rFonts w:hint="default" w:ascii="宋体" w:hAnsi="宋体" w:eastAsia="宋体" w:cs="宋体"/>
                <w:color w:val="auto"/>
                <w:kern w:val="0"/>
                <w:sz w:val="21"/>
                <w:szCs w:val="21"/>
                <w:lang w:val="en-US" w:eastAsia="zh-CN" w:bidi="ar-SA"/>
              </w:rPr>
            </w:pPr>
            <w:r>
              <w:rPr>
                <w:rFonts w:hint="eastAsia" w:ascii="宋体" w:hAnsi="宋体" w:cs="宋体"/>
                <w:color w:val="auto"/>
                <w:kern w:val="0"/>
                <w:szCs w:val="21"/>
                <w:highlight w:val="none"/>
                <w:lang w:val="en-US" w:eastAsia="zh-CN"/>
              </w:rPr>
              <w:t>8.5</w:t>
            </w:r>
          </w:p>
        </w:tc>
        <w:tc>
          <w:tcPr>
            <w:tcW w:w="1500" w:type="dxa"/>
            <w:vAlign w:val="center"/>
          </w:tcPr>
          <w:p>
            <w:pPr>
              <w:snapToGrid w:val="0"/>
              <w:spacing w:line="400" w:lineRule="exact"/>
              <w:jc w:val="center"/>
              <w:rPr>
                <w:rFonts w:hint="eastAsia" w:ascii="宋体" w:hAnsi="宋体" w:eastAsia="宋体" w:cs="宋体"/>
                <w:color w:val="auto"/>
                <w:kern w:val="0"/>
                <w:sz w:val="21"/>
                <w:szCs w:val="21"/>
                <w:lang w:val="en-US" w:eastAsia="zh-CN" w:bidi="ar-SA"/>
              </w:rPr>
            </w:pPr>
            <w:r>
              <w:rPr>
                <w:rFonts w:hint="eastAsia" w:ascii="宋体" w:hAnsi="宋体" w:cs="宋体"/>
                <w:color w:val="auto"/>
                <w:kern w:val="0"/>
                <w:szCs w:val="21"/>
                <w:highlight w:val="none"/>
                <w:lang w:val="en-US" w:eastAsia="zh-CN"/>
              </w:rPr>
              <w:t>重新</w:t>
            </w:r>
            <w:r>
              <w:rPr>
                <w:rFonts w:hint="eastAsia" w:ascii="宋体" w:hAnsi="宋体" w:cs="宋体"/>
                <w:color w:val="auto"/>
                <w:kern w:val="0"/>
                <w:szCs w:val="21"/>
                <w:highlight w:val="none"/>
              </w:rPr>
              <w:t>招标和不再招标</w:t>
            </w:r>
          </w:p>
        </w:tc>
        <w:tc>
          <w:tcPr>
            <w:tcW w:w="7189" w:type="dxa"/>
            <w:vAlign w:val="center"/>
          </w:tcPr>
          <w:p>
            <w:pPr>
              <w:autoSpaceDE w:val="0"/>
              <w:autoSpaceDN w:val="0"/>
              <w:adjustRightInd w:val="0"/>
              <w:snapToGrid w:val="0"/>
              <w:spacing w:line="400" w:lineRule="exact"/>
              <w:ind w:firstLine="420" w:firstLineChars="200"/>
              <w:rPr>
                <w:rFonts w:hint="eastAsia" w:ascii="宋体" w:hAnsi="宋体" w:eastAsia="宋体" w:cs="宋体"/>
                <w:color w:val="auto"/>
                <w:kern w:val="0"/>
                <w:sz w:val="21"/>
                <w:szCs w:val="21"/>
                <w:lang w:val="en-US" w:eastAsia="zh-CN" w:bidi="ar-SA"/>
              </w:rPr>
            </w:pPr>
            <w:r>
              <w:rPr>
                <w:rFonts w:hint="eastAsia" w:ascii="宋体" w:hAnsi="宋体" w:cs="宋体"/>
                <w:snapToGrid w:val="0"/>
                <w:color w:val="auto"/>
                <w:kern w:val="0"/>
                <w:szCs w:val="21"/>
                <w:highlight w:val="none"/>
              </w:rPr>
              <w:t>重新招标的投标人仍然少于三个的，按照招标投标法律法规规定的程序开标和评标。重新招标经评审有有效投标人的，应当依法确定中标候选人；无有效投标人的，可以不再进行招标，但是按照国家有关规定需要履行审批、核准、备案手续的依法必须进行招标的项目，应当报原项目投资主管部门审批、核准、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atLeast"/>
          <w:jc w:val="center"/>
        </w:trPr>
        <w:tc>
          <w:tcPr>
            <w:tcW w:w="1135" w:type="dxa"/>
            <w:vAlign w:val="center"/>
          </w:tcPr>
          <w:p>
            <w:pPr>
              <w:snapToGrid w:val="0"/>
              <w:spacing w:line="40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8.6</w:t>
            </w:r>
          </w:p>
        </w:tc>
        <w:tc>
          <w:tcPr>
            <w:tcW w:w="1500" w:type="dxa"/>
            <w:vAlign w:val="center"/>
          </w:tcPr>
          <w:p>
            <w:pPr>
              <w:snapToGrid w:val="0"/>
              <w:spacing w:line="400" w:lineRule="exact"/>
              <w:jc w:val="left"/>
              <w:rPr>
                <w:rFonts w:hint="eastAsia" w:ascii="宋体" w:hAnsi="宋体" w:eastAsia="宋体" w:cs="Times New Roman"/>
                <w:color w:val="auto"/>
                <w:kern w:val="0"/>
                <w:sz w:val="21"/>
                <w:szCs w:val="21"/>
                <w:lang w:val="en-US" w:eastAsia="zh-CN" w:bidi="ar-SA"/>
              </w:rPr>
            </w:pPr>
            <w:r>
              <w:rPr>
                <w:rFonts w:hint="eastAsia" w:ascii="Times New Roman" w:hAnsi="Times New Roman" w:cs="Times New Roman"/>
                <w:color w:val="auto"/>
                <w:kern w:val="0"/>
                <w:szCs w:val="21"/>
                <w:lang w:eastAsia="zh-CN"/>
              </w:rPr>
              <w:t>农民工工资</w:t>
            </w:r>
            <w:r>
              <w:rPr>
                <w:rFonts w:hint="default" w:ascii="Times New Roman" w:hAnsi="Times New Roman" w:cs="Times New Roman"/>
                <w:color w:val="auto"/>
                <w:kern w:val="0"/>
                <w:szCs w:val="21"/>
              </w:rPr>
              <w:t>保证金</w:t>
            </w:r>
          </w:p>
        </w:tc>
        <w:tc>
          <w:tcPr>
            <w:tcW w:w="7189" w:type="dxa"/>
            <w:vAlign w:val="center"/>
          </w:tcPr>
          <w:p>
            <w:pPr>
              <w:snapToGrid w:val="0"/>
              <w:spacing w:line="360" w:lineRule="auto"/>
              <w:ind w:firstLine="420" w:firstLineChars="200"/>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1.担保形式：</w:t>
            </w:r>
            <w:r>
              <w:rPr>
                <w:rFonts w:hint="eastAsia" w:ascii="Times New Roman" w:hAnsi="Times New Roman" w:cs="Times New Roman"/>
                <w:color w:val="auto"/>
                <w:kern w:val="0"/>
                <w:szCs w:val="21"/>
                <w:lang w:eastAsia="zh-CN"/>
              </w:rPr>
              <w:t>农民工工资</w:t>
            </w:r>
            <w:r>
              <w:rPr>
                <w:rFonts w:hint="default" w:ascii="Times New Roman" w:hAnsi="Times New Roman" w:cs="Times New Roman"/>
                <w:color w:val="auto"/>
                <w:kern w:val="0"/>
                <w:szCs w:val="21"/>
              </w:rPr>
              <w:t>保证金</w:t>
            </w:r>
          </w:p>
          <w:p>
            <w:pPr>
              <w:snapToGrid w:val="0"/>
              <w:spacing w:line="360" w:lineRule="auto"/>
              <w:ind w:firstLine="420" w:firstLineChars="200"/>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2.金额：中标金额的</w:t>
            </w:r>
            <w:r>
              <w:rPr>
                <w:rFonts w:hint="eastAsia" w:ascii="Times New Roman" w:hAnsi="Times New Roman" w:cs="Times New Roman"/>
                <w:color w:val="auto"/>
                <w:kern w:val="0"/>
                <w:szCs w:val="21"/>
                <w:lang w:val="en-US" w:eastAsia="zh-CN"/>
              </w:rPr>
              <w:t>2</w:t>
            </w:r>
            <w:r>
              <w:rPr>
                <w:rFonts w:hint="default" w:ascii="Times New Roman" w:hAnsi="Times New Roman" w:cs="Times New Roman"/>
                <w:color w:val="auto"/>
                <w:kern w:val="0"/>
                <w:szCs w:val="21"/>
              </w:rPr>
              <w:t>%</w:t>
            </w:r>
          </w:p>
          <w:p>
            <w:pPr>
              <w:snapToGrid w:val="0"/>
              <w:spacing w:line="360" w:lineRule="auto"/>
              <w:ind w:firstLine="420" w:firstLineChars="200"/>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3.提交方式：从中标人基本账户银行转账或电汇</w:t>
            </w:r>
          </w:p>
          <w:p>
            <w:pPr>
              <w:autoSpaceDE w:val="0"/>
              <w:autoSpaceDN w:val="0"/>
              <w:adjustRightInd w:val="0"/>
              <w:snapToGrid w:val="0"/>
              <w:spacing w:line="360" w:lineRule="auto"/>
              <w:ind w:firstLine="420" w:firstLineChars="200"/>
              <w:rPr>
                <w:rFonts w:hint="default" w:ascii="宋体" w:hAnsi="宋体" w:eastAsia="宋体" w:cs="Times New Roman"/>
                <w:color w:val="auto"/>
                <w:kern w:val="0"/>
                <w:sz w:val="21"/>
                <w:szCs w:val="21"/>
                <w:lang w:val="en-US" w:eastAsia="zh-CN" w:bidi="ar-SA"/>
              </w:rPr>
            </w:pPr>
            <w:r>
              <w:rPr>
                <w:rFonts w:hint="default" w:ascii="Times New Roman" w:hAnsi="Times New Roman" w:cs="Times New Roman"/>
                <w:color w:val="auto"/>
                <w:kern w:val="0"/>
                <w:szCs w:val="21"/>
              </w:rPr>
              <w:t>4.缴纳时间：中标人收到中标通知书后</w:t>
            </w:r>
            <w:r>
              <w:rPr>
                <w:rFonts w:hint="eastAsia" w:cs="Times New Roman"/>
                <w:color w:val="auto"/>
                <w:kern w:val="0"/>
                <w:szCs w:val="21"/>
                <w:lang w:val="en-US" w:eastAsia="zh-CN"/>
              </w:rPr>
              <w:t>5</w:t>
            </w:r>
            <w:r>
              <w:rPr>
                <w:rFonts w:hint="default" w:ascii="Times New Roman" w:hAnsi="Times New Roman" w:cs="Times New Roman"/>
                <w:color w:val="auto"/>
                <w:kern w:val="0"/>
                <w:szCs w:val="21"/>
              </w:rPr>
              <w:t>日内且在合同签订前，提交至</w:t>
            </w:r>
            <w:r>
              <w:rPr>
                <w:rFonts w:hint="eastAsia" w:ascii="Times New Roman" w:hAnsi="Times New Roman" w:cs="Times New Roman"/>
                <w:color w:val="auto"/>
                <w:kern w:val="0"/>
                <w:szCs w:val="21"/>
                <w:lang w:eastAsia="zh-CN"/>
              </w:rPr>
              <w:t>比选</w:t>
            </w:r>
            <w:r>
              <w:rPr>
                <w:rFonts w:hint="default" w:ascii="Times New Roman" w:hAnsi="Times New Roman" w:cs="Times New Roman"/>
                <w:color w:val="auto"/>
                <w:kern w:val="0"/>
                <w:szCs w:val="21"/>
              </w:rPr>
              <w:t>人指定账户；若未按时提交，则视为中标人放弃中标。其投标保证金不予退还。给</w:t>
            </w:r>
            <w:r>
              <w:rPr>
                <w:rFonts w:hint="eastAsia" w:ascii="Times New Roman" w:hAnsi="Times New Roman" w:cs="Times New Roman"/>
                <w:color w:val="auto"/>
                <w:kern w:val="0"/>
                <w:szCs w:val="21"/>
                <w:lang w:eastAsia="zh-CN"/>
              </w:rPr>
              <w:t>比选</w:t>
            </w:r>
            <w:r>
              <w:rPr>
                <w:rFonts w:hint="default" w:ascii="Times New Roman" w:hAnsi="Times New Roman" w:cs="Times New Roman"/>
                <w:color w:val="auto"/>
                <w:kern w:val="0"/>
                <w:szCs w:val="21"/>
              </w:rPr>
              <w:t>人造成的损失超过投标保证金数额的，中标人还应当对超过部分予以赔偿。</w:t>
            </w:r>
          </w:p>
        </w:tc>
      </w:tr>
      <w:bookmarkEnd w:id="34"/>
      <w:bookmarkEnd w:id="35"/>
      <w:bookmarkEnd w:id="36"/>
      <w:bookmarkEnd w:id="37"/>
      <w:bookmarkEnd w:id="38"/>
      <w:bookmarkEnd w:id="39"/>
      <w:bookmarkEnd w:id="40"/>
      <w:bookmarkEnd w:id="41"/>
    </w:tbl>
    <w:p>
      <w:pPr>
        <w:spacing w:line="360" w:lineRule="auto"/>
        <w:jc w:val="left"/>
        <w:rPr>
          <w:rFonts w:hint="eastAsia" w:ascii="宋体" w:hAnsi="宋体" w:cs="宋体"/>
          <w:color w:val="auto"/>
          <w:szCs w:val="21"/>
          <w:highlight w:val="none"/>
        </w:rPr>
      </w:pPr>
      <w:bookmarkStart w:id="42" w:name="招标文件03章02评标办法综合评估法"/>
      <w:bookmarkEnd w:id="42"/>
      <w:bookmarkStart w:id="43" w:name="招标文件03章02评标办法综合评估法00"/>
      <w:bookmarkEnd w:id="43"/>
      <w:r>
        <w:rPr>
          <w:rFonts w:hint="eastAsia" w:ascii="宋体" w:hAnsi="宋体" w:cs="宋体"/>
          <w:b/>
          <w:color w:val="auto"/>
          <w:szCs w:val="21"/>
          <w:highlight w:val="none"/>
        </w:rPr>
        <w:t>以下部分为投标人须知正文。</w:t>
      </w:r>
    </w:p>
    <w:p>
      <w:pPr>
        <w:rPr>
          <w:color w:val="auto"/>
        </w:rPr>
      </w:pPr>
      <w:r>
        <w:rPr>
          <w:rFonts w:hint="eastAsia" w:ascii="宋体" w:hAnsi="宋体" w:cs="宋体"/>
          <w:color w:val="auto"/>
          <w:sz w:val="28"/>
          <w:szCs w:val="28"/>
          <w:highlight w:val="none"/>
        </w:rPr>
        <w:br w:type="page"/>
      </w:r>
    </w:p>
    <w:p>
      <w:pPr>
        <w:autoSpaceDE w:val="0"/>
        <w:autoSpaceDN w:val="0"/>
        <w:adjustRightInd w:val="0"/>
        <w:snapToGrid w:val="0"/>
        <w:spacing w:line="440" w:lineRule="exact"/>
        <w:jc w:val="left"/>
        <w:rPr>
          <w:rFonts w:ascii="宋体" w:hAnsi="宋体" w:cs="宋体"/>
          <w:bCs/>
          <w:color w:val="auto"/>
          <w:kern w:val="0"/>
          <w:szCs w:val="21"/>
        </w:rPr>
      </w:pPr>
    </w:p>
    <w:bookmarkEnd w:id="19"/>
    <w:bookmarkEnd w:id="20"/>
    <w:bookmarkEnd w:id="21"/>
    <w:bookmarkEnd w:id="22"/>
    <w:bookmarkEnd w:id="23"/>
    <w:p>
      <w:pPr>
        <w:pStyle w:val="4"/>
        <w:spacing w:before="0" w:after="0" w:line="360" w:lineRule="auto"/>
        <w:rPr>
          <w:rFonts w:hint="eastAsia" w:ascii="宋体" w:hAnsi="宋体" w:cs="宋体"/>
          <w:color w:val="auto"/>
          <w:sz w:val="28"/>
          <w:szCs w:val="28"/>
          <w:highlight w:val="none"/>
        </w:rPr>
      </w:pPr>
      <w:bookmarkStart w:id="44" w:name="_Toc57795860"/>
      <w:bookmarkStart w:id="45" w:name="_Toc31654"/>
      <w:bookmarkStart w:id="46" w:name="_Toc287620738"/>
      <w:bookmarkStart w:id="47" w:name="_Toc287607799"/>
      <w:bookmarkStart w:id="48" w:name="_Toc513492489"/>
      <w:bookmarkStart w:id="49" w:name="_Toc277082605"/>
      <w:bookmarkStart w:id="50" w:name="_Toc452058732"/>
      <w:bookmarkStart w:id="51" w:name="_Toc287620749"/>
      <w:bookmarkStart w:id="52" w:name="_Toc287607810"/>
      <w:r>
        <w:rPr>
          <w:rFonts w:hint="eastAsia" w:ascii="宋体" w:hAnsi="宋体" w:cs="宋体"/>
          <w:color w:val="auto"/>
          <w:sz w:val="28"/>
          <w:szCs w:val="28"/>
          <w:highlight w:val="none"/>
        </w:rPr>
        <w:t>1. 总则</w:t>
      </w:r>
      <w:bookmarkEnd w:id="44"/>
    </w:p>
    <w:p>
      <w:pPr>
        <w:pStyle w:val="5"/>
        <w:spacing w:before="0" w:after="0" w:line="360" w:lineRule="auto"/>
        <w:rPr>
          <w:rFonts w:hint="eastAsia" w:ascii="宋体" w:hAnsi="宋体" w:cs="宋体"/>
          <w:color w:val="auto"/>
          <w:sz w:val="21"/>
          <w:szCs w:val="21"/>
          <w:highlight w:val="none"/>
        </w:rPr>
      </w:pPr>
      <w:bookmarkStart w:id="53" w:name="_Toc57795861"/>
      <w:r>
        <w:rPr>
          <w:rFonts w:hint="eastAsia" w:ascii="宋体" w:hAnsi="宋体" w:cs="宋体"/>
          <w:color w:val="auto"/>
          <w:sz w:val="21"/>
          <w:szCs w:val="21"/>
          <w:highlight w:val="none"/>
        </w:rPr>
        <w:t>1.1 项目概况</w:t>
      </w:r>
      <w:bookmarkEnd w:id="53"/>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1.1.1 </w:t>
      </w:r>
      <w:r>
        <w:rPr>
          <w:rFonts w:hint="eastAsia" w:ascii="宋体" w:hAnsi="宋体" w:eastAsia="宋体" w:cs="宋体"/>
          <w:color w:val="auto"/>
          <w:spacing w:val="-1"/>
          <w:sz w:val="21"/>
          <w:szCs w:val="21"/>
          <w:highlight w:val="none"/>
          <w:lang w:eastAsia="zh-CN"/>
        </w:rPr>
        <w:t>根据《中华人民</w:t>
      </w:r>
      <w:r>
        <w:rPr>
          <w:rFonts w:hint="eastAsia" w:ascii="宋体" w:hAnsi="宋体" w:eastAsia="宋体" w:cs="宋体"/>
          <w:color w:val="auto"/>
          <w:sz w:val="21"/>
          <w:szCs w:val="21"/>
          <w:highlight w:val="none"/>
          <w:lang w:eastAsia="zh-CN"/>
        </w:rPr>
        <w:t>共和国招标投标法》《中华人民共和国招标投标法实施条例》《公路工程建设项目招标投标管理办法》等有关法律、法规和规章的规定，本招标项目已具备的招标条件见投标人须知前附表，现对本标段施工进行招标。</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1.1.2 本招标项目招标人：见投标人须知前附表。</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1.1.3 本</w:t>
      </w:r>
      <w:r>
        <w:rPr>
          <w:rFonts w:hint="eastAsia" w:ascii="宋体" w:hAnsi="宋体" w:eastAsia="宋体" w:cs="宋体"/>
          <w:color w:val="auto"/>
          <w:sz w:val="21"/>
          <w:szCs w:val="21"/>
          <w:highlight w:val="none"/>
          <w:lang w:val="en-US" w:eastAsia="zh-CN"/>
        </w:rPr>
        <w:t>招标项目</w:t>
      </w:r>
      <w:r>
        <w:rPr>
          <w:rFonts w:hint="eastAsia" w:ascii="宋体" w:hAnsi="宋体" w:eastAsia="宋体" w:cs="宋体"/>
          <w:color w:val="auto"/>
          <w:sz w:val="21"/>
          <w:szCs w:val="21"/>
          <w:highlight w:val="none"/>
          <w:lang w:eastAsia="zh-CN"/>
        </w:rPr>
        <w:t>招标代理机构：见投标人须知前附表。</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1.1.4 本招标项目名称：见投标人须知前附表。</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1.1.5 本</w:t>
      </w:r>
      <w:r>
        <w:rPr>
          <w:rFonts w:hint="eastAsia" w:ascii="宋体" w:hAnsi="宋体" w:eastAsia="宋体" w:cs="宋体"/>
          <w:color w:val="auto"/>
          <w:sz w:val="21"/>
          <w:szCs w:val="21"/>
          <w:highlight w:val="none"/>
          <w:lang w:val="en-US" w:eastAsia="zh-CN"/>
        </w:rPr>
        <w:t>招标项目</w:t>
      </w:r>
      <w:r>
        <w:rPr>
          <w:rFonts w:hint="eastAsia" w:ascii="宋体" w:hAnsi="宋体" w:eastAsia="宋体" w:cs="宋体"/>
          <w:color w:val="auto"/>
          <w:sz w:val="21"/>
          <w:szCs w:val="21"/>
          <w:highlight w:val="none"/>
          <w:lang w:eastAsia="zh-CN"/>
        </w:rPr>
        <w:t>建设地点：见投标人须知前附表。</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1.1.6 本</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lang w:eastAsia="zh-CN"/>
        </w:rPr>
        <w:t>项目相关单位：见投标人须知前附表。</w:t>
      </w:r>
    </w:p>
    <w:p>
      <w:pPr>
        <w:pStyle w:val="5"/>
        <w:spacing w:before="0" w:after="0" w:line="360" w:lineRule="auto"/>
        <w:rPr>
          <w:rFonts w:hint="eastAsia" w:ascii="宋体" w:hAnsi="宋体" w:cs="宋体"/>
          <w:color w:val="auto"/>
          <w:sz w:val="21"/>
          <w:szCs w:val="21"/>
          <w:highlight w:val="none"/>
        </w:rPr>
      </w:pPr>
      <w:bookmarkStart w:id="54" w:name="_Toc57795862"/>
      <w:r>
        <w:rPr>
          <w:rFonts w:hint="eastAsia" w:ascii="宋体" w:hAnsi="宋体" w:cs="宋体"/>
          <w:color w:val="auto"/>
          <w:sz w:val="21"/>
          <w:szCs w:val="21"/>
          <w:highlight w:val="none"/>
        </w:rPr>
        <w:t>1.2 招标项目的资金来源和落实情况</w:t>
      </w:r>
      <w:bookmarkEnd w:id="54"/>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1.2.1 资金来源及比例：见投标人须知前附表。</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1.2.2 资金落实情况：见投标人须知前附表。</w:t>
      </w:r>
    </w:p>
    <w:p>
      <w:pPr>
        <w:pStyle w:val="5"/>
        <w:spacing w:before="0" w:after="0" w:line="360" w:lineRule="auto"/>
        <w:rPr>
          <w:rFonts w:hint="eastAsia" w:ascii="宋体" w:hAnsi="宋体" w:cs="宋体"/>
          <w:color w:val="auto"/>
          <w:sz w:val="21"/>
          <w:szCs w:val="21"/>
          <w:highlight w:val="none"/>
        </w:rPr>
      </w:pPr>
      <w:bookmarkStart w:id="55" w:name="_Toc57795863"/>
      <w:r>
        <w:rPr>
          <w:rFonts w:hint="eastAsia" w:ascii="宋体" w:hAnsi="宋体" w:cs="宋体"/>
          <w:color w:val="auto"/>
          <w:sz w:val="21"/>
          <w:szCs w:val="21"/>
          <w:highlight w:val="none"/>
        </w:rPr>
        <w:t>1.3 招标范围、计划工期、质量要求和安全目标</w:t>
      </w:r>
      <w:bookmarkEnd w:id="55"/>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1.3.1 招标范围：见投标人须知前附表。</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1.3.2</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计划工期：见投标人须知前附表。</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1.3.3 质量要求：</w:t>
      </w:r>
      <w:r>
        <w:rPr>
          <w:rFonts w:hint="eastAsia" w:ascii="宋体" w:hAnsi="宋体" w:eastAsia="宋体" w:cs="宋体"/>
          <w:color w:val="auto"/>
          <w:sz w:val="21"/>
          <w:szCs w:val="21"/>
          <w:highlight w:val="none"/>
          <w:lang w:eastAsia="zh-CN"/>
        </w:rPr>
        <w:t>见投标人须知前附表。</w:t>
      </w:r>
    </w:p>
    <w:p>
      <w:pPr>
        <w:pStyle w:val="268"/>
        <w:spacing w:before="0" w:after="0"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1.3.4 安全目标：</w:t>
      </w:r>
      <w:r>
        <w:rPr>
          <w:rFonts w:hint="eastAsia" w:ascii="宋体" w:hAnsi="宋体" w:eastAsia="宋体" w:cs="宋体"/>
          <w:color w:val="auto"/>
          <w:sz w:val="21"/>
          <w:szCs w:val="21"/>
          <w:highlight w:val="none"/>
          <w:lang w:eastAsia="zh-CN"/>
        </w:rPr>
        <w:t>见投标人须知前附表。</w:t>
      </w:r>
    </w:p>
    <w:p>
      <w:pPr>
        <w:pStyle w:val="5"/>
        <w:spacing w:before="0" w:after="0" w:line="360" w:lineRule="auto"/>
        <w:rPr>
          <w:rFonts w:hint="eastAsia" w:ascii="宋体" w:hAnsi="宋体" w:cs="宋体"/>
          <w:color w:val="auto"/>
          <w:sz w:val="21"/>
          <w:szCs w:val="21"/>
          <w:highlight w:val="none"/>
        </w:rPr>
      </w:pPr>
      <w:bookmarkStart w:id="56" w:name="_Toc57795865"/>
      <w:r>
        <w:rPr>
          <w:rFonts w:hint="eastAsia" w:ascii="宋体" w:hAnsi="宋体" w:cs="宋体"/>
          <w:color w:val="auto"/>
          <w:sz w:val="21"/>
          <w:szCs w:val="21"/>
          <w:highlight w:val="none"/>
        </w:rPr>
        <w:t>1.4 投标人资格要求</w:t>
      </w:r>
      <w:bookmarkEnd w:id="56"/>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1.4.1 投标人应具备承担本项目施工的资质条件、能力和信誉。</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w:t>
      </w:r>
      <w:r>
        <w:rPr>
          <w:rFonts w:hint="eastAsia" w:ascii="宋体" w:hAnsi="宋体" w:eastAsia="宋体"/>
          <w:color w:val="auto"/>
          <w:sz w:val="21"/>
          <w:szCs w:val="21"/>
          <w:highlight w:val="none"/>
          <w:lang w:eastAsia="zh-CN"/>
        </w:rPr>
        <w:t>资质条件、营业执照及安全生产条件：</w:t>
      </w:r>
      <w:r>
        <w:rPr>
          <w:rFonts w:hint="eastAsia" w:ascii="宋体" w:hAnsi="宋体" w:eastAsia="宋体" w:cs="宋体"/>
          <w:color w:val="auto"/>
          <w:sz w:val="21"/>
          <w:szCs w:val="21"/>
          <w:highlight w:val="none"/>
          <w:lang w:eastAsia="zh-CN"/>
        </w:rPr>
        <w:t>见投标人须知前附表；</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eastAsia="zh-CN" w:bidi="ar"/>
        </w:rPr>
        <w:t>投标截止日投标资格情况要求</w:t>
      </w:r>
      <w:r>
        <w:rPr>
          <w:rFonts w:hint="eastAsia" w:ascii="宋体" w:hAnsi="宋体" w:eastAsia="宋体" w:cs="宋体"/>
          <w:color w:val="auto"/>
          <w:sz w:val="21"/>
          <w:szCs w:val="21"/>
          <w:highlight w:val="none"/>
          <w:lang w:eastAsia="zh-CN"/>
        </w:rPr>
        <w:t>：见投标人须知前附表；</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）项目经理和项目总工资格：见投标人须知前附表；</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）其他管理和技术人员要求：见投标人须知前附表；</w:t>
      </w:r>
    </w:p>
    <w:p>
      <w:pPr>
        <w:pStyle w:val="230"/>
        <w:tabs>
          <w:tab w:val="left" w:pos="1647"/>
        </w:tabs>
        <w:spacing w:line="360" w:lineRule="auto"/>
        <w:ind w:left="0" w:firstLineChars="200"/>
        <w:rPr>
          <w:rFonts w:hint="eastAsia"/>
          <w:color w:val="auto"/>
          <w:sz w:val="21"/>
          <w:szCs w:val="21"/>
          <w:highlight w:val="none"/>
          <w:lang w:val="ru-RU" w:bidi="ar-SA"/>
        </w:rPr>
      </w:pPr>
      <w:r>
        <w:rPr>
          <w:rFonts w:hint="eastAsia"/>
          <w:color w:val="auto"/>
          <w:sz w:val="21"/>
          <w:szCs w:val="21"/>
          <w:highlight w:val="none"/>
          <w:lang w:val="ru-RU" w:bidi="ar-SA"/>
        </w:rPr>
        <w:t>（</w:t>
      </w:r>
      <w:r>
        <w:rPr>
          <w:rFonts w:hint="eastAsia"/>
          <w:color w:val="auto"/>
          <w:sz w:val="21"/>
          <w:szCs w:val="21"/>
          <w:highlight w:val="none"/>
          <w:lang w:val="en-US" w:eastAsia="zh-CN" w:bidi="ar-SA"/>
        </w:rPr>
        <w:t>5</w:t>
      </w:r>
      <w:r>
        <w:rPr>
          <w:rFonts w:hint="eastAsia"/>
          <w:color w:val="auto"/>
          <w:sz w:val="21"/>
          <w:szCs w:val="21"/>
          <w:highlight w:val="none"/>
          <w:lang w:val="ru-RU" w:bidi="ar-SA"/>
        </w:rPr>
        <w:t>）主要机械设备和试验检测设备要求：见投标人须知前附表；</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）其他要求：见投标人须知前附表。</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1.4.2 投标人须知前附表规定接受联合体投标的，联合体应当符合本</w:t>
      </w:r>
      <w:r>
        <w:rPr>
          <w:rFonts w:hint="eastAsia" w:ascii="宋体" w:hAnsi="宋体" w:eastAsia="宋体" w:cs="宋体"/>
          <w:color w:val="auto"/>
          <w:sz w:val="21"/>
          <w:szCs w:val="21"/>
          <w:highlight w:val="none"/>
          <w:lang w:val="en-US" w:eastAsia="zh-CN"/>
        </w:rPr>
        <w:t>章第</w:t>
      </w:r>
      <w:r>
        <w:rPr>
          <w:rFonts w:hint="eastAsia" w:ascii="宋体" w:hAnsi="宋体" w:eastAsia="宋体" w:cs="宋体"/>
          <w:color w:val="auto"/>
          <w:sz w:val="21"/>
          <w:szCs w:val="21"/>
          <w:highlight w:val="none"/>
          <w:lang w:eastAsia="zh-CN"/>
        </w:rPr>
        <w:t>1.4.1 项和投标人须知前附表的要求外，还应遵守以下规定：</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（1）联合体各方应按招标文件提供的格式签订联合体协议书，明确联合体牵头人和各方权利义务</w:t>
      </w:r>
      <w:r>
        <w:rPr>
          <w:rFonts w:hint="eastAsia" w:ascii="宋体" w:hAnsi="宋体" w:eastAsia="宋体"/>
          <w:color w:val="auto"/>
          <w:sz w:val="21"/>
          <w:szCs w:val="21"/>
          <w:highlight w:val="none"/>
          <w:lang w:eastAsia="zh-CN"/>
        </w:rPr>
        <w:t xml:space="preserve"> </w:t>
      </w:r>
      <w:r>
        <w:rPr>
          <w:rFonts w:hint="eastAsia" w:ascii="宋体" w:hAnsi="宋体" w:eastAsia="宋体" w:cs="宋体"/>
          <w:color w:val="auto"/>
          <w:sz w:val="21"/>
          <w:szCs w:val="21"/>
          <w:highlight w:val="none"/>
          <w:lang w:eastAsia="zh-CN"/>
        </w:rPr>
        <w:t>，并承诺就中标项目向招标人承担连带责任；</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（2）由同一专业的单位组成的联合体，按照资质等级较低的单位确定资质等级；</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（3）联合体各方不得再以自己名义单独或参加其他联合体在同一标段中投标；</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联合体各方应分别按照本招标文件的要求，填写投标文件中的相应表格，并由联合体牵头人负责对联合体各成员的资料进行统一汇总后一并提交给招标人；联合体牵头人所提交的投标文件应认为已代表了联合体各成员的真实情况；</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（5）尽管委任了联合体牵头人，但联合体各成员在投标、签约与履约合同过程中，仍负有连带的和各自的法律责任。</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1.4.3 </w:t>
      </w:r>
      <w:r>
        <w:rPr>
          <w:rFonts w:hint="eastAsia" w:ascii="宋体" w:hAnsi="宋体" w:eastAsia="宋体" w:cs="宋体"/>
          <w:color w:val="auto"/>
          <w:sz w:val="21"/>
          <w:szCs w:val="21"/>
          <w:highlight w:val="none"/>
          <w:lang w:eastAsia="zh-CN"/>
        </w:rPr>
        <w:t>投标人（包括联合体各成员）不得与本标段相关单位存在下列关联关系：</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（1）为招标人不具有独立法人资格的附属机构（单位）；</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（2）与招标人存在利害关系且可能影响招标公正性；</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（3）与本标段的其他投标人同为一个单位负责人；</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（4）与本标段的其他投标人存在控股、管理关系；</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（5）为本标段前期准备提供设计或咨询服务的法人或其任何附属机构（单位）；</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（6）为本标段的监理人；</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（7）为本标段的代建人；</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（8）为本标段的招标代理机构；</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lang w:eastAsia="zh-CN"/>
        </w:rPr>
        <w:t>）与本标段的监理人或代建人或招标代理机构同为一个法定代表人；</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（10）与本标段的监理人或代建人或招标代理机构存在控股或参股关系；</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default"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lang w:eastAsia="zh-CN"/>
        </w:rPr>
        <w:t>）法律法规或投标人须知前附表规定的其他情形。</w:t>
      </w:r>
    </w:p>
    <w:p>
      <w:pPr>
        <w:pStyle w:val="5"/>
        <w:spacing w:before="0" w:after="0" w:line="360" w:lineRule="auto"/>
        <w:rPr>
          <w:rFonts w:hint="eastAsia" w:ascii="宋体" w:hAnsi="宋体" w:cs="宋体"/>
          <w:color w:val="auto"/>
          <w:sz w:val="21"/>
          <w:szCs w:val="21"/>
          <w:highlight w:val="none"/>
        </w:rPr>
      </w:pPr>
      <w:bookmarkStart w:id="57" w:name="_Toc57795866"/>
      <w:r>
        <w:rPr>
          <w:rFonts w:hint="eastAsia" w:ascii="宋体" w:hAnsi="宋体" w:cs="宋体"/>
          <w:color w:val="auto"/>
          <w:sz w:val="21"/>
          <w:szCs w:val="21"/>
          <w:highlight w:val="none"/>
        </w:rPr>
        <w:t>1.5 费用承担</w:t>
      </w:r>
      <w:bookmarkEnd w:id="57"/>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投标人准备和参加投标活动发生的费用自理。</w:t>
      </w:r>
    </w:p>
    <w:p>
      <w:pPr>
        <w:pStyle w:val="5"/>
        <w:spacing w:before="0" w:after="0" w:line="360" w:lineRule="auto"/>
        <w:rPr>
          <w:rFonts w:hint="eastAsia" w:ascii="宋体" w:hAnsi="宋体" w:cs="宋体"/>
          <w:color w:val="auto"/>
          <w:sz w:val="21"/>
          <w:szCs w:val="21"/>
          <w:highlight w:val="none"/>
        </w:rPr>
      </w:pPr>
      <w:bookmarkStart w:id="58" w:name="_Toc57795867"/>
      <w:r>
        <w:rPr>
          <w:rFonts w:hint="eastAsia" w:ascii="宋体" w:hAnsi="宋体" w:cs="宋体"/>
          <w:color w:val="auto"/>
          <w:sz w:val="21"/>
          <w:szCs w:val="21"/>
          <w:highlight w:val="none"/>
        </w:rPr>
        <w:t>1.6 保密</w:t>
      </w:r>
      <w:bookmarkEnd w:id="58"/>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参与招标投标活动的各方应对招标文件和投标文件中的商业和技术等秘密保密，否则应承担相应的法律责任。</w:t>
      </w:r>
    </w:p>
    <w:p>
      <w:pPr>
        <w:pStyle w:val="5"/>
        <w:spacing w:before="0" w:after="0" w:line="360" w:lineRule="auto"/>
        <w:rPr>
          <w:rFonts w:hint="eastAsia" w:ascii="宋体" w:hAnsi="宋体" w:cs="宋体"/>
          <w:color w:val="auto"/>
          <w:sz w:val="21"/>
          <w:szCs w:val="21"/>
          <w:highlight w:val="none"/>
        </w:rPr>
      </w:pPr>
      <w:bookmarkStart w:id="59" w:name="_Toc57795868"/>
      <w:r>
        <w:rPr>
          <w:rFonts w:hint="eastAsia" w:ascii="宋体" w:hAnsi="宋体" w:cs="宋体"/>
          <w:color w:val="auto"/>
          <w:sz w:val="21"/>
          <w:szCs w:val="21"/>
          <w:highlight w:val="none"/>
        </w:rPr>
        <w:t>1.7 语言文字</w:t>
      </w:r>
      <w:bookmarkEnd w:id="59"/>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招标投标文件使用的语言文字为中文。专用术语使用外文的，应附有中文注释。</w:t>
      </w:r>
    </w:p>
    <w:p>
      <w:pPr>
        <w:pStyle w:val="5"/>
        <w:spacing w:before="0" w:after="0" w:line="360" w:lineRule="auto"/>
        <w:rPr>
          <w:rFonts w:hint="eastAsia" w:ascii="宋体" w:hAnsi="宋体" w:cs="宋体"/>
          <w:color w:val="auto"/>
          <w:sz w:val="21"/>
          <w:szCs w:val="21"/>
          <w:highlight w:val="none"/>
        </w:rPr>
      </w:pPr>
      <w:bookmarkStart w:id="60" w:name="_Toc57795869"/>
      <w:r>
        <w:rPr>
          <w:rFonts w:hint="eastAsia" w:ascii="宋体" w:hAnsi="宋体" w:cs="宋体"/>
          <w:color w:val="auto"/>
          <w:sz w:val="21"/>
          <w:szCs w:val="21"/>
          <w:highlight w:val="none"/>
        </w:rPr>
        <w:t>1.8 计量单位</w:t>
      </w:r>
      <w:bookmarkEnd w:id="60"/>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所有计量均采用中华人民共和国法定计量单位。</w:t>
      </w:r>
    </w:p>
    <w:p>
      <w:pPr>
        <w:pStyle w:val="5"/>
        <w:spacing w:before="0" w:after="0" w:line="360" w:lineRule="auto"/>
        <w:rPr>
          <w:rFonts w:hint="eastAsia" w:ascii="宋体" w:hAnsi="宋体" w:cs="宋体"/>
          <w:color w:val="auto"/>
          <w:sz w:val="21"/>
          <w:szCs w:val="21"/>
          <w:highlight w:val="none"/>
        </w:rPr>
      </w:pPr>
      <w:bookmarkStart w:id="61" w:name="_Toc57795870"/>
      <w:r>
        <w:rPr>
          <w:rFonts w:hint="eastAsia" w:ascii="宋体" w:hAnsi="宋体" w:cs="宋体"/>
          <w:color w:val="auto"/>
          <w:sz w:val="21"/>
          <w:szCs w:val="21"/>
          <w:highlight w:val="none"/>
        </w:rPr>
        <w:t>1.9 踏勘现场</w:t>
      </w:r>
      <w:bookmarkEnd w:id="61"/>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1.9.1投标人须知前附表规定组织踏勘现场的，招标人按投标人须知前附表规定的时间、地点组织投标人踏勘项目现场。</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1.9.2投标人踏勘现场发生的费用自理。</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1.9.3除招标人的原因外，投标人自行负责在踏勘现场中所发生的人员伤亡和财产损失。</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1.9.4招标人提供的本合同工程的水文、地质、气象和料场分布、取土场、弃土场位置等参考资料，并不构成合同文件的组成部分，投标人应对自己就上述资料的解释、推论和应用负责，招标人不对投标人据此作出的判断和决策承担任何责任。</w:t>
      </w:r>
    </w:p>
    <w:p>
      <w:pPr>
        <w:pStyle w:val="5"/>
        <w:spacing w:before="0" w:after="0" w:line="360" w:lineRule="auto"/>
        <w:rPr>
          <w:rFonts w:hint="eastAsia" w:ascii="宋体" w:hAnsi="宋体" w:cs="宋体"/>
          <w:color w:val="auto"/>
          <w:sz w:val="21"/>
          <w:szCs w:val="21"/>
          <w:highlight w:val="none"/>
        </w:rPr>
      </w:pPr>
      <w:bookmarkStart w:id="62" w:name="_Toc57795871"/>
      <w:r>
        <w:rPr>
          <w:rFonts w:hint="eastAsia" w:ascii="宋体" w:hAnsi="宋体" w:cs="宋体"/>
          <w:color w:val="auto"/>
          <w:sz w:val="21"/>
          <w:szCs w:val="21"/>
          <w:highlight w:val="none"/>
        </w:rPr>
        <w:t>1.10 投标预备会</w:t>
      </w:r>
      <w:bookmarkEnd w:id="62"/>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1.10.1 投标人须知前附表规定召开投标预备会的，招标人按投标人须知前附表规定的时间和地点召开投标预备会，澄清投标人提出的问题。</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1.10.2 投标人应在投标人须知前附表规定的时间前，以书面形式将提出的问题送达招标人，以便招标人在会议期间澄清。</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1.10.3 投标预备会后，招标人在投标人须知前附表规定的时间内，将对投标人所提问题的澄清，以投标人须知前附表规定的形式通知所有投标人。该澄清内容为招标文件的组成部分。</w:t>
      </w:r>
    </w:p>
    <w:p>
      <w:pPr>
        <w:pStyle w:val="5"/>
        <w:spacing w:before="0" w:after="0" w:line="360" w:lineRule="auto"/>
        <w:rPr>
          <w:rFonts w:hint="eastAsia" w:ascii="宋体" w:hAnsi="宋体" w:cs="宋体"/>
          <w:color w:val="auto"/>
          <w:sz w:val="21"/>
          <w:szCs w:val="21"/>
          <w:highlight w:val="none"/>
        </w:rPr>
      </w:pPr>
      <w:bookmarkStart w:id="63" w:name="_Toc57795872"/>
      <w:r>
        <w:rPr>
          <w:rFonts w:hint="eastAsia" w:ascii="宋体" w:hAnsi="宋体" w:cs="宋体"/>
          <w:color w:val="auto"/>
          <w:sz w:val="21"/>
          <w:szCs w:val="21"/>
          <w:highlight w:val="none"/>
        </w:rPr>
        <w:t>1.11 分包</w:t>
      </w:r>
      <w:bookmarkEnd w:id="63"/>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1.11.1 投标人拟在中标后将中标项目的部分非主体、非关键性工作进行分包的，应符合以下规定：</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（1）分包内容要求：允许分包的工程范围仅限于非关键性工程或适合专业化队伍施工的专项工程。招标人允许分包或不允许分包的专项工程（如有）应在投标人须知前附表中载明。</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（2）接受分包的第三人资格要求：分包人的资格能力应与其分包工程的标准和规模相适应，且具备投标人须知前附表中规定的资格条件。</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（3）其他要求：投标人如有分包计划，应按第九章“投标文件格式”的要求填写“拟分包项目情况表”，明确拟分包的工程及规模，且投标人中标后的分包应满足合同条款第 4.3 款的相关要求。</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1.11.2 中标人不得向他人转让中标项目，接受分包的人不得再次分包。中标人应就分包项目向招标人负责，接受分包的人就分包项目承担连带责任。</w:t>
      </w:r>
    </w:p>
    <w:p>
      <w:pPr>
        <w:pStyle w:val="5"/>
        <w:spacing w:before="0" w:after="0" w:line="360" w:lineRule="auto"/>
        <w:rPr>
          <w:rFonts w:hint="eastAsia" w:ascii="宋体" w:hAnsi="宋体" w:cs="宋体"/>
          <w:color w:val="auto"/>
          <w:sz w:val="21"/>
          <w:szCs w:val="21"/>
          <w:highlight w:val="none"/>
        </w:rPr>
      </w:pPr>
      <w:bookmarkStart w:id="64" w:name="_Toc57795873"/>
      <w:r>
        <w:rPr>
          <w:rFonts w:hint="eastAsia" w:ascii="宋体" w:hAnsi="宋体" w:cs="宋体"/>
          <w:color w:val="auto"/>
          <w:sz w:val="21"/>
          <w:szCs w:val="21"/>
          <w:highlight w:val="none"/>
        </w:rPr>
        <w:t>1.12 响应和偏差</w:t>
      </w:r>
      <w:bookmarkEnd w:id="64"/>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1.12.1 投标文件偏离招标文件某些要求，视为投标文件存在偏差。偏差包括重大偏差和细微偏差。</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1.12.2 投标文件应对招标文件的实质性要求和条件作出满足性或更有利于招标人的响应，否则，视为投标文件存在重大偏差，投标人的投标将被否决。</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投标文件存在第三章“评标办法”中所列任一否决投标情形的，均属于存在重大偏差。</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1.12.3 投标文件中的下列偏差为细微偏差：</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在按照第三章“评标办法”的规定对投标价进行算术性错误修正及其他错误修正后，最终投标报价未超过最高投标限价（如有）的情况下，出现第三章“评标办法”规定的算术性错误和投标报价的其他错误；</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1.12.4 评标委员会对投标文件中的细微偏差按如下规定处理：</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对于本章第 1.12.3 项所述的细微偏差，按照第三章“评标办法”的规定予以修正并要求投标人进行澄清；</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1.12.5 投标人应根据招标文件的要求提供施工组织设计等内容以对招标文件作出响应。</w:t>
      </w:r>
    </w:p>
    <w:p>
      <w:pPr>
        <w:pStyle w:val="4"/>
        <w:spacing w:before="0" w:after="0" w:line="360" w:lineRule="auto"/>
        <w:rPr>
          <w:rFonts w:hint="eastAsia" w:ascii="宋体" w:hAnsi="宋体" w:cs="宋体"/>
          <w:color w:val="auto"/>
          <w:sz w:val="28"/>
          <w:szCs w:val="28"/>
          <w:highlight w:val="none"/>
        </w:rPr>
      </w:pPr>
      <w:bookmarkStart w:id="65" w:name="_Toc57795874"/>
      <w:r>
        <w:rPr>
          <w:rFonts w:hint="eastAsia" w:ascii="宋体" w:hAnsi="宋体" w:cs="宋体"/>
          <w:color w:val="auto"/>
          <w:sz w:val="28"/>
          <w:szCs w:val="28"/>
          <w:highlight w:val="none"/>
        </w:rPr>
        <w:t>2. 招标文件</w:t>
      </w:r>
      <w:bookmarkEnd w:id="65"/>
    </w:p>
    <w:p>
      <w:pPr>
        <w:pStyle w:val="5"/>
        <w:spacing w:before="0" w:after="0" w:line="360" w:lineRule="auto"/>
        <w:rPr>
          <w:rFonts w:hint="eastAsia" w:ascii="宋体" w:hAnsi="宋体" w:cs="宋体"/>
          <w:color w:val="auto"/>
          <w:sz w:val="21"/>
          <w:szCs w:val="21"/>
          <w:highlight w:val="none"/>
        </w:rPr>
      </w:pPr>
      <w:bookmarkStart w:id="66" w:name="_Toc57795875"/>
      <w:r>
        <w:rPr>
          <w:rFonts w:hint="eastAsia" w:ascii="宋体" w:hAnsi="宋体" w:cs="宋体"/>
          <w:color w:val="auto"/>
          <w:sz w:val="21"/>
          <w:szCs w:val="21"/>
          <w:highlight w:val="none"/>
        </w:rPr>
        <w:t>2.1 招标文件的组成</w:t>
      </w:r>
      <w:bookmarkEnd w:id="66"/>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本招标文件包括：</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（1）招标公告（或投标邀请书）；</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（2）投标人须知；</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（3）评标办法；</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（4）合同条款及格式；</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（5）工程量清单；</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（6）图纸；</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（7）技术规范；</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（8）工程量清单计量规则；</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（9）投标文件格式；</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（10）投标人须知前附表规定的其他资料。</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根据本章第1.10 款、第2.2 款和第2.3 款对招标文件所作的澄清、修改，构成招标文件的组成部分。</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当招标文件、招标文件的澄清或修改等在同一内容的表述上不一致时，以最后发出的书面文件为准。当对招标文件的理解有争议的，应当作出不利于招标人的解释，但违背国家利益、社会公共利益的除外。</w:t>
      </w:r>
    </w:p>
    <w:p>
      <w:pPr>
        <w:pStyle w:val="5"/>
        <w:spacing w:before="0" w:after="0" w:line="360" w:lineRule="auto"/>
        <w:rPr>
          <w:rFonts w:hint="eastAsia" w:ascii="宋体" w:hAnsi="宋体" w:cs="宋体"/>
          <w:color w:val="auto"/>
          <w:sz w:val="21"/>
          <w:szCs w:val="21"/>
          <w:highlight w:val="none"/>
        </w:rPr>
      </w:pPr>
      <w:bookmarkStart w:id="67" w:name="_Toc57795876"/>
      <w:r>
        <w:rPr>
          <w:rFonts w:hint="eastAsia" w:ascii="宋体" w:hAnsi="宋体" w:cs="宋体"/>
          <w:color w:val="auto"/>
          <w:sz w:val="21"/>
          <w:szCs w:val="21"/>
          <w:highlight w:val="none"/>
        </w:rPr>
        <w:t>2.2 招标文件的澄清</w:t>
      </w:r>
      <w:bookmarkEnd w:id="67"/>
    </w:p>
    <w:p>
      <w:pPr>
        <w:pStyle w:val="268"/>
        <w:spacing w:before="0" w:after="0" w:line="360" w:lineRule="auto"/>
        <w:ind w:firstLine="420" w:firstLineChars="200"/>
        <w:jc w:val="left"/>
        <w:rPr>
          <w:rFonts w:hint="eastAsia" w:ascii="宋体" w:hAnsi="宋体" w:eastAsia="宋体" w:cs="宋体"/>
          <w:snapToGrid w:val="0"/>
          <w:color w:val="auto"/>
          <w:sz w:val="21"/>
          <w:szCs w:val="21"/>
          <w:highlight w:val="none"/>
          <w:lang w:eastAsia="zh-CN"/>
        </w:rPr>
      </w:pPr>
      <w:r>
        <w:rPr>
          <w:rFonts w:hint="eastAsia" w:ascii="宋体" w:hAnsi="宋体" w:eastAsia="宋体" w:cs="宋体"/>
          <w:snapToGrid w:val="0"/>
          <w:color w:val="auto"/>
          <w:sz w:val="21"/>
          <w:szCs w:val="21"/>
          <w:highlight w:val="none"/>
          <w:lang w:eastAsia="zh-CN"/>
        </w:rPr>
        <w:t>2.2.1 投标人应仔细阅读和检查招标文件的全部内容。如发现缺页或附件不全，应及时向招标人提出，以便补齐。如有疑问，应在投标人须知前附表规定的时间前</w:t>
      </w:r>
      <w:r>
        <w:rPr>
          <w:rFonts w:hint="eastAsia" w:ascii="宋体" w:hAnsi="宋体" w:eastAsia="宋体" w:cs="宋体"/>
          <w:color w:val="auto"/>
          <w:sz w:val="21"/>
          <w:szCs w:val="21"/>
          <w:highlight w:val="none"/>
          <w:lang w:eastAsia="zh-CN"/>
        </w:rPr>
        <w:t>提问</w:t>
      </w:r>
      <w:r>
        <w:rPr>
          <w:rFonts w:hint="eastAsia" w:ascii="宋体" w:hAnsi="宋体" w:eastAsia="宋体" w:cs="宋体"/>
          <w:snapToGrid w:val="0"/>
          <w:color w:val="auto"/>
          <w:sz w:val="21"/>
          <w:szCs w:val="21"/>
          <w:highlight w:val="none"/>
          <w:lang w:eastAsia="zh-CN"/>
        </w:rPr>
        <w:t>，要求招标人对招标文件予以澄清。</w:t>
      </w:r>
    </w:p>
    <w:p>
      <w:pPr>
        <w:pStyle w:val="268"/>
        <w:spacing w:before="0" w:after="0" w:line="360" w:lineRule="auto"/>
        <w:ind w:firstLine="420" w:firstLineChars="200"/>
        <w:jc w:val="left"/>
        <w:rPr>
          <w:rFonts w:hint="eastAsia" w:ascii="宋体" w:hAnsi="宋体" w:eastAsia="宋体" w:cs="宋体"/>
          <w:snapToGrid w:val="0"/>
          <w:color w:val="auto"/>
          <w:sz w:val="21"/>
          <w:szCs w:val="21"/>
          <w:highlight w:val="none"/>
          <w:lang w:eastAsia="zh-CN"/>
        </w:rPr>
      </w:pPr>
      <w:r>
        <w:rPr>
          <w:rFonts w:hint="eastAsia" w:ascii="宋体" w:hAnsi="宋体" w:eastAsia="宋体" w:cs="宋体"/>
          <w:snapToGrid w:val="0"/>
          <w:color w:val="auto"/>
          <w:sz w:val="21"/>
          <w:szCs w:val="21"/>
          <w:highlight w:val="none"/>
          <w:lang w:eastAsia="zh-CN"/>
        </w:rPr>
        <w:t>2.2.2 招标文件的澄清将在投标人须知前附表规定的投标截止时间</w:t>
      </w:r>
      <w:r>
        <w:rPr>
          <w:rFonts w:hint="eastAsia" w:ascii="宋体" w:hAnsi="宋体" w:eastAsia="宋体" w:cs="宋体"/>
          <w:snapToGrid w:val="0"/>
          <w:color w:val="auto"/>
          <w:sz w:val="21"/>
          <w:szCs w:val="21"/>
          <w:highlight w:val="none"/>
          <w:lang w:val="en-US" w:eastAsia="zh-CN"/>
        </w:rPr>
        <w:t>3</w:t>
      </w:r>
      <w:r>
        <w:rPr>
          <w:rFonts w:hint="eastAsia" w:ascii="宋体" w:hAnsi="宋体" w:eastAsia="宋体" w:cs="宋体"/>
          <w:snapToGrid w:val="0"/>
          <w:color w:val="auto"/>
          <w:sz w:val="21"/>
          <w:szCs w:val="21"/>
          <w:highlight w:val="none"/>
          <w:lang w:eastAsia="zh-CN"/>
        </w:rPr>
        <w:t>天前</w:t>
      </w:r>
      <w:r>
        <w:rPr>
          <w:rFonts w:hint="eastAsia" w:ascii="宋体" w:hAnsi="宋体" w:eastAsia="宋体" w:cs="宋体"/>
          <w:color w:val="auto"/>
          <w:sz w:val="21"/>
          <w:szCs w:val="21"/>
          <w:highlight w:val="none"/>
          <w:lang w:eastAsia="zh-CN"/>
        </w:rPr>
        <w:t>在相应网站发布，</w:t>
      </w:r>
      <w:r>
        <w:rPr>
          <w:rFonts w:hint="eastAsia" w:ascii="宋体" w:hAnsi="宋体" w:eastAsia="宋体" w:cs="宋体"/>
          <w:snapToGrid w:val="0"/>
          <w:color w:val="auto"/>
          <w:sz w:val="21"/>
          <w:szCs w:val="21"/>
          <w:highlight w:val="none"/>
          <w:lang w:eastAsia="zh-CN"/>
        </w:rPr>
        <w:t>但不指明澄清问题的来源。如果澄清发出的时间距投标截止时间不足</w:t>
      </w:r>
      <w:r>
        <w:rPr>
          <w:rFonts w:hint="eastAsia" w:ascii="宋体" w:hAnsi="宋体" w:eastAsia="宋体" w:cs="宋体"/>
          <w:snapToGrid w:val="0"/>
          <w:color w:val="auto"/>
          <w:sz w:val="21"/>
          <w:szCs w:val="21"/>
          <w:highlight w:val="none"/>
          <w:lang w:val="en-US" w:eastAsia="zh-CN"/>
        </w:rPr>
        <w:t>3</w:t>
      </w:r>
      <w:r>
        <w:rPr>
          <w:rFonts w:hint="eastAsia" w:ascii="宋体" w:hAnsi="宋体" w:eastAsia="宋体" w:cs="宋体"/>
          <w:snapToGrid w:val="0"/>
          <w:color w:val="auto"/>
          <w:sz w:val="21"/>
          <w:szCs w:val="21"/>
          <w:highlight w:val="none"/>
          <w:lang w:eastAsia="zh-CN"/>
        </w:rPr>
        <w:t>天，相应延长投标截止时间。</w:t>
      </w:r>
    </w:p>
    <w:p>
      <w:pPr>
        <w:pStyle w:val="268"/>
        <w:spacing w:before="0" w:after="0" w:line="360" w:lineRule="auto"/>
        <w:ind w:firstLine="420" w:firstLineChars="200"/>
        <w:jc w:val="left"/>
        <w:rPr>
          <w:rFonts w:hint="eastAsia" w:ascii="宋体" w:hAnsi="宋体" w:eastAsia="宋体" w:cs="宋体"/>
          <w:snapToGrid w:val="0"/>
          <w:color w:val="auto"/>
          <w:sz w:val="21"/>
          <w:szCs w:val="21"/>
          <w:highlight w:val="none"/>
          <w:lang w:eastAsia="zh-CN"/>
        </w:rPr>
      </w:pPr>
      <w:r>
        <w:rPr>
          <w:rFonts w:hint="eastAsia" w:ascii="宋体" w:hAnsi="宋体" w:eastAsia="宋体" w:cs="宋体"/>
          <w:snapToGrid w:val="0"/>
          <w:color w:val="auto"/>
          <w:sz w:val="21"/>
          <w:szCs w:val="21"/>
          <w:highlight w:val="none"/>
          <w:lang w:eastAsia="zh-CN"/>
        </w:rPr>
        <w:t xml:space="preserve">2.2.3 </w:t>
      </w:r>
      <w:r>
        <w:rPr>
          <w:rFonts w:hint="eastAsia" w:ascii="宋体" w:hAnsi="宋体" w:eastAsia="宋体" w:cs="宋体"/>
          <w:color w:val="auto"/>
          <w:sz w:val="21"/>
          <w:szCs w:val="21"/>
          <w:highlight w:val="none"/>
          <w:lang w:eastAsia="zh-CN"/>
        </w:rPr>
        <w:t>招标人对招标文件的</w:t>
      </w:r>
      <w:r>
        <w:rPr>
          <w:rFonts w:hint="eastAsia" w:ascii="宋体" w:hAnsi="宋体" w:eastAsia="宋体" w:cs="宋体"/>
          <w:snapToGrid w:val="0"/>
          <w:color w:val="auto"/>
          <w:sz w:val="21"/>
          <w:szCs w:val="21"/>
          <w:highlight w:val="none"/>
          <w:lang w:eastAsia="zh-CN"/>
        </w:rPr>
        <w:t>修改内容可能影响投标文件编制的，须在投标截止时间</w:t>
      </w:r>
      <w:r>
        <w:rPr>
          <w:rFonts w:hint="eastAsia" w:ascii="宋体" w:hAnsi="宋体" w:eastAsia="宋体" w:cs="宋体"/>
          <w:snapToGrid w:val="0"/>
          <w:color w:val="auto"/>
          <w:sz w:val="21"/>
          <w:szCs w:val="21"/>
          <w:highlight w:val="none"/>
          <w:lang w:val="en-US" w:eastAsia="zh-CN"/>
        </w:rPr>
        <w:t>3</w:t>
      </w:r>
      <w:r>
        <w:rPr>
          <w:rFonts w:hint="eastAsia" w:ascii="宋体" w:hAnsi="宋体" w:eastAsia="宋体" w:cs="宋体"/>
          <w:snapToGrid w:val="0"/>
          <w:color w:val="auto"/>
          <w:sz w:val="21"/>
          <w:szCs w:val="21"/>
          <w:highlight w:val="none"/>
          <w:lang w:eastAsia="zh-CN"/>
        </w:rPr>
        <w:t>日前发布，发布时间至投标截止时间不足</w:t>
      </w:r>
      <w:r>
        <w:rPr>
          <w:rFonts w:hint="eastAsia" w:ascii="宋体" w:hAnsi="宋体" w:eastAsia="宋体" w:cs="宋体"/>
          <w:snapToGrid w:val="0"/>
          <w:color w:val="auto"/>
          <w:sz w:val="21"/>
          <w:szCs w:val="21"/>
          <w:highlight w:val="none"/>
          <w:lang w:val="en-US" w:eastAsia="zh-CN"/>
        </w:rPr>
        <w:t>3</w:t>
      </w:r>
      <w:r>
        <w:rPr>
          <w:rFonts w:hint="eastAsia" w:ascii="宋体" w:hAnsi="宋体" w:eastAsia="宋体" w:cs="宋体"/>
          <w:snapToGrid w:val="0"/>
          <w:color w:val="auto"/>
          <w:sz w:val="21"/>
          <w:szCs w:val="21"/>
          <w:highlight w:val="none"/>
          <w:lang w:eastAsia="zh-CN"/>
        </w:rPr>
        <w:t>日的，须相应延后投标截止时间。</w:t>
      </w:r>
    </w:p>
    <w:p>
      <w:pPr>
        <w:pStyle w:val="268"/>
        <w:spacing w:before="0" w:after="0" w:line="360" w:lineRule="auto"/>
        <w:ind w:firstLine="420" w:firstLineChars="200"/>
        <w:jc w:val="left"/>
        <w:rPr>
          <w:rFonts w:hint="eastAsia" w:ascii="宋体" w:hAnsi="宋体" w:eastAsia="宋体" w:cs="宋体"/>
          <w:snapToGrid w:val="0"/>
          <w:color w:val="auto"/>
          <w:sz w:val="21"/>
          <w:szCs w:val="21"/>
          <w:highlight w:val="none"/>
          <w:lang w:eastAsia="zh-CN"/>
        </w:rPr>
      </w:pPr>
      <w:r>
        <w:rPr>
          <w:rFonts w:hint="eastAsia" w:ascii="宋体" w:hAnsi="宋体" w:eastAsia="宋体" w:cs="宋体"/>
          <w:snapToGrid w:val="0"/>
          <w:color w:val="auto"/>
          <w:position w:val="-2"/>
          <w:sz w:val="21"/>
          <w:szCs w:val="21"/>
          <w:highlight w:val="none"/>
          <w:lang w:eastAsia="zh-CN"/>
        </w:rPr>
        <w:t>2.2.4 投标人对招标文件和澄清修改仍有异议的，可于投标截止时间</w:t>
      </w:r>
      <w:r>
        <w:rPr>
          <w:rFonts w:hint="eastAsia" w:ascii="宋体" w:hAnsi="宋体" w:eastAsia="宋体" w:cs="宋体"/>
          <w:snapToGrid w:val="0"/>
          <w:color w:val="auto"/>
          <w:position w:val="-2"/>
          <w:sz w:val="21"/>
          <w:szCs w:val="21"/>
          <w:highlight w:val="none"/>
          <w:lang w:val="en-US" w:eastAsia="zh-CN"/>
        </w:rPr>
        <w:t>3</w:t>
      </w:r>
      <w:r>
        <w:rPr>
          <w:rFonts w:hint="eastAsia" w:ascii="宋体" w:hAnsi="宋体" w:eastAsia="宋体" w:cs="宋体"/>
          <w:snapToGrid w:val="0"/>
          <w:color w:val="auto"/>
          <w:position w:val="-2"/>
          <w:sz w:val="21"/>
          <w:szCs w:val="21"/>
          <w:highlight w:val="none"/>
          <w:lang w:eastAsia="zh-CN"/>
        </w:rPr>
        <w:t>日前，</w:t>
      </w:r>
      <w:r>
        <w:rPr>
          <w:rFonts w:hint="eastAsia" w:ascii="宋体" w:hAnsi="宋体" w:eastAsia="宋体" w:cs="宋体"/>
          <w:snapToGrid w:val="0"/>
          <w:color w:val="auto"/>
          <w:position w:val="-2"/>
          <w:sz w:val="21"/>
          <w:szCs w:val="21"/>
          <w:highlight w:val="none"/>
          <w:lang w:val="en-US" w:eastAsia="zh-CN"/>
        </w:rPr>
        <w:t>向招标人</w:t>
      </w:r>
      <w:r>
        <w:rPr>
          <w:rFonts w:hint="eastAsia" w:ascii="宋体" w:hAnsi="宋体" w:eastAsia="宋体" w:cs="宋体"/>
          <w:snapToGrid w:val="0"/>
          <w:color w:val="auto"/>
          <w:position w:val="-2"/>
          <w:sz w:val="21"/>
          <w:szCs w:val="21"/>
          <w:highlight w:val="none"/>
          <w:lang w:eastAsia="zh-CN"/>
        </w:rPr>
        <w:t>提出</w:t>
      </w:r>
      <w:r>
        <w:rPr>
          <w:rFonts w:hint="eastAsia" w:ascii="宋体" w:hAnsi="宋体" w:eastAsia="宋体" w:cs="宋体"/>
          <w:snapToGrid w:val="0"/>
          <w:color w:val="auto"/>
          <w:sz w:val="21"/>
          <w:szCs w:val="21"/>
          <w:highlight w:val="none"/>
          <w:lang w:eastAsia="zh-CN"/>
        </w:rPr>
        <w:t>。招标人应将答复以修改的形式在</w:t>
      </w:r>
      <w:r>
        <w:rPr>
          <w:rFonts w:hint="eastAsia" w:ascii="宋体" w:hAnsi="宋体" w:eastAsia="宋体" w:cs="宋体"/>
          <w:color w:val="auto"/>
          <w:sz w:val="21"/>
          <w:szCs w:val="21"/>
          <w:highlight w:val="none"/>
          <w:lang w:eastAsia="zh-CN"/>
        </w:rPr>
        <w:t>相应网站发布</w:t>
      </w:r>
      <w:r>
        <w:rPr>
          <w:rFonts w:hint="eastAsia" w:ascii="宋体" w:hAnsi="宋体" w:eastAsia="宋体" w:cs="宋体"/>
          <w:snapToGrid w:val="0"/>
          <w:color w:val="auto"/>
          <w:sz w:val="21"/>
          <w:szCs w:val="21"/>
          <w:highlight w:val="none"/>
          <w:lang w:eastAsia="zh-CN"/>
        </w:rPr>
        <w:t>。修改内容可能影响投标文件编制的，须在投标截止时间</w:t>
      </w:r>
      <w:r>
        <w:rPr>
          <w:rFonts w:hint="eastAsia" w:ascii="宋体" w:hAnsi="宋体" w:eastAsia="宋体" w:cs="宋体"/>
          <w:snapToGrid w:val="0"/>
          <w:color w:val="auto"/>
          <w:sz w:val="21"/>
          <w:szCs w:val="21"/>
          <w:highlight w:val="none"/>
          <w:lang w:val="en-US" w:eastAsia="zh-CN"/>
        </w:rPr>
        <w:t>3</w:t>
      </w:r>
      <w:r>
        <w:rPr>
          <w:rFonts w:hint="eastAsia" w:ascii="宋体" w:hAnsi="宋体" w:eastAsia="宋体" w:cs="宋体"/>
          <w:snapToGrid w:val="0"/>
          <w:color w:val="auto"/>
          <w:sz w:val="21"/>
          <w:szCs w:val="21"/>
          <w:highlight w:val="none"/>
          <w:lang w:eastAsia="zh-CN"/>
        </w:rPr>
        <w:t>日前发布，发布时间至投标截止时间不足</w:t>
      </w:r>
      <w:r>
        <w:rPr>
          <w:rFonts w:hint="eastAsia" w:ascii="宋体" w:hAnsi="宋体" w:eastAsia="宋体" w:cs="宋体"/>
          <w:snapToGrid w:val="0"/>
          <w:color w:val="auto"/>
          <w:sz w:val="21"/>
          <w:szCs w:val="21"/>
          <w:highlight w:val="none"/>
          <w:lang w:val="en-US" w:eastAsia="zh-CN"/>
        </w:rPr>
        <w:t>3</w:t>
      </w:r>
      <w:r>
        <w:rPr>
          <w:rFonts w:hint="eastAsia" w:ascii="宋体" w:hAnsi="宋体" w:eastAsia="宋体" w:cs="宋体"/>
          <w:snapToGrid w:val="0"/>
          <w:color w:val="auto"/>
          <w:sz w:val="21"/>
          <w:szCs w:val="21"/>
          <w:highlight w:val="none"/>
          <w:lang w:eastAsia="zh-CN"/>
        </w:rPr>
        <w:t>日的，须相应延后投标截止时间。</w:t>
      </w:r>
    </w:p>
    <w:p>
      <w:pPr>
        <w:pStyle w:val="5"/>
        <w:spacing w:before="0" w:after="0" w:line="360" w:lineRule="auto"/>
        <w:rPr>
          <w:rFonts w:hint="eastAsia" w:ascii="宋体" w:hAnsi="宋体" w:cs="宋体"/>
          <w:color w:val="auto"/>
          <w:sz w:val="21"/>
          <w:szCs w:val="21"/>
          <w:highlight w:val="none"/>
        </w:rPr>
      </w:pPr>
      <w:bookmarkStart w:id="68" w:name="_Toc57795877"/>
      <w:r>
        <w:rPr>
          <w:rFonts w:hint="eastAsia" w:ascii="宋体" w:hAnsi="宋体" w:cs="宋体"/>
          <w:color w:val="auto"/>
          <w:sz w:val="21"/>
          <w:szCs w:val="21"/>
          <w:highlight w:val="none"/>
        </w:rPr>
        <w:t>2.3 招标文件的修改</w:t>
      </w:r>
      <w:bookmarkEnd w:id="68"/>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按照本章第2.2款招标文件的澄清相关内容及方式执行。</w:t>
      </w:r>
    </w:p>
    <w:p>
      <w:pPr>
        <w:pStyle w:val="4"/>
        <w:spacing w:before="0" w:after="0" w:line="360" w:lineRule="auto"/>
        <w:rPr>
          <w:rFonts w:hint="eastAsia" w:ascii="宋体" w:hAnsi="宋体" w:cs="宋体"/>
          <w:color w:val="auto"/>
          <w:sz w:val="28"/>
          <w:szCs w:val="28"/>
          <w:highlight w:val="none"/>
        </w:rPr>
      </w:pPr>
      <w:bookmarkStart w:id="69" w:name="_Toc57795878"/>
      <w:r>
        <w:rPr>
          <w:rFonts w:hint="eastAsia" w:ascii="宋体" w:hAnsi="宋体" w:cs="宋体"/>
          <w:color w:val="auto"/>
          <w:sz w:val="28"/>
          <w:szCs w:val="28"/>
          <w:highlight w:val="none"/>
        </w:rPr>
        <w:t>3. 投标文件</w:t>
      </w:r>
      <w:bookmarkEnd w:id="69"/>
    </w:p>
    <w:p>
      <w:pPr>
        <w:pStyle w:val="5"/>
        <w:spacing w:before="0" w:after="0" w:line="360" w:lineRule="auto"/>
        <w:rPr>
          <w:rFonts w:hint="eastAsia" w:ascii="宋体" w:hAnsi="宋体" w:cs="宋体"/>
          <w:color w:val="auto"/>
          <w:sz w:val="21"/>
          <w:szCs w:val="21"/>
          <w:highlight w:val="none"/>
        </w:rPr>
      </w:pPr>
      <w:bookmarkStart w:id="70" w:name="_Toc57795879"/>
      <w:r>
        <w:rPr>
          <w:rFonts w:hint="eastAsia" w:ascii="宋体" w:hAnsi="宋体" w:cs="宋体"/>
          <w:color w:val="auto"/>
          <w:sz w:val="21"/>
          <w:szCs w:val="21"/>
          <w:highlight w:val="none"/>
        </w:rPr>
        <w:t>3.1投标文件的组成</w:t>
      </w:r>
      <w:bookmarkEnd w:id="70"/>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3.1.1 投标文件应包括下列内容：</w:t>
      </w:r>
    </w:p>
    <w:p>
      <w:pPr>
        <w:spacing w:line="360" w:lineRule="auto"/>
        <w:ind w:firstLine="420" w:firstLineChars="200"/>
        <w:rPr>
          <w:rFonts w:hint="eastAsia" w:ascii="宋体" w:hAnsi="宋体" w:cs="宋体"/>
          <w:color w:val="auto"/>
          <w:kern w:val="0"/>
          <w:szCs w:val="21"/>
          <w:highlight w:val="none"/>
          <w:lang w:val="ru-RU"/>
        </w:rPr>
      </w:pPr>
      <w:r>
        <w:rPr>
          <w:rFonts w:hint="eastAsia" w:ascii="宋体" w:hAnsi="宋体" w:cs="宋体"/>
          <w:color w:val="auto"/>
          <w:kern w:val="0"/>
          <w:szCs w:val="21"/>
          <w:highlight w:val="none"/>
          <w:lang w:val="ru-RU"/>
        </w:rPr>
        <w:t>3.1.1.1投标函部分</w:t>
      </w:r>
    </w:p>
    <w:p>
      <w:pPr>
        <w:spacing w:line="360" w:lineRule="auto"/>
        <w:ind w:firstLine="420" w:firstLineChars="200"/>
        <w:rPr>
          <w:rFonts w:hint="eastAsia" w:ascii="宋体" w:hAnsi="宋体" w:cs="宋体"/>
          <w:color w:val="auto"/>
          <w:kern w:val="0"/>
          <w:szCs w:val="21"/>
          <w:highlight w:val="none"/>
          <w:lang w:val="ru-RU"/>
        </w:rPr>
      </w:pPr>
      <w:r>
        <w:rPr>
          <w:rFonts w:hint="eastAsia" w:ascii="宋体" w:hAnsi="宋体" w:cs="宋体"/>
          <w:color w:val="auto"/>
          <w:kern w:val="0"/>
          <w:szCs w:val="21"/>
          <w:highlight w:val="none"/>
          <w:lang w:val="ru-RU"/>
        </w:rPr>
        <w:t>（1）投标函</w:t>
      </w:r>
    </w:p>
    <w:p>
      <w:pPr>
        <w:spacing w:line="360" w:lineRule="auto"/>
        <w:ind w:firstLine="420" w:firstLineChars="200"/>
        <w:rPr>
          <w:rFonts w:hint="eastAsia" w:ascii="宋体" w:hAnsi="宋体" w:cs="宋体"/>
          <w:color w:val="auto"/>
          <w:kern w:val="0"/>
          <w:szCs w:val="21"/>
          <w:highlight w:val="none"/>
          <w:lang w:val="ru-RU"/>
        </w:rPr>
      </w:pPr>
      <w:r>
        <w:rPr>
          <w:rFonts w:hint="eastAsia" w:ascii="宋体" w:hAnsi="宋体" w:cs="宋体"/>
          <w:color w:val="auto"/>
          <w:kern w:val="0"/>
          <w:szCs w:val="21"/>
          <w:highlight w:val="none"/>
          <w:lang w:val="ru-RU"/>
        </w:rPr>
        <w:t>（2）投标函附录</w:t>
      </w:r>
    </w:p>
    <w:p>
      <w:pPr>
        <w:spacing w:line="360" w:lineRule="auto"/>
        <w:ind w:firstLine="420" w:firstLineChars="200"/>
        <w:rPr>
          <w:rFonts w:hint="eastAsia" w:ascii="宋体" w:hAnsi="宋体" w:cs="宋体"/>
          <w:color w:val="auto"/>
          <w:kern w:val="0"/>
          <w:szCs w:val="21"/>
          <w:highlight w:val="none"/>
          <w:lang w:val="ru-RU"/>
        </w:rPr>
      </w:pPr>
      <w:r>
        <w:rPr>
          <w:rFonts w:hint="eastAsia" w:ascii="宋体" w:hAnsi="宋体" w:cs="宋体"/>
          <w:color w:val="auto"/>
          <w:kern w:val="0"/>
          <w:szCs w:val="21"/>
          <w:highlight w:val="none"/>
          <w:lang w:val="ru-RU"/>
        </w:rPr>
        <w:t>（3）法定代表人身份证明或附有法定代表人身份证明的授权委托书</w:t>
      </w:r>
    </w:p>
    <w:p>
      <w:pPr>
        <w:spacing w:line="360" w:lineRule="auto"/>
        <w:ind w:firstLine="420" w:firstLineChars="200"/>
        <w:rPr>
          <w:rFonts w:hint="eastAsia" w:ascii="宋体" w:hAnsi="宋体" w:cs="宋体"/>
          <w:color w:val="auto"/>
          <w:kern w:val="0"/>
          <w:szCs w:val="21"/>
          <w:highlight w:val="none"/>
          <w:lang w:val="ru-RU"/>
        </w:rPr>
      </w:pPr>
    </w:p>
    <w:p>
      <w:pPr>
        <w:spacing w:line="360" w:lineRule="auto"/>
        <w:ind w:firstLine="420" w:firstLineChars="200"/>
        <w:rPr>
          <w:rFonts w:hint="eastAsia" w:ascii="宋体" w:hAnsi="宋体"/>
          <w:color w:val="auto"/>
          <w:highlight w:val="none"/>
          <w:lang w:val="ru-RU"/>
        </w:rPr>
      </w:pPr>
      <w:r>
        <w:rPr>
          <w:rFonts w:hint="eastAsia" w:ascii="宋体" w:hAnsi="宋体" w:cs="宋体"/>
          <w:color w:val="auto"/>
          <w:kern w:val="0"/>
          <w:szCs w:val="21"/>
          <w:highlight w:val="none"/>
          <w:lang w:val="ru-RU"/>
        </w:rPr>
        <w:t>3.1.1.</w:t>
      </w:r>
      <w:r>
        <w:rPr>
          <w:rFonts w:hint="eastAsia" w:ascii="宋体" w:hAnsi="宋体" w:cs="宋体"/>
          <w:color w:val="auto"/>
          <w:kern w:val="0"/>
          <w:szCs w:val="21"/>
          <w:highlight w:val="none"/>
        </w:rPr>
        <w:t>2经济</w:t>
      </w:r>
      <w:r>
        <w:rPr>
          <w:rFonts w:hint="eastAsia" w:ascii="宋体" w:hAnsi="宋体" w:cs="宋体"/>
          <w:color w:val="auto"/>
          <w:kern w:val="0"/>
          <w:szCs w:val="21"/>
          <w:highlight w:val="none"/>
          <w:lang w:val="ru-RU"/>
        </w:rPr>
        <w:t>部分</w:t>
      </w:r>
    </w:p>
    <w:p>
      <w:pPr>
        <w:spacing w:line="360" w:lineRule="auto"/>
        <w:ind w:firstLine="420" w:firstLineChars="200"/>
        <w:rPr>
          <w:rFonts w:hint="eastAsia" w:ascii="宋体" w:hAnsi="宋体" w:cs="宋体"/>
          <w:color w:val="auto"/>
          <w:kern w:val="0"/>
          <w:szCs w:val="21"/>
          <w:highlight w:val="none"/>
          <w:lang w:val="ru-RU"/>
        </w:rPr>
      </w:pPr>
      <w:r>
        <w:rPr>
          <w:rFonts w:hint="eastAsia" w:ascii="宋体" w:hAnsi="宋体" w:cs="宋体"/>
          <w:color w:val="auto"/>
          <w:kern w:val="0"/>
          <w:szCs w:val="21"/>
          <w:highlight w:val="none"/>
          <w:lang w:val="ru-RU"/>
        </w:rPr>
        <w:t>（</w:t>
      </w:r>
      <w:r>
        <w:rPr>
          <w:rFonts w:hint="eastAsia" w:ascii="宋体" w:hAnsi="宋体" w:cs="宋体"/>
          <w:color w:val="auto"/>
          <w:kern w:val="0"/>
          <w:szCs w:val="21"/>
          <w:highlight w:val="none"/>
        </w:rPr>
        <w:t>1</w:t>
      </w:r>
      <w:r>
        <w:rPr>
          <w:rFonts w:hint="eastAsia" w:ascii="宋体" w:hAnsi="宋体" w:cs="宋体"/>
          <w:color w:val="auto"/>
          <w:kern w:val="0"/>
          <w:szCs w:val="21"/>
          <w:highlight w:val="none"/>
          <w:lang w:val="ru-RU"/>
        </w:rPr>
        <w:t>）已标价工程量清单</w:t>
      </w:r>
    </w:p>
    <w:p>
      <w:pPr>
        <w:spacing w:line="360" w:lineRule="auto"/>
        <w:ind w:firstLine="420" w:firstLineChars="200"/>
        <w:rPr>
          <w:rFonts w:hint="eastAsia" w:ascii="宋体" w:hAnsi="宋体" w:cs="宋体"/>
          <w:color w:val="auto"/>
          <w:kern w:val="0"/>
          <w:szCs w:val="21"/>
          <w:highlight w:val="none"/>
          <w:lang w:val="ru-RU"/>
        </w:rPr>
      </w:pPr>
      <w:r>
        <w:rPr>
          <w:rFonts w:hint="eastAsia" w:ascii="宋体" w:hAnsi="宋体" w:cs="宋体"/>
          <w:color w:val="auto"/>
          <w:kern w:val="0"/>
          <w:szCs w:val="21"/>
          <w:highlight w:val="none"/>
          <w:lang w:val="ru-RU"/>
        </w:rPr>
        <w:t>3.1.1.</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lang w:val="ru-RU"/>
        </w:rPr>
        <w:t>资格审查部分</w:t>
      </w:r>
    </w:p>
    <w:p>
      <w:pPr>
        <w:spacing w:line="360" w:lineRule="auto"/>
        <w:ind w:firstLine="420" w:firstLineChars="200"/>
        <w:rPr>
          <w:rFonts w:hint="eastAsia" w:ascii="宋体" w:hAnsi="宋体" w:cs="宋体"/>
          <w:color w:val="auto"/>
          <w:kern w:val="0"/>
          <w:szCs w:val="21"/>
          <w:highlight w:val="none"/>
          <w:lang w:val="ru-RU"/>
        </w:rPr>
      </w:pPr>
      <w:r>
        <w:rPr>
          <w:rFonts w:hint="eastAsia" w:ascii="宋体" w:hAnsi="宋体" w:cs="宋体"/>
          <w:color w:val="auto"/>
          <w:kern w:val="0"/>
          <w:szCs w:val="21"/>
          <w:highlight w:val="none"/>
          <w:lang w:val="ru-RU"/>
        </w:rPr>
        <w:t>（1）法定代表人身份证明或附有法定代表人身份证明的授权委托书</w:t>
      </w:r>
    </w:p>
    <w:p>
      <w:pPr>
        <w:spacing w:line="360" w:lineRule="auto"/>
        <w:ind w:firstLine="420" w:firstLineChars="200"/>
        <w:rPr>
          <w:rFonts w:hint="eastAsia" w:ascii="宋体" w:hAnsi="宋体" w:cs="宋体"/>
          <w:color w:val="auto"/>
          <w:kern w:val="0"/>
          <w:szCs w:val="21"/>
          <w:highlight w:val="none"/>
          <w:lang w:val="ru-RU"/>
        </w:rPr>
      </w:pPr>
      <w:r>
        <w:rPr>
          <w:rFonts w:hint="eastAsia" w:ascii="宋体" w:hAnsi="宋体" w:cs="宋体"/>
          <w:color w:val="auto"/>
          <w:kern w:val="0"/>
          <w:szCs w:val="21"/>
          <w:highlight w:val="none"/>
          <w:lang w:val="ru-RU"/>
        </w:rPr>
        <w:t>（2）投标人基本情况表</w:t>
      </w:r>
    </w:p>
    <w:p>
      <w:pPr>
        <w:spacing w:line="360" w:lineRule="auto"/>
        <w:ind w:firstLine="420" w:firstLineChars="200"/>
        <w:rPr>
          <w:rFonts w:hint="eastAsia" w:ascii="宋体" w:hAnsi="宋体" w:cs="宋体"/>
          <w:color w:val="auto"/>
          <w:kern w:val="0"/>
          <w:szCs w:val="21"/>
          <w:highlight w:val="none"/>
          <w:lang w:val="ru-RU"/>
        </w:rPr>
      </w:pPr>
      <w:r>
        <w:rPr>
          <w:rFonts w:hint="eastAsia" w:ascii="宋体" w:hAnsi="宋体" w:cs="宋体"/>
          <w:color w:val="auto"/>
          <w:kern w:val="0"/>
          <w:szCs w:val="21"/>
          <w:highlight w:val="none"/>
          <w:lang w:val="ru-RU"/>
        </w:rPr>
        <w:t>（</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lang w:val="ru-RU"/>
        </w:rPr>
        <w:t>）项目管理机构</w:t>
      </w:r>
    </w:p>
    <w:p>
      <w:pPr>
        <w:spacing w:line="360" w:lineRule="auto"/>
        <w:ind w:firstLine="420" w:firstLineChars="200"/>
        <w:rPr>
          <w:rFonts w:hint="eastAsia" w:ascii="宋体" w:hAnsi="宋体" w:cs="宋体"/>
          <w:color w:val="auto"/>
          <w:kern w:val="0"/>
          <w:szCs w:val="21"/>
          <w:highlight w:val="none"/>
          <w:lang w:val="ru-RU"/>
        </w:rPr>
      </w:pPr>
      <w:r>
        <w:rPr>
          <w:rFonts w:hint="eastAsia" w:ascii="宋体" w:hAnsi="宋体" w:cs="宋体"/>
          <w:color w:val="auto"/>
          <w:kern w:val="0"/>
          <w:szCs w:val="21"/>
          <w:highlight w:val="none"/>
          <w:lang w:val="ru-RU"/>
        </w:rPr>
        <w:t>（</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lang w:val="ru-RU"/>
        </w:rPr>
        <w:t>）</w:t>
      </w:r>
      <w:r>
        <w:rPr>
          <w:rFonts w:hint="eastAsia" w:ascii="宋体" w:hAnsi="宋体" w:cs="宋体"/>
          <w:color w:val="auto"/>
          <w:kern w:val="0"/>
          <w:szCs w:val="21"/>
          <w:highlight w:val="none"/>
        </w:rPr>
        <w:t>承诺</w:t>
      </w:r>
    </w:p>
    <w:p>
      <w:pPr>
        <w:spacing w:line="360" w:lineRule="auto"/>
        <w:ind w:firstLine="420" w:firstLineChars="200"/>
        <w:rPr>
          <w:rFonts w:hint="eastAsia" w:ascii="宋体" w:hAnsi="宋体" w:cs="宋体"/>
          <w:color w:val="auto"/>
          <w:kern w:val="0"/>
          <w:szCs w:val="21"/>
          <w:highlight w:val="none"/>
          <w:lang w:val="ru-RU"/>
        </w:rPr>
      </w:pPr>
      <w:r>
        <w:rPr>
          <w:rFonts w:hint="eastAsia" w:ascii="宋体" w:hAnsi="宋体" w:cs="宋体"/>
          <w:color w:val="auto"/>
          <w:kern w:val="0"/>
          <w:szCs w:val="21"/>
          <w:highlight w:val="none"/>
          <w:lang w:val="ru-RU"/>
        </w:rPr>
        <w:t>（</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lang w:val="ru-RU"/>
        </w:rPr>
        <w:t>）其他资料</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投标人在评标过程中作出的符合法律法规和招标文件规定的澄清确认，构成投标文件的组成部分。</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3.1.2投标人须知前附表规定不接受联合体投标的，或投标人没有组成联合体的，投标文件不包括联合体协议书。</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3.1.3 投标人须知前附表未要求提交投标保证金的，投标文件不包括投标保证金。</w:t>
      </w:r>
    </w:p>
    <w:p>
      <w:pPr>
        <w:pStyle w:val="5"/>
        <w:spacing w:before="0" w:after="0" w:line="360" w:lineRule="auto"/>
        <w:rPr>
          <w:rFonts w:hint="eastAsia" w:ascii="宋体" w:hAnsi="宋体" w:cs="宋体"/>
          <w:color w:val="auto"/>
          <w:sz w:val="21"/>
          <w:szCs w:val="21"/>
          <w:highlight w:val="none"/>
        </w:rPr>
      </w:pPr>
      <w:bookmarkStart w:id="71" w:name="_Toc57795880"/>
      <w:r>
        <w:rPr>
          <w:rFonts w:hint="eastAsia" w:ascii="宋体" w:hAnsi="宋体" w:cs="宋体"/>
          <w:color w:val="auto"/>
          <w:sz w:val="21"/>
          <w:szCs w:val="21"/>
          <w:highlight w:val="none"/>
        </w:rPr>
        <w:t>3.2 投标报价</w:t>
      </w:r>
      <w:bookmarkEnd w:id="71"/>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3.2.1 投标报价应包括国家规定的增值税税金，除投标人须知前附表另有规定外，增值税税金按一般计税方法计算。投标人应按第九章“投标文件格式”的要求在投标函中进行报价并填写工程量清单相应表格。</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本项目招标采用工程量固化清单，招标人将工程量清单电子文件上传至投标人须知前附表载明的网站供投标人自行下载。投标人填写工程量清单中各子目的单价及总价，即可完成投标工程量清单的编制，确定投标报价，编入投标文件。投标人未在工程量清单中填入单价或总额价的工程子目，将被认为其已包含在工程量清单其他子目的单价和总额价中，招标人将不予支付。</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投标人必须严格遵循工程量固化清单电子文件中的数据、格式及运算定义，严禁投标人修改工程量固化清单电子文件中的数据、格式及运算定义。</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投标人根据招标人提供的工程量固化清单电子文件填报完成并生成的投标工程量清单中的投标报价和投标函大写金额报价应一致，如果报价金额出现差异，其投标将被否决。</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3.2.2 投标人应充分了解本项目的总体情况以及影响投标报价的其他要素。</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3.2.3 本项目的报价方式见投标人须知前附表。投标人在投标截止时间前修改投标函中的投标总报价，应同时修改投标文件“已标价工程量清单”中的相应报价。此修改须符合本章第 4.3 款的有关要求。</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3.2.4 投标人如果发现工程量清单中的数量与图纸中数量不一致时，应立即通知招标人核查，除非招标人按照本章第2.2 款或2.3 款的有关要求，以招标文件澄清或修改的方式予以更正，否则，应以工程量清单中列出的数量为准。</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3.2.5 投标人应根据《公路水运工程安全生产监督管理办法》，在投标总价中计入安全生产费用，安全生产费用应符合合同条款第 9.2.5 项的规定。工程量清单第 100章内列有上述安全生产费的支付子目，由投标人按招标文件的规定填写总额价。</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3.2.6 除投标人须知前附表另有规定外，招标人不接受调价函。</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3.2.7 在合同实施期间，投标人填写的单价、合价和总价是否由于物价波动进行价格调整按照合同条款第 16.1 款的规定处理。如果按照合同条款第 16.1.1 项的规定采用价格调整公式进行价格调整，由招标人根据项目实际情况测算确定价格调整公式中的变值权重范围，并在投标函附录价格指数和权重表中约定范围；投标人在此范围内填写各可调因子的权重，合同实施期间将按此权重进行调价。</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3.2.8 招标人设有最高投标限价的，投标人的投标报价不得超过最高投标限价，最高投标限价在投标人须知前附表中载明。</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3.2.9 投标报价的其他要求见投标人须知前附表。</w:t>
      </w:r>
    </w:p>
    <w:p>
      <w:pPr>
        <w:pStyle w:val="5"/>
        <w:spacing w:before="0" w:after="0" w:line="360" w:lineRule="auto"/>
        <w:rPr>
          <w:rFonts w:hint="eastAsia" w:ascii="宋体" w:hAnsi="宋体" w:cs="宋体"/>
          <w:color w:val="auto"/>
          <w:sz w:val="21"/>
          <w:szCs w:val="21"/>
          <w:highlight w:val="none"/>
        </w:rPr>
      </w:pPr>
      <w:bookmarkStart w:id="72" w:name="_Toc57795881"/>
      <w:r>
        <w:rPr>
          <w:rFonts w:hint="eastAsia" w:ascii="宋体" w:hAnsi="宋体" w:cs="宋体"/>
          <w:color w:val="auto"/>
          <w:sz w:val="21"/>
          <w:szCs w:val="21"/>
          <w:highlight w:val="none"/>
        </w:rPr>
        <w:t>3.3投标有效期</w:t>
      </w:r>
      <w:bookmarkEnd w:id="72"/>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3.3.1 除投标人须知前附表另有规定外，投标有效期为 90 日。</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3.3.2 在投标有效期内，投标人撤销投标文件的，应承担招标文件和法律规定的责任。</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3.3.3 出现特殊情况需要延长投标有效期的，招标人在投标人须知前附表载明的网站，以公告形式通知所有投标人延长投标有效期。在公告发布的 24 小时内， 若招标人未接到投标人拒绝延长的书面答复，就视为所有投标人都同意延长，投标人应当相应延长其投标保证金的有效期，但不得要求或被允许修改其投标文件；投标人拒绝延长的，其投标失效，但投标人有权收回其投标保证金及以现金或支票形式递交的投标保证金的银 行同期活期存款利息。</w:t>
      </w:r>
    </w:p>
    <w:p>
      <w:pPr>
        <w:pStyle w:val="5"/>
        <w:spacing w:before="0" w:after="0" w:line="360" w:lineRule="auto"/>
        <w:rPr>
          <w:rFonts w:hint="eastAsia" w:ascii="宋体" w:hAnsi="宋体" w:cs="宋体"/>
          <w:color w:val="auto"/>
          <w:sz w:val="21"/>
          <w:szCs w:val="21"/>
          <w:highlight w:val="none"/>
        </w:rPr>
      </w:pPr>
      <w:bookmarkStart w:id="73" w:name="_Toc57795882"/>
      <w:r>
        <w:rPr>
          <w:rFonts w:hint="eastAsia" w:ascii="宋体" w:hAnsi="宋体" w:cs="宋体"/>
          <w:color w:val="auto"/>
          <w:sz w:val="21"/>
          <w:szCs w:val="21"/>
          <w:highlight w:val="none"/>
        </w:rPr>
        <w:t>3.4 投标保证金</w:t>
      </w:r>
      <w:bookmarkEnd w:id="73"/>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3.4.1 投标人在递交投标文件的同时，应按投标人须知前附表规定的金额、担保形式和</w:t>
      </w:r>
      <w:r>
        <w:rPr>
          <w:rFonts w:hint="eastAsia" w:ascii="宋体" w:hAnsi="宋体" w:eastAsia="宋体" w:cs="宋体"/>
          <w:color w:val="auto"/>
          <w:sz w:val="21"/>
          <w:szCs w:val="21"/>
          <w:highlight w:val="none"/>
          <w:lang w:val="en-US" w:eastAsia="zh-CN"/>
        </w:rPr>
        <w:t>其他</w:t>
      </w:r>
      <w:r>
        <w:rPr>
          <w:rFonts w:hint="eastAsia" w:ascii="宋体" w:hAnsi="宋体" w:eastAsia="宋体" w:cs="宋体"/>
          <w:color w:val="auto"/>
          <w:sz w:val="21"/>
          <w:szCs w:val="21"/>
          <w:highlight w:val="none"/>
          <w:lang w:eastAsia="zh-CN"/>
        </w:rPr>
        <w:t>要求递交投标保证金，并作为其投标文件的组成部分。</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无论采取何种形式的投标保证金，投标保证金有效期均应与投标有效期一致。招标人如果按本章第 3.3.3 项的规定延长了投标有效期，则投标保证金的有效期也相应延长。</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3.4.2 投标人不按本章第 3.4.1 项要求提交投标保证金的，评标委员会将否决其投标。</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3.4.3 招标人最迟将在中标通知书发出后 5 日内向中标候选人以外的其他投标人退还投标保证金，与中标人签订合同后 5 日内向中标人和其他中标候选人退还投标保证金。投标保证金以现金或支票形式递交的，招标人应同时退还投标保证金的银行同期活期存款利息，且退还至投标人的基本账户。</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利息计算原则见投标人须知前附表。</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3.4.4 有下列情形之一的，投标保证金将不予退还：</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（1）投标人在投标有效期内撤销投标文件；</w:t>
      </w:r>
    </w:p>
    <w:p>
      <w:pPr>
        <w:pStyle w:val="268"/>
        <w:spacing w:before="0" w:after="0" w:line="360" w:lineRule="auto"/>
        <w:ind w:firstLine="420" w:firstLineChars="200"/>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w:t>
      </w:r>
      <w:r>
        <w:rPr>
          <w:rFonts w:hint="eastAsia" w:asciiTheme="minorEastAsia" w:hAnsiTheme="minorEastAsia" w:eastAsiaTheme="minorEastAsia" w:cstheme="minorEastAsia"/>
          <w:color w:val="auto"/>
          <w:kern w:val="0"/>
          <w:sz w:val="21"/>
          <w:szCs w:val="21"/>
        </w:rPr>
        <w:t>中标人在收到中标通知书后，无正当理由不与招标人订立合同，在签订合同时向招标人提出附加条件，或者不按照招标文件要求提交履约保证金</w:t>
      </w:r>
      <w:r>
        <w:rPr>
          <w:rFonts w:hint="eastAsia" w:asciiTheme="minorEastAsia" w:hAnsiTheme="minorEastAsia" w:eastAsiaTheme="minorEastAsia" w:cstheme="minorEastAsia"/>
          <w:color w:val="auto"/>
          <w:sz w:val="21"/>
          <w:szCs w:val="21"/>
          <w:highlight w:val="none"/>
          <w:lang w:eastAsia="zh-CN"/>
        </w:rPr>
        <w:t>；</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）投标人被发现</w:t>
      </w:r>
      <w:r>
        <w:rPr>
          <w:rFonts w:hint="eastAsia" w:ascii="宋体" w:hAnsi="宋体" w:eastAsia="宋体" w:cs="宋体"/>
          <w:color w:val="auto"/>
          <w:sz w:val="21"/>
          <w:szCs w:val="21"/>
          <w:highlight w:val="none"/>
          <w:lang w:val="en-US" w:eastAsia="zh-CN"/>
        </w:rPr>
        <w:t>本次投标</w:t>
      </w:r>
      <w:r>
        <w:rPr>
          <w:rFonts w:hint="eastAsia" w:ascii="宋体" w:hAnsi="宋体" w:eastAsia="宋体" w:cs="宋体"/>
          <w:color w:val="auto"/>
          <w:sz w:val="21"/>
          <w:szCs w:val="21"/>
          <w:highlight w:val="none"/>
          <w:lang w:eastAsia="zh-CN"/>
        </w:rPr>
        <w:t>存在串通投标、弄虚造假、行贿等违法行为的；</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）发生投标人须知前附表规定的其他可以不予退还投标保证金的情形。</w:t>
      </w:r>
    </w:p>
    <w:p>
      <w:pPr>
        <w:pStyle w:val="5"/>
        <w:spacing w:before="0" w:after="0" w:line="360" w:lineRule="auto"/>
        <w:rPr>
          <w:rFonts w:hint="eastAsia" w:ascii="宋体" w:hAnsi="宋体" w:cs="宋体"/>
          <w:color w:val="auto"/>
          <w:sz w:val="21"/>
          <w:szCs w:val="21"/>
          <w:highlight w:val="none"/>
        </w:rPr>
      </w:pPr>
      <w:bookmarkStart w:id="74" w:name="_Toc57795884"/>
      <w:r>
        <w:rPr>
          <w:rFonts w:hint="eastAsia" w:ascii="宋体" w:hAnsi="宋体" w:cs="宋体"/>
          <w:color w:val="auto"/>
          <w:sz w:val="21"/>
          <w:szCs w:val="21"/>
          <w:highlight w:val="none"/>
        </w:rPr>
        <w:t>3.5资格审查资料</w:t>
      </w:r>
      <w:bookmarkEnd w:id="74"/>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除投标人须知前附表另有规定外，投标人应按下列规定提供资格审查资料，以证明其满足本章</w:t>
      </w:r>
      <w:r>
        <w:rPr>
          <w:rFonts w:hint="eastAsia" w:ascii="宋体" w:hAnsi="宋体" w:eastAsia="宋体" w:cs="宋体"/>
          <w:color w:val="auto"/>
          <w:sz w:val="21"/>
          <w:szCs w:val="21"/>
          <w:highlight w:val="none"/>
          <w:lang w:val="en-US" w:eastAsia="zh-CN"/>
        </w:rPr>
        <w:t>第</w:t>
      </w:r>
      <w:r>
        <w:rPr>
          <w:rFonts w:hint="eastAsia" w:ascii="宋体" w:hAnsi="宋体" w:eastAsia="宋体" w:cs="宋体"/>
          <w:color w:val="auto"/>
          <w:sz w:val="21"/>
          <w:szCs w:val="21"/>
          <w:highlight w:val="none"/>
          <w:lang w:eastAsia="zh-CN"/>
        </w:rPr>
        <w:t xml:space="preserve"> 1.4 款规定的资质、财务、业绩、信誉等要求。</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3.5.1“投标人基本情况表”应附企业法人营业执照副本、施工资质证书副本（带二维码）、安全生产许可证副本的扫描件。</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企业法人营业执照副本、施工资质证书副本、安全生产许可证副本的扫描件应提供全本（证书封面、封底、空白页除外），应包括投标人名称、投标人其他相关信息、颁发机构名称、投标人信息变更情况等关键页在内。</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3.5.2“财务状况表”应附经会计师事务所或审计机构</w:t>
      </w:r>
      <w:r>
        <w:rPr>
          <w:rFonts w:hint="eastAsia" w:ascii="宋体" w:hAnsi="宋体" w:eastAsia="宋体" w:cs="宋体"/>
          <w:color w:val="auto"/>
          <w:sz w:val="21"/>
          <w:szCs w:val="21"/>
          <w:highlight w:val="none"/>
          <w:lang w:val="en-US" w:eastAsia="zh-CN"/>
        </w:rPr>
        <w:t>出具</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lang w:val="en-US" w:eastAsia="zh-CN"/>
        </w:rPr>
        <w:t>合法有效的</w:t>
      </w:r>
      <w:r>
        <w:rPr>
          <w:rFonts w:hint="eastAsia" w:ascii="宋体" w:hAnsi="宋体" w:eastAsia="宋体" w:cs="宋体"/>
          <w:color w:val="auto"/>
          <w:sz w:val="21"/>
          <w:szCs w:val="21"/>
          <w:highlight w:val="none"/>
          <w:lang w:eastAsia="zh-CN"/>
        </w:rPr>
        <w:t>财务审计报表扫描件，包括资产负债表、现金流量表、利润表和财务情况说明书，具体年份要求见投标人须知前附表。投标人的成立时间少于投标人须知前附表规定年份的，应提供成立以来的财务状况表。</w:t>
      </w:r>
    </w:p>
    <w:p>
      <w:pPr>
        <w:pStyle w:val="268"/>
        <w:spacing w:before="0" w:after="0" w:line="360" w:lineRule="auto"/>
        <w:ind w:firstLine="420" w:firstLineChars="200"/>
        <w:jc w:val="left"/>
        <w:rPr>
          <w:rFonts w:hint="eastAsia" w:ascii="宋体" w:hAnsi="宋体" w:eastAsia="宋体"/>
          <w:color w:val="auto"/>
          <w:sz w:val="21"/>
          <w:szCs w:val="21"/>
          <w:highlight w:val="none"/>
          <w:lang w:eastAsia="zh-CN"/>
        </w:rPr>
      </w:pPr>
      <w:r>
        <w:rPr>
          <w:rFonts w:hint="eastAsia" w:ascii="宋体" w:hAnsi="宋体" w:eastAsia="宋体" w:cs="宋体"/>
          <w:color w:val="auto"/>
          <w:sz w:val="21"/>
          <w:szCs w:val="21"/>
          <w:highlight w:val="none"/>
          <w:lang w:eastAsia="zh-CN"/>
        </w:rPr>
        <w:t>3.5.3 “类似项目”</w:t>
      </w:r>
      <w:r>
        <w:rPr>
          <w:rFonts w:hint="eastAsia" w:ascii="宋体" w:hAnsi="宋体" w:eastAsia="宋体"/>
          <w:color w:val="auto"/>
          <w:sz w:val="21"/>
          <w:szCs w:val="21"/>
          <w:highlight w:val="none"/>
          <w:lang w:eastAsia="zh-CN"/>
        </w:rPr>
        <w:t>应是已列入交通运输主管部门</w:t>
      </w:r>
      <w:r>
        <w:rPr>
          <w:rFonts w:hint="eastAsia" w:ascii="宋体" w:hAnsi="宋体" w:eastAsia="宋体" w:cs="宋体"/>
          <w:color w:val="auto"/>
          <w:sz w:val="21"/>
          <w:szCs w:val="21"/>
          <w:highlight w:val="none"/>
          <w:lang w:eastAsia="zh-CN"/>
        </w:rPr>
        <w:t>“</w:t>
      </w:r>
      <w:r>
        <w:rPr>
          <w:rFonts w:hint="eastAsia" w:ascii="宋体" w:hAnsi="宋体" w:eastAsia="宋体"/>
          <w:color w:val="auto"/>
          <w:sz w:val="21"/>
          <w:szCs w:val="21"/>
          <w:highlight w:val="none"/>
          <w:lang w:eastAsia="zh-CN"/>
        </w:rPr>
        <w:t>公路建设市场信用信息管理系统</w:t>
      </w:r>
      <w:r>
        <w:rPr>
          <w:rFonts w:hint="eastAsia" w:ascii="宋体" w:hAnsi="宋体" w:eastAsia="宋体" w:cs="宋体"/>
          <w:color w:val="auto"/>
          <w:sz w:val="21"/>
          <w:szCs w:val="21"/>
          <w:highlight w:val="none"/>
          <w:lang w:eastAsia="zh-CN"/>
        </w:rPr>
        <w:t>”</w:t>
      </w:r>
      <w:r>
        <w:rPr>
          <w:rFonts w:hint="eastAsia" w:ascii="宋体" w:hAnsi="宋体" w:eastAsia="宋体"/>
          <w:color w:val="auto"/>
          <w:sz w:val="21"/>
          <w:szCs w:val="21"/>
          <w:highlight w:val="none"/>
          <w:lang w:eastAsia="zh-CN"/>
        </w:rPr>
        <w:t>并公开的主包已建业绩或分包已建业绩，具体时间要求见投标人须知前附表。</w:t>
      </w:r>
    </w:p>
    <w:p>
      <w:pPr>
        <w:pStyle w:val="268"/>
        <w:spacing w:before="0" w:after="0" w:line="360" w:lineRule="auto"/>
        <w:ind w:firstLine="420" w:firstLineChars="200"/>
        <w:jc w:val="left"/>
        <w:rPr>
          <w:rFonts w:hint="eastAsia" w:ascii="宋体" w:hAnsi="宋体" w:eastAsia="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olor w:val="auto"/>
          <w:sz w:val="21"/>
          <w:szCs w:val="21"/>
          <w:highlight w:val="none"/>
          <w:lang w:eastAsia="zh-CN"/>
        </w:rPr>
        <w:t>类似项目情况表</w:t>
      </w:r>
      <w:r>
        <w:rPr>
          <w:rFonts w:hint="eastAsia" w:ascii="宋体" w:hAnsi="宋体" w:eastAsia="宋体" w:cs="宋体"/>
          <w:color w:val="auto"/>
          <w:sz w:val="21"/>
          <w:szCs w:val="21"/>
          <w:highlight w:val="none"/>
          <w:lang w:eastAsia="zh-CN"/>
        </w:rPr>
        <w:t>”</w:t>
      </w:r>
      <w:r>
        <w:rPr>
          <w:rFonts w:hint="eastAsia" w:ascii="宋体" w:hAnsi="宋体" w:eastAsia="宋体"/>
          <w:color w:val="auto"/>
          <w:sz w:val="21"/>
          <w:szCs w:val="21"/>
          <w:highlight w:val="none"/>
          <w:lang w:eastAsia="zh-CN"/>
        </w:rPr>
        <w:t>应附在交通运输部</w:t>
      </w:r>
      <w:r>
        <w:rPr>
          <w:rFonts w:hint="eastAsia" w:ascii="宋体" w:hAnsi="宋体" w:eastAsia="宋体" w:cs="宋体"/>
          <w:color w:val="auto"/>
          <w:sz w:val="21"/>
          <w:szCs w:val="21"/>
          <w:highlight w:val="none"/>
          <w:lang w:eastAsia="zh-CN"/>
        </w:rPr>
        <w:t>“</w:t>
      </w:r>
      <w:r>
        <w:rPr>
          <w:rFonts w:hint="eastAsia" w:ascii="宋体" w:hAnsi="宋体" w:eastAsia="宋体"/>
          <w:color w:val="auto"/>
          <w:sz w:val="21"/>
          <w:szCs w:val="21"/>
          <w:highlight w:val="none"/>
          <w:lang w:eastAsia="zh-CN"/>
        </w:rPr>
        <w:t>全国公路建设市场信用信息管理系统</w:t>
      </w:r>
      <w:r>
        <w:rPr>
          <w:rFonts w:hint="eastAsia" w:ascii="宋体" w:hAnsi="宋体" w:eastAsia="宋体" w:cs="宋体"/>
          <w:color w:val="auto"/>
          <w:sz w:val="21"/>
          <w:szCs w:val="21"/>
          <w:highlight w:val="none"/>
          <w:lang w:eastAsia="zh-CN"/>
        </w:rPr>
        <w:t>”</w:t>
      </w:r>
      <w:r>
        <w:rPr>
          <w:rFonts w:hint="eastAsia" w:ascii="宋体" w:hAnsi="宋体" w:eastAsia="宋体"/>
          <w:color w:val="auto"/>
          <w:sz w:val="21"/>
          <w:szCs w:val="21"/>
          <w:highlight w:val="none"/>
          <w:lang w:eastAsia="zh-CN"/>
        </w:rPr>
        <w:t>中查询到的企业</w:t>
      </w:r>
      <w:r>
        <w:rPr>
          <w:rFonts w:hint="eastAsia" w:ascii="宋体" w:hAnsi="宋体" w:eastAsia="宋体" w:cs="宋体"/>
          <w:color w:val="auto"/>
          <w:sz w:val="21"/>
          <w:szCs w:val="21"/>
          <w:highlight w:val="none"/>
          <w:lang w:eastAsia="zh-CN"/>
        </w:rPr>
        <w:t>“</w:t>
      </w:r>
      <w:r>
        <w:rPr>
          <w:rFonts w:hint="eastAsia" w:ascii="宋体" w:hAnsi="宋体" w:eastAsia="宋体"/>
          <w:color w:val="auto"/>
          <w:sz w:val="21"/>
          <w:szCs w:val="21"/>
          <w:highlight w:val="none"/>
          <w:lang w:eastAsia="zh-CN"/>
        </w:rPr>
        <w:t>业绩信息</w:t>
      </w:r>
      <w:r>
        <w:rPr>
          <w:rFonts w:hint="eastAsia" w:ascii="宋体" w:hAnsi="宋体" w:eastAsia="宋体" w:cs="宋体"/>
          <w:color w:val="auto"/>
          <w:sz w:val="21"/>
          <w:szCs w:val="21"/>
          <w:highlight w:val="none"/>
          <w:lang w:eastAsia="zh-CN"/>
        </w:rPr>
        <w:t>”</w:t>
      </w:r>
      <w:r>
        <w:rPr>
          <w:rFonts w:hint="eastAsia" w:ascii="宋体" w:hAnsi="宋体" w:eastAsia="宋体"/>
          <w:color w:val="auto"/>
          <w:sz w:val="21"/>
          <w:szCs w:val="21"/>
          <w:highlight w:val="none"/>
          <w:lang w:eastAsia="zh-CN"/>
        </w:rPr>
        <w:t>相关项目网页截图复印件，即包括</w:t>
      </w:r>
      <w:r>
        <w:rPr>
          <w:rFonts w:hint="eastAsia" w:ascii="宋体" w:hAnsi="宋体" w:eastAsia="宋体" w:cs="宋体"/>
          <w:color w:val="auto"/>
          <w:sz w:val="21"/>
          <w:szCs w:val="21"/>
          <w:highlight w:val="none"/>
          <w:lang w:eastAsia="zh-CN"/>
        </w:rPr>
        <w:t>“</w:t>
      </w:r>
      <w:r>
        <w:rPr>
          <w:rFonts w:hint="eastAsia" w:ascii="宋体" w:hAnsi="宋体" w:eastAsia="宋体"/>
          <w:color w:val="auto"/>
          <w:sz w:val="21"/>
          <w:szCs w:val="21"/>
          <w:highlight w:val="none"/>
          <w:lang w:eastAsia="zh-CN"/>
        </w:rPr>
        <w:t>项目名称</w:t>
      </w:r>
      <w:r>
        <w:rPr>
          <w:rFonts w:hint="eastAsia" w:ascii="宋体" w:hAnsi="宋体" w:eastAsia="宋体" w:cs="宋体"/>
          <w:color w:val="auto"/>
          <w:sz w:val="21"/>
          <w:szCs w:val="21"/>
          <w:highlight w:val="none"/>
          <w:lang w:eastAsia="zh-CN"/>
        </w:rPr>
        <w:t>”“</w:t>
      </w:r>
      <w:r>
        <w:rPr>
          <w:rFonts w:hint="eastAsia" w:ascii="宋体" w:hAnsi="宋体" w:eastAsia="宋体"/>
          <w:color w:val="auto"/>
          <w:sz w:val="21"/>
          <w:szCs w:val="21"/>
          <w:highlight w:val="none"/>
          <w:lang w:eastAsia="zh-CN"/>
        </w:rPr>
        <w:t>标段类型</w:t>
      </w:r>
      <w:r>
        <w:rPr>
          <w:rFonts w:hint="eastAsia" w:ascii="宋体" w:hAnsi="宋体" w:eastAsia="宋体" w:cs="宋体"/>
          <w:color w:val="auto"/>
          <w:sz w:val="21"/>
          <w:szCs w:val="21"/>
          <w:highlight w:val="none"/>
          <w:lang w:eastAsia="zh-CN"/>
        </w:rPr>
        <w:t>”“</w:t>
      </w:r>
      <w:r>
        <w:rPr>
          <w:rFonts w:hint="eastAsia" w:ascii="宋体" w:hAnsi="宋体" w:eastAsia="宋体"/>
          <w:color w:val="auto"/>
          <w:sz w:val="21"/>
          <w:szCs w:val="21"/>
          <w:highlight w:val="none"/>
          <w:lang w:eastAsia="zh-CN"/>
        </w:rPr>
        <w:t>合同价</w:t>
      </w:r>
      <w:r>
        <w:rPr>
          <w:rFonts w:hint="eastAsia" w:ascii="宋体" w:hAnsi="宋体" w:eastAsia="宋体" w:cs="宋体"/>
          <w:color w:val="auto"/>
          <w:sz w:val="21"/>
          <w:szCs w:val="21"/>
          <w:highlight w:val="none"/>
          <w:lang w:eastAsia="zh-CN"/>
        </w:rPr>
        <w:t>”“</w:t>
      </w:r>
      <w:r>
        <w:rPr>
          <w:rFonts w:hint="eastAsia" w:ascii="宋体" w:hAnsi="宋体" w:eastAsia="宋体"/>
          <w:color w:val="auto"/>
          <w:sz w:val="21"/>
          <w:szCs w:val="21"/>
          <w:highlight w:val="none"/>
          <w:lang w:eastAsia="zh-CN"/>
        </w:rPr>
        <w:t>主要工程量</w:t>
      </w:r>
      <w:r>
        <w:rPr>
          <w:rFonts w:hint="eastAsia" w:ascii="宋体" w:hAnsi="宋体" w:eastAsia="宋体" w:cs="宋体"/>
          <w:color w:val="auto"/>
          <w:sz w:val="21"/>
          <w:szCs w:val="21"/>
          <w:highlight w:val="none"/>
          <w:lang w:eastAsia="zh-CN"/>
        </w:rPr>
        <w:t>”“</w:t>
      </w:r>
      <w:r>
        <w:rPr>
          <w:rFonts w:hint="eastAsia" w:ascii="宋体" w:hAnsi="宋体" w:eastAsia="宋体"/>
          <w:color w:val="auto"/>
          <w:sz w:val="21"/>
          <w:szCs w:val="21"/>
          <w:highlight w:val="none"/>
          <w:lang w:eastAsia="zh-CN"/>
        </w:rPr>
        <w:t>项目主要管理人员</w:t>
      </w:r>
      <w:r>
        <w:rPr>
          <w:rFonts w:hint="eastAsia" w:ascii="宋体" w:hAnsi="宋体" w:eastAsia="宋体" w:cs="宋体"/>
          <w:color w:val="auto"/>
          <w:sz w:val="21"/>
          <w:szCs w:val="21"/>
          <w:highlight w:val="none"/>
          <w:lang w:eastAsia="zh-CN"/>
        </w:rPr>
        <w:t>”</w:t>
      </w:r>
      <w:r>
        <w:rPr>
          <w:rFonts w:hint="eastAsia" w:ascii="宋体" w:hAnsi="宋体" w:eastAsia="宋体"/>
          <w:color w:val="auto"/>
          <w:sz w:val="21"/>
          <w:szCs w:val="21"/>
          <w:highlight w:val="none"/>
          <w:lang w:eastAsia="zh-CN"/>
        </w:rPr>
        <w:t>等栏目在内的项目详细信息网页截图。在交通运输部</w:t>
      </w:r>
      <w:r>
        <w:rPr>
          <w:rFonts w:hint="eastAsia" w:ascii="宋体" w:hAnsi="宋体" w:eastAsia="宋体" w:cs="宋体"/>
          <w:color w:val="auto"/>
          <w:sz w:val="21"/>
          <w:szCs w:val="21"/>
          <w:highlight w:val="none"/>
          <w:lang w:eastAsia="zh-CN"/>
        </w:rPr>
        <w:t>“</w:t>
      </w:r>
      <w:r>
        <w:rPr>
          <w:rFonts w:hint="eastAsia" w:ascii="宋体" w:hAnsi="宋体" w:eastAsia="宋体"/>
          <w:color w:val="auto"/>
          <w:sz w:val="21"/>
          <w:szCs w:val="21"/>
          <w:highlight w:val="none"/>
          <w:lang w:eastAsia="zh-CN"/>
        </w:rPr>
        <w:t>全国公路建设市场信用信息管理系统</w:t>
      </w:r>
      <w:r>
        <w:rPr>
          <w:rFonts w:hint="eastAsia" w:ascii="宋体" w:hAnsi="宋体" w:eastAsia="宋体" w:cs="宋体"/>
          <w:color w:val="auto"/>
          <w:sz w:val="21"/>
          <w:szCs w:val="21"/>
          <w:highlight w:val="none"/>
          <w:lang w:eastAsia="zh-CN"/>
        </w:rPr>
        <w:t>”</w:t>
      </w:r>
      <w:r>
        <w:rPr>
          <w:rFonts w:hint="eastAsia" w:ascii="宋体" w:hAnsi="宋体" w:eastAsia="宋体"/>
          <w:color w:val="auto"/>
          <w:sz w:val="21"/>
          <w:szCs w:val="21"/>
          <w:highlight w:val="none"/>
          <w:lang w:eastAsia="zh-CN"/>
        </w:rPr>
        <w:t>中无法查询，但可在省级交通运输主管部门</w:t>
      </w:r>
      <w:r>
        <w:rPr>
          <w:rFonts w:hint="eastAsia" w:ascii="宋体" w:hAnsi="宋体" w:eastAsia="宋体" w:cs="宋体"/>
          <w:color w:val="auto"/>
          <w:sz w:val="21"/>
          <w:szCs w:val="21"/>
          <w:highlight w:val="none"/>
          <w:lang w:eastAsia="zh-CN"/>
        </w:rPr>
        <w:t>“</w:t>
      </w:r>
      <w:r>
        <w:rPr>
          <w:rFonts w:hint="eastAsia" w:ascii="宋体" w:hAnsi="宋体" w:eastAsia="宋体"/>
          <w:color w:val="auto"/>
          <w:sz w:val="21"/>
          <w:szCs w:val="21"/>
          <w:highlight w:val="none"/>
          <w:lang w:eastAsia="zh-CN"/>
        </w:rPr>
        <w:t>公路建设市场信用信息管理系统</w:t>
      </w:r>
      <w:r>
        <w:rPr>
          <w:rFonts w:hint="eastAsia" w:ascii="宋体" w:hAnsi="宋体" w:eastAsia="宋体" w:cs="宋体"/>
          <w:color w:val="auto"/>
          <w:sz w:val="21"/>
          <w:szCs w:val="21"/>
          <w:highlight w:val="none"/>
          <w:lang w:eastAsia="zh-CN"/>
        </w:rPr>
        <w:t>”</w:t>
      </w:r>
      <w:r>
        <w:rPr>
          <w:rFonts w:hint="eastAsia" w:ascii="宋体" w:hAnsi="宋体" w:eastAsia="宋体"/>
          <w:color w:val="auto"/>
          <w:sz w:val="21"/>
          <w:szCs w:val="21"/>
          <w:highlight w:val="none"/>
          <w:lang w:eastAsia="zh-CN"/>
        </w:rPr>
        <w:t>中查询的，应附省级交通运输主管部门</w:t>
      </w:r>
      <w:r>
        <w:rPr>
          <w:rFonts w:hint="eastAsia" w:ascii="宋体" w:hAnsi="宋体" w:eastAsia="宋体" w:cs="宋体"/>
          <w:color w:val="auto"/>
          <w:sz w:val="21"/>
          <w:szCs w:val="21"/>
          <w:highlight w:val="none"/>
          <w:lang w:eastAsia="zh-CN"/>
        </w:rPr>
        <w:t>“</w:t>
      </w:r>
      <w:r>
        <w:rPr>
          <w:rFonts w:hint="eastAsia" w:ascii="宋体" w:hAnsi="宋体" w:eastAsia="宋体"/>
          <w:color w:val="auto"/>
          <w:sz w:val="21"/>
          <w:szCs w:val="21"/>
          <w:highlight w:val="none"/>
          <w:lang w:eastAsia="zh-CN"/>
        </w:rPr>
        <w:t>公路建设市场信用信息管理系统</w:t>
      </w:r>
      <w:r>
        <w:rPr>
          <w:rFonts w:hint="eastAsia" w:ascii="宋体" w:hAnsi="宋体" w:eastAsia="宋体" w:cs="宋体"/>
          <w:color w:val="auto"/>
          <w:sz w:val="21"/>
          <w:szCs w:val="21"/>
          <w:highlight w:val="none"/>
          <w:lang w:eastAsia="zh-CN"/>
        </w:rPr>
        <w:t>”</w:t>
      </w:r>
      <w:r>
        <w:rPr>
          <w:rFonts w:hint="eastAsia" w:ascii="宋体" w:hAnsi="宋体" w:eastAsia="宋体"/>
          <w:color w:val="auto"/>
          <w:sz w:val="21"/>
          <w:szCs w:val="21"/>
          <w:highlight w:val="none"/>
          <w:lang w:eastAsia="zh-CN"/>
        </w:rPr>
        <w:t>中查询到的网页截图。除网页截图外，投标人无须再提供任何业绩证明材料。</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olor w:val="auto"/>
          <w:sz w:val="21"/>
          <w:szCs w:val="21"/>
          <w:highlight w:val="none"/>
          <w:lang w:eastAsia="zh-CN"/>
        </w:rPr>
        <w:t>如投标人未提供相关项目网页截图或相关项目网页截图中的信息无法证实投标人满足招标文件规定的资格审查条件（业绩最低要求），则该项目业绩不予认定</w:t>
      </w:r>
      <w:r>
        <w:rPr>
          <w:rFonts w:hint="eastAsia" w:ascii="宋体" w:hAnsi="宋体" w:eastAsia="宋体" w:cs="宋体"/>
          <w:color w:val="auto"/>
          <w:sz w:val="21"/>
          <w:szCs w:val="21"/>
          <w:highlight w:val="none"/>
          <w:lang w:eastAsia="zh-CN"/>
        </w:rPr>
        <w:t>。</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3.5.4“投标人的信誉情况表”应附投标人在国家企业信用信息公示系统中未被列入严重违法失信企业名单，在“信用中国”网站未被列入失信惩戒对象名单的网页截图。</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3.5.5“拟委任的项目经理和项目总工资历表”应附项目经理和项目总工的身份证、职称资格证书以及资格审查条件所要求的其他相关证书扫描件，其中，建造师注册证书和安全生产考核合格证书如有要求，还应附其在政府相关部门网站上公开信息的网页截图，以及在社保系统打印的拟委任项目经理和项目总工的缴费明细。</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拟委任的项目经理和项目总工资历表”还应附交通运输部“全国公路建设市场信用信息管理系统”中载明的、能够证明项目经理和项目总工具有相关业绩的网页截图。在交通运输部“全国公路建设市场信用信息管理系统”中无法查询，但可在省级交通运输主管部门“公路建设市场信用信息管理系统”中查询的，应附省级交通运输主管部门“公路建设市场信用信息管理系统”中查询到的网页截图。除网页截图复印件外，投标人无须再提供任何业绩证明材料。如投标人未提供相关业绩网页截图或相关业绩网页截图中的信息无法证实投标人满足招标文件规定的资格审查条件（项目经理和项目总工最低要求），则该业绩不予认定。</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3.5.6“拟委任的其他管理和技术人员汇总表”（如有）应按前附表规定填报满足本章</w:t>
      </w:r>
      <w:r>
        <w:rPr>
          <w:rFonts w:hint="eastAsia" w:ascii="宋体" w:hAnsi="宋体" w:eastAsia="宋体" w:cs="宋体"/>
          <w:color w:val="auto"/>
          <w:sz w:val="21"/>
          <w:szCs w:val="21"/>
          <w:highlight w:val="none"/>
          <w:lang w:val="en-US" w:eastAsia="zh-CN"/>
        </w:rPr>
        <w:t>第</w:t>
      </w:r>
      <w:r>
        <w:rPr>
          <w:rFonts w:hint="eastAsia" w:ascii="宋体" w:hAnsi="宋体" w:eastAsia="宋体" w:cs="宋体"/>
          <w:color w:val="auto"/>
          <w:sz w:val="21"/>
          <w:szCs w:val="21"/>
          <w:highlight w:val="none"/>
          <w:lang w:eastAsia="zh-CN"/>
        </w:rPr>
        <w:t>1.4.1</w:t>
      </w:r>
      <w:r>
        <w:rPr>
          <w:rFonts w:hint="eastAsia" w:ascii="宋体" w:hAnsi="宋体" w:eastAsia="宋体" w:cs="宋体"/>
          <w:color w:val="auto"/>
          <w:sz w:val="21"/>
          <w:szCs w:val="21"/>
          <w:highlight w:val="none"/>
          <w:lang w:val="en-US" w:eastAsia="zh-CN"/>
        </w:rPr>
        <w:t xml:space="preserve"> 项</w:t>
      </w:r>
      <w:r>
        <w:rPr>
          <w:rFonts w:hint="eastAsia" w:ascii="宋体" w:hAnsi="宋体" w:eastAsia="宋体" w:cs="宋体"/>
          <w:color w:val="auto"/>
          <w:sz w:val="21"/>
          <w:szCs w:val="21"/>
          <w:highlight w:val="none"/>
          <w:lang w:eastAsia="zh-CN"/>
        </w:rPr>
        <w:t>规定的其他人员的相关信息。</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3.5.7“拟投入本标段的主要施工机械表”“拟配备本标段的主要材料试验、测量、质检仪器设备表”（如有））应按前附表规定填报满足本章</w:t>
      </w:r>
      <w:r>
        <w:rPr>
          <w:rFonts w:hint="eastAsia" w:ascii="宋体" w:hAnsi="宋体" w:eastAsia="宋体" w:cs="宋体"/>
          <w:color w:val="auto"/>
          <w:sz w:val="21"/>
          <w:szCs w:val="21"/>
          <w:highlight w:val="none"/>
          <w:lang w:val="en-US" w:eastAsia="zh-CN"/>
        </w:rPr>
        <w:t>第</w:t>
      </w:r>
      <w:r>
        <w:rPr>
          <w:rFonts w:hint="eastAsia" w:ascii="宋体" w:hAnsi="宋体" w:eastAsia="宋体" w:cs="宋体"/>
          <w:color w:val="auto"/>
          <w:sz w:val="21"/>
          <w:szCs w:val="21"/>
          <w:highlight w:val="none"/>
          <w:lang w:eastAsia="zh-CN"/>
        </w:rPr>
        <w:t xml:space="preserve">1.4.1 </w:t>
      </w:r>
      <w:r>
        <w:rPr>
          <w:rFonts w:hint="eastAsia" w:ascii="宋体" w:hAnsi="宋体" w:eastAsia="宋体" w:cs="宋体"/>
          <w:color w:val="auto"/>
          <w:sz w:val="21"/>
          <w:szCs w:val="21"/>
          <w:highlight w:val="none"/>
          <w:lang w:val="en-US" w:eastAsia="zh-CN"/>
        </w:rPr>
        <w:t>项</w:t>
      </w:r>
      <w:r>
        <w:rPr>
          <w:rFonts w:hint="eastAsia" w:ascii="宋体" w:hAnsi="宋体" w:eastAsia="宋体" w:cs="宋体"/>
          <w:color w:val="auto"/>
          <w:sz w:val="21"/>
          <w:szCs w:val="21"/>
          <w:highlight w:val="none"/>
          <w:lang w:eastAsia="zh-CN"/>
        </w:rPr>
        <w:t>规定的机械设备和试验检测设备。</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3.5.8 投标人须知前附表规定接受联合体投标的，本章第3.5.1 项至第3.5.7 项规定的表格和资料应包括联合体各方相关情况。</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3.5.9 除合同条款约定的特殊情形外，投标人在投标文件中填报的项目经理和项目总工不允许更换，否则将按合同条款的约定予以处罚。</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3.5.10 投标人在投标文件中填报的资质、业绩、主要人员资历和目前在岗情况、信用等级等信息，应与其在交通运输部或</w:t>
      </w:r>
      <w:r>
        <w:rPr>
          <w:rFonts w:hint="eastAsia" w:ascii="宋体" w:hAnsi="宋体" w:eastAsia="宋体" w:cs="宋体"/>
          <w:color w:val="auto"/>
          <w:sz w:val="21"/>
          <w:szCs w:val="21"/>
          <w:highlight w:val="none"/>
          <w:lang w:val="en-US" w:eastAsia="zh-CN"/>
        </w:rPr>
        <w:t>省级</w:t>
      </w:r>
      <w:r>
        <w:rPr>
          <w:rFonts w:hint="eastAsia" w:ascii="宋体" w:hAnsi="宋体" w:eastAsia="宋体" w:cs="宋体"/>
          <w:color w:val="auto"/>
          <w:sz w:val="21"/>
          <w:szCs w:val="21"/>
          <w:highlight w:val="none"/>
          <w:lang w:eastAsia="zh-CN"/>
        </w:rPr>
        <w:t>交通行政主管部门“公路建设市场信用信息管理系统”上填报并发布的相关信息一致。投标人应根据本单位实际情况及时完成相关信息的申报、录入和动态更新，并对相关信息的真实性、完整性和准确性负责。</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3.5.11 招标人有权核查投标人在资格预审申请文件和投标文件中提供的材料，若在评标期间发现投标人提供了虚假资料，其投标将被否决；若在签订合同前发现作为中标候选人的投标人提供了虚假资料，招标人有权取消其中标资格；若在合同实施期间发现投标人提供了虚假资料，招标人有权从工程支付款或履约保证金中扣除不超过10％签约合同价的金额作为违约金。同时招标人将投标人上述弄虚作假行为上报</w:t>
      </w:r>
      <w:r>
        <w:rPr>
          <w:rFonts w:hint="eastAsia" w:ascii="宋体" w:hAnsi="宋体" w:eastAsia="宋体" w:cs="宋体"/>
          <w:color w:val="auto"/>
          <w:sz w:val="21"/>
          <w:szCs w:val="21"/>
          <w:highlight w:val="none"/>
          <w:lang w:val="en-US" w:eastAsia="zh-CN"/>
        </w:rPr>
        <w:t>省级</w:t>
      </w:r>
      <w:r>
        <w:rPr>
          <w:rFonts w:hint="eastAsia" w:ascii="宋体" w:hAnsi="宋体" w:eastAsia="宋体" w:cs="宋体"/>
          <w:color w:val="auto"/>
          <w:sz w:val="21"/>
          <w:szCs w:val="21"/>
          <w:highlight w:val="none"/>
          <w:lang w:eastAsia="zh-CN"/>
        </w:rPr>
        <w:t>交通行政主管部门，作为不良记录纳入公路建设市场信用信息管理系统。</w:t>
      </w:r>
    </w:p>
    <w:p>
      <w:pPr>
        <w:pStyle w:val="5"/>
        <w:spacing w:before="0" w:after="0" w:line="360" w:lineRule="auto"/>
        <w:rPr>
          <w:rFonts w:hint="eastAsia" w:ascii="宋体" w:hAnsi="宋体" w:cs="宋体"/>
          <w:color w:val="auto"/>
          <w:sz w:val="21"/>
          <w:szCs w:val="21"/>
          <w:highlight w:val="none"/>
        </w:rPr>
      </w:pPr>
      <w:bookmarkStart w:id="75" w:name="_Toc57795885"/>
      <w:r>
        <w:rPr>
          <w:rFonts w:hint="eastAsia" w:ascii="宋体" w:hAnsi="宋体" w:cs="宋体"/>
          <w:color w:val="auto"/>
          <w:sz w:val="21"/>
          <w:szCs w:val="21"/>
          <w:highlight w:val="none"/>
        </w:rPr>
        <w:t>3.6 备选投标方案</w:t>
      </w:r>
      <w:bookmarkEnd w:id="75"/>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3.6.1 除投标人须知前附表规定允许外，投标人不得递交备选投标方案，否则其投标将被否决。</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3.6.3 投标人提供两个或两个以上投标报价，或在投标文件中提供一个报价，但同时提供两个或两个以上施工组织设计的，视为提供备选方案。</w:t>
      </w:r>
    </w:p>
    <w:p>
      <w:pPr>
        <w:pStyle w:val="5"/>
        <w:spacing w:before="0" w:after="0" w:line="360" w:lineRule="auto"/>
        <w:rPr>
          <w:rFonts w:hint="eastAsia" w:ascii="宋体" w:hAnsi="宋体" w:cs="宋体"/>
          <w:color w:val="auto"/>
          <w:sz w:val="21"/>
          <w:szCs w:val="21"/>
          <w:highlight w:val="none"/>
        </w:rPr>
      </w:pPr>
      <w:bookmarkStart w:id="76" w:name="_Toc57795886"/>
      <w:r>
        <w:rPr>
          <w:rFonts w:hint="eastAsia" w:ascii="宋体" w:hAnsi="宋体" w:cs="宋体"/>
          <w:color w:val="auto"/>
          <w:sz w:val="21"/>
          <w:szCs w:val="21"/>
          <w:highlight w:val="none"/>
        </w:rPr>
        <w:t>3.7 投标文件的编制</w:t>
      </w:r>
      <w:bookmarkEnd w:id="76"/>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3.7.1 投标文件应按第九章“投标文件格式”进行编写，如有必要，可以增加附页，作为投标文件的组成部分。其中，投标函附录在满足招标文件实质性要求的基础上，可以提出比招标文件要求更有利于招标人的承诺。</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3.7.2 投标文件应对招标文件有关工期、投标有效期、质量要求、安全目标、技术标准和要求、招标范围等实质性内容作出响应。</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3.7.3 投标文件的签名盖章要求：按本章投标人须知前附表第3.7.3项执行。</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3.7.4 投标文件份数：见投标人须知前附表规定。</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3.7.5 投标文件应按规定格式排版，并编制目录，具体编制要求见投标人须知前附表规定。</w:t>
      </w:r>
    </w:p>
    <w:p>
      <w:pPr>
        <w:pStyle w:val="4"/>
        <w:spacing w:before="0" w:after="0" w:line="360" w:lineRule="auto"/>
        <w:rPr>
          <w:rFonts w:hint="eastAsia" w:ascii="宋体" w:hAnsi="宋体" w:cs="宋体"/>
          <w:color w:val="auto"/>
          <w:sz w:val="28"/>
          <w:szCs w:val="28"/>
          <w:highlight w:val="none"/>
        </w:rPr>
      </w:pPr>
      <w:bookmarkStart w:id="77" w:name="_Toc57795887"/>
      <w:r>
        <w:rPr>
          <w:rFonts w:hint="eastAsia" w:ascii="宋体" w:hAnsi="宋体" w:cs="宋体"/>
          <w:color w:val="auto"/>
          <w:sz w:val="28"/>
          <w:szCs w:val="28"/>
          <w:highlight w:val="none"/>
        </w:rPr>
        <w:t>4. 投标</w:t>
      </w:r>
      <w:bookmarkEnd w:id="77"/>
    </w:p>
    <w:p>
      <w:pPr>
        <w:pStyle w:val="5"/>
        <w:spacing w:before="0" w:after="0" w:line="360" w:lineRule="auto"/>
        <w:rPr>
          <w:rFonts w:hint="eastAsia" w:ascii="宋体" w:hAnsi="宋体" w:cs="宋体"/>
          <w:color w:val="auto"/>
          <w:sz w:val="21"/>
          <w:szCs w:val="21"/>
          <w:highlight w:val="none"/>
        </w:rPr>
      </w:pPr>
      <w:bookmarkStart w:id="78" w:name="_Toc57795888"/>
      <w:r>
        <w:rPr>
          <w:rFonts w:hint="eastAsia" w:ascii="宋体" w:hAnsi="宋体" w:cs="宋体"/>
          <w:color w:val="auto"/>
          <w:sz w:val="21"/>
          <w:szCs w:val="21"/>
          <w:highlight w:val="none"/>
        </w:rPr>
        <w:t>4.1 投标文件的密封和标识</w:t>
      </w:r>
      <w:bookmarkEnd w:id="78"/>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4.1.1 投标文件的密封：见投标人须知前附表。</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4.1.2 投标文件</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lang w:eastAsia="zh-CN"/>
        </w:rPr>
        <w:t>封套上应写明的内容：见投标人须知前附表。</w:t>
      </w:r>
    </w:p>
    <w:p>
      <w:pPr>
        <w:pStyle w:val="5"/>
        <w:spacing w:before="0" w:after="0" w:line="360" w:lineRule="auto"/>
        <w:rPr>
          <w:rFonts w:hint="eastAsia" w:ascii="宋体" w:hAnsi="宋体" w:cs="宋体"/>
          <w:color w:val="auto"/>
          <w:sz w:val="21"/>
          <w:szCs w:val="21"/>
          <w:highlight w:val="none"/>
        </w:rPr>
      </w:pPr>
      <w:bookmarkStart w:id="79" w:name="_Toc57795889"/>
      <w:r>
        <w:rPr>
          <w:rFonts w:hint="eastAsia" w:ascii="宋体" w:hAnsi="宋体" w:cs="宋体"/>
          <w:color w:val="auto"/>
          <w:sz w:val="21"/>
          <w:szCs w:val="21"/>
          <w:highlight w:val="none"/>
        </w:rPr>
        <w:t>4.2投标文件的递交</w:t>
      </w:r>
      <w:bookmarkEnd w:id="79"/>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4.2.1 投标人应在投标人须知前附表第 2.2.2 项规定的投标截止时间前递交投标文件。</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4.2.2 投标人递交投标文件的地点：见投标人须知前附表。</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4.2.3 除投标人须知前附表另有规定外，投标人所递交的投标文件不予退还。</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4.2.4逾期送达的或者未送达指定地点的投标文件，招标人不予受理。</w:t>
      </w:r>
    </w:p>
    <w:p>
      <w:pPr>
        <w:pStyle w:val="4"/>
        <w:spacing w:before="0" w:after="0" w:line="360" w:lineRule="auto"/>
        <w:rPr>
          <w:rFonts w:hint="eastAsia" w:ascii="宋体" w:hAnsi="宋体" w:cs="宋体"/>
          <w:color w:val="auto"/>
          <w:sz w:val="28"/>
          <w:szCs w:val="28"/>
          <w:highlight w:val="none"/>
        </w:rPr>
      </w:pPr>
      <w:bookmarkStart w:id="80" w:name="_Toc57795891"/>
      <w:r>
        <w:rPr>
          <w:rFonts w:hint="eastAsia" w:ascii="宋体" w:hAnsi="宋体" w:cs="宋体"/>
          <w:color w:val="auto"/>
          <w:sz w:val="28"/>
          <w:szCs w:val="28"/>
          <w:highlight w:val="none"/>
        </w:rPr>
        <w:t>5. 开标</w:t>
      </w:r>
      <w:bookmarkEnd w:id="80"/>
    </w:p>
    <w:p>
      <w:pPr>
        <w:pStyle w:val="5"/>
        <w:spacing w:before="0" w:after="0" w:line="360" w:lineRule="auto"/>
        <w:rPr>
          <w:rFonts w:hint="eastAsia" w:ascii="宋体" w:hAnsi="宋体" w:cs="宋体"/>
          <w:color w:val="auto"/>
          <w:sz w:val="21"/>
          <w:szCs w:val="21"/>
          <w:highlight w:val="none"/>
        </w:rPr>
      </w:pPr>
      <w:bookmarkStart w:id="81" w:name="_Toc57795892"/>
      <w:r>
        <w:rPr>
          <w:rFonts w:hint="eastAsia" w:ascii="宋体" w:hAnsi="宋体" w:cs="宋体"/>
          <w:color w:val="auto"/>
          <w:sz w:val="21"/>
          <w:szCs w:val="21"/>
          <w:highlight w:val="none"/>
        </w:rPr>
        <w:t>5.1 开标时间和地点</w:t>
      </w:r>
      <w:bookmarkEnd w:id="81"/>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5.1.1</w:t>
      </w:r>
      <w:r>
        <w:rPr>
          <w:rFonts w:hint="eastAsia" w:ascii="宋体" w:hAnsi="宋体" w:eastAsia="宋体" w:cs="宋体"/>
          <w:color w:val="auto"/>
          <w:sz w:val="21"/>
          <w:szCs w:val="21"/>
          <w:highlight w:val="none"/>
          <w:lang w:eastAsia="zh-CN"/>
        </w:rPr>
        <w:t>招标人在本章第 4.2.1 项规定的投标截止时间（开标时间）和投标人须知前附表规定的地点对收到的投标文件公开开标，并邀请所有投标人的法定代表人或其委托代理人准时参加。</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投标人若未派法定代表人或委托代理人出席开标活动，视为该投标人默认开标结果。</w:t>
      </w:r>
    </w:p>
    <w:p>
      <w:pPr>
        <w:pStyle w:val="5"/>
        <w:spacing w:before="0" w:after="0" w:line="360" w:lineRule="auto"/>
        <w:rPr>
          <w:rFonts w:hint="eastAsia" w:ascii="宋体" w:hAnsi="宋体" w:cs="宋体"/>
          <w:color w:val="auto"/>
          <w:sz w:val="21"/>
          <w:szCs w:val="21"/>
          <w:highlight w:val="none"/>
        </w:rPr>
      </w:pPr>
      <w:bookmarkStart w:id="82" w:name="_Toc57795893"/>
      <w:r>
        <w:rPr>
          <w:rFonts w:hint="eastAsia" w:ascii="宋体" w:hAnsi="宋体" w:cs="宋体"/>
          <w:color w:val="auto"/>
          <w:sz w:val="21"/>
          <w:szCs w:val="21"/>
          <w:highlight w:val="none"/>
        </w:rPr>
        <w:t>5.2开标程序</w:t>
      </w:r>
      <w:bookmarkEnd w:id="82"/>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ascii="宋体" w:hAnsi="宋体" w:eastAsia="宋体"/>
          <w:color w:val="auto"/>
          <w:sz w:val="21"/>
          <w:szCs w:val="21"/>
          <w:highlight w:val="none"/>
          <w:lang w:eastAsia="zh-CN"/>
        </w:rPr>
        <w:t>详见投标人须知前附表第5.2款开标程序</w:t>
      </w:r>
      <w:r>
        <w:rPr>
          <w:rFonts w:hint="eastAsia" w:ascii="宋体" w:hAnsi="宋体" w:eastAsia="宋体" w:cs="宋体"/>
          <w:color w:val="auto"/>
          <w:sz w:val="21"/>
          <w:szCs w:val="21"/>
          <w:highlight w:val="none"/>
          <w:lang w:eastAsia="zh-CN"/>
        </w:rPr>
        <w:t>。</w:t>
      </w:r>
    </w:p>
    <w:p>
      <w:pPr>
        <w:pStyle w:val="5"/>
        <w:spacing w:before="0" w:after="0" w:line="360" w:lineRule="auto"/>
        <w:rPr>
          <w:rFonts w:hint="eastAsia" w:ascii="宋体" w:hAnsi="宋体" w:cs="宋体"/>
          <w:color w:val="auto"/>
          <w:sz w:val="21"/>
          <w:szCs w:val="21"/>
          <w:highlight w:val="none"/>
        </w:rPr>
      </w:pPr>
      <w:bookmarkStart w:id="83" w:name="_Toc57795894"/>
      <w:r>
        <w:rPr>
          <w:rFonts w:hint="eastAsia" w:ascii="宋体" w:hAnsi="宋体" w:cs="宋体"/>
          <w:color w:val="auto"/>
          <w:sz w:val="21"/>
          <w:szCs w:val="21"/>
          <w:highlight w:val="none"/>
        </w:rPr>
        <w:t>5.3 开标异议</w:t>
      </w:r>
      <w:bookmarkEnd w:id="83"/>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人对开标有异议的，应在开标现场提出，开标现场提出异议的，应出示法定代表人身份证明或附有法定代表人身份证明的授权委托书。招标人当场作出答复，并制作记录，有异议的投标人代表、招标人代表、记录人等有关人员在记录上签名确认。</w:t>
      </w:r>
    </w:p>
    <w:p>
      <w:pPr>
        <w:pStyle w:val="4"/>
        <w:spacing w:before="0" w:after="0" w:line="360" w:lineRule="auto"/>
        <w:rPr>
          <w:rFonts w:hint="eastAsia" w:ascii="宋体" w:hAnsi="宋体" w:cs="宋体"/>
          <w:color w:val="auto"/>
          <w:sz w:val="28"/>
          <w:szCs w:val="28"/>
          <w:highlight w:val="none"/>
        </w:rPr>
      </w:pPr>
      <w:bookmarkStart w:id="84" w:name="_Toc57795895"/>
      <w:r>
        <w:rPr>
          <w:rFonts w:hint="eastAsia" w:ascii="宋体" w:hAnsi="宋体" w:cs="宋体"/>
          <w:color w:val="auto"/>
          <w:sz w:val="28"/>
          <w:szCs w:val="28"/>
          <w:highlight w:val="none"/>
        </w:rPr>
        <w:t>6. 评标</w:t>
      </w:r>
      <w:bookmarkEnd w:id="84"/>
    </w:p>
    <w:p>
      <w:pPr>
        <w:pStyle w:val="5"/>
        <w:spacing w:before="0" w:after="0" w:line="360" w:lineRule="auto"/>
        <w:rPr>
          <w:rFonts w:hint="eastAsia" w:ascii="宋体" w:hAnsi="宋体" w:cs="宋体"/>
          <w:color w:val="auto"/>
          <w:sz w:val="21"/>
          <w:szCs w:val="21"/>
          <w:highlight w:val="none"/>
        </w:rPr>
      </w:pPr>
      <w:bookmarkStart w:id="85" w:name="_Toc57795896"/>
      <w:r>
        <w:rPr>
          <w:rFonts w:hint="eastAsia" w:ascii="宋体" w:hAnsi="宋体" w:cs="宋体"/>
          <w:color w:val="auto"/>
          <w:sz w:val="21"/>
          <w:szCs w:val="21"/>
          <w:highlight w:val="none"/>
        </w:rPr>
        <w:t>6.1 评标委员会</w:t>
      </w:r>
      <w:bookmarkEnd w:id="85"/>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6.1.1</w:t>
      </w:r>
      <w:r>
        <w:rPr>
          <w:rFonts w:hint="eastAsia" w:ascii="宋体" w:hAnsi="宋体" w:eastAsia="宋体" w:cs="宋体"/>
          <w:color w:val="auto"/>
          <w:sz w:val="21"/>
          <w:szCs w:val="21"/>
          <w:highlight w:val="none"/>
          <w:lang w:val="en-US" w:eastAsia="zh-CN"/>
        </w:rPr>
        <w:t>评标委员会的组建：</w:t>
      </w:r>
      <w:r>
        <w:rPr>
          <w:rFonts w:hint="eastAsia" w:ascii="宋体" w:hAnsi="宋体" w:eastAsia="宋体" w:cs="宋体"/>
          <w:color w:val="auto"/>
          <w:sz w:val="21"/>
          <w:szCs w:val="21"/>
          <w:highlight w:val="none"/>
          <w:lang w:eastAsia="zh-CN"/>
        </w:rPr>
        <w:t>见投标人须知前附表。</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6.1.2 评标委员会成员有下列情形之一的，应主动提出回避：</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（1）为负责招标项目监督管理的交通运输主管部门的工作人员，或招标项目的主管部门的工作人员，或对该项目有监督职责的行政监督部门的工作人员；</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（2）招标人或招标代理机构主要负责人的近亲属，或与投标人法定代表人或其委托代理人有近亲属关系；</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（3）为投标人的工作人员或退休人员；</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（4）与投标人有其他利害关系，可能影响评标活动公正性；</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（5）在与招标投标有关的活动中有过违法违规行为、曾受过行政处罚或刑事处罚；</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（6）招标人及其子公司、招标人的上级主管部门或者控股公司、招标代理机构的工作人员或者退休人员；</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（7）近3年在招标人、投标人或招标代理机构工作过的人员。</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6.1.3评标过程中，评标委员会成员有回避事由、擅离职守或者因健康等原因不能继续评标的，应当及时更换。被更换的评标委员会成员作出的评审结论无效，由更换后的评标委员会成员重新进行评审。</w:t>
      </w:r>
    </w:p>
    <w:p>
      <w:pPr>
        <w:pStyle w:val="5"/>
        <w:spacing w:before="0" w:after="0" w:line="360" w:lineRule="auto"/>
        <w:rPr>
          <w:rFonts w:hint="eastAsia" w:ascii="宋体" w:hAnsi="宋体" w:cs="宋体"/>
          <w:color w:val="auto"/>
          <w:sz w:val="21"/>
          <w:szCs w:val="21"/>
          <w:highlight w:val="none"/>
        </w:rPr>
      </w:pPr>
      <w:bookmarkStart w:id="86" w:name="_Toc57795897"/>
      <w:r>
        <w:rPr>
          <w:rFonts w:hint="eastAsia" w:ascii="宋体" w:hAnsi="宋体" w:cs="宋体"/>
          <w:color w:val="auto"/>
          <w:sz w:val="21"/>
          <w:szCs w:val="21"/>
          <w:highlight w:val="none"/>
        </w:rPr>
        <w:t>6.2 评标原则</w:t>
      </w:r>
      <w:bookmarkEnd w:id="86"/>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评标活动遵循公平、公正、科学和择优的原则。</w:t>
      </w:r>
    </w:p>
    <w:p>
      <w:pPr>
        <w:pStyle w:val="5"/>
        <w:spacing w:before="0" w:after="0" w:line="360" w:lineRule="auto"/>
        <w:rPr>
          <w:rFonts w:hint="eastAsia" w:ascii="宋体" w:hAnsi="宋体" w:cs="宋体"/>
          <w:color w:val="auto"/>
          <w:sz w:val="21"/>
          <w:szCs w:val="21"/>
          <w:highlight w:val="none"/>
        </w:rPr>
      </w:pPr>
      <w:bookmarkStart w:id="87" w:name="_Toc57795898"/>
      <w:r>
        <w:rPr>
          <w:rFonts w:hint="eastAsia" w:ascii="宋体" w:hAnsi="宋体" w:cs="宋体"/>
          <w:color w:val="auto"/>
          <w:sz w:val="21"/>
          <w:szCs w:val="21"/>
          <w:highlight w:val="none"/>
        </w:rPr>
        <w:t>6.3 评标</w:t>
      </w:r>
      <w:bookmarkEnd w:id="87"/>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6.3.1</w:t>
      </w:r>
      <w:r>
        <w:rPr>
          <w:rFonts w:hint="eastAsia" w:ascii="宋体" w:hAnsi="宋体" w:eastAsia="宋体" w:cs="宋体"/>
          <w:color w:val="auto"/>
          <w:sz w:val="21"/>
          <w:szCs w:val="21"/>
          <w:highlight w:val="none"/>
          <w:lang w:eastAsia="zh-CN"/>
        </w:rPr>
        <w:t>评标委员会按照第三章“评标办法”规定的方法、评审因素、标准和程序对投标文件进行评审。第三章“评标办法”没有规定的方法、评审因素和标准，不作为评标依据。</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6.3.2</w:t>
      </w:r>
      <w:r>
        <w:rPr>
          <w:rFonts w:hint="eastAsia" w:ascii="宋体" w:hAnsi="宋体" w:eastAsia="宋体" w:cs="宋体"/>
          <w:color w:val="auto"/>
          <w:sz w:val="21"/>
          <w:szCs w:val="21"/>
          <w:highlight w:val="none"/>
          <w:lang w:eastAsia="zh-CN"/>
        </w:rPr>
        <w:t>评标完成后，评标委员会应向招标人提交书面评标报告和中标候选人名单。评标委员会推荐中标候选人的人数见投标人须知前附表。</w:t>
      </w:r>
    </w:p>
    <w:p>
      <w:pPr>
        <w:pStyle w:val="4"/>
        <w:spacing w:before="0" w:after="0" w:line="360" w:lineRule="auto"/>
        <w:rPr>
          <w:rFonts w:hint="eastAsia" w:ascii="宋体" w:hAnsi="宋体" w:cs="宋体"/>
          <w:color w:val="auto"/>
          <w:sz w:val="28"/>
          <w:szCs w:val="28"/>
          <w:highlight w:val="none"/>
        </w:rPr>
      </w:pPr>
      <w:bookmarkStart w:id="88" w:name="_Toc57795899"/>
      <w:r>
        <w:rPr>
          <w:rFonts w:hint="eastAsia" w:ascii="宋体" w:hAnsi="宋体" w:cs="宋体"/>
          <w:color w:val="auto"/>
          <w:sz w:val="28"/>
          <w:szCs w:val="28"/>
          <w:highlight w:val="none"/>
        </w:rPr>
        <w:t>7. 合同授予</w:t>
      </w:r>
      <w:bookmarkEnd w:id="88"/>
    </w:p>
    <w:p>
      <w:pPr>
        <w:pStyle w:val="5"/>
        <w:spacing w:before="0" w:after="0" w:line="360" w:lineRule="auto"/>
        <w:rPr>
          <w:rFonts w:hint="eastAsia" w:ascii="宋体" w:hAnsi="宋体" w:cs="宋体"/>
          <w:color w:val="auto"/>
          <w:sz w:val="21"/>
          <w:szCs w:val="21"/>
          <w:highlight w:val="none"/>
        </w:rPr>
      </w:pPr>
      <w:bookmarkStart w:id="89" w:name="_Toc57795900"/>
      <w:r>
        <w:rPr>
          <w:rFonts w:hint="eastAsia" w:ascii="宋体" w:hAnsi="宋体" w:cs="宋体"/>
          <w:color w:val="auto"/>
          <w:sz w:val="21"/>
          <w:szCs w:val="21"/>
          <w:highlight w:val="none"/>
        </w:rPr>
        <w:t>7.1 中标候选人公示</w:t>
      </w:r>
      <w:bookmarkEnd w:id="89"/>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招标人在收到评标报告之日起 3 日内，按照投标人须知前附表规定的公示媒介和期限公示中标候选人，公示期不得少于 3 日。</w:t>
      </w:r>
    </w:p>
    <w:p>
      <w:pPr>
        <w:pStyle w:val="5"/>
        <w:spacing w:before="0" w:after="0" w:line="360" w:lineRule="auto"/>
        <w:rPr>
          <w:rFonts w:hint="eastAsia" w:ascii="宋体" w:hAnsi="宋体" w:cs="宋体"/>
          <w:color w:val="auto"/>
          <w:sz w:val="21"/>
          <w:szCs w:val="21"/>
          <w:highlight w:val="none"/>
        </w:rPr>
      </w:pPr>
      <w:bookmarkStart w:id="90" w:name="_Toc57795901"/>
      <w:r>
        <w:rPr>
          <w:rFonts w:hint="eastAsia" w:ascii="宋体" w:hAnsi="宋体" w:cs="宋体"/>
          <w:color w:val="auto"/>
          <w:sz w:val="21"/>
          <w:szCs w:val="21"/>
          <w:highlight w:val="none"/>
        </w:rPr>
        <w:t>7.2 评标结果异议</w:t>
      </w:r>
      <w:bookmarkEnd w:id="90"/>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投标人或其他利害关系人对依法必须进行招标的项目的评标结果有异议的，应在中标候选人公示期间提出。招标人将在收到异议之日起 3 日内作出答复；作出答复前，将暂停招标投标活动。</w:t>
      </w:r>
    </w:p>
    <w:p>
      <w:pPr>
        <w:pStyle w:val="5"/>
        <w:spacing w:before="0" w:after="0" w:line="360" w:lineRule="auto"/>
        <w:rPr>
          <w:rFonts w:hint="eastAsia" w:ascii="宋体" w:hAnsi="宋体" w:cs="宋体"/>
          <w:color w:val="auto"/>
          <w:sz w:val="21"/>
          <w:szCs w:val="21"/>
          <w:highlight w:val="none"/>
        </w:rPr>
      </w:pPr>
      <w:bookmarkStart w:id="91" w:name="_Toc57795902"/>
      <w:r>
        <w:rPr>
          <w:rFonts w:hint="eastAsia" w:ascii="宋体" w:hAnsi="宋体" w:cs="宋体"/>
          <w:color w:val="auto"/>
          <w:sz w:val="21"/>
          <w:szCs w:val="21"/>
          <w:highlight w:val="none"/>
        </w:rPr>
        <w:t>7.3 中标候选人履约能力审查</w:t>
      </w:r>
      <w:bookmarkEnd w:id="91"/>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中标候选人的经营、财务状况发生较大变化或存在违法行为，招标人认为可能影响其履约能力的，将在发出中标通知书前提请原评标委员会按照招标文件规定的标准和方法进行审查确认。</w:t>
      </w:r>
    </w:p>
    <w:p>
      <w:pPr>
        <w:pStyle w:val="5"/>
        <w:spacing w:before="0" w:after="0" w:line="360" w:lineRule="auto"/>
        <w:rPr>
          <w:rFonts w:hint="eastAsia" w:ascii="宋体" w:hAnsi="宋体" w:cs="宋体"/>
          <w:color w:val="auto"/>
          <w:sz w:val="21"/>
          <w:szCs w:val="21"/>
          <w:highlight w:val="none"/>
        </w:rPr>
      </w:pPr>
      <w:bookmarkStart w:id="92" w:name="_Toc57795903"/>
      <w:r>
        <w:rPr>
          <w:rFonts w:hint="eastAsia" w:ascii="宋体" w:hAnsi="宋体" w:cs="宋体"/>
          <w:color w:val="auto"/>
          <w:sz w:val="21"/>
          <w:szCs w:val="21"/>
          <w:highlight w:val="none"/>
        </w:rPr>
        <w:t>7.4 定标</w:t>
      </w:r>
      <w:bookmarkEnd w:id="92"/>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按照投标人须知前附表的规定，招标人或招标人授权的评标委员会依法确定中标人。</w:t>
      </w:r>
    </w:p>
    <w:p>
      <w:pPr>
        <w:pStyle w:val="5"/>
        <w:spacing w:before="0" w:after="0" w:line="360" w:lineRule="auto"/>
        <w:rPr>
          <w:rFonts w:hint="eastAsia" w:ascii="宋体" w:hAnsi="宋体" w:cs="宋体"/>
          <w:color w:val="auto"/>
          <w:sz w:val="21"/>
          <w:szCs w:val="21"/>
          <w:highlight w:val="none"/>
        </w:rPr>
      </w:pPr>
      <w:bookmarkStart w:id="93" w:name="_Toc57795904"/>
      <w:r>
        <w:rPr>
          <w:rFonts w:hint="eastAsia" w:ascii="宋体" w:hAnsi="宋体" w:cs="宋体"/>
          <w:color w:val="auto"/>
          <w:sz w:val="21"/>
          <w:szCs w:val="21"/>
          <w:highlight w:val="none"/>
        </w:rPr>
        <w:t>7.5 中标通知</w:t>
      </w:r>
      <w:bookmarkEnd w:id="93"/>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在本章第 3.3 款规定的投标有效期内，招标人以投标人须知前附表规定的形式向中标人发出中标通知书，同时将中标结果通知未中标的投标人。</w:t>
      </w:r>
    </w:p>
    <w:p>
      <w:pPr>
        <w:pStyle w:val="5"/>
        <w:spacing w:before="0" w:after="0" w:line="360" w:lineRule="auto"/>
        <w:rPr>
          <w:rFonts w:hint="eastAsia" w:ascii="宋体" w:hAnsi="宋体" w:cs="宋体"/>
          <w:color w:val="auto"/>
          <w:sz w:val="21"/>
          <w:szCs w:val="21"/>
          <w:highlight w:val="none"/>
        </w:rPr>
      </w:pPr>
      <w:bookmarkStart w:id="94" w:name="_Toc57795905"/>
      <w:r>
        <w:rPr>
          <w:rFonts w:hint="eastAsia" w:ascii="宋体" w:hAnsi="宋体" w:cs="宋体"/>
          <w:color w:val="auto"/>
          <w:sz w:val="21"/>
          <w:szCs w:val="21"/>
          <w:highlight w:val="none"/>
        </w:rPr>
        <w:t>7.6 中标结果公告</w:t>
      </w:r>
      <w:bookmarkEnd w:id="94"/>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招标人在确定中标人之日起 3 日内，按照投标人须知前附表规定的公告媒介和期限公告中标结果，公告期不得少于 3 日。公告内容包括中标人名称、中标价。</w:t>
      </w:r>
    </w:p>
    <w:p>
      <w:pPr>
        <w:pStyle w:val="5"/>
        <w:spacing w:before="0" w:after="0" w:line="360" w:lineRule="auto"/>
        <w:rPr>
          <w:rFonts w:hint="eastAsia" w:ascii="宋体" w:hAnsi="宋体" w:cs="宋体"/>
          <w:color w:val="auto"/>
          <w:sz w:val="21"/>
          <w:szCs w:val="21"/>
          <w:highlight w:val="none"/>
        </w:rPr>
      </w:pPr>
      <w:bookmarkStart w:id="95" w:name="_Toc57795906"/>
      <w:r>
        <w:rPr>
          <w:rFonts w:hint="eastAsia" w:ascii="宋体" w:hAnsi="宋体" w:cs="宋体"/>
          <w:color w:val="auto"/>
          <w:sz w:val="21"/>
          <w:szCs w:val="21"/>
          <w:highlight w:val="none"/>
        </w:rPr>
        <w:t>7.7 履约保证金</w:t>
      </w:r>
      <w:bookmarkEnd w:id="95"/>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7.7.1 在签订合同前，中标人应按投标人须知前附表规定的形式、金额和招标文件第四章“合同条款及格式”规定的或事先经过招标人书面认可的履约保证金格式向招标人提交履约保证金。除投标人须知前附表另有规定外，履约保证金为签约合同价的</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lang w:eastAsia="zh-CN"/>
        </w:rPr>
        <w:t>%。联合体中标的，其履约保证金以联合体各方或联合体中牵头人的名义提交。</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采用履约保函时，应由符合投标人须知前附表规定级别的银行开具，所需的费用由中标人承担，中标人应保证履约保函有效。</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7.7.2 中标人不能按本章第 7.7.1 项要求提交履约保证金的，视为放弃中标，其投标保证金不予退还，给招标人造成的损失超过投标保证金数额的，中标人还应对超过部分予以赔偿。</w:t>
      </w:r>
    </w:p>
    <w:p>
      <w:pPr>
        <w:pStyle w:val="5"/>
        <w:spacing w:before="0" w:after="0" w:line="360" w:lineRule="auto"/>
        <w:rPr>
          <w:rFonts w:hint="eastAsia" w:ascii="宋体" w:hAnsi="宋体" w:cs="宋体"/>
          <w:color w:val="auto"/>
          <w:sz w:val="21"/>
          <w:szCs w:val="21"/>
          <w:highlight w:val="none"/>
        </w:rPr>
      </w:pPr>
      <w:bookmarkStart w:id="96" w:name="_Toc57795907"/>
      <w:r>
        <w:rPr>
          <w:rFonts w:hint="eastAsia" w:ascii="宋体" w:hAnsi="宋体" w:cs="宋体"/>
          <w:color w:val="auto"/>
          <w:sz w:val="21"/>
          <w:szCs w:val="21"/>
          <w:highlight w:val="none"/>
        </w:rPr>
        <w:t>7.8 签订合同</w:t>
      </w:r>
      <w:bookmarkEnd w:id="96"/>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7.8.1 招标人和中标人应在中标通知书发出之日起 30 日内，根据招标文件和中标人的投标文件订立书面合同。中标人放弃中标项目，无正当理由拒签合同，在签订合同时向招标人提出附加条件或者更改合同实质性内容，或不按照招标文件要求提交低价风险担保（适用于经评审最低投标价法）或履约保证金的，招标人取消其中标资格，其投标保证金不予退还；给招标人造成的损失超过投标保证金数额的，中标人还应对超过部分予以赔偿。</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7.8.2 发出中标通知书后，招标人无正当理由拒签合同，或在签订合同时向中标人提出附加条件的，招标人向中标人退还投标保证金；给中标人造成损失的，还应赔偿损失。</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7.8.3 签约合同价的确定原则如下：（如投标人按照招标人提供的工程量固化清单电子文件填写工程量清单，无须按照第三章“评标办法”的相关规定对投标报价进行修正，则本项不适用。）</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（1）按照评标办法规定对投标报价进行修正后，若修正后的最终投标报价小于开标时的投标函大写金额报价，则签订合同时以修正后的最终投标报价为准；</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（2）按照评标办法规定对投标报价进行修正后，若修正后的最终投标报价大于开标时的投标函大写金额报价，则签订合同时以开标时的投标函大写金额报价为准，同时按比例修正相应子目的单价或合价。</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7.8.4 联合体中标的，联合体各方应共同与招标人签订合同，就中标项目向招标人承担连带责任。</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7.8.5 招标人和中标人在签订合同协议书的同时，须按照本招标文件规定的格式和要求签订廉政合同及安全生产合同，明确双方在廉政建设和安全生产方面的权利和义务以及应承担的违约责任。</w:t>
      </w:r>
    </w:p>
    <w:p>
      <w:pPr>
        <w:pStyle w:val="4"/>
        <w:spacing w:before="0" w:after="0" w:line="360" w:lineRule="auto"/>
        <w:rPr>
          <w:rFonts w:hint="eastAsia" w:ascii="宋体" w:hAnsi="宋体" w:cs="宋体"/>
          <w:color w:val="auto"/>
          <w:sz w:val="28"/>
          <w:szCs w:val="28"/>
          <w:highlight w:val="none"/>
        </w:rPr>
      </w:pPr>
      <w:bookmarkStart w:id="97" w:name="_Toc57795908"/>
      <w:r>
        <w:rPr>
          <w:rFonts w:hint="eastAsia" w:ascii="宋体" w:hAnsi="宋体" w:cs="宋体"/>
          <w:color w:val="auto"/>
          <w:sz w:val="28"/>
          <w:szCs w:val="28"/>
          <w:highlight w:val="none"/>
        </w:rPr>
        <w:t>8. 纪律和监督</w:t>
      </w:r>
      <w:bookmarkEnd w:id="97"/>
    </w:p>
    <w:p>
      <w:pPr>
        <w:pStyle w:val="5"/>
        <w:spacing w:before="0" w:after="0" w:line="360" w:lineRule="auto"/>
        <w:rPr>
          <w:rFonts w:hint="eastAsia" w:ascii="宋体" w:hAnsi="宋体" w:cs="宋体"/>
          <w:color w:val="auto"/>
          <w:sz w:val="21"/>
          <w:szCs w:val="21"/>
          <w:highlight w:val="none"/>
        </w:rPr>
      </w:pPr>
      <w:bookmarkStart w:id="98" w:name="_Toc57795909"/>
      <w:r>
        <w:rPr>
          <w:rFonts w:hint="eastAsia" w:ascii="宋体" w:hAnsi="宋体" w:cs="宋体"/>
          <w:color w:val="auto"/>
          <w:sz w:val="21"/>
          <w:szCs w:val="21"/>
          <w:highlight w:val="none"/>
        </w:rPr>
        <w:t>8.1 对招标人的纪律要求</w:t>
      </w:r>
      <w:bookmarkEnd w:id="98"/>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招标人不得泄露招标投标活动中应保密的情况和资料，不得与投标人串通损害国家利益、社会公共利益或他人合法权益。</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有下列情形之一的，属于招标人与投标人串通投标：</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（1）招标人在开标前开启投标文件并将有关信息泄露给其他投标人；</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（2）招标人直接或者间接向投标人泄露标底、评标委员会成员等信息；</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（3）招标人明示或者暗示投标人压低或者抬高投标报价；</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（4）招标人授意投标人撤换、修改投标文件；</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（5）招标人明示或者暗示投标人为特定投标人中标提供方便；</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（6）招标人与投标人为谋求特定投标人中标而采取的其他串通行为。</w:t>
      </w:r>
    </w:p>
    <w:p>
      <w:pPr>
        <w:pStyle w:val="5"/>
        <w:spacing w:before="0" w:after="0" w:line="360" w:lineRule="auto"/>
        <w:rPr>
          <w:rFonts w:hint="eastAsia" w:ascii="宋体" w:hAnsi="宋体" w:cs="宋体"/>
          <w:color w:val="auto"/>
          <w:sz w:val="21"/>
          <w:szCs w:val="21"/>
          <w:highlight w:val="none"/>
        </w:rPr>
      </w:pPr>
      <w:bookmarkStart w:id="99" w:name="_Toc57795910"/>
      <w:r>
        <w:rPr>
          <w:rFonts w:hint="eastAsia" w:ascii="宋体" w:hAnsi="宋体" w:cs="宋体"/>
          <w:color w:val="auto"/>
          <w:sz w:val="21"/>
          <w:szCs w:val="21"/>
          <w:highlight w:val="none"/>
        </w:rPr>
        <w:t>8.2 对投标人的纪律要求</w:t>
      </w:r>
      <w:bookmarkEnd w:id="99"/>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投标人不得相互串通投标或与招标人串通投标，不得向招标人或评标委员会成员行贿谋取中标，不得以他人名义投标或以其他方式弄虚作假骗取中标；投标人不得以任何方式干扰、影响评标工作。</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8.2.1 有下列情形之一的，属于投标人相互串通投标：</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（1）投标人之间协商投标报价等投标文件的实质性内容；</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（2）投标人之间约定中标人；</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（3）投标人之间约定部分投标人放弃投标或者中标；</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（4）属于同一集团、协会、商会等组织成员的投标人按照该组织要求协同投标；</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（5）投标人之间为谋取中标或者排斥特定投标人而采取的其他联合行动。</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8.2.2 有下列情形之一的，视为投标人相互串通投标：</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（1）不同投标人的投标文件由同一单位或者个人编制；</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（2）不同投标人委托同一单位或者个人办理投标事宜；</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（3）不同投标人的投标文件载明的项目管理成员为同一人；</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（4）不同投标人的投标文件异常一致或者投标报价呈规律性差异；</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（5）不同投标人的投标文件相互混装；</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（6）不同投标人的投标保证金从同一单位或者个人的账户转出；</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（7）不同投标人的电子投标文件MAC地址相同。</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8.2.3 使用通过受让或者租借等方式获取的资格、资质证书投标的，属于以他人名义投标。</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8.2.4 投标人有下列情形之一的，属于以其他方式弄虚作假的行为：</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（1）使用伪造、变造的许可证件；</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（2）提供虚假的财务状况或者业绩；</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（3）提供虚假的项目负责人或者主要技术人员简历、劳动关系证明；</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（4）提供虚假的信用状况；</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（5）其他弄虚作假的行为。</w:t>
      </w:r>
    </w:p>
    <w:p>
      <w:pPr>
        <w:pStyle w:val="5"/>
        <w:spacing w:before="0" w:after="0" w:line="360" w:lineRule="auto"/>
        <w:rPr>
          <w:rFonts w:hint="eastAsia" w:ascii="宋体" w:hAnsi="宋体" w:cs="宋体"/>
          <w:color w:val="auto"/>
          <w:sz w:val="21"/>
          <w:szCs w:val="21"/>
          <w:highlight w:val="none"/>
        </w:rPr>
      </w:pPr>
      <w:bookmarkStart w:id="100" w:name="_Toc57795911"/>
      <w:r>
        <w:rPr>
          <w:rFonts w:hint="eastAsia" w:ascii="宋体" w:hAnsi="宋体" w:cs="宋体"/>
          <w:color w:val="auto"/>
          <w:sz w:val="21"/>
          <w:szCs w:val="21"/>
          <w:highlight w:val="none"/>
        </w:rPr>
        <w:t>8.3 对评标委员会成员的纪律要求</w:t>
      </w:r>
      <w:bookmarkEnd w:id="100"/>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评标委员会成员不得收受他人的财物或其他好处，不得向他人透露对投标文件的评审和比较、中标候选人的推荐情况以及评标有关的其他情况。在评标活动中，评标委员会成员应客观、公正地履行职责，遵守职业道德，不得擅离职守，影响评标程序正常进行，不得使用第三章“评标办法”没有规定的评审因素和标准进行评标。不得对招标文件中《否决投标情况一览表》以外的内容予以否决投标，否则对评标委员会成员按《重庆市综合评标专家库和评标专家管理暂行办法》进行处理。</w:t>
      </w:r>
    </w:p>
    <w:p>
      <w:pPr>
        <w:pStyle w:val="5"/>
        <w:spacing w:before="0" w:after="0" w:line="360" w:lineRule="auto"/>
        <w:rPr>
          <w:rFonts w:hint="eastAsia" w:ascii="宋体" w:hAnsi="宋体" w:cs="宋体"/>
          <w:color w:val="auto"/>
          <w:sz w:val="21"/>
          <w:szCs w:val="21"/>
          <w:highlight w:val="none"/>
        </w:rPr>
      </w:pPr>
      <w:bookmarkStart w:id="101" w:name="_Toc57795912"/>
      <w:r>
        <w:rPr>
          <w:rFonts w:hint="eastAsia" w:ascii="宋体" w:hAnsi="宋体" w:cs="宋体"/>
          <w:color w:val="auto"/>
          <w:sz w:val="21"/>
          <w:szCs w:val="21"/>
          <w:highlight w:val="none"/>
        </w:rPr>
        <w:t>8.4 对与评标活动有关的工作人员的纪律要求</w:t>
      </w:r>
      <w:bookmarkEnd w:id="101"/>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与评标活动有关的工作人员不得收受他人的财物或其他好处，不得向他人透露对投标文件的评审和比较、中标候选人的推荐情况以及评标有关的其他情况。在评标活动中，与评标活动有关的工作人员不得擅离职守，影响评标程序正常进行。</w:t>
      </w:r>
    </w:p>
    <w:p>
      <w:pPr>
        <w:pStyle w:val="5"/>
        <w:spacing w:before="0" w:after="0" w:line="360" w:lineRule="auto"/>
        <w:rPr>
          <w:rFonts w:hint="eastAsia" w:ascii="宋体" w:hAnsi="宋体" w:cs="宋体"/>
          <w:color w:val="auto"/>
          <w:sz w:val="21"/>
          <w:szCs w:val="21"/>
          <w:highlight w:val="none"/>
        </w:rPr>
      </w:pPr>
      <w:bookmarkStart w:id="102" w:name="_Toc57795913"/>
      <w:r>
        <w:rPr>
          <w:rFonts w:hint="eastAsia" w:ascii="宋体" w:hAnsi="宋体" w:cs="宋体"/>
          <w:color w:val="auto"/>
          <w:sz w:val="21"/>
          <w:szCs w:val="21"/>
          <w:highlight w:val="none"/>
        </w:rPr>
        <w:t>8.5 投诉</w:t>
      </w:r>
      <w:bookmarkEnd w:id="102"/>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8.5.1 投标人或其他利害关系人认为招标投标活动不符合法律、行政法规规定的，可以自知道或应当知道之日起 10 日内向有关行政监督部门投诉。投诉应有明确的请求和必要的证明材料。</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监督部门的联系方式见投标人须知前附表。</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8.5.2 投标人或其他利害关系人对招标文件、开标和评标结果提出投诉的，应按照本章第 2.2 款、第 5.3 款和第 7.2 款的规定先向招标人提出异议。异议答复期间不计算在第 8.5.1 项规定的期限内。</w:t>
      </w:r>
    </w:p>
    <w:p>
      <w:pPr>
        <w:pStyle w:val="4"/>
        <w:spacing w:before="0" w:after="0" w:line="360" w:lineRule="auto"/>
        <w:rPr>
          <w:rFonts w:hint="eastAsia" w:ascii="宋体" w:hAnsi="宋体" w:cs="宋体"/>
          <w:color w:val="auto"/>
          <w:sz w:val="28"/>
          <w:szCs w:val="28"/>
          <w:highlight w:val="none"/>
        </w:rPr>
      </w:pPr>
      <w:bookmarkStart w:id="103" w:name="_Toc57795914"/>
      <w:r>
        <w:rPr>
          <w:rFonts w:hint="eastAsia" w:ascii="宋体" w:hAnsi="宋体" w:cs="宋体"/>
          <w:color w:val="auto"/>
          <w:sz w:val="28"/>
          <w:szCs w:val="28"/>
          <w:highlight w:val="none"/>
        </w:rPr>
        <w:t>9. 是否采用电子招标投标</w:t>
      </w:r>
      <w:bookmarkEnd w:id="103"/>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本招标项目是否采用电子招标投标方式：见投标人须知前附表。</w:t>
      </w:r>
    </w:p>
    <w:p>
      <w:pPr>
        <w:pStyle w:val="4"/>
        <w:spacing w:before="0" w:after="0" w:line="360" w:lineRule="auto"/>
        <w:rPr>
          <w:rFonts w:hint="eastAsia" w:ascii="宋体" w:hAnsi="宋体" w:cs="宋体"/>
          <w:color w:val="auto"/>
          <w:sz w:val="28"/>
          <w:szCs w:val="28"/>
          <w:highlight w:val="none"/>
        </w:rPr>
      </w:pPr>
      <w:bookmarkStart w:id="104" w:name="_Toc57795915"/>
      <w:r>
        <w:rPr>
          <w:rFonts w:hint="eastAsia" w:ascii="宋体" w:hAnsi="宋体" w:cs="宋体"/>
          <w:color w:val="auto"/>
          <w:sz w:val="28"/>
          <w:szCs w:val="28"/>
          <w:highlight w:val="none"/>
        </w:rPr>
        <w:t>10. 需要补充的其他内容</w:t>
      </w:r>
      <w:bookmarkEnd w:id="104"/>
    </w:p>
    <w:p>
      <w:pPr>
        <w:autoSpaceDE w:val="0"/>
        <w:autoSpaceDN w:val="0"/>
        <w:adjustRightInd w:val="0"/>
        <w:snapToGrid w:val="0"/>
        <w:spacing w:line="380" w:lineRule="exact"/>
        <w:ind w:firstLine="420"/>
        <w:jc w:val="left"/>
        <w:rPr>
          <w:color w:val="auto"/>
        </w:rPr>
      </w:pPr>
      <w:r>
        <w:rPr>
          <w:rFonts w:hint="eastAsia" w:ascii="宋体" w:hAnsi="宋体" w:eastAsia="宋体" w:cs="宋体"/>
          <w:color w:val="auto"/>
          <w:sz w:val="21"/>
          <w:szCs w:val="21"/>
          <w:highlight w:val="none"/>
          <w:lang w:eastAsia="zh-CN"/>
        </w:rPr>
        <w:t>需要补充的其他内容：见投标人须知前附表。</w:t>
      </w:r>
    </w:p>
    <w:bookmarkEnd w:id="45"/>
    <w:bookmarkEnd w:id="46"/>
    <w:bookmarkEnd w:id="47"/>
    <w:bookmarkEnd w:id="48"/>
    <w:bookmarkEnd w:id="49"/>
    <w:bookmarkEnd w:id="50"/>
    <w:p>
      <w:pPr>
        <w:pStyle w:val="3"/>
        <w:spacing w:before="0" w:after="0" w:line="400" w:lineRule="exact"/>
        <w:jc w:val="center"/>
        <w:rPr>
          <w:rFonts w:ascii="宋体" w:hAnsi="宋体"/>
          <w:snapToGrid w:val="0"/>
          <w:color w:val="auto"/>
          <w:kern w:val="0"/>
        </w:rPr>
      </w:pPr>
      <w:bookmarkStart w:id="105" w:name="_Toc513492490"/>
      <w:bookmarkStart w:id="106" w:name="_Toc452058737"/>
      <w:r>
        <w:rPr>
          <w:rFonts w:ascii="宋体" w:hAnsi="宋体"/>
          <w:snapToGrid w:val="0"/>
          <w:color w:val="auto"/>
          <w:kern w:val="0"/>
        </w:rPr>
        <w:br w:type="page"/>
      </w:r>
      <w:bookmarkStart w:id="107" w:name="_Toc6580"/>
      <w:r>
        <w:rPr>
          <w:rFonts w:ascii="宋体" w:hAnsi="宋体"/>
          <w:snapToGrid w:val="0"/>
          <w:color w:val="auto"/>
          <w:kern w:val="0"/>
          <w:sz w:val="32"/>
          <w:szCs w:val="32"/>
        </w:rPr>
        <w:t xml:space="preserve">第三章 </w:t>
      </w:r>
      <w:r>
        <w:rPr>
          <w:rFonts w:hint="eastAsia" w:ascii="宋体" w:hAnsi="宋体"/>
          <w:snapToGrid w:val="0"/>
          <w:color w:val="auto"/>
          <w:kern w:val="0"/>
          <w:sz w:val="32"/>
          <w:szCs w:val="32"/>
        </w:rPr>
        <w:t xml:space="preserve"> </w:t>
      </w:r>
      <w:r>
        <w:rPr>
          <w:rFonts w:ascii="宋体" w:hAnsi="宋体"/>
          <w:snapToGrid w:val="0"/>
          <w:color w:val="auto"/>
          <w:kern w:val="0"/>
          <w:sz w:val="32"/>
          <w:szCs w:val="32"/>
        </w:rPr>
        <w:t>评标办法（</w:t>
      </w:r>
      <w:r>
        <w:rPr>
          <w:rFonts w:hint="eastAsia" w:ascii="宋体" w:hAnsi="宋体"/>
          <w:snapToGrid w:val="0"/>
          <w:color w:val="auto"/>
          <w:kern w:val="0"/>
          <w:sz w:val="32"/>
          <w:szCs w:val="32"/>
        </w:rPr>
        <w:t>经评审的最低投标价法</w:t>
      </w:r>
      <w:r>
        <w:rPr>
          <w:rFonts w:ascii="宋体" w:hAnsi="宋体"/>
          <w:snapToGrid w:val="0"/>
          <w:color w:val="auto"/>
          <w:kern w:val="0"/>
          <w:sz w:val="32"/>
          <w:szCs w:val="32"/>
        </w:rPr>
        <w:t>）</w:t>
      </w:r>
      <w:bookmarkEnd w:id="107"/>
    </w:p>
    <w:p>
      <w:pPr>
        <w:keepNext/>
        <w:keepLines/>
        <w:spacing w:line="400" w:lineRule="exact"/>
        <w:outlineLvl w:val="1"/>
        <w:rPr>
          <w:rFonts w:ascii="宋体" w:hAnsi="宋体"/>
          <w:b/>
          <w:color w:val="auto"/>
          <w:sz w:val="28"/>
          <w:szCs w:val="28"/>
        </w:rPr>
      </w:pPr>
      <w:bookmarkStart w:id="108" w:name="_Toc1584"/>
      <w:r>
        <w:rPr>
          <w:rFonts w:hint="eastAsia" w:ascii="宋体" w:hAnsi="宋体"/>
          <w:b/>
          <w:color w:val="auto"/>
          <w:sz w:val="28"/>
          <w:szCs w:val="28"/>
        </w:rPr>
        <w:t>评标办法前附表</w:t>
      </w:r>
      <w:bookmarkEnd w:id="108"/>
    </w:p>
    <w:p>
      <w:pPr>
        <w:spacing w:line="400" w:lineRule="exact"/>
        <w:ind w:firstLine="427" w:firstLineChars="196"/>
        <w:rPr>
          <w:rFonts w:ascii="宋体" w:hAnsi="宋体"/>
          <w:color w:val="auto"/>
          <w:spacing w:val="4"/>
          <w:kern w:val="0"/>
          <w:szCs w:val="21"/>
        </w:rPr>
      </w:pPr>
      <w:bookmarkStart w:id="109" w:name="_Toc13210726"/>
      <w:r>
        <w:rPr>
          <w:rFonts w:ascii="宋体" w:hAnsi="宋体"/>
          <w:color w:val="auto"/>
          <w:spacing w:val="4"/>
          <w:kern w:val="0"/>
          <w:szCs w:val="21"/>
        </w:rPr>
        <w:t>评标办法中的评审内容必须和投标人须知中的对应内容一致，若投标人须知中未作要求的内容，不得列入评标办法作为评定依据。</w:t>
      </w:r>
      <w:bookmarkEnd w:id="109"/>
    </w:p>
    <w:tbl>
      <w:tblPr>
        <w:tblStyle w:val="52"/>
        <w:tblW w:w="9735" w:type="dxa"/>
        <w:tblInd w:w="1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0"/>
        <w:gridCol w:w="1545"/>
        <w:gridCol w:w="2565"/>
        <w:gridCol w:w="47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7" w:hRule="atLeast"/>
        </w:trPr>
        <w:tc>
          <w:tcPr>
            <w:tcW w:w="900" w:type="dxa"/>
            <w:tcBorders>
              <w:right w:val="single" w:color="auto" w:sz="4" w:space="0"/>
            </w:tcBorders>
            <w:vAlign w:val="center"/>
          </w:tcPr>
          <w:p>
            <w:pPr>
              <w:spacing w:line="400" w:lineRule="exact"/>
              <w:jc w:val="center"/>
              <w:rPr>
                <w:rFonts w:ascii="宋体" w:hAnsi="宋体"/>
                <w:b/>
                <w:color w:val="auto"/>
                <w:kern w:val="0"/>
              </w:rPr>
            </w:pPr>
            <w:r>
              <w:rPr>
                <w:rFonts w:ascii="宋体" w:hAnsi="宋体"/>
                <w:b/>
                <w:color w:val="auto"/>
                <w:kern w:val="0"/>
              </w:rPr>
              <w:t>条款号</w:t>
            </w:r>
          </w:p>
        </w:tc>
        <w:tc>
          <w:tcPr>
            <w:tcW w:w="1545" w:type="dxa"/>
            <w:tcBorders>
              <w:left w:val="single" w:color="auto" w:sz="4" w:space="0"/>
            </w:tcBorders>
            <w:vAlign w:val="center"/>
          </w:tcPr>
          <w:p>
            <w:pPr>
              <w:spacing w:line="400" w:lineRule="exact"/>
              <w:jc w:val="center"/>
              <w:rPr>
                <w:rFonts w:ascii="宋体" w:hAnsi="宋体"/>
                <w:b/>
                <w:color w:val="auto"/>
                <w:kern w:val="0"/>
              </w:rPr>
            </w:pPr>
            <w:r>
              <w:rPr>
                <w:rFonts w:ascii="宋体" w:hAnsi="宋体"/>
                <w:b/>
                <w:color w:val="auto"/>
                <w:kern w:val="0"/>
              </w:rPr>
              <w:t>评审因素</w:t>
            </w:r>
          </w:p>
        </w:tc>
        <w:tc>
          <w:tcPr>
            <w:tcW w:w="7290" w:type="dxa"/>
            <w:gridSpan w:val="2"/>
            <w:vAlign w:val="center"/>
          </w:tcPr>
          <w:p>
            <w:pPr>
              <w:spacing w:line="400" w:lineRule="exact"/>
              <w:jc w:val="center"/>
              <w:rPr>
                <w:rFonts w:ascii="宋体" w:hAnsi="宋体"/>
                <w:b/>
                <w:color w:val="auto"/>
                <w:kern w:val="0"/>
              </w:rPr>
            </w:pPr>
            <w:r>
              <w:rPr>
                <w:rFonts w:ascii="宋体" w:hAnsi="宋体"/>
                <w:b/>
                <w:color w:val="auto"/>
                <w:kern w:val="0"/>
              </w:rPr>
              <w:t>评审标准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542" w:hRule="atLeast"/>
        </w:trPr>
        <w:tc>
          <w:tcPr>
            <w:tcW w:w="900" w:type="dxa"/>
            <w:tcBorders>
              <w:right w:val="single" w:color="auto" w:sz="4" w:space="0"/>
            </w:tcBorders>
            <w:vAlign w:val="center"/>
          </w:tcPr>
          <w:p>
            <w:pPr>
              <w:pStyle w:val="264"/>
              <w:spacing w:line="400" w:lineRule="exact"/>
              <w:ind w:firstLine="0" w:firstLineChars="0"/>
              <w:jc w:val="center"/>
              <w:rPr>
                <w:color w:val="auto"/>
                <w:sz w:val="21"/>
                <w:szCs w:val="21"/>
              </w:rPr>
            </w:pPr>
            <w:r>
              <w:rPr>
                <w:color w:val="auto"/>
                <w:sz w:val="21"/>
                <w:szCs w:val="21"/>
              </w:rPr>
              <w:t>1</w:t>
            </w:r>
          </w:p>
        </w:tc>
        <w:tc>
          <w:tcPr>
            <w:tcW w:w="1545" w:type="dxa"/>
            <w:tcBorders>
              <w:left w:val="single" w:color="auto" w:sz="4" w:space="0"/>
            </w:tcBorders>
            <w:vAlign w:val="center"/>
          </w:tcPr>
          <w:p>
            <w:pPr>
              <w:pStyle w:val="264"/>
              <w:spacing w:line="400" w:lineRule="exact"/>
              <w:ind w:firstLine="0" w:firstLineChars="0"/>
              <w:jc w:val="center"/>
              <w:rPr>
                <w:color w:val="auto"/>
                <w:sz w:val="21"/>
                <w:szCs w:val="21"/>
              </w:rPr>
            </w:pPr>
            <w:r>
              <w:rPr>
                <w:rFonts w:hint="eastAsia"/>
                <w:color w:val="auto"/>
                <w:sz w:val="21"/>
                <w:szCs w:val="21"/>
              </w:rPr>
              <w:t>评标办法</w:t>
            </w:r>
          </w:p>
        </w:tc>
        <w:tc>
          <w:tcPr>
            <w:tcW w:w="7290" w:type="dxa"/>
            <w:gridSpan w:val="2"/>
            <w:vAlign w:val="center"/>
          </w:tcPr>
          <w:p>
            <w:pPr>
              <w:spacing w:line="400" w:lineRule="exact"/>
              <w:ind w:firstLine="427" w:firstLineChars="196"/>
              <w:rPr>
                <w:rFonts w:ascii="宋体" w:hAnsi="宋体"/>
                <w:color w:val="auto"/>
                <w:spacing w:val="4"/>
                <w:kern w:val="0"/>
                <w:szCs w:val="21"/>
              </w:rPr>
            </w:pPr>
            <w:r>
              <w:rPr>
                <w:rFonts w:hint="eastAsia" w:ascii="宋体" w:hAnsi="宋体"/>
                <w:color w:val="auto"/>
                <w:spacing w:val="4"/>
                <w:kern w:val="0"/>
                <w:szCs w:val="21"/>
              </w:rPr>
              <w:t>本次评标采用经评审的最低投标价法，评标委员会按照本章第2.1款进行报价排序，按照本章第2.2款进行符合性审查，符合性审查合格的投标人中按报价由低到高推荐中标候选人，或根据</w:t>
            </w:r>
            <w:r>
              <w:rPr>
                <w:rFonts w:hint="eastAsia" w:ascii="宋体" w:hAnsi="宋体" w:cs="宋体"/>
                <w:color w:val="auto"/>
                <w:szCs w:val="21"/>
                <w:lang w:val="en-US" w:eastAsia="zh-CN"/>
              </w:rPr>
              <w:t>招标人</w:t>
            </w:r>
            <w:r>
              <w:rPr>
                <w:rFonts w:hint="eastAsia" w:ascii="宋体" w:hAnsi="宋体"/>
                <w:color w:val="auto"/>
                <w:spacing w:val="4"/>
                <w:kern w:val="0"/>
                <w:szCs w:val="21"/>
              </w:rPr>
              <w:t>授权直接确定中标人。若出现投标人投标报价相同的，以“投标人在红名单中优先”的原则排序，投标人是否属于红名单，以开标环节信用状况查询结果为准；投标人均在红名单中或均不在红名单中的，由评标委员会</w:t>
            </w:r>
            <w:r>
              <w:rPr>
                <w:rFonts w:ascii="宋体" w:hAnsi="宋体" w:cs="宋体"/>
                <w:color w:val="auto"/>
                <w:spacing w:val="-7"/>
                <w:u w:val="single"/>
              </w:rPr>
              <w:t>全体成员</w:t>
            </w:r>
            <w:r>
              <w:rPr>
                <w:rFonts w:ascii="宋体" w:hAnsi="宋体" w:cs="宋体"/>
                <w:color w:val="auto"/>
                <w:u w:val="single"/>
              </w:rPr>
              <w:t>投票，并按</w:t>
            </w:r>
            <w:r>
              <w:rPr>
                <w:rFonts w:hint="eastAsia" w:ascii="宋体" w:hAnsi="宋体" w:cs="宋体"/>
                <w:color w:val="auto"/>
                <w:u w:val="single"/>
              </w:rPr>
              <w:t>简单</w:t>
            </w:r>
            <w:r>
              <w:rPr>
                <w:rFonts w:ascii="宋体" w:hAnsi="宋体" w:cs="宋体"/>
                <w:color w:val="auto"/>
                <w:u w:val="single"/>
              </w:rPr>
              <w:t>多数</w:t>
            </w:r>
            <w:r>
              <w:rPr>
                <w:rFonts w:hint="eastAsia" w:ascii="宋体" w:hAnsi="宋体"/>
                <w:color w:val="auto"/>
                <w:spacing w:val="4"/>
                <w:kern w:val="0"/>
                <w:szCs w:val="21"/>
              </w:rPr>
              <w:t>原则排序。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00" w:type="dxa"/>
            <w:tcBorders>
              <w:right w:val="single" w:color="auto" w:sz="4" w:space="0"/>
            </w:tcBorders>
            <w:vAlign w:val="center"/>
          </w:tcPr>
          <w:p>
            <w:pPr>
              <w:spacing w:line="400" w:lineRule="exact"/>
              <w:jc w:val="center"/>
              <w:rPr>
                <w:rFonts w:ascii="宋体" w:hAnsi="宋体"/>
                <w:color w:val="auto"/>
                <w:kern w:val="0"/>
              </w:rPr>
            </w:pPr>
            <w:r>
              <w:rPr>
                <w:rFonts w:hint="eastAsia" w:ascii="宋体" w:hAnsi="宋体"/>
                <w:color w:val="auto"/>
                <w:kern w:val="0"/>
              </w:rPr>
              <w:t>2.1</w:t>
            </w:r>
          </w:p>
        </w:tc>
        <w:tc>
          <w:tcPr>
            <w:tcW w:w="1545" w:type="dxa"/>
            <w:tcBorders>
              <w:left w:val="single" w:color="auto" w:sz="4" w:space="0"/>
              <w:right w:val="single" w:color="auto" w:sz="4" w:space="0"/>
            </w:tcBorders>
            <w:vAlign w:val="center"/>
          </w:tcPr>
          <w:p>
            <w:pPr>
              <w:spacing w:line="400" w:lineRule="exact"/>
              <w:jc w:val="center"/>
              <w:rPr>
                <w:rFonts w:ascii="宋体" w:hAnsi="宋体"/>
                <w:color w:val="auto"/>
                <w:kern w:val="0"/>
              </w:rPr>
            </w:pPr>
            <w:r>
              <w:rPr>
                <w:rFonts w:ascii="宋体" w:hAnsi="宋体"/>
                <w:color w:val="auto"/>
                <w:kern w:val="0"/>
              </w:rPr>
              <w:t>报价</w:t>
            </w:r>
            <w:r>
              <w:rPr>
                <w:rFonts w:hint="eastAsia" w:ascii="宋体" w:hAnsi="宋体"/>
                <w:color w:val="auto"/>
                <w:kern w:val="0"/>
              </w:rPr>
              <w:t>排序</w:t>
            </w:r>
          </w:p>
        </w:tc>
        <w:tc>
          <w:tcPr>
            <w:tcW w:w="7290" w:type="dxa"/>
            <w:gridSpan w:val="2"/>
            <w:tcBorders>
              <w:left w:val="single" w:color="auto" w:sz="4" w:space="0"/>
            </w:tcBorders>
            <w:vAlign w:val="center"/>
          </w:tcPr>
          <w:p>
            <w:pPr>
              <w:spacing w:line="400" w:lineRule="exact"/>
              <w:ind w:firstLine="420" w:firstLineChars="200"/>
              <w:jc w:val="left"/>
              <w:rPr>
                <w:rFonts w:ascii="宋体" w:hAnsi="宋体"/>
                <w:color w:val="auto"/>
                <w:kern w:val="0"/>
              </w:rPr>
            </w:pPr>
            <w:r>
              <w:rPr>
                <w:rFonts w:hint="eastAsia" w:ascii="宋体" w:hAnsi="宋体"/>
                <w:color w:val="auto"/>
                <w:kern w:val="0"/>
              </w:rPr>
              <w:t>对报价不高于最高限价的所有投标人的投标文件，按照报价由低到高的顺序排列。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00" w:type="dxa"/>
            <w:tcBorders>
              <w:right w:val="single" w:color="auto" w:sz="4" w:space="0"/>
            </w:tcBorders>
            <w:vAlign w:val="center"/>
          </w:tcPr>
          <w:p>
            <w:pPr>
              <w:spacing w:line="400" w:lineRule="exact"/>
              <w:jc w:val="center"/>
              <w:rPr>
                <w:rFonts w:ascii="宋体" w:hAnsi="宋体"/>
                <w:color w:val="auto"/>
                <w:kern w:val="0"/>
              </w:rPr>
            </w:pPr>
            <w:r>
              <w:rPr>
                <w:rFonts w:hint="eastAsia" w:ascii="宋体" w:hAnsi="宋体"/>
                <w:color w:val="auto"/>
                <w:kern w:val="0"/>
              </w:rPr>
              <w:t>2.2</w:t>
            </w:r>
          </w:p>
        </w:tc>
        <w:tc>
          <w:tcPr>
            <w:tcW w:w="1545" w:type="dxa"/>
            <w:tcBorders>
              <w:left w:val="single" w:color="auto" w:sz="4" w:space="0"/>
              <w:right w:val="single" w:color="auto" w:sz="4" w:space="0"/>
            </w:tcBorders>
            <w:vAlign w:val="center"/>
          </w:tcPr>
          <w:p>
            <w:pPr>
              <w:spacing w:line="400" w:lineRule="exact"/>
              <w:jc w:val="center"/>
              <w:rPr>
                <w:rFonts w:ascii="宋体" w:hAnsi="宋体"/>
                <w:color w:val="auto"/>
                <w:kern w:val="0"/>
              </w:rPr>
            </w:pPr>
            <w:r>
              <w:rPr>
                <w:rFonts w:hint="eastAsia" w:ascii="宋体" w:hAnsi="宋体"/>
                <w:color w:val="auto"/>
                <w:kern w:val="0"/>
              </w:rPr>
              <w:t>符合性审查</w:t>
            </w:r>
          </w:p>
        </w:tc>
        <w:tc>
          <w:tcPr>
            <w:tcW w:w="7290" w:type="dxa"/>
            <w:gridSpan w:val="2"/>
            <w:tcBorders>
              <w:left w:val="single" w:color="auto" w:sz="4" w:space="0"/>
            </w:tcBorders>
            <w:vAlign w:val="center"/>
          </w:tcPr>
          <w:p>
            <w:pPr>
              <w:spacing w:line="400" w:lineRule="exact"/>
              <w:ind w:firstLine="420" w:firstLineChars="200"/>
              <w:jc w:val="left"/>
              <w:rPr>
                <w:rFonts w:ascii="宋体" w:hAnsi="宋体"/>
                <w:color w:val="auto"/>
                <w:kern w:val="0"/>
              </w:rPr>
            </w:pPr>
            <w:r>
              <w:rPr>
                <w:rFonts w:hint="eastAsia" w:ascii="宋体" w:hAnsi="宋体"/>
                <w:color w:val="auto"/>
                <w:kern w:val="0"/>
              </w:rPr>
              <w:t>取报价排序前</w:t>
            </w:r>
            <w:r>
              <w:rPr>
                <w:rFonts w:hint="eastAsia"/>
                <w:color w:val="auto"/>
                <w:lang w:val="en-US" w:eastAsia="zh-CN"/>
              </w:rPr>
              <w:t>5</w:t>
            </w:r>
            <w:r>
              <w:rPr>
                <w:rFonts w:hint="eastAsia" w:ascii="宋体" w:hAnsi="宋体"/>
                <w:color w:val="auto"/>
                <w:kern w:val="0"/>
              </w:rPr>
              <w:t>名（若实际投标人数量小于勾选数量，</w:t>
            </w:r>
            <w:r>
              <w:rPr>
                <w:rFonts w:hint="eastAsia" w:ascii="宋体" w:hAnsi="宋体"/>
                <w:color w:val="auto"/>
                <w:spacing w:val="4"/>
                <w:kern w:val="0"/>
                <w:szCs w:val="21"/>
              </w:rPr>
              <w:t>则全部纳入）进行符合性审查。符合性审查内容：资格评审、形式评审、响应性评审、投标函部分及经济部分评审。符合性审查</w:t>
            </w:r>
            <w:r>
              <w:rPr>
                <w:rFonts w:hint="eastAsia" w:ascii="宋体" w:hAnsi="宋体"/>
                <w:color w:val="auto"/>
                <w:kern w:val="0"/>
              </w:rPr>
              <w:t>合格的投标人中，报价最低的成为第一中标候选人，报价次低的成为第二中标候选人，依次类推。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0" w:hRule="atLeast"/>
        </w:trPr>
        <w:tc>
          <w:tcPr>
            <w:tcW w:w="900" w:type="dxa"/>
            <w:vMerge w:val="restart"/>
            <w:tcBorders>
              <w:right w:val="single" w:color="auto" w:sz="4" w:space="0"/>
            </w:tcBorders>
            <w:vAlign w:val="center"/>
          </w:tcPr>
          <w:p>
            <w:pPr>
              <w:spacing w:line="400" w:lineRule="exact"/>
              <w:jc w:val="center"/>
              <w:rPr>
                <w:rFonts w:ascii="宋体" w:hAnsi="宋体" w:cs="宋体"/>
                <w:color w:val="auto"/>
                <w:szCs w:val="21"/>
              </w:rPr>
            </w:pPr>
            <w:r>
              <w:rPr>
                <w:rFonts w:hint="eastAsia" w:ascii="宋体" w:hAnsi="宋体" w:cs="宋体"/>
                <w:color w:val="auto"/>
                <w:szCs w:val="21"/>
              </w:rPr>
              <w:t>2.2.2</w:t>
            </w:r>
          </w:p>
        </w:tc>
        <w:tc>
          <w:tcPr>
            <w:tcW w:w="1545" w:type="dxa"/>
            <w:vMerge w:val="restart"/>
            <w:tcBorders>
              <w:left w:val="single" w:color="auto" w:sz="4" w:space="0"/>
              <w:right w:val="single" w:color="auto" w:sz="4" w:space="0"/>
            </w:tcBorders>
            <w:vAlign w:val="center"/>
          </w:tcPr>
          <w:p>
            <w:pPr>
              <w:spacing w:line="400" w:lineRule="exact"/>
              <w:jc w:val="center"/>
              <w:rPr>
                <w:rFonts w:ascii="宋体" w:hAnsi="宋体"/>
                <w:color w:val="auto"/>
                <w:kern w:val="0"/>
              </w:rPr>
            </w:pPr>
            <w:r>
              <w:rPr>
                <w:rFonts w:hint="eastAsia" w:ascii="宋体" w:hAnsi="宋体"/>
                <w:color w:val="auto"/>
                <w:kern w:val="0"/>
              </w:rPr>
              <w:t>资格评审标准</w:t>
            </w:r>
          </w:p>
        </w:tc>
        <w:tc>
          <w:tcPr>
            <w:tcW w:w="2565" w:type="dxa"/>
            <w:tcBorders>
              <w:top w:val="single" w:color="auto" w:sz="4" w:space="0"/>
              <w:left w:val="single" w:color="auto" w:sz="4" w:space="0"/>
              <w:right w:val="single" w:color="auto" w:sz="4" w:space="0"/>
            </w:tcBorders>
            <w:vAlign w:val="center"/>
          </w:tcPr>
          <w:p>
            <w:pPr>
              <w:snapToGrid w:val="0"/>
              <w:spacing w:line="400" w:lineRule="exact"/>
              <w:jc w:val="center"/>
              <w:rPr>
                <w:rFonts w:ascii="宋体" w:hAnsi="宋体" w:cs="宋体"/>
                <w:color w:val="auto"/>
                <w:kern w:val="0"/>
              </w:rPr>
            </w:pPr>
            <w:r>
              <w:rPr>
                <w:rFonts w:hint="eastAsia" w:ascii="宋体" w:hAnsi="宋体" w:cs="宋体"/>
                <w:color w:val="auto"/>
                <w:kern w:val="0"/>
              </w:rPr>
              <w:t>资质条件</w:t>
            </w:r>
          </w:p>
        </w:tc>
        <w:tc>
          <w:tcPr>
            <w:tcW w:w="4725" w:type="dxa"/>
            <w:tcBorders>
              <w:top w:val="single" w:color="auto" w:sz="4" w:space="0"/>
              <w:left w:val="single" w:color="auto" w:sz="4" w:space="0"/>
            </w:tcBorders>
            <w:vAlign w:val="center"/>
          </w:tcPr>
          <w:p>
            <w:pPr>
              <w:snapToGrid w:val="0"/>
              <w:spacing w:line="400" w:lineRule="exact"/>
              <w:ind w:firstLine="420" w:firstLineChars="200"/>
              <w:rPr>
                <w:rFonts w:ascii="宋体" w:hAnsi="宋体" w:cs="宋体"/>
                <w:color w:val="auto"/>
                <w:kern w:val="0"/>
              </w:rPr>
            </w:pPr>
            <w:r>
              <w:rPr>
                <w:rFonts w:hint="eastAsia" w:ascii="宋体" w:hAnsi="宋体" w:cs="宋体"/>
                <w:color w:val="auto"/>
                <w:kern w:val="0"/>
              </w:rPr>
              <w:t>符合第二章“投标人须知”第1.4.1项规定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0" w:hRule="atLeast"/>
        </w:trPr>
        <w:tc>
          <w:tcPr>
            <w:tcW w:w="900" w:type="dxa"/>
            <w:vMerge w:val="continue"/>
            <w:tcBorders>
              <w:right w:val="single" w:color="auto" w:sz="4" w:space="0"/>
            </w:tcBorders>
            <w:vAlign w:val="center"/>
          </w:tcPr>
          <w:p>
            <w:pPr>
              <w:spacing w:line="400" w:lineRule="exact"/>
              <w:jc w:val="center"/>
              <w:rPr>
                <w:rFonts w:ascii="宋体" w:hAnsi="宋体" w:cs="宋体"/>
                <w:color w:val="auto"/>
                <w:szCs w:val="21"/>
              </w:rPr>
            </w:pPr>
          </w:p>
        </w:tc>
        <w:tc>
          <w:tcPr>
            <w:tcW w:w="1545" w:type="dxa"/>
            <w:vMerge w:val="continue"/>
            <w:tcBorders>
              <w:left w:val="single" w:color="auto" w:sz="4" w:space="0"/>
              <w:right w:val="single" w:color="auto" w:sz="4" w:space="0"/>
            </w:tcBorders>
            <w:vAlign w:val="center"/>
          </w:tcPr>
          <w:p>
            <w:pPr>
              <w:spacing w:line="400" w:lineRule="exact"/>
              <w:jc w:val="center"/>
              <w:rPr>
                <w:rFonts w:ascii="宋体" w:hAnsi="宋体"/>
                <w:color w:val="auto"/>
                <w:kern w:val="0"/>
              </w:rPr>
            </w:pPr>
          </w:p>
        </w:tc>
        <w:tc>
          <w:tcPr>
            <w:tcW w:w="2565" w:type="dxa"/>
            <w:tcBorders>
              <w:top w:val="single" w:color="auto" w:sz="4" w:space="0"/>
              <w:left w:val="single" w:color="auto" w:sz="4" w:space="0"/>
              <w:right w:val="single" w:color="auto" w:sz="4" w:space="0"/>
            </w:tcBorders>
            <w:vAlign w:val="center"/>
          </w:tcPr>
          <w:p>
            <w:pPr>
              <w:snapToGrid w:val="0"/>
              <w:spacing w:line="400" w:lineRule="exact"/>
              <w:jc w:val="center"/>
              <w:rPr>
                <w:rFonts w:ascii="宋体" w:hAnsi="宋体" w:cs="宋体"/>
                <w:color w:val="auto"/>
                <w:kern w:val="0"/>
              </w:rPr>
            </w:pPr>
            <w:r>
              <w:rPr>
                <w:rFonts w:hint="eastAsia" w:ascii="宋体" w:hAnsi="宋体" w:cs="宋体"/>
                <w:color w:val="auto"/>
                <w:kern w:val="0"/>
              </w:rPr>
              <w:t>营业执照</w:t>
            </w:r>
          </w:p>
        </w:tc>
        <w:tc>
          <w:tcPr>
            <w:tcW w:w="4725" w:type="dxa"/>
            <w:tcBorders>
              <w:top w:val="single" w:color="auto" w:sz="4" w:space="0"/>
              <w:left w:val="single" w:color="auto" w:sz="4" w:space="0"/>
            </w:tcBorders>
            <w:vAlign w:val="center"/>
          </w:tcPr>
          <w:p>
            <w:pPr>
              <w:snapToGrid w:val="0"/>
              <w:spacing w:line="400" w:lineRule="exact"/>
              <w:ind w:firstLine="420" w:firstLineChars="200"/>
              <w:rPr>
                <w:rFonts w:ascii="宋体" w:hAnsi="宋体" w:cs="宋体"/>
                <w:color w:val="auto"/>
                <w:kern w:val="0"/>
              </w:rPr>
            </w:pPr>
            <w:r>
              <w:rPr>
                <w:rFonts w:hint="eastAsia" w:ascii="宋体" w:hAnsi="宋体" w:cs="宋体"/>
                <w:color w:val="auto"/>
                <w:kern w:val="0"/>
              </w:rPr>
              <w:t>符合第二章“投标人须知”第1.4.1项规定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5" w:hRule="atLeast"/>
        </w:trPr>
        <w:tc>
          <w:tcPr>
            <w:tcW w:w="900" w:type="dxa"/>
            <w:vMerge w:val="continue"/>
            <w:tcBorders>
              <w:right w:val="single" w:color="auto" w:sz="4" w:space="0"/>
            </w:tcBorders>
            <w:vAlign w:val="center"/>
          </w:tcPr>
          <w:p>
            <w:pPr>
              <w:spacing w:line="400" w:lineRule="exact"/>
              <w:jc w:val="center"/>
              <w:rPr>
                <w:rFonts w:ascii="宋体" w:hAnsi="宋体" w:cs="宋体"/>
                <w:color w:val="auto"/>
                <w:szCs w:val="21"/>
              </w:rPr>
            </w:pPr>
          </w:p>
        </w:tc>
        <w:tc>
          <w:tcPr>
            <w:tcW w:w="1545" w:type="dxa"/>
            <w:vMerge w:val="continue"/>
            <w:tcBorders>
              <w:left w:val="single" w:color="auto" w:sz="4" w:space="0"/>
              <w:right w:val="single" w:color="auto" w:sz="4" w:space="0"/>
            </w:tcBorders>
            <w:vAlign w:val="center"/>
          </w:tcPr>
          <w:p>
            <w:pPr>
              <w:spacing w:line="400" w:lineRule="exact"/>
              <w:jc w:val="center"/>
              <w:rPr>
                <w:rFonts w:ascii="宋体" w:hAnsi="宋体"/>
                <w:color w:val="auto"/>
                <w:kern w:val="0"/>
              </w:rPr>
            </w:pPr>
          </w:p>
        </w:tc>
        <w:tc>
          <w:tcPr>
            <w:tcW w:w="2565"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color w:val="auto"/>
              </w:rPr>
            </w:pPr>
            <w:r>
              <w:rPr>
                <w:rFonts w:hint="eastAsia"/>
                <w:color w:val="auto"/>
              </w:rPr>
              <w:t>安全生产条件</w:t>
            </w:r>
          </w:p>
        </w:tc>
        <w:tc>
          <w:tcPr>
            <w:tcW w:w="4725" w:type="dxa"/>
            <w:tcBorders>
              <w:top w:val="single" w:color="auto" w:sz="4" w:space="0"/>
              <w:left w:val="single" w:color="auto" w:sz="4" w:space="0"/>
              <w:bottom w:val="single" w:color="auto" w:sz="4" w:space="0"/>
            </w:tcBorders>
            <w:vAlign w:val="center"/>
          </w:tcPr>
          <w:p>
            <w:pPr>
              <w:snapToGrid w:val="0"/>
              <w:spacing w:line="400" w:lineRule="exact"/>
              <w:ind w:firstLine="420" w:firstLineChars="200"/>
              <w:rPr>
                <w:rFonts w:ascii="宋体" w:hAnsi="宋体" w:cs="宋体"/>
                <w:color w:val="auto"/>
              </w:rPr>
            </w:pPr>
            <w:r>
              <w:rPr>
                <w:rFonts w:hint="eastAsia" w:ascii="宋体" w:hAnsi="宋体" w:cs="宋体"/>
                <w:color w:val="auto"/>
              </w:rPr>
              <w:t>符合第二章“投标人须知”第1.4.1项规定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0" w:hRule="atLeast"/>
        </w:trPr>
        <w:tc>
          <w:tcPr>
            <w:tcW w:w="900" w:type="dxa"/>
            <w:vMerge w:val="continue"/>
            <w:tcBorders>
              <w:right w:val="single" w:color="auto" w:sz="4" w:space="0"/>
            </w:tcBorders>
            <w:vAlign w:val="center"/>
          </w:tcPr>
          <w:p>
            <w:pPr>
              <w:spacing w:line="400" w:lineRule="exact"/>
              <w:jc w:val="center"/>
              <w:rPr>
                <w:rFonts w:ascii="宋体" w:hAnsi="宋体" w:cs="宋体"/>
                <w:color w:val="auto"/>
                <w:szCs w:val="21"/>
              </w:rPr>
            </w:pPr>
          </w:p>
        </w:tc>
        <w:tc>
          <w:tcPr>
            <w:tcW w:w="1545" w:type="dxa"/>
            <w:vMerge w:val="continue"/>
            <w:tcBorders>
              <w:left w:val="single" w:color="auto" w:sz="4" w:space="0"/>
              <w:right w:val="single" w:color="auto" w:sz="4" w:space="0"/>
            </w:tcBorders>
            <w:vAlign w:val="center"/>
          </w:tcPr>
          <w:p>
            <w:pPr>
              <w:spacing w:line="400" w:lineRule="exact"/>
              <w:jc w:val="center"/>
              <w:rPr>
                <w:rFonts w:ascii="宋体" w:hAnsi="宋体"/>
                <w:color w:val="auto"/>
                <w:kern w:val="0"/>
              </w:rPr>
            </w:pPr>
          </w:p>
        </w:tc>
        <w:tc>
          <w:tcPr>
            <w:tcW w:w="2565" w:type="dxa"/>
            <w:tcBorders>
              <w:top w:val="single" w:color="auto" w:sz="4" w:space="0"/>
              <w:left w:val="single" w:color="auto" w:sz="4" w:space="0"/>
              <w:right w:val="single" w:color="auto" w:sz="4" w:space="0"/>
            </w:tcBorders>
            <w:vAlign w:val="center"/>
          </w:tcPr>
          <w:p>
            <w:pPr>
              <w:snapToGrid w:val="0"/>
              <w:spacing w:line="400" w:lineRule="exact"/>
              <w:jc w:val="center"/>
              <w:rPr>
                <w:rFonts w:ascii="宋体" w:hAnsi="宋体" w:cs="宋体"/>
                <w:color w:val="auto"/>
                <w:kern w:val="0"/>
              </w:rPr>
            </w:pPr>
            <w:r>
              <w:rPr>
                <w:rFonts w:hint="eastAsia" w:ascii="宋体" w:hAnsi="宋体" w:cs="宋体"/>
                <w:color w:val="auto"/>
                <w:szCs w:val="21"/>
              </w:rPr>
              <w:t>投标截止日投标资格情况</w:t>
            </w:r>
          </w:p>
        </w:tc>
        <w:tc>
          <w:tcPr>
            <w:tcW w:w="4725" w:type="dxa"/>
            <w:tcBorders>
              <w:top w:val="single" w:color="auto" w:sz="4" w:space="0"/>
              <w:left w:val="single" w:color="auto" w:sz="4" w:space="0"/>
            </w:tcBorders>
            <w:vAlign w:val="center"/>
          </w:tcPr>
          <w:p>
            <w:pPr>
              <w:snapToGrid w:val="0"/>
              <w:spacing w:line="400" w:lineRule="exact"/>
              <w:ind w:firstLine="420" w:firstLineChars="200"/>
              <w:rPr>
                <w:rFonts w:ascii="宋体" w:hAnsi="宋体" w:cs="宋体"/>
                <w:color w:val="auto"/>
                <w:kern w:val="0"/>
              </w:rPr>
            </w:pPr>
            <w:r>
              <w:rPr>
                <w:rFonts w:hint="eastAsia" w:ascii="宋体" w:hAnsi="宋体" w:cs="宋体"/>
                <w:color w:val="auto"/>
                <w:kern w:val="0"/>
              </w:rPr>
              <w:t>符合第二章“投标人须知”第1.4.1项规定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0" w:hRule="atLeast"/>
        </w:trPr>
        <w:tc>
          <w:tcPr>
            <w:tcW w:w="900" w:type="dxa"/>
            <w:vMerge w:val="continue"/>
            <w:tcBorders>
              <w:right w:val="single" w:color="auto" w:sz="4" w:space="0"/>
            </w:tcBorders>
            <w:vAlign w:val="center"/>
          </w:tcPr>
          <w:p>
            <w:pPr>
              <w:spacing w:line="400" w:lineRule="exact"/>
              <w:jc w:val="center"/>
              <w:rPr>
                <w:rFonts w:ascii="宋体" w:hAnsi="宋体" w:cs="宋体"/>
                <w:color w:val="auto"/>
                <w:szCs w:val="21"/>
              </w:rPr>
            </w:pPr>
          </w:p>
        </w:tc>
        <w:tc>
          <w:tcPr>
            <w:tcW w:w="1545" w:type="dxa"/>
            <w:vMerge w:val="continue"/>
            <w:tcBorders>
              <w:left w:val="single" w:color="auto" w:sz="4" w:space="0"/>
              <w:right w:val="single" w:color="auto" w:sz="4" w:space="0"/>
            </w:tcBorders>
            <w:vAlign w:val="center"/>
          </w:tcPr>
          <w:p>
            <w:pPr>
              <w:spacing w:line="400" w:lineRule="exact"/>
              <w:jc w:val="center"/>
              <w:rPr>
                <w:rFonts w:ascii="宋体" w:hAnsi="宋体"/>
                <w:color w:val="auto"/>
                <w:kern w:val="0"/>
              </w:rPr>
            </w:pPr>
          </w:p>
        </w:tc>
        <w:tc>
          <w:tcPr>
            <w:tcW w:w="2565" w:type="dxa"/>
            <w:tcBorders>
              <w:top w:val="single" w:color="auto" w:sz="4" w:space="0"/>
              <w:left w:val="single" w:color="auto" w:sz="4" w:space="0"/>
              <w:right w:val="single" w:color="auto" w:sz="4" w:space="0"/>
            </w:tcBorders>
            <w:vAlign w:val="center"/>
          </w:tcPr>
          <w:p>
            <w:pPr>
              <w:snapToGrid w:val="0"/>
              <w:spacing w:line="400" w:lineRule="exact"/>
              <w:jc w:val="center"/>
              <w:rPr>
                <w:rFonts w:ascii="宋体" w:hAnsi="宋体" w:cs="宋体"/>
                <w:color w:val="auto"/>
                <w:kern w:val="0"/>
              </w:rPr>
            </w:pPr>
            <w:r>
              <w:rPr>
                <w:rFonts w:hint="eastAsia" w:ascii="宋体" w:hAnsi="宋体" w:cs="宋体"/>
                <w:color w:val="auto"/>
                <w:kern w:val="0"/>
              </w:rPr>
              <w:t>项目经理资格要求</w:t>
            </w:r>
          </w:p>
        </w:tc>
        <w:tc>
          <w:tcPr>
            <w:tcW w:w="4725" w:type="dxa"/>
            <w:tcBorders>
              <w:top w:val="single" w:color="auto" w:sz="4" w:space="0"/>
              <w:left w:val="single" w:color="auto" w:sz="4" w:space="0"/>
            </w:tcBorders>
            <w:vAlign w:val="center"/>
          </w:tcPr>
          <w:p>
            <w:pPr>
              <w:snapToGrid w:val="0"/>
              <w:spacing w:line="400" w:lineRule="exact"/>
              <w:ind w:firstLine="420" w:firstLineChars="200"/>
              <w:rPr>
                <w:rFonts w:ascii="宋体" w:hAnsi="宋体" w:cs="宋体"/>
                <w:color w:val="auto"/>
                <w:kern w:val="0"/>
              </w:rPr>
            </w:pPr>
            <w:r>
              <w:rPr>
                <w:rFonts w:hint="eastAsia" w:ascii="宋体" w:hAnsi="宋体" w:cs="宋体"/>
                <w:color w:val="auto"/>
                <w:kern w:val="0"/>
              </w:rPr>
              <w:t>符合第二章“投标人须知”第1.4.1项规定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0" w:hRule="atLeast"/>
        </w:trPr>
        <w:tc>
          <w:tcPr>
            <w:tcW w:w="900" w:type="dxa"/>
            <w:vMerge w:val="continue"/>
            <w:tcBorders>
              <w:right w:val="single" w:color="auto" w:sz="4" w:space="0"/>
            </w:tcBorders>
            <w:vAlign w:val="center"/>
          </w:tcPr>
          <w:p>
            <w:pPr>
              <w:spacing w:line="400" w:lineRule="exact"/>
              <w:jc w:val="center"/>
              <w:rPr>
                <w:rFonts w:ascii="宋体" w:hAnsi="宋体" w:cs="宋体"/>
                <w:color w:val="auto"/>
                <w:szCs w:val="21"/>
              </w:rPr>
            </w:pPr>
          </w:p>
        </w:tc>
        <w:tc>
          <w:tcPr>
            <w:tcW w:w="1545" w:type="dxa"/>
            <w:vMerge w:val="continue"/>
            <w:tcBorders>
              <w:left w:val="single" w:color="auto" w:sz="4" w:space="0"/>
              <w:right w:val="single" w:color="auto" w:sz="4" w:space="0"/>
            </w:tcBorders>
            <w:vAlign w:val="center"/>
          </w:tcPr>
          <w:p>
            <w:pPr>
              <w:spacing w:line="400" w:lineRule="exact"/>
              <w:jc w:val="center"/>
              <w:rPr>
                <w:rFonts w:ascii="宋体" w:hAnsi="宋体"/>
                <w:color w:val="auto"/>
                <w:kern w:val="0"/>
              </w:rPr>
            </w:pPr>
          </w:p>
        </w:tc>
        <w:tc>
          <w:tcPr>
            <w:tcW w:w="2565" w:type="dxa"/>
            <w:tcBorders>
              <w:top w:val="single" w:color="auto" w:sz="4" w:space="0"/>
              <w:left w:val="single" w:color="auto" w:sz="4" w:space="0"/>
              <w:right w:val="single" w:color="auto" w:sz="4" w:space="0"/>
            </w:tcBorders>
            <w:vAlign w:val="center"/>
          </w:tcPr>
          <w:p>
            <w:pPr>
              <w:snapToGrid w:val="0"/>
              <w:spacing w:line="400" w:lineRule="exact"/>
              <w:jc w:val="center"/>
              <w:rPr>
                <w:rFonts w:ascii="宋体" w:hAnsi="宋体" w:cs="宋体"/>
                <w:color w:val="auto"/>
                <w:kern w:val="0"/>
              </w:rPr>
            </w:pPr>
            <w:r>
              <w:rPr>
                <w:rFonts w:hint="eastAsia" w:ascii="宋体" w:hAnsi="宋体" w:cs="宋体"/>
                <w:color w:val="auto"/>
                <w:kern w:val="0"/>
              </w:rPr>
              <w:t>其他要求</w:t>
            </w:r>
          </w:p>
        </w:tc>
        <w:tc>
          <w:tcPr>
            <w:tcW w:w="4725" w:type="dxa"/>
            <w:tcBorders>
              <w:top w:val="single" w:color="auto" w:sz="4" w:space="0"/>
              <w:left w:val="single" w:color="auto" w:sz="4" w:space="0"/>
            </w:tcBorders>
            <w:vAlign w:val="center"/>
          </w:tcPr>
          <w:p>
            <w:pPr>
              <w:snapToGrid w:val="0"/>
              <w:spacing w:line="400" w:lineRule="exact"/>
              <w:ind w:firstLine="420" w:firstLineChars="200"/>
              <w:rPr>
                <w:rFonts w:ascii="宋体" w:hAnsi="宋体" w:cs="宋体"/>
                <w:color w:val="auto"/>
                <w:kern w:val="0"/>
                <w:u w:val="single"/>
              </w:rPr>
            </w:pPr>
            <w:r>
              <w:rPr>
                <w:rFonts w:hint="eastAsia" w:ascii="宋体" w:hAnsi="宋体" w:cs="宋体"/>
                <w:color w:val="auto"/>
                <w:kern w:val="0"/>
              </w:rPr>
              <w:t>符合第二章“投标人须知”第1.4.1项规定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00" w:type="dxa"/>
            <w:vMerge w:val="restart"/>
            <w:tcBorders>
              <w:right w:val="single" w:color="auto" w:sz="4" w:space="0"/>
            </w:tcBorders>
            <w:vAlign w:val="center"/>
          </w:tcPr>
          <w:p>
            <w:pPr>
              <w:spacing w:line="400" w:lineRule="exact"/>
              <w:jc w:val="center"/>
              <w:rPr>
                <w:rFonts w:ascii="宋体" w:hAnsi="宋体"/>
                <w:color w:val="auto"/>
                <w:kern w:val="0"/>
              </w:rPr>
            </w:pPr>
            <w:r>
              <w:rPr>
                <w:rFonts w:ascii="宋体" w:hAnsi="宋体"/>
                <w:color w:val="auto"/>
                <w:kern w:val="0"/>
              </w:rPr>
              <w:t>2.</w:t>
            </w:r>
            <w:r>
              <w:rPr>
                <w:rFonts w:hint="eastAsia" w:ascii="宋体" w:hAnsi="宋体"/>
                <w:color w:val="auto"/>
                <w:kern w:val="0"/>
              </w:rPr>
              <w:t>2</w:t>
            </w:r>
            <w:r>
              <w:rPr>
                <w:rFonts w:ascii="宋体" w:hAnsi="宋体"/>
                <w:color w:val="auto"/>
                <w:kern w:val="0"/>
              </w:rPr>
              <w:t>.</w:t>
            </w:r>
            <w:r>
              <w:rPr>
                <w:rFonts w:hint="eastAsia" w:ascii="宋体" w:hAnsi="宋体"/>
                <w:color w:val="auto"/>
                <w:kern w:val="0"/>
              </w:rPr>
              <w:t>3</w:t>
            </w:r>
          </w:p>
        </w:tc>
        <w:tc>
          <w:tcPr>
            <w:tcW w:w="1545" w:type="dxa"/>
            <w:vMerge w:val="restart"/>
            <w:tcBorders>
              <w:left w:val="single" w:color="auto" w:sz="4" w:space="0"/>
            </w:tcBorders>
            <w:vAlign w:val="center"/>
          </w:tcPr>
          <w:p>
            <w:pPr>
              <w:spacing w:line="400" w:lineRule="exact"/>
              <w:jc w:val="center"/>
              <w:rPr>
                <w:rFonts w:ascii="宋体" w:hAnsi="宋体"/>
                <w:color w:val="auto"/>
                <w:kern w:val="0"/>
              </w:rPr>
            </w:pPr>
            <w:r>
              <w:rPr>
                <w:rFonts w:hint="eastAsia" w:ascii="宋体" w:hAnsi="宋体"/>
                <w:color w:val="auto"/>
                <w:kern w:val="0"/>
              </w:rPr>
              <w:t>形式评审标准</w:t>
            </w:r>
          </w:p>
        </w:tc>
        <w:tc>
          <w:tcPr>
            <w:tcW w:w="2565" w:type="dxa"/>
            <w:tcBorders>
              <w:right w:val="single" w:color="auto" w:sz="4" w:space="0"/>
            </w:tcBorders>
            <w:vAlign w:val="center"/>
          </w:tcPr>
          <w:p>
            <w:pPr>
              <w:spacing w:line="400" w:lineRule="exact"/>
              <w:jc w:val="center"/>
              <w:rPr>
                <w:rFonts w:ascii="宋体" w:hAnsi="宋体" w:cs="宋体"/>
                <w:color w:val="auto"/>
                <w:kern w:val="0"/>
              </w:rPr>
            </w:pPr>
            <w:r>
              <w:rPr>
                <w:rFonts w:hint="eastAsia" w:ascii="宋体" w:hAnsi="宋体" w:cs="宋体"/>
                <w:color w:val="auto"/>
                <w:kern w:val="0"/>
              </w:rPr>
              <w:t>投标人名称</w:t>
            </w:r>
          </w:p>
        </w:tc>
        <w:tc>
          <w:tcPr>
            <w:tcW w:w="4725" w:type="dxa"/>
            <w:tcBorders>
              <w:left w:val="single" w:color="auto" w:sz="4" w:space="0"/>
            </w:tcBorders>
            <w:vAlign w:val="center"/>
          </w:tcPr>
          <w:p>
            <w:pPr>
              <w:snapToGrid w:val="0"/>
              <w:spacing w:line="400" w:lineRule="exact"/>
              <w:ind w:firstLine="420" w:firstLineChars="200"/>
              <w:rPr>
                <w:rFonts w:ascii="宋体" w:hAnsi="宋体" w:cs="宋体"/>
                <w:color w:val="auto"/>
                <w:kern w:val="0"/>
              </w:rPr>
            </w:pPr>
            <w:r>
              <w:rPr>
                <w:rFonts w:hint="eastAsia" w:ascii="宋体" w:hAnsi="宋体" w:cs="宋体"/>
                <w:color w:val="auto"/>
                <w:kern w:val="0"/>
              </w:rPr>
              <w:t>与营业执照、资质证书、安全生产许可证一致，依法变更名称的应提交相应证明材料。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00" w:type="dxa"/>
            <w:vMerge w:val="continue"/>
            <w:tcBorders>
              <w:right w:val="single" w:color="auto" w:sz="4" w:space="0"/>
            </w:tcBorders>
            <w:vAlign w:val="center"/>
          </w:tcPr>
          <w:p>
            <w:pPr>
              <w:spacing w:line="400" w:lineRule="exact"/>
              <w:jc w:val="center"/>
              <w:rPr>
                <w:rFonts w:ascii="宋体" w:hAnsi="宋体"/>
                <w:b/>
                <w:color w:val="auto"/>
                <w:kern w:val="0"/>
              </w:rPr>
            </w:pPr>
          </w:p>
        </w:tc>
        <w:tc>
          <w:tcPr>
            <w:tcW w:w="1545" w:type="dxa"/>
            <w:vMerge w:val="continue"/>
            <w:tcBorders>
              <w:left w:val="single" w:color="auto" w:sz="4" w:space="0"/>
            </w:tcBorders>
            <w:vAlign w:val="center"/>
          </w:tcPr>
          <w:p>
            <w:pPr>
              <w:spacing w:line="400" w:lineRule="exact"/>
              <w:jc w:val="center"/>
              <w:rPr>
                <w:rFonts w:ascii="宋体" w:hAnsi="宋体"/>
                <w:b/>
                <w:color w:val="auto"/>
                <w:kern w:val="0"/>
              </w:rPr>
            </w:pPr>
          </w:p>
        </w:tc>
        <w:tc>
          <w:tcPr>
            <w:tcW w:w="2565" w:type="dxa"/>
            <w:tcBorders>
              <w:right w:val="single" w:color="auto" w:sz="4" w:space="0"/>
            </w:tcBorders>
            <w:vAlign w:val="center"/>
          </w:tcPr>
          <w:p>
            <w:pPr>
              <w:spacing w:line="400" w:lineRule="exact"/>
              <w:jc w:val="center"/>
              <w:rPr>
                <w:rFonts w:ascii="宋体" w:hAnsi="宋体" w:cs="宋体"/>
                <w:color w:val="auto"/>
                <w:kern w:val="0"/>
              </w:rPr>
            </w:pPr>
            <w:r>
              <w:rPr>
                <w:rFonts w:hint="eastAsia" w:ascii="宋体" w:hAnsi="宋体" w:cs="宋体"/>
                <w:color w:val="auto"/>
                <w:kern w:val="0"/>
              </w:rPr>
              <w:t>投标文件格式</w:t>
            </w:r>
          </w:p>
        </w:tc>
        <w:tc>
          <w:tcPr>
            <w:tcW w:w="4725" w:type="dxa"/>
            <w:tcBorders>
              <w:left w:val="single" w:color="auto" w:sz="4" w:space="0"/>
            </w:tcBorders>
            <w:vAlign w:val="center"/>
          </w:tcPr>
          <w:p>
            <w:pPr>
              <w:snapToGrid w:val="0"/>
              <w:spacing w:line="400" w:lineRule="exact"/>
              <w:ind w:firstLine="380" w:firstLineChars="181"/>
              <w:rPr>
                <w:rFonts w:ascii="宋体" w:hAnsi="宋体" w:cs="宋体"/>
                <w:color w:val="auto"/>
                <w:kern w:val="0"/>
              </w:rPr>
            </w:pPr>
            <w:r>
              <w:rPr>
                <w:rFonts w:hint="eastAsia" w:ascii="宋体" w:hAnsi="宋体" w:cs="宋体"/>
                <w:color w:val="auto"/>
                <w:kern w:val="0"/>
              </w:rPr>
              <w:t>符合第二章“投标人须知”第3.7款的要求（不含投标函部分）。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00" w:type="dxa"/>
            <w:vMerge w:val="continue"/>
            <w:tcBorders>
              <w:right w:val="single" w:color="auto" w:sz="4" w:space="0"/>
            </w:tcBorders>
            <w:vAlign w:val="center"/>
          </w:tcPr>
          <w:p>
            <w:pPr>
              <w:spacing w:line="400" w:lineRule="exact"/>
              <w:jc w:val="center"/>
              <w:rPr>
                <w:rFonts w:ascii="宋体" w:hAnsi="宋体"/>
                <w:b/>
                <w:color w:val="auto"/>
                <w:kern w:val="0"/>
              </w:rPr>
            </w:pPr>
          </w:p>
        </w:tc>
        <w:tc>
          <w:tcPr>
            <w:tcW w:w="1545" w:type="dxa"/>
            <w:vMerge w:val="continue"/>
            <w:tcBorders>
              <w:left w:val="single" w:color="auto" w:sz="4" w:space="0"/>
            </w:tcBorders>
            <w:vAlign w:val="center"/>
          </w:tcPr>
          <w:p>
            <w:pPr>
              <w:spacing w:line="400" w:lineRule="exact"/>
              <w:jc w:val="center"/>
              <w:rPr>
                <w:rFonts w:ascii="宋体" w:hAnsi="宋体"/>
                <w:b/>
                <w:color w:val="auto"/>
                <w:kern w:val="0"/>
              </w:rPr>
            </w:pPr>
          </w:p>
        </w:tc>
        <w:tc>
          <w:tcPr>
            <w:tcW w:w="2565" w:type="dxa"/>
            <w:tcBorders>
              <w:right w:val="single" w:color="auto" w:sz="4" w:space="0"/>
            </w:tcBorders>
            <w:vAlign w:val="center"/>
          </w:tcPr>
          <w:p>
            <w:pPr>
              <w:spacing w:line="400" w:lineRule="exact"/>
              <w:jc w:val="center"/>
              <w:rPr>
                <w:rFonts w:ascii="宋体" w:hAnsi="宋体" w:cs="宋体"/>
                <w:color w:val="auto"/>
                <w:kern w:val="0"/>
              </w:rPr>
            </w:pPr>
            <w:r>
              <w:rPr>
                <w:rFonts w:hint="eastAsia" w:ascii="宋体" w:hAnsi="宋体" w:cs="宋体"/>
                <w:color w:val="auto"/>
                <w:kern w:val="0"/>
              </w:rPr>
              <w:t>投标文件的签署</w:t>
            </w:r>
          </w:p>
        </w:tc>
        <w:tc>
          <w:tcPr>
            <w:tcW w:w="4725" w:type="dxa"/>
            <w:tcBorders>
              <w:left w:val="single" w:color="auto" w:sz="4" w:space="0"/>
            </w:tcBorders>
            <w:vAlign w:val="center"/>
          </w:tcPr>
          <w:p>
            <w:pPr>
              <w:autoSpaceDE w:val="0"/>
              <w:autoSpaceDN w:val="0"/>
              <w:adjustRightInd w:val="0"/>
              <w:snapToGrid w:val="0"/>
              <w:spacing w:line="400" w:lineRule="exact"/>
              <w:ind w:firstLine="420" w:firstLineChars="200"/>
              <w:rPr>
                <w:rFonts w:ascii="宋体" w:hAnsi="宋体" w:cs="宋体"/>
                <w:color w:val="auto"/>
                <w:kern w:val="0"/>
              </w:rPr>
            </w:pPr>
            <w:r>
              <w:rPr>
                <w:rFonts w:hint="eastAsia" w:ascii="宋体" w:hAnsi="宋体" w:cs="宋体"/>
                <w:color w:val="auto"/>
                <w:kern w:val="0"/>
              </w:rPr>
              <w:t>第八章 投标文件格式要求法定代表人或其委托代理人签名（或盖章）的须齐全。</w:t>
            </w:r>
          </w:p>
          <w:p>
            <w:pPr>
              <w:autoSpaceDE w:val="0"/>
              <w:autoSpaceDN w:val="0"/>
              <w:adjustRightInd w:val="0"/>
              <w:snapToGrid w:val="0"/>
              <w:spacing w:line="400" w:lineRule="exact"/>
              <w:ind w:firstLine="420" w:firstLineChars="200"/>
              <w:rPr>
                <w:rFonts w:ascii="宋体" w:hAnsi="宋体" w:cs="宋体"/>
                <w:color w:val="auto"/>
                <w:kern w:val="0"/>
              </w:rPr>
            </w:pPr>
            <w:r>
              <w:rPr>
                <w:rFonts w:hint="eastAsia" w:ascii="宋体" w:hAnsi="宋体" w:cs="宋体"/>
                <w:snapToGrid w:val="0"/>
                <w:color w:val="auto"/>
                <w:kern w:val="0"/>
                <w:szCs w:val="21"/>
              </w:rPr>
              <w:t>若投标单位为联合体，则联合体协议书中各联合体各成员单位签名（或盖章）须齐全，联合体协议书以外的</w:t>
            </w:r>
            <w:r>
              <w:rPr>
                <w:rFonts w:hint="eastAsia" w:ascii="宋体" w:hAnsi="宋体" w:cs="宋体"/>
                <w:color w:val="auto"/>
                <w:kern w:val="0"/>
              </w:rPr>
              <w:t>投标文件格式中，要求</w:t>
            </w:r>
            <w:r>
              <w:rPr>
                <w:rFonts w:hint="eastAsia" w:ascii="宋体" w:hAnsi="宋体" w:cs="宋体"/>
                <w:snapToGrid w:val="0"/>
                <w:color w:val="auto"/>
                <w:kern w:val="0"/>
                <w:szCs w:val="21"/>
              </w:rPr>
              <w:t>联合体牵头人</w:t>
            </w:r>
            <w:r>
              <w:rPr>
                <w:rFonts w:hint="eastAsia" w:ascii="宋体" w:hAnsi="宋体" w:cs="宋体"/>
                <w:color w:val="auto"/>
                <w:kern w:val="0"/>
              </w:rPr>
              <w:t>法定代表人或其委托代理人签名（或盖章）的须齐全。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00" w:type="dxa"/>
            <w:vMerge w:val="continue"/>
            <w:tcBorders>
              <w:right w:val="single" w:color="auto" w:sz="4" w:space="0"/>
            </w:tcBorders>
            <w:vAlign w:val="center"/>
          </w:tcPr>
          <w:p>
            <w:pPr>
              <w:spacing w:line="400" w:lineRule="exact"/>
              <w:jc w:val="center"/>
              <w:rPr>
                <w:rFonts w:ascii="宋体" w:hAnsi="宋体"/>
                <w:b/>
                <w:color w:val="auto"/>
                <w:kern w:val="0"/>
              </w:rPr>
            </w:pPr>
          </w:p>
        </w:tc>
        <w:tc>
          <w:tcPr>
            <w:tcW w:w="1545" w:type="dxa"/>
            <w:vMerge w:val="continue"/>
            <w:tcBorders>
              <w:left w:val="single" w:color="auto" w:sz="4" w:space="0"/>
            </w:tcBorders>
            <w:vAlign w:val="center"/>
          </w:tcPr>
          <w:p>
            <w:pPr>
              <w:spacing w:line="400" w:lineRule="exact"/>
              <w:jc w:val="center"/>
              <w:rPr>
                <w:rFonts w:ascii="宋体" w:hAnsi="宋体"/>
                <w:b/>
                <w:color w:val="auto"/>
                <w:kern w:val="0"/>
              </w:rPr>
            </w:pPr>
          </w:p>
        </w:tc>
        <w:tc>
          <w:tcPr>
            <w:tcW w:w="2565" w:type="dxa"/>
            <w:tcBorders>
              <w:right w:val="single" w:color="auto" w:sz="4" w:space="0"/>
            </w:tcBorders>
            <w:vAlign w:val="center"/>
          </w:tcPr>
          <w:p>
            <w:pPr>
              <w:spacing w:line="400" w:lineRule="exact"/>
              <w:jc w:val="center"/>
              <w:rPr>
                <w:rFonts w:ascii="宋体" w:hAnsi="宋体" w:cs="宋体"/>
                <w:color w:val="auto"/>
                <w:kern w:val="0"/>
              </w:rPr>
            </w:pPr>
            <w:r>
              <w:rPr>
                <w:rFonts w:hint="eastAsia" w:ascii="宋体" w:hAnsi="宋体" w:cs="宋体"/>
                <w:color w:val="auto"/>
                <w:kern w:val="0"/>
              </w:rPr>
              <w:t>委托代理人</w:t>
            </w:r>
          </w:p>
        </w:tc>
        <w:tc>
          <w:tcPr>
            <w:tcW w:w="4725" w:type="dxa"/>
            <w:tcBorders>
              <w:left w:val="single" w:color="auto" w:sz="4" w:space="0"/>
            </w:tcBorders>
            <w:vAlign w:val="center"/>
          </w:tcPr>
          <w:p>
            <w:pPr>
              <w:snapToGrid w:val="0"/>
              <w:spacing w:line="400" w:lineRule="exact"/>
              <w:ind w:firstLine="420" w:firstLineChars="200"/>
              <w:rPr>
                <w:rFonts w:ascii="宋体" w:hAnsi="宋体" w:cs="宋体"/>
                <w:color w:val="auto"/>
                <w:kern w:val="0"/>
              </w:rPr>
            </w:pPr>
            <w:r>
              <w:rPr>
                <w:rFonts w:hint="eastAsia" w:ascii="宋体" w:hAnsi="宋体" w:cs="宋体"/>
                <w:color w:val="auto"/>
                <w:kern w:val="0"/>
              </w:rPr>
              <w:t>投标人法定代表人的委托代理人有法定代表人签署的授权委托书和投标人为其缴纳的养老保险。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00" w:type="dxa"/>
            <w:vMerge w:val="restart"/>
            <w:tcBorders>
              <w:top w:val="single" w:color="auto" w:sz="4" w:space="0"/>
              <w:right w:val="single" w:color="auto" w:sz="4" w:space="0"/>
            </w:tcBorders>
            <w:vAlign w:val="center"/>
          </w:tcPr>
          <w:p>
            <w:pPr>
              <w:spacing w:line="400" w:lineRule="exact"/>
              <w:jc w:val="center"/>
              <w:rPr>
                <w:rFonts w:ascii="宋体" w:hAnsi="宋体"/>
                <w:color w:val="auto"/>
                <w:kern w:val="0"/>
              </w:rPr>
            </w:pPr>
            <w:r>
              <w:rPr>
                <w:rFonts w:hint="eastAsia" w:ascii="宋体" w:hAnsi="宋体"/>
                <w:color w:val="auto"/>
                <w:kern w:val="0"/>
              </w:rPr>
              <w:t>2.2.4</w:t>
            </w:r>
          </w:p>
        </w:tc>
        <w:tc>
          <w:tcPr>
            <w:tcW w:w="1545" w:type="dxa"/>
            <w:vMerge w:val="restart"/>
            <w:tcBorders>
              <w:top w:val="single" w:color="auto" w:sz="4" w:space="0"/>
              <w:left w:val="single" w:color="auto" w:sz="4" w:space="0"/>
            </w:tcBorders>
            <w:vAlign w:val="center"/>
          </w:tcPr>
          <w:p>
            <w:pPr>
              <w:spacing w:line="400" w:lineRule="exact"/>
              <w:jc w:val="center"/>
              <w:rPr>
                <w:rFonts w:ascii="宋体" w:hAnsi="宋体"/>
                <w:color w:val="auto"/>
                <w:kern w:val="0"/>
              </w:rPr>
            </w:pPr>
            <w:r>
              <w:rPr>
                <w:rFonts w:ascii="宋体" w:hAnsi="宋体"/>
                <w:color w:val="auto"/>
                <w:kern w:val="0"/>
              </w:rPr>
              <w:t>响应性评审</w:t>
            </w:r>
          </w:p>
          <w:p>
            <w:pPr>
              <w:spacing w:line="400" w:lineRule="exact"/>
              <w:jc w:val="center"/>
              <w:rPr>
                <w:rFonts w:ascii="宋体" w:hAnsi="宋体"/>
                <w:color w:val="auto"/>
                <w:kern w:val="0"/>
              </w:rPr>
            </w:pPr>
            <w:r>
              <w:rPr>
                <w:rFonts w:ascii="宋体" w:hAnsi="宋体"/>
                <w:color w:val="auto"/>
                <w:kern w:val="0"/>
              </w:rPr>
              <w:t>标准</w:t>
            </w:r>
          </w:p>
        </w:tc>
        <w:tc>
          <w:tcPr>
            <w:tcW w:w="2565" w:type="dxa"/>
            <w:tcBorders>
              <w:right w:val="single" w:color="auto" w:sz="4" w:space="0"/>
            </w:tcBorders>
            <w:vAlign w:val="center"/>
          </w:tcPr>
          <w:p>
            <w:pPr>
              <w:snapToGrid w:val="0"/>
              <w:spacing w:line="400" w:lineRule="exact"/>
              <w:jc w:val="center"/>
              <w:rPr>
                <w:rFonts w:ascii="宋体" w:hAnsi="宋体" w:cs="宋体"/>
                <w:color w:val="auto"/>
                <w:kern w:val="0"/>
              </w:rPr>
            </w:pPr>
            <w:r>
              <w:rPr>
                <w:rFonts w:hint="eastAsia" w:ascii="宋体" w:hAnsi="宋体" w:cs="宋体"/>
                <w:color w:val="auto"/>
                <w:kern w:val="0"/>
              </w:rPr>
              <w:t>投标内容</w:t>
            </w:r>
          </w:p>
        </w:tc>
        <w:tc>
          <w:tcPr>
            <w:tcW w:w="4725" w:type="dxa"/>
            <w:tcBorders>
              <w:left w:val="single" w:color="auto" w:sz="4" w:space="0"/>
            </w:tcBorders>
            <w:vAlign w:val="center"/>
          </w:tcPr>
          <w:p>
            <w:pPr>
              <w:snapToGrid w:val="0"/>
              <w:spacing w:line="400" w:lineRule="exact"/>
              <w:ind w:firstLine="420" w:firstLineChars="200"/>
              <w:rPr>
                <w:rFonts w:ascii="宋体" w:hAnsi="宋体" w:cs="宋体"/>
                <w:color w:val="auto"/>
                <w:kern w:val="0"/>
              </w:rPr>
            </w:pPr>
            <w:r>
              <w:rPr>
                <w:rFonts w:hint="eastAsia" w:ascii="宋体" w:hAnsi="宋体" w:cs="宋体"/>
                <w:color w:val="auto"/>
                <w:kern w:val="0"/>
              </w:rPr>
              <w:t>符合第二章“投标人须知”第1.3.1项规定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00" w:type="dxa"/>
            <w:vMerge w:val="continue"/>
            <w:tcBorders>
              <w:right w:val="single" w:color="auto" w:sz="4" w:space="0"/>
            </w:tcBorders>
            <w:vAlign w:val="center"/>
          </w:tcPr>
          <w:p>
            <w:pPr>
              <w:spacing w:line="400" w:lineRule="exact"/>
              <w:jc w:val="center"/>
              <w:rPr>
                <w:rFonts w:ascii="宋体" w:hAnsi="宋体"/>
                <w:color w:val="auto"/>
                <w:kern w:val="0"/>
              </w:rPr>
            </w:pPr>
          </w:p>
        </w:tc>
        <w:tc>
          <w:tcPr>
            <w:tcW w:w="1545" w:type="dxa"/>
            <w:vMerge w:val="continue"/>
            <w:tcBorders>
              <w:left w:val="single" w:color="auto" w:sz="4" w:space="0"/>
            </w:tcBorders>
            <w:vAlign w:val="center"/>
          </w:tcPr>
          <w:p>
            <w:pPr>
              <w:spacing w:line="400" w:lineRule="exact"/>
              <w:jc w:val="center"/>
              <w:rPr>
                <w:rFonts w:ascii="宋体" w:hAnsi="宋体"/>
                <w:color w:val="auto"/>
                <w:kern w:val="0"/>
              </w:rPr>
            </w:pPr>
          </w:p>
        </w:tc>
        <w:tc>
          <w:tcPr>
            <w:tcW w:w="2565" w:type="dxa"/>
            <w:tcBorders>
              <w:right w:val="single" w:color="auto" w:sz="4" w:space="0"/>
            </w:tcBorders>
            <w:vAlign w:val="center"/>
          </w:tcPr>
          <w:p>
            <w:pPr>
              <w:spacing w:line="400" w:lineRule="exact"/>
              <w:jc w:val="center"/>
              <w:rPr>
                <w:rFonts w:ascii="宋体" w:hAnsi="宋体" w:cs="宋体"/>
                <w:color w:val="auto"/>
                <w:kern w:val="0"/>
              </w:rPr>
            </w:pPr>
            <w:r>
              <w:rPr>
                <w:rFonts w:hint="eastAsia" w:ascii="宋体" w:hAnsi="宋体" w:cs="宋体"/>
                <w:color w:val="auto"/>
                <w:kern w:val="0"/>
              </w:rPr>
              <w:t>投标保证金</w:t>
            </w:r>
          </w:p>
        </w:tc>
        <w:tc>
          <w:tcPr>
            <w:tcW w:w="4725" w:type="dxa"/>
            <w:tcBorders>
              <w:left w:val="single" w:color="auto" w:sz="4" w:space="0"/>
            </w:tcBorders>
            <w:vAlign w:val="center"/>
          </w:tcPr>
          <w:p>
            <w:pPr>
              <w:tabs>
                <w:tab w:val="left" w:pos="611"/>
                <w:tab w:val="left" w:pos="669"/>
              </w:tabs>
              <w:snapToGrid w:val="0"/>
              <w:spacing w:line="400" w:lineRule="exact"/>
              <w:ind w:firstLine="420" w:firstLineChars="200"/>
              <w:rPr>
                <w:rFonts w:ascii="宋体" w:hAnsi="宋体" w:cs="宋体"/>
                <w:color w:val="auto"/>
                <w:kern w:val="0"/>
              </w:rPr>
            </w:pPr>
            <w:r>
              <w:rPr>
                <w:rFonts w:hint="eastAsia" w:ascii="宋体" w:hAnsi="宋体" w:cs="宋体"/>
                <w:color w:val="auto"/>
                <w:kern w:val="0"/>
              </w:rPr>
              <w:t>符合第二章“投标人须知前附表”第3.4款规定。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00" w:type="dxa"/>
            <w:vMerge w:val="continue"/>
            <w:tcBorders>
              <w:right w:val="single" w:color="auto" w:sz="4" w:space="0"/>
            </w:tcBorders>
            <w:vAlign w:val="center"/>
          </w:tcPr>
          <w:p>
            <w:pPr>
              <w:spacing w:line="400" w:lineRule="exact"/>
              <w:jc w:val="center"/>
              <w:rPr>
                <w:rFonts w:ascii="宋体" w:hAnsi="宋体"/>
                <w:color w:val="auto"/>
                <w:kern w:val="0"/>
              </w:rPr>
            </w:pPr>
          </w:p>
        </w:tc>
        <w:tc>
          <w:tcPr>
            <w:tcW w:w="1545" w:type="dxa"/>
            <w:vMerge w:val="continue"/>
            <w:tcBorders>
              <w:left w:val="single" w:color="auto" w:sz="4" w:space="0"/>
            </w:tcBorders>
            <w:vAlign w:val="center"/>
          </w:tcPr>
          <w:p>
            <w:pPr>
              <w:spacing w:line="400" w:lineRule="exact"/>
              <w:jc w:val="center"/>
              <w:rPr>
                <w:rFonts w:ascii="宋体" w:hAnsi="宋体"/>
                <w:color w:val="auto"/>
                <w:kern w:val="0"/>
              </w:rPr>
            </w:pPr>
          </w:p>
        </w:tc>
        <w:tc>
          <w:tcPr>
            <w:tcW w:w="2565" w:type="dxa"/>
            <w:tcBorders>
              <w:right w:val="single" w:color="auto" w:sz="4" w:space="0"/>
            </w:tcBorders>
            <w:vAlign w:val="center"/>
          </w:tcPr>
          <w:p>
            <w:pPr>
              <w:snapToGrid w:val="0"/>
              <w:spacing w:line="400" w:lineRule="exact"/>
              <w:jc w:val="center"/>
              <w:rPr>
                <w:rFonts w:ascii="宋体" w:hAnsi="宋体" w:cs="宋体"/>
                <w:color w:val="auto"/>
                <w:kern w:val="0"/>
              </w:rPr>
            </w:pPr>
            <w:r>
              <w:rPr>
                <w:rFonts w:hint="eastAsia" w:ascii="宋体" w:hAnsi="宋体" w:cs="宋体"/>
                <w:color w:val="auto"/>
                <w:kern w:val="0"/>
              </w:rPr>
              <w:t>权利义务</w:t>
            </w:r>
          </w:p>
        </w:tc>
        <w:tc>
          <w:tcPr>
            <w:tcW w:w="4725" w:type="dxa"/>
            <w:tcBorders>
              <w:left w:val="single" w:color="auto" w:sz="4" w:space="0"/>
            </w:tcBorders>
            <w:vAlign w:val="center"/>
          </w:tcPr>
          <w:p>
            <w:pPr>
              <w:snapToGrid w:val="0"/>
              <w:spacing w:line="400" w:lineRule="exact"/>
              <w:ind w:firstLine="420" w:firstLineChars="200"/>
              <w:rPr>
                <w:rFonts w:ascii="宋体" w:hAnsi="宋体" w:cs="宋体"/>
                <w:color w:val="auto"/>
                <w:kern w:val="0"/>
              </w:rPr>
            </w:pPr>
            <w:r>
              <w:rPr>
                <w:rFonts w:hint="eastAsia" w:ascii="宋体" w:hAnsi="宋体" w:cs="宋体"/>
                <w:color w:val="auto"/>
                <w:kern w:val="0"/>
              </w:rPr>
              <w:t>符合第四章“合同条款及格式”规定，投标文件不应附有</w:t>
            </w:r>
            <w:r>
              <w:rPr>
                <w:rFonts w:hint="eastAsia" w:ascii="宋体" w:hAnsi="宋体" w:cs="宋体"/>
                <w:color w:val="auto"/>
                <w:szCs w:val="21"/>
                <w:lang w:val="en-US" w:eastAsia="zh-CN"/>
              </w:rPr>
              <w:t>招标人</w:t>
            </w:r>
            <w:r>
              <w:rPr>
                <w:rFonts w:hint="eastAsia" w:ascii="宋体" w:hAnsi="宋体" w:cs="宋体"/>
                <w:color w:val="auto"/>
                <w:kern w:val="0"/>
              </w:rPr>
              <w:t>不能接受的条件。（由投标人承诺，承诺书格式详见第八章投标文件格式。）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00" w:type="dxa"/>
            <w:vMerge w:val="continue"/>
            <w:tcBorders>
              <w:right w:val="single" w:color="auto" w:sz="4" w:space="0"/>
            </w:tcBorders>
            <w:vAlign w:val="center"/>
          </w:tcPr>
          <w:p>
            <w:pPr>
              <w:spacing w:line="400" w:lineRule="exact"/>
              <w:jc w:val="center"/>
              <w:rPr>
                <w:rFonts w:ascii="宋体" w:hAnsi="宋体"/>
                <w:color w:val="auto"/>
                <w:kern w:val="0"/>
              </w:rPr>
            </w:pPr>
          </w:p>
        </w:tc>
        <w:tc>
          <w:tcPr>
            <w:tcW w:w="1545" w:type="dxa"/>
            <w:vMerge w:val="continue"/>
            <w:tcBorders>
              <w:left w:val="single" w:color="auto" w:sz="4" w:space="0"/>
            </w:tcBorders>
            <w:vAlign w:val="center"/>
          </w:tcPr>
          <w:p>
            <w:pPr>
              <w:spacing w:line="400" w:lineRule="exact"/>
              <w:jc w:val="center"/>
              <w:rPr>
                <w:rFonts w:ascii="宋体" w:hAnsi="宋体"/>
                <w:color w:val="auto"/>
                <w:kern w:val="0"/>
              </w:rPr>
            </w:pPr>
          </w:p>
        </w:tc>
        <w:tc>
          <w:tcPr>
            <w:tcW w:w="2565" w:type="dxa"/>
            <w:tcBorders>
              <w:right w:val="single" w:color="auto" w:sz="4" w:space="0"/>
            </w:tcBorders>
            <w:vAlign w:val="center"/>
          </w:tcPr>
          <w:p>
            <w:pPr>
              <w:snapToGrid w:val="0"/>
              <w:spacing w:line="400" w:lineRule="exact"/>
              <w:jc w:val="center"/>
              <w:rPr>
                <w:rFonts w:ascii="宋体" w:hAnsi="宋体" w:cs="宋体"/>
                <w:color w:val="auto"/>
                <w:kern w:val="0"/>
              </w:rPr>
            </w:pPr>
            <w:r>
              <w:rPr>
                <w:rFonts w:hint="eastAsia" w:ascii="宋体" w:hAnsi="宋体" w:cs="宋体"/>
                <w:color w:val="auto"/>
                <w:kern w:val="0"/>
              </w:rPr>
              <w:t>技术标准和要求</w:t>
            </w:r>
          </w:p>
        </w:tc>
        <w:tc>
          <w:tcPr>
            <w:tcW w:w="4725" w:type="dxa"/>
            <w:tcBorders>
              <w:left w:val="single" w:color="auto" w:sz="4" w:space="0"/>
            </w:tcBorders>
            <w:vAlign w:val="center"/>
          </w:tcPr>
          <w:p>
            <w:pPr>
              <w:snapToGrid w:val="0"/>
              <w:spacing w:line="400" w:lineRule="exact"/>
              <w:ind w:firstLine="420" w:firstLineChars="200"/>
              <w:rPr>
                <w:rFonts w:ascii="宋体" w:hAnsi="宋体" w:cs="宋体"/>
                <w:color w:val="auto"/>
                <w:kern w:val="0"/>
              </w:rPr>
            </w:pPr>
            <w:r>
              <w:rPr>
                <w:rFonts w:hint="eastAsia" w:ascii="宋体" w:hAnsi="宋体" w:cs="宋体"/>
                <w:color w:val="auto"/>
                <w:kern w:val="0"/>
              </w:rPr>
              <w:t>符合第七章“技术标准和要求”规定。（由投标人承诺，承诺书格式详见第八章投标文件格式。）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00" w:type="dxa"/>
            <w:vMerge w:val="continue"/>
            <w:tcBorders>
              <w:bottom w:val="single" w:color="auto" w:sz="4" w:space="0"/>
              <w:right w:val="single" w:color="auto" w:sz="4" w:space="0"/>
            </w:tcBorders>
            <w:vAlign w:val="center"/>
          </w:tcPr>
          <w:p>
            <w:pPr>
              <w:spacing w:line="400" w:lineRule="exact"/>
              <w:jc w:val="center"/>
              <w:rPr>
                <w:rFonts w:ascii="宋体" w:hAnsi="宋体"/>
                <w:color w:val="auto"/>
                <w:kern w:val="0"/>
              </w:rPr>
            </w:pPr>
          </w:p>
        </w:tc>
        <w:tc>
          <w:tcPr>
            <w:tcW w:w="1545" w:type="dxa"/>
            <w:vMerge w:val="continue"/>
            <w:tcBorders>
              <w:left w:val="single" w:color="auto" w:sz="4" w:space="0"/>
              <w:bottom w:val="single" w:color="auto" w:sz="4" w:space="0"/>
            </w:tcBorders>
            <w:vAlign w:val="center"/>
          </w:tcPr>
          <w:p>
            <w:pPr>
              <w:spacing w:line="400" w:lineRule="exact"/>
              <w:jc w:val="center"/>
              <w:rPr>
                <w:rFonts w:ascii="宋体" w:hAnsi="宋体"/>
                <w:color w:val="auto"/>
                <w:kern w:val="0"/>
              </w:rPr>
            </w:pPr>
          </w:p>
        </w:tc>
        <w:tc>
          <w:tcPr>
            <w:tcW w:w="2565" w:type="dxa"/>
            <w:tcBorders>
              <w:right w:val="single" w:color="auto" w:sz="4" w:space="0"/>
            </w:tcBorders>
            <w:vAlign w:val="center"/>
          </w:tcPr>
          <w:p>
            <w:pPr>
              <w:snapToGrid w:val="0"/>
              <w:spacing w:line="400" w:lineRule="exact"/>
              <w:jc w:val="center"/>
              <w:rPr>
                <w:rFonts w:ascii="宋体" w:hAnsi="宋体" w:cs="宋体"/>
                <w:color w:val="auto"/>
                <w:kern w:val="0"/>
              </w:rPr>
            </w:pPr>
            <w:r>
              <w:rPr>
                <w:rFonts w:hint="eastAsia" w:ascii="宋体" w:hAnsi="宋体" w:cs="宋体"/>
                <w:color w:val="auto"/>
                <w:kern w:val="0"/>
              </w:rPr>
              <w:t>实质性要求</w:t>
            </w:r>
          </w:p>
        </w:tc>
        <w:tc>
          <w:tcPr>
            <w:tcW w:w="4725" w:type="dxa"/>
            <w:tcBorders>
              <w:left w:val="single" w:color="auto" w:sz="4" w:space="0"/>
            </w:tcBorders>
            <w:vAlign w:val="center"/>
          </w:tcPr>
          <w:p>
            <w:pPr>
              <w:snapToGrid w:val="0"/>
              <w:spacing w:line="400" w:lineRule="exact"/>
              <w:ind w:firstLine="420" w:firstLineChars="200"/>
              <w:rPr>
                <w:rFonts w:ascii="宋体" w:hAnsi="宋体" w:cs="宋体"/>
                <w:color w:val="auto"/>
                <w:kern w:val="0"/>
              </w:rPr>
            </w:pPr>
            <w:r>
              <w:rPr>
                <w:rFonts w:hint="eastAsia" w:ascii="宋体" w:hAnsi="宋体" w:cs="宋体"/>
                <w:color w:val="auto"/>
                <w:kern w:val="0"/>
              </w:rPr>
              <w:t>符合第二章“投标人须知”第1.4.3项规定。</w:t>
            </w:r>
          </w:p>
          <w:p>
            <w:pPr>
              <w:snapToGrid w:val="0"/>
              <w:spacing w:line="400" w:lineRule="exact"/>
              <w:ind w:firstLine="420" w:firstLineChars="200"/>
              <w:rPr>
                <w:rFonts w:ascii="宋体" w:hAnsi="宋体" w:cs="宋体"/>
                <w:color w:val="auto"/>
                <w:kern w:val="0"/>
              </w:rPr>
            </w:pPr>
            <w:r>
              <w:rPr>
                <w:rFonts w:hint="eastAsia" w:ascii="宋体" w:hAnsi="宋体" w:cs="宋体"/>
                <w:color w:val="auto"/>
                <w:kern w:val="0"/>
              </w:rPr>
              <w:t>本次投标不得有串通投标、弄虚作假等其他违反招投标相关法律、法规行为。</w:t>
            </w:r>
          </w:p>
          <w:p>
            <w:pPr>
              <w:snapToGrid w:val="0"/>
              <w:spacing w:line="400" w:lineRule="exact"/>
              <w:ind w:firstLine="420" w:firstLineChars="200"/>
              <w:rPr>
                <w:rFonts w:ascii="宋体" w:hAnsi="宋体" w:cs="宋体"/>
                <w:color w:val="auto"/>
                <w:kern w:val="0"/>
              </w:rPr>
            </w:pPr>
            <w:r>
              <w:rPr>
                <w:rFonts w:hint="eastAsia" w:ascii="宋体" w:hAnsi="宋体" w:cs="宋体"/>
                <w:color w:val="auto"/>
                <w:kern w:val="0"/>
              </w:rPr>
              <w:t>按评标委员会要求澄清、说明或补正。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00" w:type="dxa"/>
            <w:vMerge w:val="restart"/>
            <w:tcBorders>
              <w:top w:val="single" w:color="auto" w:sz="4" w:space="0"/>
              <w:right w:val="single" w:color="auto" w:sz="4" w:space="0"/>
            </w:tcBorders>
            <w:vAlign w:val="center"/>
          </w:tcPr>
          <w:p>
            <w:pPr>
              <w:spacing w:line="400" w:lineRule="exact"/>
              <w:jc w:val="center"/>
              <w:rPr>
                <w:rFonts w:ascii="宋体" w:hAnsi="宋体"/>
                <w:color w:val="auto"/>
                <w:kern w:val="0"/>
              </w:rPr>
            </w:pPr>
            <w:r>
              <w:rPr>
                <w:rFonts w:hint="eastAsia" w:ascii="宋体" w:hAnsi="宋体"/>
                <w:color w:val="auto"/>
                <w:kern w:val="0"/>
              </w:rPr>
              <w:t>2.2.5</w:t>
            </w:r>
          </w:p>
        </w:tc>
        <w:tc>
          <w:tcPr>
            <w:tcW w:w="1545" w:type="dxa"/>
            <w:vMerge w:val="restart"/>
            <w:tcBorders>
              <w:top w:val="single" w:color="auto" w:sz="4" w:space="0"/>
              <w:left w:val="single" w:color="auto" w:sz="4" w:space="0"/>
            </w:tcBorders>
            <w:vAlign w:val="center"/>
          </w:tcPr>
          <w:p>
            <w:pPr>
              <w:spacing w:line="400" w:lineRule="exact"/>
              <w:jc w:val="center"/>
              <w:rPr>
                <w:rFonts w:ascii="宋体" w:hAnsi="宋体"/>
                <w:color w:val="auto"/>
                <w:kern w:val="0"/>
              </w:rPr>
            </w:pPr>
            <w:r>
              <w:rPr>
                <w:rFonts w:hint="eastAsia" w:ascii="宋体" w:hAnsi="宋体"/>
                <w:color w:val="auto"/>
                <w:kern w:val="0"/>
              </w:rPr>
              <w:t>投标函部分及经济部分评审标准</w:t>
            </w:r>
          </w:p>
        </w:tc>
        <w:tc>
          <w:tcPr>
            <w:tcW w:w="2565" w:type="dxa"/>
            <w:tcBorders>
              <w:right w:val="single" w:color="auto" w:sz="4" w:space="0"/>
            </w:tcBorders>
            <w:vAlign w:val="center"/>
          </w:tcPr>
          <w:p>
            <w:pPr>
              <w:snapToGrid w:val="0"/>
              <w:spacing w:line="400" w:lineRule="exact"/>
              <w:jc w:val="center"/>
              <w:rPr>
                <w:rFonts w:ascii="宋体" w:hAnsi="宋体" w:cs="宋体"/>
                <w:color w:val="auto"/>
                <w:kern w:val="0"/>
              </w:rPr>
            </w:pPr>
            <w:r>
              <w:rPr>
                <w:rFonts w:hint="eastAsia" w:ascii="宋体" w:hAnsi="宋体" w:cs="宋体"/>
                <w:color w:val="auto"/>
                <w:kern w:val="0"/>
              </w:rPr>
              <w:t>投标函部分的签名盖章</w:t>
            </w:r>
          </w:p>
        </w:tc>
        <w:tc>
          <w:tcPr>
            <w:tcW w:w="4725" w:type="dxa"/>
            <w:tcBorders>
              <w:left w:val="single" w:color="auto" w:sz="4" w:space="0"/>
            </w:tcBorders>
            <w:vAlign w:val="center"/>
          </w:tcPr>
          <w:p>
            <w:pPr>
              <w:snapToGrid w:val="0"/>
              <w:spacing w:line="400" w:lineRule="exact"/>
              <w:ind w:firstLine="420" w:firstLineChars="200"/>
              <w:rPr>
                <w:rFonts w:ascii="宋体" w:hAnsi="宋体" w:cs="宋体"/>
                <w:color w:val="auto"/>
                <w:kern w:val="0"/>
              </w:rPr>
            </w:pPr>
            <w:r>
              <w:rPr>
                <w:rFonts w:hint="eastAsia" w:ascii="宋体" w:hAnsi="宋体" w:cs="宋体"/>
                <w:color w:val="auto"/>
                <w:kern w:val="0"/>
              </w:rPr>
              <w:t>投标函部分的格式要求法定代表人或其委托代理人签名（或盖章）的须齐全。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00" w:type="dxa"/>
            <w:vMerge w:val="continue"/>
            <w:tcBorders>
              <w:right w:val="single" w:color="auto" w:sz="4" w:space="0"/>
            </w:tcBorders>
            <w:vAlign w:val="center"/>
          </w:tcPr>
          <w:p>
            <w:pPr>
              <w:spacing w:line="400" w:lineRule="exact"/>
              <w:jc w:val="center"/>
              <w:rPr>
                <w:rFonts w:ascii="宋体" w:hAnsi="宋体"/>
                <w:color w:val="auto"/>
                <w:kern w:val="0"/>
              </w:rPr>
            </w:pPr>
          </w:p>
        </w:tc>
        <w:tc>
          <w:tcPr>
            <w:tcW w:w="1545" w:type="dxa"/>
            <w:vMerge w:val="continue"/>
            <w:tcBorders>
              <w:left w:val="single" w:color="auto" w:sz="4" w:space="0"/>
            </w:tcBorders>
            <w:vAlign w:val="center"/>
          </w:tcPr>
          <w:p>
            <w:pPr>
              <w:spacing w:line="400" w:lineRule="exact"/>
              <w:jc w:val="center"/>
              <w:rPr>
                <w:rFonts w:ascii="宋体" w:hAnsi="宋体"/>
                <w:color w:val="auto"/>
                <w:kern w:val="0"/>
              </w:rPr>
            </w:pPr>
          </w:p>
        </w:tc>
        <w:tc>
          <w:tcPr>
            <w:tcW w:w="2565" w:type="dxa"/>
            <w:tcBorders>
              <w:right w:val="single" w:color="auto" w:sz="4" w:space="0"/>
            </w:tcBorders>
            <w:vAlign w:val="center"/>
          </w:tcPr>
          <w:p>
            <w:pPr>
              <w:snapToGrid w:val="0"/>
              <w:spacing w:line="400" w:lineRule="exact"/>
              <w:jc w:val="center"/>
              <w:rPr>
                <w:rFonts w:ascii="宋体" w:hAnsi="宋体" w:cs="宋体"/>
                <w:color w:val="auto"/>
                <w:kern w:val="0"/>
              </w:rPr>
            </w:pPr>
            <w:r>
              <w:rPr>
                <w:rFonts w:hint="eastAsia" w:ascii="宋体" w:hAnsi="宋体" w:cs="宋体"/>
                <w:color w:val="auto"/>
                <w:kern w:val="0"/>
              </w:rPr>
              <w:t>工期</w:t>
            </w:r>
          </w:p>
        </w:tc>
        <w:tc>
          <w:tcPr>
            <w:tcW w:w="4725" w:type="dxa"/>
            <w:tcBorders>
              <w:left w:val="single" w:color="auto" w:sz="4" w:space="0"/>
            </w:tcBorders>
            <w:vAlign w:val="center"/>
          </w:tcPr>
          <w:p>
            <w:pPr>
              <w:snapToGrid w:val="0"/>
              <w:spacing w:line="400" w:lineRule="exact"/>
              <w:ind w:firstLine="420" w:firstLineChars="200"/>
              <w:rPr>
                <w:rFonts w:ascii="宋体" w:hAnsi="宋体" w:cs="宋体"/>
                <w:color w:val="auto"/>
                <w:kern w:val="0"/>
              </w:rPr>
            </w:pPr>
            <w:r>
              <w:rPr>
                <w:rFonts w:hint="eastAsia" w:ascii="宋体" w:hAnsi="宋体" w:cs="宋体"/>
                <w:color w:val="auto"/>
                <w:kern w:val="0"/>
              </w:rPr>
              <w:t>符合第二章“投标人须知”第1.3.2项规定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00" w:type="dxa"/>
            <w:vMerge w:val="continue"/>
            <w:tcBorders>
              <w:right w:val="single" w:color="auto" w:sz="4" w:space="0"/>
            </w:tcBorders>
            <w:vAlign w:val="center"/>
          </w:tcPr>
          <w:p>
            <w:pPr>
              <w:spacing w:line="400" w:lineRule="exact"/>
              <w:jc w:val="center"/>
              <w:rPr>
                <w:rFonts w:ascii="宋体" w:hAnsi="宋体"/>
                <w:color w:val="auto"/>
                <w:kern w:val="0"/>
              </w:rPr>
            </w:pPr>
          </w:p>
        </w:tc>
        <w:tc>
          <w:tcPr>
            <w:tcW w:w="1545" w:type="dxa"/>
            <w:vMerge w:val="continue"/>
            <w:tcBorders>
              <w:left w:val="single" w:color="auto" w:sz="4" w:space="0"/>
            </w:tcBorders>
            <w:vAlign w:val="center"/>
          </w:tcPr>
          <w:p>
            <w:pPr>
              <w:spacing w:line="400" w:lineRule="exact"/>
              <w:jc w:val="center"/>
              <w:rPr>
                <w:rFonts w:ascii="宋体" w:hAnsi="宋体"/>
                <w:color w:val="auto"/>
                <w:kern w:val="0"/>
              </w:rPr>
            </w:pPr>
          </w:p>
        </w:tc>
        <w:tc>
          <w:tcPr>
            <w:tcW w:w="2565" w:type="dxa"/>
            <w:tcBorders>
              <w:right w:val="single" w:color="auto" w:sz="4" w:space="0"/>
            </w:tcBorders>
            <w:vAlign w:val="center"/>
          </w:tcPr>
          <w:p>
            <w:pPr>
              <w:snapToGrid w:val="0"/>
              <w:spacing w:line="400" w:lineRule="exact"/>
              <w:jc w:val="center"/>
              <w:rPr>
                <w:rFonts w:ascii="宋体" w:hAnsi="宋体" w:cs="宋体"/>
                <w:color w:val="auto"/>
                <w:kern w:val="0"/>
              </w:rPr>
            </w:pPr>
            <w:r>
              <w:rPr>
                <w:rFonts w:hint="eastAsia" w:ascii="宋体" w:hAnsi="宋体" w:cs="宋体"/>
                <w:color w:val="auto"/>
                <w:kern w:val="0"/>
              </w:rPr>
              <w:t>工程质量</w:t>
            </w:r>
          </w:p>
        </w:tc>
        <w:tc>
          <w:tcPr>
            <w:tcW w:w="4725" w:type="dxa"/>
            <w:tcBorders>
              <w:left w:val="single" w:color="auto" w:sz="4" w:space="0"/>
            </w:tcBorders>
            <w:vAlign w:val="center"/>
          </w:tcPr>
          <w:p>
            <w:pPr>
              <w:snapToGrid w:val="0"/>
              <w:spacing w:line="400" w:lineRule="exact"/>
              <w:ind w:firstLine="420" w:firstLineChars="200"/>
              <w:rPr>
                <w:rFonts w:ascii="宋体" w:hAnsi="宋体" w:cs="宋体"/>
                <w:color w:val="auto"/>
                <w:kern w:val="0"/>
              </w:rPr>
            </w:pPr>
            <w:r>
              <w:rPr>
                <w:rFonts w:hint="eastAsia" w:ascii="宋体" w:hAnsi="宋体" w:cs="宋体"/>
                <w:color w:val="auto"/>
                <w:kern w:val="0"/>
              </w:rPr>
              <w:t>符合第二章“投标人须知”第1.3.3项规定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00" w:type="dxa"/>
            <w:vMerge w:val="continue"/>
            <w:tcBorders>
              <w:right w:val="single" w:color="auto" w:sz="4" w:space="0"/>
            </w:tcBorders>
            <w:vAlign w:val="center"/>
          </w:tcPr>
          <w:p>
            <w:pPr>
              <w:spacing w:line="400" w:lineRule="exact"/>
              <w:jc w:val="center"/>
              <w:rPr>
                <w:rFonts w:ascii="宋体" w:hAnsi="宋体"/>
                <w:color w:val="auto"/>
                <w:kern w:val="0"/>
              </w:rPr>
            </w:pPr>
          </w:p>
        </w:tc>
        <w:tc>
          <w:tcPr>
            <w:tcW w:w="1545" w:type="dxa"/>
            <w:vMerge w:val="continue"/>
            <w:tcBorders>
              <w:left w:val="single" w:color="auto" w:sz="4" w:space="0"/>
            </w:tcBorders>
            <w:vAlign w:val="center"/>
          </w:tcPr>
          <w:p>
            <w:pPr>
              <w:spacing w:line="400" w:lineRule="exact"/>
              <w:jc w:val="center"/>
              <w:rPr>
                <w:rFonts w:ascii="宋体" w:hAnsi="宋体"/>
                <w:color w:val="auto"/>
                <w:kern w:val="0"/>
              </w:rPr>
            </w:pPr>
          </w:p>
        </w:tc>
        <w:tc>
          <w:tcPr>
            <w:tcW w:w="2565" w:type="dxa"/>
            <w:tcBorders>
              <w:right w:val="single" w:color="auto" w:sz="4" w:space="0"/>
            </w:tcBorders>
            <w:vAlign w:val="center"/>
          </w:tcPr>
          <w:p>
            <w:pPr>
              <w:snapToGrid w:val="0"/>
              <w:spacing w:line="400" w:lineRule="exact"/>
              <w:jc w:val="center"/>
              <w:rPr>
                <w:rFonts w:ascii="宋体" w:hAnsi="宋体" w:cs="宋体"/>
                <w:color w:val="auto"/>
                <w:kern w:val="0"/>
              </w:rPr>
            </w:pPr>
            <w:r>
              <w:rPr>
                <w:rFonts w:hint="eastAsia" w:ascii="宋体" w:hAnsi="宋体" w:cs="宋体"/>
                <w:color w:val="auto"/>
                <w:kern w:val="0"/>
              </w:rPr>
              <w:t>投标有效期</w:t>
            </w:r>
          </w:p>
        </w:tc>
        <w:tc>
          <w:tcPr>
            <w:tcW w:w="4725" w:type="dxa"/>
            <w:tcBorders>
              <w:left w:val="single" w:color="auto" w:sz="4" w:space="0"/>
            </w:tcBorders>
            <w:vAlign w:val="center"/>
          </w:tcPr>
          <w:p>
            <w:pPr>
              <w:snapToGrid w:val="0"/>
              <w:spacing w:line="400" w:lineRule="exact"/>
              <w:ind w:firstLine="420" w:firstLineChars="200"/>
              <w:rPr>
                <w:rFonts w:ascii="宋体" w:hAnsi="宋体" w:cs="宋体"/>
                <w:color w:val="auto"/>
                <w:kern w:val="0"/>
              </w:rPr>
            </w:pPr>
            <w:r>
              <w:rPr>
                <w:rFonts w:hint="eastAsia" w:ascii="宋体" w:hAnsi="宋体" w:cs="宋体"/>
                <w:color w:val="auto"/>
                <w:kern w:val="0"/>
              </w:rPr>
              <w:t>符合第二章“投标人须知”第3.3.1项规定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00" w:type="dxa"/>
            <w:vMerge w:val="continue"/>
            <w:tcBorders>
              <w:right w:val="single" w:color="auto" w:sz="4" w:space="0"/>
            </w:tcBorders>
            <w:vAlign w:val="center"/>
          </w:tcPr>
          <w:p>
            <w:pPr>
              <w:spacing w:line="400" w:lineRule="exact"/>
              <w:jc w:val="center"/>
              <w:rPr>
                <w:rFonts w:ascii="宋体" w:hAnsi="宋体"/>
                <w:color w:val="auto"/>
                <w:kern w:val="0"/>
              </w:rPr>
            </w:pPr>
          </w:p>
        </w:tc>
        <w:tc>
          <w:tcPr>
            <w:tcW w:w="1545" w:type="dxa"/>
            <w:vMerge w:val="continue"/>
            <w:tcBorders>
              <w:left w:val="single" w:color="auto" w:sz="4" w:space="0"/>
            </w:tcBorders>
            <w:vAlign w:val="center"/>
          </w:tcPr>
          <w:p>
            <w:pPr>
              <w:spacing w:line="400" w:lineRule="exact"/>
              <w:jc w:val="center"/>
              <w:rPr>
                <w:rFonts w:ascii="宋体" w:hAnsi="宋体"/>
                <w:color w:val="auto"/>
                <w:kern w:val="0"/>
              </w:rPr>
            </w:pPr>
          </w:p>
        </w:tc>
        <w:tc>
          <w:tcPr>
            <w:tcW w:w="2565" w:type="dxa"/>
            <w:tcBorders>
              <w:right w:val="single" w:color="auto" w:sz="4" w:space="0"/>
            </w:tcBorders>
            <w:vAlign w:val="center"/>
          </w:tcPr>
          <w:p>
            <w:pPr>
              <w:snapToGrid w:val="0"/>
              <w:spacing w:line="400" w:lineRule="exact"/>
              <w:jc w:val="center"/>
              <w:rPr>
                <w:rFonts w:ascii="宋体" w:hAnsi="宋体" w:cs="宋体"/>
                <w:color w:val="auto"/>
                <w:kern w:val="0"/>
              </w:rPr>
            </w:pPr>
            <w:r>
              <w:rPr>
                <w:rFonts w:hint="eastAsia" w:ascii="宋体" w:hAnsi="宋体" w:cs="宋体"/>
                <w:color w:val="auto"/>
                <w:kern w:val="0"/>
              </w:rPr>
              <w:t>投标总报价</w:t>
            </w:r>
          </w:p>
        </w:tc>
        <w:tc>
          <w:tcPr>
            <w:tcW w:w="4725" w:type="dxa"/>
            <w:tcBorders>
              <w:left w:val="single" w:color="auto" w:sz="4" w:space="0"/>
            </w:tcBorders>
            <w:vAlign w:val="center"/>
          </w:tcPr>
          <w:p>
            <w:pPr>
              <w:snapToGrid w:val="0"/>
              <w:spacing w:line="400" w:lineRule="exact"/>
              <w:ind w:firstLine="420" w:firstLineChars="200"/>
              <w:rPr>
                <w:rFonts w:ascii="宋体" w:hAnsi="宋体" w:cs="宋体"/>
                <w:color w:val="auto"/>
                <w:kern w:val="0"/>
              </w:rPr>
            </w:pPr>
            <w:r>
              <w:rPr>
                <w:rFonts w:hint="eastAsia" w:ascii="宋体" w:hAnsi="宋体" w:cs="宋体"/>
                <w:color w:val="auto"/>
                <w:kern w:val="0"/>
              </w:rPr>
              <w:t>1.投标总报价必须与已标价工程量清单总报价一致，且工程量清单总报价与依据单价、工程数量、分部分项工程合价计算出的结果应一致。</w:t>
            </w:r>
          </w:p>
          <w:p>
            <w:pPr>
              <w:snapToGrid w:val="0"/>
              <w:spacing w:line="400" w:lineRule="exact"/>
              <w:ind w:firstLine="420" w:firstLineChars="200"/>
              <w:rPr>
                <w:rFonts w:ascii="宋体" w:hAnsi="宋体" w:cs="宋体"/>
                <w:color w:val="auto"/>
                <w:kern w:val="0"/>
              </w:rPr>
            </w:pPr>
            <w:r>
              <w:rPr>
                <w:rFonts w:hint="eastAsia" w:ascii="宋体" w:hAnsi="宋体" w:cs="宋体"/>
                <w:color w:val="auto"/>
                <w:kern w:val="0"/>
              </w:rPr>
              <w:t>2.投标总报价不得高于</w:t>
            </w:r>
            <w:r>
              <w:rPr>
                <w:rFonts w:hint="eastAsia" w:ascii="宋体" w:hAnsi="宋体" w:cs="宋体"/>
                <w:color w:val="auto"/>
                <w:kern w:val="0"/>
                <w:lang w:eastAsia="zh-CN"/>
              </w:rPr>
              <w:t>招标人</w:t>
            </w:r>
            <w:r>
              <w:rPr>
                <w:rFonts w:hint="eastAsia" w:ascii="宋体" w:hAnsi="宋体" w:cs="宋体"/>
                <w:color w:val="auto"/>
                <w:kern w:val="0"/>
              </w:rPr>
              <w:t>公布的投标总报价最高限价。</w:t>
            </w:r>
          </w:p>
          <w:p>
            <w:pPr>
              <w:snapToGrid w:val="0"/>
              <w:spacing w:line="400" w:lineRule="exact"/>
              <w:ind w:firstLine="420" w:firstLineChars="200"/>
              <w:rPr>
                <w:rFonts w:ascii="宋体" w:hAnsi="宋体" w:cs="宋体"/>
                <w:color w:val="auto"/>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00" w:type="dxa"/>
            <w:vMerge w:val="continue"/>
            <w:tcBorders>
              <w:right w:val="single" w:color="auto" w:sz="4" w:space="0"/>
            </w:tcBorders>
            <w:vAlign w:val="center"/>
          </w:tcPr>
          <w:p>
            <w:pPr>
              <w:spacing w:line="400" w:lineRule="exact"/>
              <w:jc w:val="center"/>
              <w:rPr>
                <w:rFonts w:ascii="宋体" w:hAnsi="宋体"/>
                <w:color w:val="auto"/>
                <w:kern w:val="0"/>
              </w:rPr>
            </w:pPr>
          </w:p>
        </w:tc>
        <w:tc>
          <w:tcPr>
            <w:tcW w:w="1545" w:type="dxa"/>
            <w:vMerge w:val="continue"/>
            <w:tcBorders>
              <w:left w:val="single" w:color="auto" w:sz="4" w:space="0"/>
            </w:tcBorders>
            <w:vAlign w:val="center"/>
          </w:tcPr>
          <w:p>
            <w:pPr>
              <w:spacing w:line="400" w:lineRule="exact"/>
              <w:jc w:val="center"/>
              <w:rPr>
                <w:rFonts w:ascii="宋体" w:hAnsi="宋体"/>
                <w:color w:val="auto"/>
                <w:kern w:val="0"/>
              </w:rPr>
            </w:pPr>
          </w:p>
        </w:tc>
        <w:tc>
          <w:tcPr>
            <w:tcW w:w="2565" w:type="dxa"/>
            <w:tcBorders>
              <w:right w:val="single" w:color="auto" w:sz="4" w:space="0"/>
            </w:tcBorders>
            <w:vAlign w:val="center"/>
          </w:tcPr>
          <w:p>
            <w:pPr>
              <w:snapToGrid w:val="0"/>
              <w:spacing w:line="400" w:lineRule="exact"/>
              <w:jc w:val="center"/>
              <w:rPr>
                <w:rFonts w:ascii="宋体" w:hAnsi="宋体" w:cs="宋体"/>
                <w:color w:val="auto"/>
                <w:kern w:val="0"/>
              </w:rPr>
            </w:pPr>
            <w:r>
              <w:rPr>
                <w:rFonts w:hint="eastAsia" w:ascii="宋体" w:hAnsi="宋体" w:cs="宋体"/>
                <w:color w:val="auto"/>
                <w:kern w:val="0"/>
              </w:rPr>
              <w:t>暂定金额</w:t>
            </w:r>
          </w:p>
        </w:tc>
        <w:tc>
          <w:tcPr>
            <w:tcW w:w="4725" w:type="dxa"/>
            <w:tcBorders>
              <w:left w:val="single" w:color="auto" w:sz="4" w:space="0"/>
            </w:tcBorders>
            <w:vAlign w:val="center"/>
          </w:tcPr>
          <w:p>
            <w:pPr>
              <w:snapToGrid w:val="0"/>
              <w:spacing w:line="400" w:lineRule="exact"/>
              <w:ind w:firstLine="420" w:firstLineChars="200"/>
              <w:rPr>
                <w:rFonts w:ascii="宋体" w:hAnsi="宋体" w:cs="宋体"/>
                <w:color w:val="auto"/>
                <w:kern w:val="0"/>
              </w:rPr>
            </w:pPr>
            <w:r>
              <w:rPr>
                <w:rFonts w:hint="eastAsia" w:ascii="宋体" w:hAnsi="宋体" w:cs="宋体"/>
                <w:color w:val="auto"/>
                <w:kern w:val="0"/>
              </w:rPr>
              <w:t>暂列金额、暂估价、安全文明施工费等暂定金额必须按照</w:t>
            </w:r>
            <w:r>
              <w:rPr>
                <w:rFonts w:hint="eastAsia" w:ascii="宋体" w:hAnsi="宋体" w:cs="宋体"/>
                <w:color w:val="auto"/>
                <w:szCs w:val="21"/>
                <w:lang w:val="en-US" w:eastAsia="zh-CN"/>
              </w:rPr>
              <w:t>比选</w:t>
            </w:r>
            <w:r>
              <w:rPr>
                <w:rFonts w:hint="eastAsia" w:ascii="宋体" w:hAnsi="宋体" w:cs="宋体"/>
                <w:color w:val="auto"/>
                <w:kern w:val="0"/>
              </w:rPr>
              <w:t>文件给定的金额填报。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00" w:type="dxa"/>
            <w:vMerge w:val="continue"/>
            <w:tcBorders>
              <w:right w:val="single" w:color="auto" w:sz="4" w:space="0"/>
            </w:tcBorders>
            <w:vAlign w:val="center"/>
          </w:tcPr>
          <w:p>
            <w:pPr>
              <w:spacing w:line="400" w:lineRule="exact"/>
              <w:jc w:val="center"/>
              <w:rPr>
                <w:rFonts w:ascii="宋体" w:hAnsi="宋体"/>
                <w:color w:val="auto"/>
                <w:kern w:val="0"/>
              </w:rPr>
            </w:pPr>
          </w:p>
        </w:tc>
        <w:tc>
          <w:tcPr>
            <w:tcW w:w="1545" w:type="dxa"/>
            <w:vMerge w:val="continue"/>
            <w:tcBorders>
              <w:left w:val="single" w:color="auto" w:sz="4" w:space="0"/>
            </w:tcBorders>
            <w:vAlign w:val="center"/>
          </w:tcPr>
          <w:p>
            <w:pPr>
              <w:spacing w:line="400" w:lineRule="exact"/>
              <w:jc w:val="center"/>
              <w:rPr>
                <w:rFonts w:ascii="宋体" w:hAnsi="宋体"/>
                <w:color w:val="auto"/>
                <w:kern w:val="0"/>
              </w:rPr>
            </w:pPr>
          </w:p>
        </w:tc>
        <w:tc>
          <w:tcPr>
            <w:tcW w:w="2565" w:type="dxa"/>
            <w:tcBorders>
              <w:right w:val="single" w:color="auto" w:sz="4" w:space="0"/>
            </w:tcBorders>
            <w:vAlign w:val="center"/>
          </w:tcPr>
          <w:p>
            <w:pPr>
              <w:snapToGrid w:val="0"/>
              <w:spacing w:line="400" w:lineRule="exact"/>
              <w:jc w:val="center"/>
              <w:rPr>
                <w:rFonts w:ascii="宋体" w:hAnsi="宋体" w:cs="宋体"/>
                <w:color w:val="auto"/>
                <w:kern w:val="0"/>
              </w:rPr>
            </w:pPr>
            <w:r>
              <w:rPr>
                <w:rFonts w:hint="eastAsia" w:ascii="宋体" w:hAnsi="宋体" w:cs="宋体"/>
                <w:color w:val="auto"/>
                <w:kern w:val="0"/>
              </w:rPr>
              <w:t>报价唯一</w:t>
            </w:r>
          </w:p>
        </w:tc>
        <w:tc>
          <w:tcPr>
            <w:tcW w:w="4725" w:type="dxa"/>
            <w:tcBorders>
              <w:left w:val="single" w:color="auto" w:sz="4" w:space="0"/>
            </w:tcBorders>
            <w:vAlign w:val="center"/>
          </w:tcPr>
          <w:p>
            <w:pPr>
              <w:snapToGrid w:val="0"/>
              <w:spacing w:line="400" w:lineRule="exact"/>
              <w:ind w:firstLine="420" w:firstLineChars="200"/>
              <w:rPr>
                <w:rFonts w:ascii="宋体" w:hAnsi="宋体" w:cs="宋体"/>
                <w:color w:val="auto"/>
                <w:kern w:val="0"/>
              </w:rPr>
            </w:pPr>
            <w:r>
              <w:rPr>
                <w:rFonts w:hint="eastAsia" w:ascii="宋体" w:hAnsi="宋体" w:cs="宋体"/>
                <w:color w:val="auto"/>
                <w:kern w:val="0"/>
              </w:rPr>
              <w:t>只能有一个有效报价。在</w:t>
            </w:r>
            <w:r>
              <w:rPr>
                <w:rFonts w:hint="eastAsia" w:ascii="宋体" w:hAnsi="宋体" w:cs="宋体"/>
                <w:color w:val="auto"/>
                <w:szCs w:val="21"/>
                <w:lang w:val="en-US" w:eastAsia="zh-CN"/>
              </w:rPr>
              <w:t>比选</w:t>
            </w:r>
            <w:r>
              <w:rPr>
                <w:rFonts w:hint="eastAsia" w:ascii="宋体" w:hAnsi="宋体" w:cs="宋体"/>
                <w:color w:val="auto"/>
                <w:kern w:val="0"/>
              </w:rPr>
              <w:t>文件没有规定的情况下，不得提交选择性报价。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00" w:type="dxa"/>
            <w:vMerge w:val="continue"/>
            <w:tcBorders>
              <w:right w:val="single" w:color="auto" w:sz="4" w:space="0"/>
            </w:tcBorders>
            <w:vAlign w:val="center"/>
          </w:tcPr>
          <w:p>
            <w:pPr>
              <w:spacing w:line="400" w:lineRule="exact"/>
              <w:jc w:val="center"/>
              <w:rPr>
                <w:rFonts w:ascii="宋体" w:hAnsi="宋体"/>
                <w:color w:val="auto"/>
                <w:kern w:val="0"/>
              </w:rPr>
            </w:pPr>
          </w:p>
        </w:tc>
        <w:tc>
          <w:tcPr>
            <w:tcW w:w="1545" w:type="dxa"/>
            <w:vMerge w:val="continue"/>
            <w:tcBorders>
              <w:left w:val="single" w:color="auto" w:sz="4" w:space="0"/>
            </w:tcBorders>
            <w:vAlign w:val="center"/>
          </w:tcPr>
          <w:p>
            <w:pPr>
              <w:spacing w:line="400" w:lineRule="exact"/>
              <w:jc w:val="center"/>
              <w:rPr>
                <w:rFonts w:ascii="宋体" w:hAnsi="宋体"/>
                <w:color w:val="auto"/>
                <w:kern w:val="0"/>
              </w:rPr>
            </w:pPr>
          </w:p>
        </w:tc>
        <w:tc>
          <w:tcPr>
            <w:tcW w:w="2565" w:type="dxa"/>
            <w:tcBorders>
              <w:right w:val="single" w:color="auto" w:sz="4" w:space="0"/>
            </w:tcBorders>
            <w:vAlign w:val="center"/>
          </w:tcPr>
          <w:p>
            <w:pPr>
              <w:snapToGrid w:val="0"/>
              <w:spacing w:line="400" w:lineRule="exact"/>
              <w:jc w:val="center"/>
              <w:rPr>
                <w:rFonts w:ascii="宋体" w:hAnsi="宋体" w:cs="宋体"/>
                <w:color w:val="auto"/>
                <w:kern w:val="0"/>
              </w:rPr>
            </w:pPr>
            <w:r>
              <w:rPr>
                <w:rFonts w:hint="eastAsia" w:ascii="宋体" w:hAnsi="宋体" w:cs="宋体"/>
                <w:color w:val="auto"/>
                <w:kern w:val="0"/>
              </w:rPr>
              <w:t>已标价工程量清单</w:t>
            </w:r>
          </w:p>
        </w:tc>
        <w:tc>
          <w:tcPr>
            <w:tcW w:w="4725" w:type="dxa"/>
            <w:tcBorders>
              <w:left w:val="single" w:color="auto" w:sz="4" w:space="0"/>
            </w:tcBorders>
            <w:vAlign w:val="center"/>
          </w:tcPr>
          <w:p>
            <w:pPr>
              <w:spacing w:line="400" w:lineRule="exact"/>
              <w:ind w:firstLine="420" w:firstLineChars="200"/>
              <w:rPr>
                <w:rFonts w:ascii="宋体" w:hAnsi="宋体" w:cs="宋体"/>
                <w:color w:val="auto"/>
                <w:kern w:val="0"/>
              </w:rPr>
            </w:pPr>
            <w:r>
              <w:rPr>
                <w:rFonts w:hint="eastAsia" w:ascii="宋体" w:hAnsi="宋体" w:cs="宋体"/>
                <w:color w:val="auto"/>
                <w:kern w:val="0"/>
              </w:rPr>
              <w:t>1.符合第五章“工程量清单”给出的范围及数量。</w:t>
            </w:r>
          </w:p>
          <w:p>
            <w:pPr>
              <w:snapToGrid w:val="0"/>
              <w:spacing w:line="400" w:lineRule="exact"/>
              <w:ind w:firstLine="420" w:firstLineChars="200"/>
              <w:rPr>
                <w:rFonts w:ascii="宋体" w:hAnsi="宋体" w:cs="宋体"/>
                <w:color w:val="auto"/>
                <w:kern w:val="0"/>
              </w:rPr>
            </w:pPr>
            <w:r>
              <w:rPr>
                <w:rFonts w:hint="eastAsia" w:ascii="宋体" w:hAnsi="宋体" w:cs="宋体"/>
                <w:color w:val="auto"/>
                <w:kern w:val="0"/>
              </w:rPr>
              <w:t>2.</w:t>
            </w:r>
            <w:r>
              <w:rPr>
                <w:rFonts w:hint="eastAsia" w:ascii="宋体" w:hAnsi="宋体" w:cs="宋体"/>
                <w:color w:val="auto"/>
                <w:szCs w:val="21"/>
                <w:lang w:val="en-US" w:eastAsia="zh-CN"/>
              </w:rPr>
              <w:t>比选</w:t>
            </w:r>
            <w:r>
              <w:rPr>
                <w:rFonts w:hint="eastAsia" w:ascii="宋体" w:hAnsi="宋体" w:cs="宋体"/>
                <w:color w:val="auto"/>
                <w:kern w:val="0"/>
              </w:rPr>
              <w:t>文件中规定工程量清单不允许修改的内容不得修改。</w:t>
            </w:r>
          </w:p>
          <w:p>
            <w:pPr>
              <w:snapToGrid w:val="0"/>
              <w:spacing w:line="400" w:lineRule="exact"/>
              <w:ind w:firstLine="420" w:firstLineChars="200"/>
              <w:rPr>
                <w:rFonts w:ascii="宋体" w:hAnsi="宋体" w:cs="宋体"/>
                <w:color w:val="auto"/>
                <w:kern w:val="0"/>
              </w:rPr>
            </w:pPr>
            <w:r>
              <w:rPr>
                <w:rFonts w:hint="eastAsia" w:ascii="宋体" w:hAnsi="宋体" w:cs="宋体"/>
                <w:color w:val="auto"/>
                <w:kern w:val="0"/>
              </w:rPr>
              <w:t>3.每项清单综合单价报价不得高于每项清单综合单价最高限价。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5" w:hRule="atLeast"/>
        </w:trPr>
        <w:tc>
          <w:tcPr>
            <w:tcW w:w="900" w:type="dxa"/>
            <w:vMerge w:val="continue"/>
            <w:tcBorders>
              <w:right w:val="single" w:color="auto" w:sz="4" w:space="0"/>
            </w:tcBorders>
            <w:vAlign w:val="center"/>
          </w:tcPr>
          <w:p>
            <w:pPr>
              <w:spacing w:line="400" w:lineRule="exact"/>
              <w:jc w:val="center"/>
              <w:rPr>
                <w:rFonts w:ascii="宋体" w:hAnsi="宋体"/>
                <w:color w:val="auto"/>
                <w:kern w:val="0"/>
              </w:rPr>
            </w:pPr>
          </w:p>
        </w:tc>
        <w:tc>
          <w:tcPr>
            <w:tcW w:w="1545" w:type="dxa"/>
            <w:vMerge w:val="continue"/>
            <w:tcBorders>
              <w:left w:val="single" w:color="auto" w:sz="4" w:space="0"/>
            </w:tcBorders>
            <w:vAlign w:val="center"/>
          </w:tcPr>
          <w:p>
            <w:pPr>
              <w:spacing w:line="400" w:lineRule="exact"/>
              <w:jc w:val="center"/>
              <w:rPr>
                <w:rFonts w:ascii="宋体" w:hAnsi="宋体"/>
                <w:color w:val="auto"/>
                <w:kern w:val="0"/>
              </w:rPr>
            </w:pPr>
          </w:p>
        </w:tc>
        <w:tc>
          <w:tcPr>
            <w:tcW w:w="2565" w:type="dxa"/>
            <w:tcBorders>
              <w:right w:val="single" w:color="auto" w:sz="4" w:space="0"/>
            </w:tcBorders>
            <w:vAlign w:val="center"/>
          </w:tcPr>
          <w:p>
            <w:pPr>
              <w:snapToGrid w:val="0"/>
              <w:spacing w:line="400" w:lineRule="exact"/>
              <w:jc w:val="center"/>
              <w:rPr>
                <w:rFonts w:ascii="宋体" w:hAnsi="宋体" w:cs="宋体"/>
                <w:color w:val="auto"/>
                <w:kern w:val="0"/>
              </w:rPr>
            </w:pPr>
            <w:r>
              <w:rPr>
                <w:rFonts w:hint="eastAsia" w:ascii="宋体" w:hAnsi="宋体" w:cs="宋体"/>
                <w:color w:val="auto"/>
                <w:kern w:val="0"/>
              </w:rPr>
              <w:t>投标报价算术错误修正</w:t>
            </w:r>
          </w:p>
        </w:tc>
        <w:tc>
          <w:tcPr>
            <w:tcW w:w="4725" w:type="dxa"/>
            <w:tcBorders>
              <w:left w:val="single" w:color="auto" w:sz="4" w:space="0"/>
            </w:tcBorders>
            <w:vAlign w:val="center"/>
          </w:tcPr>
          <w:p>
            <w:pPr>
              <w:snapToGrid w:val="0"/>
              <w:spacing w:line="400" w:lineRule="exact"/>
              <w:ind w:firstLine="420" w:firstLineChars="200"/>
              <w:rPr>
                <w:rFonts w:ascii="宋体" w:hAnsi="宋体" w:cs="宋体"/>
                <w:color w:val="auto"/>
                <w:kern w:val="0"/>
              </w:rPr>
            </w:pPr>
            <w:r>
              <w:rPr>
                <w:rFonts w:hint="eastAsia" w:ascii="宋体" w:hAnsi="宋体" w:cs="宋体"/>
                <w:color w:val="auto"/>
                <w:kern w:val="0"/>
              </w:rPr>
              <w:t>符合第三章“评标办法”第3.2.3项规定。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trPr>
        <w:tc>
          <w:tcPr>
            <w:tcW w:w="900" w:type="dxa"/>
            <w:tcBorders>
              <w:right w:val="single" w:color="auto" w:sz="4" w:space="0"/>
            </w:tcBorders>
            <w:vAlign w:val="center"/>
          </w:tcPr>
          <w:p>
            <w:pPr>
              <w:spacing w:line="400" w:lineRule="exact"/>
              <w:jc w:val="center"/>
              <w:rPr>
                <w:rFonts w:ascii="宋体" w:hAnsi="宋体"/>
                <w:color w:val="auto"/>
              </w:rPr>
            </w:pPr>
            <w:r>
              <w:rPr>
                <w:rFonts w:ascii="宋体" w:hAnsi="宋体"/>
                <w:color w:val="auto"/>
              </w:rPr>
              <w:t>3</w:t>
            </w:r>
          </w:p>
        </w:tc>
        <w:tc>
          <w:tcPr>
            <w:tcW w:w="1545" w:type="dxa"/>
            <w:tcBorders>
              <w:left w:val="single" w:color="auto" w:sz="4" w:space="0"/>
              <w:right w:val="single" w:color="auto" w:sz="4" w:space="0"/>
            </w:tcBorders>
            <w:vAlign w:val="center"/>
          </w:tcPr>
          <w:p>
            <w:pPr>
              <w:spacing w:line="400" w:lineRule="exact"/>
              <w:jc w:val="center"/>
              <w:rPr>
                <w:rFonts w:ascii="宋体" w:hAnsi="宋体"/>
                <w:color w:val="auto"/>
              </w:rPr>
            </w:pPr>
            <w:r>
              <w:rPr>
                <w:rFonts w:hint="eastAsia" w:ascii="宋体" w:hAnsi="宋体"/>
                <w:color w:val="auto"/>
              </w:rPr>
              <w:t>评标程序</w:t>
            </w:r>
          </w:p>
        </w:tc>
        <w:tc>
          <w:tcPr>
            <w:tcW w:w="7290" w:type="dxa"/>
            <w:gridSpan w:val="2"/>
            <w:tcBorders>
              <w:left w:val="single" w:color="auto" w:sz="4" w:space="0"/>
            </w:tcBorders>
            <w:vAlign w:val="center"/>
          </w:tcPr>
          <w:p>
            <w:pPr>
              <w:spacing w:line="400" w:lineRule="exact"/>
              <w:ind w:firstLine="420" w:firstLineChars="200"/>
              <w:jc w:val="left"/>
              <w:rPr>
                <w:rFonts w:ascii="宋体" w:hAnsi="宋体"/>
                <w:color w:val="auto"/>
                <w:kern w:val="0"/>
                <w:szCs w:val="21"/>
              </w:rPr>
            </w:pPr>
            <w:r>
              <w:rPr>
                <w:rFonts w:hint="eastAsia" w:ascii="宋体" w:hAnsi="宋体"/>
                <w:color w:val="auto"/>
                <w:kern w:val="0"/>
                <w:szCs w:val="21"/>
              </w:rPr>
              <w:t>1.对报价不高于最高限价的所有投标人的投标文件，按照报价由低到高的顺序排序。在投标函部分及经济部分评审前，推送给评标委员会的投标文件不得显示排序。</w:t>
            </w:r>
          </w:p>
          <w:p>
            <w:pPr>
              <w:spacing w:line="400" w:lineRule="exact"/>
              <w:ind w:firstLine="420" w:firstLineChars="200"/>
              <w:jc w:val="left"/>
              <w:rPr>
                <w:rFonts w:ascii="宋体" w:hAnsi="宋体"/>
                <w:color w:val="auto"/>
                <w:kern w:val="0"/>
                <w:szCs w:val="21"/>
              </w:rPr>
            </w:pPr>
            <w:r>
              <w:rPr>
                <w:rFonts w:hint="eastAsia" w:ascii="宋体" w:hAnsi="宋体"/>
                <w:color w:val="auto"/>
                <w:kern w:val="0"/>
                <w:szCs w:val="21"/>
              </w:rPr>
              <w:t>2.根据本章第2.2款约定进行符合性审查</w:t>
            </w:r>
            <w:r>
              <w:rPr>
                <w:rFonts w:hint="eastAsia" w:ascii="宋体" w:hAnsi="宋体"/>
                <w:color w:val="auto"/>
                <w:spacing w:val="4"/>
                <w:kern w:val="0"/>
                <w:szCs w:val="21"/>
              </w:rPr>
              <w:t>。符合性审查</w:t>
            </w:r>
            <w:r>
              <w:rPr>
                <w:rFonts w:hint="eastAsia" w:ascii="宋体" w:hAnsi="宋体"/>
                <w:color w:val="auto"/>
                <w:kern w:val="0"/>
                <w:szCs w:val="21"/>
              </w:rPr>
              <w:t>合格的投标人中，报价最低的成为第一中标候选人，报价次低的成为第二中标候选人，依次类推。</w:t>
            </w:r>
          </w:p>
          <w:p>
            <w:pPr>
              <w:spacing w:line="400" w:lineRule="exact"/>
              <w:ind w:firstLine="420" w:firstLineChars="200"/>
              <w:jc w:val="left"/>
              <w:rPr>
                <w:rFonts w:ascii="宋体" w:hAnsi="宋体"/>
                <w:color w:val="auto"/>
                <w:kern w:val="0"/>
                <w:szCs w:val="21"/>
              </w:rPr>
            </w:pPr>
            <w:r>
              <w:rPr>
                <w:rFonts w:hint="eastAsia" w:ascii="宋体" w:hAnsi="宋体"/>
                <w:color w:val="auto"/>
                <w:kern w:val="0"/>
                <w:szCs w:val="21"/>
              </w:rPr>
              <w:t>3.</w:t>
            </w:r>
            <w:r>
              <w:rPr>
                <w:rFonts w:hint="eastAsia" w:ascii="宋体" w:hAnsi="宋体"/>
                <w:color w:val="auto"/>
                <w:spacing w:val="4"/>
                <w:kern w:val="0"/>
                <w:szCs w:val="21"/>
              </w:rPr>
              <w:t>若上述程序未能评出三名中标候选人</w:t>
            </w:r>
            <w:r>
              <w:rPr>
                <w:rFonts w:hint="eastAsia" w:ascii="宋体" w:hAnsi="宋体"/>
                <w:color w:val="auto"/>
                <w:kern w:val="0"/>
                <w:szCs w:val="21"/>
              </w:rPr>
              <w:t>，则评标委员会对剩余投标文件继续按上述第2条进行评审，直至评出三名中标候选人，或者评审完所有投标文件。</w:t>
            </w:r>
          </w:p>
          <w:p>
            <w:pPr>
              <w:spacing w:line="400" w:lineRule="exact"/>
              <w:ind w:firstLine="420" w:firstLineChars="200"/>
              <w:jc w:val="left"/>
              <w:rPr>
                <w:rFonts w:ascii="宋体" w:hAnsi="宋体"/>
                <w:color w:val="auto"/>
                <w:kern w:val="0"/>
                <w:szCs w:val="21"/>
              </w:rPr>
            </w:pPr>
            <w:r>
              <w:rPr>
                <w:rFonts w:hint="eastAsia" w:ascii="宋体" w:hAnsi="宋体"/>
                <w:color w:val="auto"/>
                <w:kern w:val="0"/>
                <w:szCs w:val="21"/>
              </w:rPr>
              <w:t>4.</w:t>
            </w:r>
            <w:r>
              <w:rPr>
                <w:rFonts w:hint="eastAsia"/>
                <w:color w:val="auto"/>
              </w:rPr>
              <w:t xml:space="preserve"> </w:t>
            </w:r>
            <w:r>
              <w:rPr>
                <w:rFonts w:hint="eastAsia" w:ascii="宋体" w:hAnsi="宋体"/>
                <w:color w:val="auto"/>
                <w:kern w:val="0"/>
                <w:szCs w:val="21"/>
              </w:rPr>
              <w:t>因评标委员会作否决投标处理，导致有效投标人不足三个的，评标委员会应当否决所有投标。但是有效投标人的经济、技术等指标仍然具有市场竞争力，并满足</w:t>
            </w:r>
            <w:r>
              <w:rPr>
                <w:rFonts w:hint="eastAsia" w:ascii="宋体" w:hAnsi="宋体" w:cs="宋体"/>
                <w:color w:val="auto"/>
                <w:szCs w:val="21"/>
                <w:lang w:val="en-US" w:eastAsia="zh-CN"/>
              </w:rPr>
              <w:t>比选</w:t>
            </w:r>
            <w:r>
              <w:rPr>
                <w:rFonts w:hint="eastAsia" w:ascii="宋体" w:hAnsi="宋体"/>
                <w:color w:val="auto"/>
                <w:kern w:val="0"/>
                <w:szCs w:val="21"/>
              </w:rPr>
              <w:t>文件要求的，评标委员会可以继续评标并确定中标候选人。</w:t>
            </w:r>
          </w:p>
          <w:p>
            <w:pPr>
              <w:spacing w:line="400" w:lineRule="exact"/>
              <w:ind w:firstLine="420" w:firstLineChars="200"/>
              <w:jc w:val="left"/>
              <w:rPr>
                <w:rFonts w:ascii="宋体" w:hAnsi="宋体"/>
                <w:color w:val="auto"/>
                <w:kern w:val="0"/>
                <w:szCs w:val="21"/>
              </w:rPr>
            </w:pPr>
            <w:r>
              <w:rPr>
                <w:rFonts w:hint="eastAsia" w:ascii="宋体" w:hAnsi="宋体"/>
                <w:color w:val="auto"/>
                <w:kern w:val="0"/>
                <w:szCs w:val="21"/>
              </w:rPr>
              <w:t>注：若出现投标人投标报价相同的，以“投标人在红名单中优先”的原则排序</w:t>
            </w:r>
            <w:r>
              <w:rPr>
                <w:rFonts w:hint="eastAsia" w:ascii="宋体" w:hAnsi="宋体"/>
                <w:color w:val="auto"/>
                <w:spacing w:val="4"/>
                <w:kern w:val="0"/>
                <w:szCs w:val="21"/>
              </w:rPr>
              <w:t>，投标人是否属于红名单，以开标环节信用状况查询结果为准</w:t>
            </w:r>
            <w:r>
              <w:rPr>
                <w:rFonts w:hint="eastAsia" w:ascii="宋体" w:hAnsi="宋体"/>
                <w:color w:val="auto"/>
                <w:kern w:val="0"/>
                <w:szCs w:val="21"/>
              </w:rPr>
              <w:t>；投标人均在红名单中</w:t>
            </w:r>
            <w:r>
              <w:rPr>
                <w:rFonts w:hint="eastAsia" w:ascii="宋体" w:hAnsi="宋体"/>
                <w:color w:val="auto"/>
                <w:spacing w:val="4"/>
                <w:kern w:val="0"/>
                <w:szCs w:val="21"/>
              </w:rPr>
              <w:t>或均不在红名单中的，由评标委员会</w:t>
            </w:r>
            <w:r>
              <w:rPr>
                <w:rFonts w:hint="eastAsia" w:ascii="宋体" w:hAnsi="宋体"/>
                <w:color w:val="auto"/>
                <w:spacing w:val="-7"/>
                <w:u w:val="single"/>
              </w:rPr>
              <w:t>全体成员</w:t>
            </w:r>
            <w:r>
              <w:rPr>
                <w:rFonts w:hint="eastAsia" w:ascii="宋体" w:hAnsi="宋体"/>
                <w:color w:val="auto"/>
                <w:u w:val="single"/>
              </w:rPr>
              <w:t>投票，并按简单多数</w:t>
            </w:r>
            <w:r>
              <w:rPr>
                <w:rFonts w:hint="eastAsia" w:ascii="宋体" w:hAnsi="宋体"/>
                <w:color w:val="auto"/>
                <w:spacing w:val="4"/>
                <w:kern w:val="0"/>
                <w:szCs w:val="21"/>
              </w:rPr>
              <w:t>原则排序。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7" w:hRule="atLeast"/>
        </w:trPr>
        <w:tc>
          <w:tcPr>
            <w:tcW w:w="900" w:type="dxa"/>
            <w:tcBorders>
              <w:right w:val="single" w:color="auto" w:sz="4" w:space="0"/>
            </w:tcBorders>
            <w:vAlign w:val="center"/>
          </w:tcPr>
          <w:p>
            <w:pPr>
              <w:spacing w:line="400" w:lineRule="exact"/>
              <w:jc w:val="center"/>
              <w:rPr>
                <w:rFonts w:ascii="宋体" w:hAnsi="宋体"/>
                <w:color w:val="auto"/>
              </w:rPr>
            </w:pPr>
            <w:r>
              <w:rPr>
                <w:rFonts w:hint="eastAsia" w:ascii="宋体" w:hAnsi="宋体"/>
                <w:color w:val="auto"/>
              </w:rPr>
              <w:t>3.4</w:t>
            </w:r>
          </w:p>
        </w:tc>
        <w:tc>
          <w:tcPr>
            <w:tcW w:w="1545" w:type="dxa"/>
            <w:tcBorders>
              <w:left w:val="single" w:color="auto" w:sz="4" w:space="0"/>
              <w:right w:val="single" w:color="auto" w:sz="4" w:space="0"/>
            </w:tcBorders>
            <w:vAlign w:val="center"/>
          </w:tcPr>
          <w:p>
            <w:pPr>
              <w:spacing w:line="400" w:lineRule="exact"/>
              <w:jc w:val="center"/>
              <w:rPr>
                <w:rFonts w:ascii="宋体" w:hAnsi="宋体"/>
                <w:color w:val="auto"/>
              </w:rPr>
            </w:pPr>
            <w:r>
              <w:rPr>
                <w:rFonts w:ascii="宋体" w:hAnsi="宋体"/>
                <w:color w:val="auto"/>
              </w:rPr>
              <w:t>评标结果</w:t>
            </w:r>
          </w:p>
        </w:tc>
        <w:tc>
          <w:tcPr>
            <w:tcW w:w="7290" w:type="dxa"/>
            <w:gridSpan w:val="2"/>
            <w:tcBorders>
              <w:left w:val="single" w:color="auto" w:sz="4" w:space="0"/>
            </w:tcBorders>
            <w:vAlign w:val="center"/>
          </w:tcPr>
          <w:p>
            <w:pPr>
              <w:autoSpaceDE w:val="0"/>
              <w:autoSpaceDN w:val="0"/>
              <w:adjustRightInd w:val="0"/>
              <w:snapToGrid w:val="0"/>
              <w:spacing w:line="400" w:lineRule="exact"/>
              <w:ind w:firstLine="420"/>
              <w:jc w:val="left"/>
              <w:rPr>
                <w:rFonts w:ascii="宋体" w:hAnsi="宋体"/>
                <w:color w:val="auto"/>
                <w:kern w:val="0"/>
                <w:szCs w:val="21"/>
              </w:rPr>
            </w:pPr>
            <w:r>
              <w:rPr>
                <w:rFonts w:ascii="宋体" w:hAnsi="宋体"/>
                <w:color w:val="auto"/>
                <w:kern w:val="0"/>
                <w:szCs w:val="21"/>
              </w:rPr>
              <w:t>3.</w:t>
            </w:r>
            <w:r>
              <w:rPr>
                <w:rFonts w:ascii="宋体" w:hAnsi="宋体"/>
                <w:color w:val="auto"/>
                <w:spacing w:val="-1"/>
                <w:kern w:val="0"/>
                <w:szCs w:val="21"/>
              </w:rPr>
              <w:t>4</w:t>
            </w:r>
            <w:r>
              <w:rPr>
                <w:rFonts w:ascii="宋体" w:hAnsi="宋体"/>
                <w:color w:val="auto"/>
                <w:kern w:val="0"/>
                <w:szCs w:val="21"/>
              </w:rPr>
              <w:t>.1</w:t>
            </w:r>
            <w:r>
              <w:rPr>
                <w:rFonts w:hint="eastAsia" w:ascii="宋体" w:hAnsi="宋体"/>
                <w:color w:val="auto"/>
                <w:kern w:val="0"/>
                <w:szCs w:val="21"/>
              </w:rPr>
              <w:t xml:space="preserve"> </w:t>
            </w:r>
            <w:r>
              <w:rPr>
                <w:rFonts w:ascii="宋体" w:hAnsi="宋体"/>
                <w:color w:val="auto"/>
                <w:kern w:val="0"/>
                <w:szCs w:val="21"/>
              </w:rPr>
              <w:t>除第二章“投标</w:t>
            </w:r>
            <w:r>
              <w:rPr>
                <w:rFonts w:ascii="宋体" w:hAnsi="宋体"/>
                <w:color w:val="auto"/>
                <w:spacing w:val="1"/>
                <w:kern w:val="0"/>
                <w:szCs w:val="21"/>
              </w:rPr>
              <w:t>人</w:t>
            </w:r>
            <w:r>
              <w:rPr>
                <w:rFonts w:ascii="宋体" w:hAnsi="宋体"/>
                <w:color w:val="auto"/>
                <w:kern w:val="0"/>
                <w:szCs w:val="21"/>
              </w:rPr>
              <w:t>须知”前</w:t>
            </w:r>
            <w:r>
              <w:rPr>
                <w:rFonts w:ascii="宋体" w:hAnsi="宋体"/>
                <w:color w:val="auto"/>
                <w:spacing w:val="1"/>
                <w:kern w:val="0"/>
                <w:szCs w:val="21"/>
              </w:rPr>
              <w:t>附</w:t>
            </w:r>
            <w:r>
              <w:rPr>
                <w:rFonts w:ascii="宋体" w:hAnsi="宋体"/>
                <w:color w:val="auto"/>
                <w:kern w:val="0"/>
                <w:szCs w:val="21"/>
              </w:rPr>
              <w:t>表授权直</w:t>
            </w:r>
            <w:r>
              <w:rPr>
                <w:rFonts w:ascii="宋体" w:hAnsi="宋体"/>
                <w:color w:val="auto"/>
                <w:spacing w:val="1"/>
                <w:kern w:val="0"/>
                <w:szCs w:val="21"/>
              </w:rPr>
              <w:t>接</w:t>
            </w:r>
            <w:r>
              <w:rPr>
                <w:rFonts w:ascii="宋体" w:hAnsi="宋体"/>
                <w:color w:val="auto"/>
                <w:kern w:val="0"/>
                <w:szCs w:val="21"/>
              </w:rPr>
              <w:t>确定中标</w:t>
            </w:r>
            <w:r>
              <w:rPr>
                <w:rFonts w:ascii="宋体" w:hAnsi="宋体"/>
                <w:color w:val="auto"/>
                <w:spacing w:val="1"/>
                <w:kern w:val="0"/>
                <w:szCs w:val="21"/>
              </w:rPr>
              <w:t>人</w:t>
            </w:r>
            <w:r>
              <w:rPr>
                <w:rFonts w:ascii="宋体" w:hAnsi="宋体"/>
                <w:color w:val="auto"/>
                <w:kern w:val="0"/>
                <w:szCs w:val="21"/>
              </w:rPr>
              <w:t>外，评标</w:t>
            </w:r>
            <w:r>
              <w:rPr>
                <w:rFonts w:ascii="宋体" w:hAnsi="宋体"/>
                <w:color w:val="auto"/>
                <w:spacing w:val="1"/>
                <w:kern w:val="0"/>
                <w:szCs w:val="21"/>
              </w:rPr>
              <w:t>委</w:t>
            </w:r>
            <w:r>
              <w:rPr>
                <w:rFonts w:ascii="宋体" w:hAnsi="宋体"/>
                <w:color w:val="auto"/>
                <w:kern w:val="0"/>
                <w:szCs w:val="21"/>
              </w:rPr>
              <w:t>员会</w:t>
            </w:r>
            <w:r>
              <w:rPr>
                <w:rFonts w:hint="eastAsia" w:ascii="宋体" w:hAnsi="宋体"/>
                <w:color w:val="auto"/>
                <w:kern w:val="0"/>
                <w:szCs w:val="21"/>
              </w:rPr>
              <w:t>按经评审的最低投标价法</w:t>
            </w:r>
            <w:r>
              <w:rPr>
                <w:rFonts w:ascii="宋体" w:hAnsi="宋体"/>
                <w:color w:val="auto"/>
                <w:kern w:val="0"/>
                <w:szCs w:val="21"/>
              </w:rPr>
              <w:t>推荐中标候选人。</w:t>
            </w:r>
          </w:p>
          <w:p>
            <w:pPr>
              <w:spacing w:line="400" w:lineRule="exact"/>
              <w:ind w:firstLine="424" w:firstLineChars="200"/>
              <w:rPr>
                <w:rFonts w:ascii="宋体" w:hAnsi="宋体"/>
                <w:color w:val="auto"/>
              </w:rPr>
            </w:pPr>
            <w:r>
              <w:rPr>
                <w:rFonts w:ascii="宋体" w:hAnsi="宋体"/>
                <w:color w:val="auto"/>
                <w:spacing w:val="1"/>
                <w:kern w:val="0"/>
                <w:szCs w:val="21"/>
              </w:rPr>
              <w:t>3</w:t>
            </w:r>
            <w:r>
              <w:rPr>
                <w:rFonts w:ascii="宋体" w:hAnsi="宋体"/>
                <w:color w:val="auto"/>
                <w:kern w:val="0"/>
                <w:szCs w:val="21"/>
              </w:rPr>
              <w:t>.4.2</w:t>
            </w:r>
            <w:r>
              <w:rPr>
                <w:rFonts w:hint="eastAsia" w:ascii="宋体" w:hAnsi="宋体"/>
                <w:color w:val="auto"/>
                <w:kern w:val="0"/>
                <w:szCs w:val="21"/>
              </w:rPr>
              <w:t xml:space="preserve"> </w:t>
            </w:r>
            <w:r>
              <w:rPr>
                <w:rFonts w:ascii="宋体" w:hAnsi="宋体"/>
                <w:color w:val="auto"/>
                <w:kern w:val="0"/>
                <w:szCs w:val="21"/>
              </w:rPr>
              <w:t>评标</w:t>
            </w:r>
            <w:r>
              <w:rPr>
                <w:rFonts w:ascii="宋体" w:hAnsi="宋体"/>
                <w:color w:val="auto"/>
                <w:spacing w:val="-1"/>
                <w:kern w:val="0"/>
                <w:szCs w:val="21"/>
              </w:rPr>
              <w:t>委</w:t>
            </w:r>
            <w:r>
              <w:rPr>
                <w:rFonts w:ascii="宋体" w:hAnsi="宋体"/>
                <w:color w:val="auto"/>
                <w:kern w:val="0"/>
                <w:szCs w:val="21"/>
              </w:rPr>
              <w:t>员会完成评标后，应当向</w:t>
            </w:r>
            <w:r>
              <w:rPr>
                <w:rFonts w:hint="eastAsia" w:ascii="宋体" w:hAnsi="宋体" w:cs="宋体"/>
                <w:color w:val="auto"/>
                <w:szCs w:val="21"/>
                <w:lang w:val="en-US" w:eastAsia="zh-CN"/>
              </w:rPr>
              <w:t>招标人</w:t>
            </w:r>
            <w:r>
              <w:rPr>
                <w:rFonts w:ascii="宋体" w:hAnsi="宋体"/>
                <w:color w:val="auto"/>
                <w:kern w:val="0"/>
                <w:szCs w:val="21"/>
              </w:rPr>
              <w:t>提交书面评标报告。</w:t>
            </w:r>
          </w:p>
        </w:tc>
      </w:tr>
    </w:tbl>
    <w:p>
      <w:pPr>
        <w:pStyle w:val="4"/>
        <w:spacing w:before="0" w:after="0" w:line="500" w:lineRule="exact"/>
        <w:jc w:val="left"/>
        <w:rPr>
          <w:rFonts w:ascii="宋体" w:hAnsi="宋体"/>
          <w:bCs w:val="0"/>
          <w:snapToGrid w:val="0"/>
          <w:color w:val="auto"/>
        </w:rPr>
      </w:pPr>
      <w:r>
        <w:rPr>
          <w:rFonts w:ascii="宋体" w:hAnsi="宋体"/>
          <w:bCs w:val="0"/>
          <w:snapToGrid w:val="0"/>
          <w:color w:val="auto"/>
        </w:rPr>
        <w:br w:type="page"/>
      </w:r>
      <w:bookmarkStart w:id="110" w:name="_Toc57820616"/>
      <w:r>
        <w:rPr>
          <w:rFonts w:ascii="宋体" w:hAnsi="宋体"/>
          <w:b w:val="0"/>
          <w:snapToGrid w:val="0"/>
          <w:color w:val="auto"/>
        </w:rPr>
        <w:t>1.  评标方法</w:t>
      </w:r>
      <w:bookmarkEnd w:id="110"/>
    </w:p>
    <w:p>
      <w:pPr>
        <w:spacing w:line="500" w:lineRule="exact"/>
        <w:ind w:firstLine="420" w:firstLineChars="200"/>
        <w:jc w:val="left"/>
        <w:rPr>
          <w:rFonts w:ascii="宋体" w:hAnsi="宋体"/>
          <w:color w:val="auto"/>
        </w:rPr>
      </w:pPr>
      <w:r>
        <w:rPr>
          <w:rFonts w:hint="eastAsia" w:ascii="宋体" w:hAnsi="宋体"/>
          <w:color w:val="auto"/>
        </w:rPr>
        <w:t>本次评标采用经评审的最低投标价法，评标委员会按照本章第2.1款进行报价排序，按照本章第2.2款进行符合性审查，符合性审查合格的投标人中按报价由低到高推荐中标候选人，或根据</w:t>
      </w:r>
      <w:r>
        <w:rPr>
          <w:rFonts w:hint="eastAsia" w:ascii="宋体" w:hAnsi="宋体" w:cs="宋体"/>
          <w:color w:val="auto"/>
          <w:szCs w:val="21"/>
          <w:lang w:val="en-US" w:eastAsia="zh-CN"/>
        </w:rPr>
        <w:t>招标人</w:t>
      </w:r>
      <w:r>
        <w:rPr>
          <w:rFonts w:hint="eastAsia" w:ascii="宋体" w:hAnsi="宋体"/>
          <w:color w:val="auto"/>
        </w:rPr>
        <w:t>授权直接确定中标人。若出现投标人投标报价相同的，以评标办法前附表约定的原则确定排序。</w:t>
      </w:r>
    </w:p>
    <w:p>
      <w:pPr>
        <w:pStyle w:val="4"/>
        <w:spacing w:before="0" w:after="0" w:line="500" w:lineRule="exact"/>
        <w:jc w:val="left"/>
        <w:rPr>
          <w:rFonts w:ascii="宋体" w:hAnsi="宋体"/>
          <w:b w:val="0"/>
          <w:snapToGrid w:val="0"/>
          <w:color w:val="auto"/>
        </w:rPr>
      </w:pPr>
      <w:bookmarkStart w:id="111" w:name="_Toc57820617"/>
      <w:r>
        <w:rPr>
          <w:rFonts w:ascii="宋体" w:hAnsi="宋体"/>
          <w:b w:val="0"/>
          <w:snapToGrid w:val="0"/>
          <w:color w:val="auto"/>
        </w:rPr>
        <w:t>2.  评审标准</w:t>
      </w:r>
      <w:bookmarkEnd w:id="111"/>
    </w:p>
    <w:p>
      <w:pPr>
        <w:pStyle w:val="5"/>
        <w:spacing w:line="500" w:lineRule="exact"/>
        <w:jc w:val="left"/>
        <w:rPr>
          <w:rFonts w:ascii="宋体" w:hAnsi="宋体" w:cs="宋体"/>
          <w:color w:val="auto"/>
          <w:sz w:val="21"/>
          <w:szCs w:val="21"/>
        </w:rPr>
      </w:pPr>
      <w:bookmarkStart w:id="112" w:name="_Toc57820618"/>
      <w:r>
        <w:rPr>
          <w:rFonts w:ascii="宋体" w:hAnsi="宋体" w:cs="宋体"/>
          <w:color w:val="auto"/>
          <w:sz w:val="21"/>
          <w:szCs w:val="21"/>
        </w:rPr>
        <w:t>2.1</w:t>
      </w:r>
      <w:r>
        <w:rPr>
          <w:rFonts w:hint="eastAsia" w:ascii="宋体" w:hAnsi="宋体" w:cs="宋体"/>
          <w:color w:val="auto"/>
          <w:sz w:val="21"/>
          <w:szCs w:val="21"/>
        </w:rPr>
        <w:t>报价</w:t>
      </w:r>
      <w:r>
        <w:rPr>
          <w:rFonts w:ascii="宋体" w:hAnsi="宋体" w:cs="宋体"/>
          <w:color w:val="auto"/>
          <w:sz w:val="21"/>
          <w:szCs w:val="21"/>
        </w:rPr>
        <w:t>排序</w:t>
      </w:r>
      <w:r>
        <w:rPr>
          <w:rFonts w:hint="eastAsia" w:ascii="宋体" w:hAnsi="宋体" w:cs="宋体"/>
          <w:color w:val="auto"/>
          <w:sz w:val="21"/>
          <w:szCs w:val="21"/>
        </w:rPr>
        <w:t>标准</w:t>
      </w:r>
      <w:bookmarkEnd w:id="112"/>
    </w:p>
    <w:p>
      <w:pPr>
        <w:autoSpaceDE w:val="0"/>
        <w:autoSpaceDN w:val="0"/>
        <w:adjustRightInd w:val="0"/>
        <w:snapToGrid w:val="0"/>
        <w:spacing w:line="500" w:lineRule="exact"/>
        <w:ind w:firstLine="420" w:firstLineChars="200"/>
        <w:jc w:val="left"/>
        <w:rPr>
          <w:rFonts w:ascii="宋体" w:hAnsi="宋体" w:cs="宋体"/>
          <w:color w:val="auto"/>
          <w:szCs w:val="21"/>
        </w:rPr>
      </w:pPr>
      <w:r>
        <w:rPr>
          <w:rFonts w:hint="eastAsia" w:ascii="宋体" w:hAnsi="宋体" w:cs="宋体"/>
          <w:color w:val="auto"/>
          <w:szCs w:val="21"/>
        </w:rPr>
        <w:t>见评标办法前附表。</w:t>
      </w:r>
    </w:p>
    <w:p>
      <w:pPr>
        <w:pStyle w:val="5"/>
        <w:spacing w:line="500" w:lineRule="exact"/>
        <w:jc w:val="left"/>
        <w:rPr>
          <w:rFonts w:ascii="宋体" w:hAnsi="宋体" w:cs="宋体"/>
          <w:color w:val="auto"/>
          <w:sz w:val="21"/>
          <w:szCs w:val="21"/>
        </w:rPr>
      </w:pPr>
      <w:bookmarkStart w:id="113" w:name="_Toc57820619"/>
      <w:r>
        <w:rPr>
          <w:rFonts w:ascii="宋体" w:hAnsi="宋体" w:cs="宋体"/>
          <w:color w:val="auto"/>
          <w:sz w:val="21"/>
          <w:szCs w:val="21"/>
        </w:rPr>
        <w:t>2.</w:t>
      </w:r>
      <w:r>
        <w:rPr>
          <w:rFonts w:hint="eastAsia" w:ascii="宋体" w:hAnsi="宋体" w:cs="宋体"/>
          <w:color w:val="auto"/>
          <w:sz w:val="21"/>
          <w:szCs w:val="21"/>
        </w:rPr>
        <w:t>2符合性审查标准</w:t>
      </w:r>
      <w:bookmarkEnd w:id="113"/>
    </w:p>
    <w:p>
      <w:pPr>
        <w:autoSpaceDE w:val="0"/>
        <w:autoSpaceDN w:val="0"/>
        <w:adjustRightInd w:val="0"/>
        <w:snapToGrid w:val="0"/>
        <w:spacing w:line="500" w:lineRule="exact"/>
        <w:ind w:firstLine="420" w:firstLineChars="200"/>
        <w:jc w:val="left"/>
        <w:rPr>
          <w:rFonts w:ascii="宋体" w:hAnsi="宋体" w:cs="宋体"/>
          <w:color w:val="auto"/>
          <w:szCs w:val="21"/>
        </w:rPr>
      </w:pPr>
      <w:r>
        <w:rPr>
          <w:rFonts w:hint="eastAsia" w:ascii="宋体" w:hAnsi="宋体" w:cs="宋体"/>
          <w:color w:val="auto"/>
          <w:szCs w:val="21"/>
        </w:rPr>
        <w:t>按评标办法前附表约定的投标单位报价排序数量进行符合性审查</w:t>
      </w:r>
      <w:r>
        <w:rPr>
          <w:rFonts w:hint="eastAsia" w:ascii="宋体" w:hAnsi="宋体"/>
          <w:color w:val="auto"/>
          <w:spacing w:val="4"/>
          <w:kern w:val="0"/>
          <w:szCs w:val="21"/>
        </w:rPr>
        <w:t>。符合性审查内容：资格评审、形式评审、响应性、投标函部分及经济部分评审</w:t>
      </w:r>
      <w:r>
        <w:rPr>
          <w:rFonts w:hint="eastAsia" w:ascii="宋体" w:hAnsi="宋体" w:cs="宋体"/>
          <w:color w:val="auto"/>
          <w:szCs w:val="21"/>
        </w:rPr>
        <w:t>。</w:t>
      </w:r>
    </w:p>
    <w:p>
      <w:pPr>
        <w:autoSpaceDE w:val="0"/>
        <w:autoSpaceDN w:val="0"/>
        <w:adjustRightInd w:val="0"/>
        <w:snapToGrid w:val="0"/>
        <w:spacing w:line="500" w:lineRule="exact"/>
        <w:ind w:firstLine="420" w:firstLineChars="200"/>
        <w:jc w:val="left"/>
        <w:rPr>
          <w:rFonts w:ascii="宋体" w:hAnsi="宋体" w:cs="宋体"/>
          <w:color w:val="auto"/>
          <w:szCs w:val="21"/>
        </w:rPr>
      </w:pPr>
      <w:r>
        <w:rPr>
          <w:rFonts w:hint="eastAsia" w:ascii="宋体" w:hAnsi="宋体" w:cs="宋体"/>
          <w:color w:val="auto"/>
          <w:szCs w:val="21"/>
        </w:rPr>
        <w:t>2.2.1  技术方案评审标准：见评标办法前附表。</w:t>
      </w:r>
    </w:p>
    <w:p>
      <w:pPr>
        <w:autoSpaceDE w:val="0"/>
        <w:autoSpaceDN w:val="0"/>
        <w:adjustRightInd w:val="0"/>
        <w:snapToGrid w:val="0"/>
        <w:spacing w:line="500" w:lineRule="exact"/>
        <w:ind w:firstLine="420" w:firstLineChars="200"/>
        <w:jc w:val="left"/>
        <w:rPr>
          <w:rFonts w:ascii="宋体" w:hAnsi="宋体" w:cs="宋体"/>
          <w:color w:val="auto"/>
          <w:szCs w:val="21"/>
        </w:rPr>
      </w:pPr>
      <w:r>
        <w:rPr>
          <w:rFonts w:ascii="宋体" w:hAnsi="宋体" w:cs="宋体"/>
          <w:color w:val="auto"/>
          <w:szCs w:val="21"/>
        </w:rPr>
        <w:t>2.</w:t>
      </w:r>
      <w:r>
        <w:rPr>
          <w:rFonts w:hint="eastAsia" w:ascii="宋体" w:hAnsi="宋体" w:cs="宋体"/>
          <w:color w:val="auto"/>
          <w:szCs w:val="21"/>
        </w:rPr>
        <w:t>2</w:t>
      </w:r>
      <w:r>
        <w:rPr>
          <w:rFonts w:ascii="宋体" w:hAnsi="宋体" w:cs="宋体"/>
          <w:color w:val="auto"/>
          <w:szCs w:val="21"/>
        </w:rPr>
        <w:t>.</w:t>
      </w:r>
      <w:r>
        <w:rPr>
          <w:rFonts w:hint="eastAsia" w:ascii="宋体" w:hAnsi="宋体" w:cs="宋体"/>
          <w:color w:val="auto"/>
          <w:szCs w:val="21"/>
        </w:rPr>
        <w:t>2</w:t>
      </w:r>
      <w:r>
        <w:rPr>
          <w:rFonts w:hint="eastAsia" w:ascii="宋体" w:hAnsi="宋体" w:cs="宋体"/>
          <w:color w:val="auto"/>
          <w:szCs w:val="21"/>
          <w:lang w:val="en-US" w:eastAsia="zh-CN"/>
        </w:rPr>
        <w:t xml:space="preserve">  </w:t>
      </w:r>
      <w:r>
        <w:rPr>
          <w:rFonts w:hint="eastAsia" w:ascii="宋体" w:hAnsi="宋体" w:cs="宋体"/>
          <w:color w:val="auto"/>
          <w:szCs w:val="21"/>
        </w:rPr>
        <w:t>资格评审标准：见评标办法前附表。</w:t>
      </w:r>
    </w:p>
    <w:p>
      <w:pPr>
        <w:autoSpaceDE w:val="0"/>
        <w:autoSpaceDN w:val="0"/>
        <w:adjustRightInd w:val="0"/>
        <w:snapToGrid w:val="0"/>
        <w:spacing w:line="500" w:lineRule="exact"/>
        <w:ind w:firstLine="420" w:firstLineChars="200"/>
        <w:jc w:val="left"/>
        <w:rPr>
          <w:rFonts w:ascii="宋体" w:hAnsi="宋体" w:cs="宋体"/>
          <w:color w:val="auto"/>
          <w:szCs w:val="21"/>
        </w:rPr>
      </w:pPr>
      <w:r>
        <w:rPr>
          <w:rFonts w:ascii="宋体" w:hAnsi="宋体" w:cs="宋体"/>
          <w:color w:val="auto"/>
          <w:szCs w:val="21"/>
        </w:rPr>
        <w:t>2.</w:t>
      </w:r>
      <w:r>
        <w:rPr>
          <w:rFonts w:hint="eastAsia" w:ascii="宋体" w:hAnsi="宋体" w:cs="宋体"/>
          <w:color w:val="auto"/>
          <w:szCs w:val="21"/>
        </w:rPr>
        <w:t>2</w:t>
      </w:r>
      <w:r>
        <w:rPr>
          <w:rFonts w:ascii="宋体" w:hAnsi="宋体" w:cs="宋体"/>
          <w:color w:val="auto"/>
          <w:szCs w:val="21"/>
        </w:rPr>
        <w:t>.</w:t>
      </w:r>
      <w:r>
        <w:rPr>
          <w:rFonts w:hint="eastAsia" w:ascii="宋体" w:hAnsi="宋体" w:cs="宋体"/>
          <w:color w:val="auto"/>
          <w:szCs w:val="21"/>
        </w:rPr>
        <w:t>3  形式评审标准：见评标办法前附表。</w:t>
      </w:r>
    </w:p>
    <w:p>
      <w:pPr>
        <w:autoSpaceDE w:val="0"/>
        <w:autoSpaceDN w:val="0"/>
        <w:adjustRightInd w:val="0"/>
        <w:snapToGrid w:val="0"/>
        <w:spacing w:line="500" w:lineRule="exact"/>
        <w:ind w:firstLine="420" w:firstLineChars="200"/>
        <w:jc w:val="left"/>
        <w:rPr>
          <w:rFonts w:ascii="宋体" w:hAnsi="宋体" w:cs="宋体"/>
          <w:color w:val="auto"/>
          <w:szCs w:val="21"/>
        </w:rPr>
      </w:pPr>
      <w:r>
        <w:rPr>
          <w:rFonts w:ascii="宋体" w:hAnsi="宋体" w:cs="宋体"/>
          <w:color w:val="auto"/>
          <w:szCs w:val="21"/>
        </w:rPr>
        <w:t>2.</w:t>
      </w:r>
      <w:r>
        <w:rPr>
          <w:rFonts w:hint="eastAsia" w:ascii="宋体" w:hAnsi="宋体" w:cs="宋体"/>
          <w:color w:val="auto"/>
          <w:szCs w:val="21"/>
        </w:rPr>
        <w:t>2</w:t>
      </w:r>
      <w:r>
        <w:rPr>
          <w:rFonts w:ascii="宋体" w:hAnsi="宋体" w:cs="宋体"/>
          <w:color w:val="auto"/>
          <w:szCs w:val="21"/>
        </w:rPr>
        <w:t>.</w:t>
      </w:r>
      <w:r>
        <w:rPr>
          <w:rFonts w:hint="eastAsia" w:ascii="宋体" w:hAnsi="宋体" w:cs="宋体"/>
          <w:color w:val="auto"/>
          <w:szCs w:val="21"/>
        </w:rPr>
        <w:t>4  响应性评审标准：见评标办法前附表。</w:t>
      </w:r>
    </w:p>
    <w:p>
      <w:pPr>
        <w:autoSpaceDE w:val="0"/>
        <w:autoSpaceDN w:val="0"/>
        <w:adjustRightInd w:val="0"/>
        <w:snapToGrid w:val="0"/>
        <w:spacing w:line="500" w:lineRule="exact"/>
        <w:ind w:firstLine="420" w:firstLineChars="200"/>
        <w:jc w:val="left"/>
        <w:rPr>
          <w:rFonts w:ascii="宋体" w:hAnsi="宋体" w:cs="宋体"/>
          <w:color w:val="auto"/>
          <w:szCs w:val="21"/>
        </w:rPr>
      </w:pPr>
      <w:r>
        <w:rPr>
          <w:rFonts w:hint="eastAsia" w:ascii="宋体" w:hAnsi="宋体" w:cs="宋体"/>
          <w:color w:val="auto"/>
          <w:szCs w:val="21"/>
        </w:rPr>
        <w:t>2.2.5  投标函部分及经济部分评审标准：见评标办法前附表。</w:t>
      </w:r>
    </w:p>
    <w:p>
      <w:pPr>
        <w:pStyle w:val="4"/>
        <w:spacing w:before="0" w:after="0" w:line="500" w:lineRule="exact"/>
        <w:jc w:val="left"/>
        <w:rPr>
          <w:rFonts w:ascii="宋体" w:hAnsi="宋体"/>
          <w:b w:val="0"/>
          <w:snapToGrid w:val="0"/>
          <w:color w:val="auto"/>
        </w:rPr>
      </w:pPr>
      <w:bookmarkStart w:id="114" w:name="_Toc57820620"/>
      <w:r>
        <w:rPr>
          <w:rFonts w:ascii="宋体" w:hAnsi="宋体"/>
          <w:b w:val="0"/>
          <w:snapToGrid w:val="0"/>
          <w:color w:val="auto"/>
        </w:rPr>
        <w:t>3.  评标程序</w:t>
      </w:r>
      <w:bookmarkEnd w:id="114"/>
    </w:p>
    <w:p>
      <w:pPr>
        <w:pStyle w:val="5"/>
        <w:spacing w:line="500" w:lineRule="exact"/>
        <w:jc w:val="left"/>
        <w:rPr>
          <w:rFonts w:ascii="宋体" w:hAnsi="宋体" w:cs="宋体"/>
          <w:color w:val="auto"/>
          <w:sz w:val="21"/>
          <w:szCs w:val="21"/>
        </w:rPr>
      </w:pPr>
      <w:bookmarkStart w:id="115" w:name="_Toc57820621"/>
      <w:r>
        <w:rPr>
          <w:rFonts w:ascii="宋体" w:hAnsi="宋体" w:cs="宋体"/>
          <w:color w:val="auto"/>
          <w:sz w:val="21"/>
          <w:szCs w:val="21"/>
        </w:rPr>
        <w:t>3.1</w:t>
      </w:r>
      <w:r>
        <w:rPr>
          <w:rFonts w:hint="eastAsia" w:ascii="宋体" w:hAnsi="宋体" w:cs="宋体"/>
          <w:color w:val="auto"/>
          <w:sz w:val="21"/>
          <w:szCs w:val="21"/>
        </w:rPr>
        <w:t>报价排序</w:t>
      </w:r>
      <w:bookmarkEnd w:id="115"/>
    </w:p>
    <w:p>
      <w:pPr>
        <w:pStyle w:val="5"/>
        <w:spacing w:line="500" w:lineRule="exact"/>
        <w:ind w:firstLine="420" w:firstLineChars="200"/>
        <w:jc w:val="left"/>
        <w:rPr>
          <w:rFonts w:ascii="宋体" w:hAnsi="宋体" w:cs="宋体"/>
          <w:b w:val="0"/>
          <w:bCs w:val="0"/>
          <w:color w:val="auto"/>
          <w:sz w:val="21"/>
          <w:szCs w:val="21"/>
        </w:rPr>
      </w:pPr>
      <w:bookmarkStart w:id="116" w:name="_Toc57820622"/>
      <w:r>
        <w:rPr>
          <w:rFonts w:hint="eastAsia" w:ascii="宋体" w:hAnsi="宋体" w:cs="宋体"/>
          <w:b w:val="0"/>
          <w:bCs w:val="0"/>
          <w:color w:val="auto"/>
          <w:sz w:val="21"/>
          <w:szCs w:val="21"/>
        </w:rPr>
        <w:t>对报价不高于最高限价的所有投标人的投标文件，按照报价由低到高的顺序排列。</w:t>
      </w:r>
    </w:p>
    <w:p>
      <w:pPr>
        <w:pStyle w:val="5"/>
        <w:spacing w:line="500" w:lineRule="exact"/>
        <w:jc w:val="left"/>
        <w:rPr>
          <w:rFonts w:ascii="宋体" w:hAnsi="宋体" w:cs="宋体"/>
          <w:color w:val="auto"/>
          <w:sz w:val="21"/>
          <w:szCs w:val="21"/>
        </w:rPr>
      </w:pPr>
      <w:r>
        <w:rPr>
          <w:rFonts w:ascii="宋体" w:hAnsi="宋体" w:cs="宋体"/>
          <w:color w:val="auto"/>
          <w:sz w:val="21"/>
          <w:szCs w:val="21"/>
        </w:rPr>
        <w:t>3.</w:t>
      </w:r>
      <w:r>
        <w:rPr>
          <w:rFonts w:hint="eastAsia" w:ascii="宋体" w:hAnsi="宋体" w:cs="宋体"/>
          <w:color w:val="auto"/>
          <w:sz w:val="21"/>
          <w:szCs w:val="21"/>
        </w:rPr>
        <w:t>2符合性审查</w:t>
      </w:r>
      <w:bookmarkEnd w:id="116"/>
    </w:p>
    <w:p>
      <w:pPr>
        <w:spacing w:line="500" w:lineRule="exact"/>
        <w:ind w:firstLine="413" w:firstLineChars="197"/>
        <w:jc w:val="left"/>
        <w:rPr>
          <w:rFonts w:ascii="宋体" w:hAnsi="宋体" w:cs="宋体"/>
          <w:color w:val="auto"/>
          <w:szCs w:val="21"/>
        </w:rPr>
      </w:pPr>
      <w:r>
        <w:rPr>
          <w:rFonts w:ascii="宋体" w:hAnsi="宋体" w:cs="宋体"/>
          <w:color w:val="auto"/>
          <w:szCs w:val="21"/>
        </w:rPr>
        <w:t>3.</w:t>
      </w:r>
      <w:r>
        <w:rPr>
          <w:rFonts w:hint="eastAsia" w:ascii="宋体" w:hAnsi="宋体" w:cs="宋体"/>
          <w:color w:val="auto"/>
          <w:szCs w:val="21"/>
        </w:rPr>
        <w:t>2</w:t>
      </w:r>
      <w:r>
        <w:rPr>
          <w:rFonts w:ascii="宋体" w:hAnsi="宋体" w:cs="宋体"/>
          <w:color w:val="auto"/>
          <w:szCs w:val="21"/>
        </w:rPr>
        <w:t>.1评标委员会依据本章第2.</w:t>
      </w:r>
      <w:r>
        <w:rPr>
          <w:rFonts w:hint="eastAsia" w:ascii="宋体" w:hAnsi="宋体" w:cs="宋体"/>
          <w:color w:val="auto"/>
          <w:szCs w:val="21"/>
        </w:rPr>
        <w:t>2</w:t>
      </w:r>
      <w:r>
        <w:rPr>
          <w:rFonts w:ascii="宋体" w:hAnsi="宋体" w:cs="宋体"/>
          <w:color w:val="auto"/>
          <w:szCs w:val="21"/>
        </w:rPr>
        <w:t xml:space="preserve"> </w:t>
      </w:r>
      <w:r>
        <w:rPr>
          <w:rFonts w:hint="eastAsia" w:ascii="宋体" w:hAnsi="宋体" w:cs="宋体"/>
          <w:color w:val="auto"/>
          <w:szCs w:val="21"/>
        </w:rPr>
        <w:t>款规定的标准对投标文件进行符合性审查。符合性审查顺序：资格评审、形式评审、响应性、投标函部分及经济部分评审。</w:t>
      </w:r>
    </w:p>
    <w:p>
      <w:pPr>
        <w:spacing w:line="500" w:lineRule="exact"/>
        <w:ind w:firstLine="420" w:firstLineChars="200"/>
        <w:jc w:val="left"/>
        <w:rPr>
          <w:rFonts w:ascii="宋体" w:hAnsi="宋体" w:cs="宋体"/>
          <w:color w:val="auto"/>
          <w:szCs w:val="21"/>
        </w:rPr>
      </w:pPr>
      <w:r>
        <w:rPr>
          <w:rFonts w:ascii="宋体" w:hAnsi="宋体" w:cs="宋体"/>
          <w:color w:val="auto"/>
          <w:szCs w:val="21"/>
        </w:rPr>
        <w:t>3.</w:t>
      </w:r>
      <w:r>
        <w:rPr>
          <w:rFonts w:hint="eastAsia" w:ascii="宋体" w:hAnsi="宋体" w:cs="宋体"/>
          <w:color w:val="auto"/>
          <w:szCs w:val="21"/>
        </w:rPr>
        <w:t>2</w:t>
      </w:r>
      <w:r>
        <w:rPr>
          <w:rFonts w:ascii="宋体" w:hAnsi="宋体" w:cs="宋体"/>
          <w:color w:val="auto"/>
          <w:szCs w:val="21"/>
        </w:rPr>
        <w:t>.2 投标人有以下情形之一的，</w:t>
      </w:r>
      <w:r>
        <w:rPr>
          <w:rFonts w:hint="eastAsia" w:ascii="宋体" w:hAnsi="宋体" w:cs="宋体"/>
          <w:color w:val="auto"/>
          <w:szCs w:val="21"/>
        </w:rPr>
        <w:t>其投标文件将被否决：</w:t>
      </w:r>
    </w:p>
    <w:p>
      <w:pPr>
        <w:spacing w:line="500" w:lineRule="exact"/>
        <w:ind w:firstLine="405" w:firstLineChars="193"/>
        <w:jc w:val="left"/>
        <w:rPr>
          <w:rFonts w:ascii="宋体" w:hAnsi="宋体" w:cs="宋体"/>
          <w:color w:val="auto"/>
          <w:szCs w:val="21"/>
        </w:rPr>
      </w:pPr>
      <w:r>
        <w:rPr>
          <w:rFonts w:hint="eastAsia" w:ascii="宋体" w:hAnsi="宋体" w:cs="宋体"/>
          <w:color w:val="auto"/>
          <w:szCs w:val="21"/>
        </w:rPr>
        <w:t>（1</w:t>
      </w:r>
      <w:r>
        <w:rPr>
          <w:rFonts w:ascii="宋体" w:hAnsi="宋体" w:cs="宋体"/>
          <w:color w:val="auto"/>
          <w:szCs w:val="21"/>
        </w:rPr>
        <w:t xml:space="preserve">）第二章“投标人须知”第1.4.3 </w:t>
      </w:r>
      <w:r>
        <w:rPr>
          <w:rFonts w:hint="eastAsia" w:ascii="宋体" w:hAnsi="宋体" w:cs="宋体"/>
          <w:color w:val="auto"/>
          <w:szCs w:val="21"/>
        </w:rPr>
        <w:t>项</w:t>
      </w:r>
      <w:r>
        <w:rPr>
          <w:rFonts w:ascii="宋体" w:hAnsi="宋体" w:cs="宋体"/>
          <w:color w:val="auto"/>
          <w:szCs w:val="21"/>
        </w:rPr>
        <w:t>规定的任何一种情形的；</w:t>
      </w:r>
    </w:p>
    <w:p>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（2</w:t>
      </w:r>
      <w:r>
        <w:rPr>
          <w:rFonts w:ascii="宋体" w:hAnsi="宋体" w:cs="宋体"/>
          <w:color w:val="auto"/>
          <w:szCs w:val="21"/>
        </w:rPr>
        <w:t>）</w:t>
      </w:r>
      <w:r>
        <w:rPr>
          <w:rFonts w:hint="eastAsia" w:ascii="宋体" w:hAnsi="宋体" w:cs="宋体"/>
          <w:color w:val="auto"/>
          <w:szCs w:val="21"/>
        </w:rPr>
        <w:t>本次投标有串通投标、弄虚作假等其他违反招投标相关法律、法规行为的；</w:t>
      </w:r>
    </w:p>
    <w:p>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（3）拒绝按评标委员会要求澄清、说明或补正的。</w:t>
      </w:r>
    </w:p>
    <w:p>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3.2.3 投标报价有算术错误的，评标委员会按以下原则对投标报价进行修正，修正的价格经投标人书面确认后具有约束力，修正原则如下：</w:t>
      </w:r>
    </w:p>
    <w:p>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（1）投标文件中的大写金额与小写金额不一致的，以大写金额为准；</w:t>
      </w:r>
    </w:p>
    <w:p>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（2）投标函中的总报价与已标价工程量清单总报价不一致，且工程量清单总报价与依据单价、工程数量、分部分项工程合价计算出的结果不一致的，由评标委员会作否决投标处理。</w:t>
      </w:r>
    </w:p>
    <w:p>
      <w:pPr>
        <w:pStyle w:val="5"/>
        <w:spacing w:line="500" w:lineRule="exact"/>
        <w:jc w:val="left"/>
        <w:rPr>
          <w:rFonts w:ascii="宋体" w:hAnsi="宋体" w:cs="宋体"/>
          <w:color w:val="auto"/>
          <w:sz w:val="21"/>
          <w:szCs w:val="21"/>
        </w:rPr>
      </w:pPr>
      <w:bookmarkStart w:id="117" w:name="_Toc57820623"/>
      <w:r>
        <w:rPr>
          <w:rFonts w:ascii="宋体" w:hAnsi="宋体" w:cs="宋体"/>
          <w:color w:val="auto"/>
          <w:sz w:val="21"/>
          <w:szCs w:val="21"/>
        </w:rPr>
        <w:t>3.</w:t>
      </w:r>
      <w:r>
        <w:rPr>
          <w:rFonts w:hint="eastAsia" w:ascii="宋体" w:hAnsi="宋体" w:cs="宋体"/>
          <w:color w:val="auto"/>
          <w:sz w:val="21"/>
          <w:szCs w:val="21"/>
        </w:rPr>
        <w:t>3</w:t>
      </w:r>
      <w:r>
        <w:rPr>
          <w:rFonts w:ascii="宋体" w:hAnsi="宋体" w:cs="宋体"/>
          <w:color w:val="auto"/>
          <w:sz w:val="21"/>
          <w:szCs w:val="21"/>
        </w:rPr>
        <w:t xml:space="preserve"> </w:t>
      </w:r>
      <w:r>
        <w:rPr>
          <w:rFonts w:hint="eastAsia" w:ascii="宋体" w:hAnsi="宋体" w:cs="宋体"/>
          <w:color w:val="auto"/>
          <w:sz w:val="21"/>
          <w:szCs w:val="21"/>
        </w:rPr>
        <w:t>投标文件的澄清和补正</w:t>
      </w:r>
      <w:bookmarkEnd w:id="117"/>
    </w:p>
    <w:p>
      <w:pPr>
        <w:spacing w:line="500" w:lineRule="exact"/>
        <w:ind w:firstLine="420" w:firstLineChars="200"/>
        <w:jc w:val="left"/>
        <w:rPr>
          <w:rFonts w:ascii="宋体" w:hAnsi="宋体" w:cs="宋体"/>
          <w:color w:val="auto"/>
          <w:szCs w:val="21"/>
        </w:rPr>
      </w:pPr>
      <w:r>
        <w:rPr>
          <w:rFonts w:ascii="宋体" w:hAnsi="宋体" w:cs="宋体"/>
          <w:color w:val="auto"/>
          <w:szCs w:val="21"/>
        </w:rPr>
        <w:t>3.</w:t>
      </w:r>
      <w:r>
        <w:rPr>
          <w:rFonts w:hint="eastAsia" w:ascii="宋体" w:hAnsi="宋体" w:cs="宋体"/>
          <w:color w:val="auto"/>
          <w:szCs w:val="21"/>
        </w:rPr>
        <w:t>3</w:t>
      </w:r>
      <w:r>
        <w:rPr>
          <w:rFonts w:ascii="宋体" w:hAnsi="宋体" w:cs="宋体"/>
          <w:color w:val="auto"/>
          <w:szCs w:val="21"/>
        </w:rPr>
        <w:t xml:space="preserve">.1 </w:t>
      </w:r>
      <w:r>
        <w:rPr>
          <w:rFonts w:hint="eastAsia" w:ascii="宋体" w:hAnsi="宋体" w:cs="宋体"/>
          <w:color w:val="auto"/>
          <w:szCs w:val="21"/>
        </w:rPr>
        <w:t>在评标过程中，评标委员会可以书面形式要求投标人对所提交投标文件中不明确的内容进行书面澄清或说明，或者对细微偏差进行补正。评标委员会不接受投标人主动提出的澄清、说明或补正。</w:t>
      </w:r>
    </w:p>
    <w:p>
      <w:pPr>
        <w:spacing w:line="500" w:lineRule="exact"/>
        <w:ind w:firstLine="420" w:firstLineChars="200"/>
        <w:jc w:val="left"/>
        <w:rPr>
          <w:rFonts w:ascii="宋体" w:hAnsi="宋体" w:cs="宋体"/>
          <w:color w:val="auto"/>
          <w:szCs w:val="21"/>
        </w:rPr>
      </w:pPr>
      <w:r>
        <w:rPr>
          <w:rFonts w:ascii="宋体" w:hAnsi="宋体" w:cs="宋体"/>
          <w:color w:val="auto"/>
          <w:szCs w:val="21"/>
        </w:rPr>
        <w:t>3.</w:t>
      </w:r>
      <w:r>
        <w:rPr>
          <w:rFonts w:hint="eastAsia" w:ascii="宋体" w:hAnsi="宋体" w:cs="宋体"/>
          <w:color w:val="auto"/>
          <w:szCs w:val="21"/>
        </w:rPr>
        <w:t>3</w:t>
      </w:r>
      <w:r>
        <w:rPr>
          <w:rFonts w:ascii="宋体" w:hAnsi="宋体" w:cs="宋体"/>
          <w:color w:val="auto"/>
          <w:szCs w:val="21"/>
        </w:rPr>
        <w:t xml:space="preserve">.2 </w:t>
      </w:r>
      <w:r>
        <w:rPr>
          <w:rFonts w:hint="eastAsia" w:ascii="宋体" w:hAnsi="宋体" w:cs="宋体"/>
          <w:color w:val="auto"/>
          <w:szCs w:val="21"/>
        </w:rPr>
        <w:t>澄清、说明和补正不得改变投标文件的实质性内容（算术性错误修正的除外）。投标人的书面澄清、说明和补正属于投标文件的组成部分。</w:t>
      </w:r>
    </w:p>
    <w:p>
      <w:pPr>
        <w:spacing w:line="500" w:lineRule="exact"/>
        <w:ind w:firstLine="420" w:firstLineChars="200"/>
        <w:jc w:val="left"/>
        <w:rPr>
          <w:rFonts w:ascii="宋体" w:hAnsi="宋体" w:cs="宋体"/>
          <w:color w:val="auto"/>
          <w:szCs w:val="21"/>
        </w:rPr>
      </w:pPr>
      <w:r>
        <w:rPr>
          <w:rFonts w:ascii="宋体" w:hAnsi="宋体" w:cs="宋体"/>
          <w:color w:val="auto"/>
          <w:szCs w:val="21"/>
        </w:rPr>
        <w:t>3.</w:t>
      </w:r>
      <w:r>
        <w:rPr>
          <w:rFonts w:hint="eastAsia" w:ascii="宋体" w:hAnsi="宋体" w:cs="宋体"/>
          <w:color w:val="auto"/>
          <w:szCs w:val="21"/>
        </w:rPr>
        <w:t>3</w:t>
      </w:r>
      <w:r>
        <w:rPr>
          <w:rFonts w:ascii="宋体" w:hAnsi="宋体" w:cs="宋体"/>
          <w:color w:val="auto"/>
          <w:szCs w:val="21"/>
        </w:rPr>
        <w:t xml:space="preserve">.3 </w:t>
      </w:r>
      <w:r>
        <w:rPr>
          <w:rFonts w:hint="eastAsia" w:ascii="宋体" w:hAnsi="宋体" w:cs="宋体"/>
          <w:color w:val="auto"/>
          <w:szCs w:val="21"/>
        </w:rPr>
        <w:t>评标委员会对投标人提交的澄清、说明或补正有疑问的，可以要求投标人进一步澄清、说明或补正，直至满足评标委员会的要求。</w:t>
      </w:r>
    </w:p>
    <w:p>
      <w:pPr>
        <w:pStyle w:val="5"/>
        <w:spacing w:line="500" w:lineRule="exact"/>
        <w:jc w:val="left"/>
        <w:rPr>
          <w:rFonts w:ascii="宋体" w:hAnsi="宋体" w:cs="宋体"/>
          <w:color w:val="auto"/>
          <w:sz w:val="21"/>
          <w:szCs w:val="21"/>
        </w:rPr>
      </w:pPr>
      <w:bookmarkStart w:id="118" w:name="_Toc57820624"/>
      <w:bookmarkStart w:id="119" w:name="_Toc479262406"/>
      <w:bookmarkStart w:id="120" w:name="_Toc484465184"/>
      <w:r>
        <w:rPr>
          <w:rFonts w:ascii="宋体" w:hAnsi="宋体" w:cs="宋体"/>
          <w:color w:val="auto"/>
          <w:sz w:val="21"/>
          <w:szCs w:val="21"/>
        </w:rPr>
        <w:t>3.</w:t>
      </w:r>
      <w:r>
        <w:rPr>
          <w:rFonts w:hint="eastAsia" w:ascii="宋体" w:hAnsi="宋体" w:cs="宋体"/>
          <w:color w:val="auto"/>
          <w:sz w:val="21"/>
          <w:szCs w:val="21"/>
        </w:rPr>
        <w:t>4</w:t>
      </w:r>
      <w:r>
        <w:rPr>
          <w:rFonts w:ascii="宋体" w:hAnsi="宋体" w:cs="宋体"/>
          <w:color w:val="auto"/>
          <w:sz w:val="21"/>
          <w:szCs w:val="21"/>
        </w:rPr>
        <w:t xml:space="preserve"> </w:t>
      </w:r>
      <w:r>
        <w:rPr>
          <w:rFonts w:hint="eastAsia" w:ascii="宋体" w:hAnsi="宋体" w:cs="宋体"/>
          <w:color w:val="auto"/>
          <w:sz w:val="21"/>
          <w:szCs w:val="21"/>
        </w:rPr>
        <w:t>评标结果</w:t>
      </w:r>
      <w:bookmarkEnd w:id="118"/>
      <w:bookmarkEnd w:id="119"/>
      <w:bookmarkEnd w:id="120"/>
    </w:p>
    <w:p>
      <w:pPr>
        <w:autoSpaceDE w:val="0"/>
        <w:autoSpaceDN w:val="0"/>
        <w:adjustRightInd w:val="0"/>
        <w:spacing w:line="500" w:lineRule="exact"/>
        <w:ind w:firstLine="420" w:firstLineChars="200"/>
        <w:jc w:val="left"/>
        <w:rPr>
          <w:rFonts w:ascii="宋体" w:hAnsi="宋体" w:cs="宋体"/>
          <w:color w:val="auto"/>
          <w:kern w:val="0"/>
          <w:szCs w:val="21"/>
        </w:rPr>
      </w:pPr>
      <w:r>
        <w:rPr>
          <w:rFonts w:ascii="宋体" w:hAnsi="宋体" w:cs="宋体"/>
          <w:color w:val="auto"/>
          <w:szCs w:val="21"/>
        </w:rPr>
        <w:t>3.</w:t>
      </w:r>
      <w:r>
        <w:rPr>
          <w:rFonts w:hint="eastAsia" w:ascii="宋体" w:hAnsi="宋体" w:cs="宋体"/>
          <w:color w:val="auto"/>
          <w:szCs w:val="21"/>
        </w:rPr>
        <w:t>4</w:t>
      </w:r>
      <w:r>
        <w:rPr>
          <w:rFonts w:ascii="宋体" w:hAnsi="宋体" w:cs="宋体"/>
          <w:color w:val="auto"/>
          <w:szCs w:val="21"/>
        </w:rPr>
        <w:t>.1</w:t>
      </w:r>
      <w:r>
        <w:rPr>
          <w:rFonts w:hint="eastAsia" w:ascii="宋体" w:hAnsi="宋体" w:cs="宋体"/>
          <w:color w:val="auto"/>
          <w:szCs w:val="21"/>
        </w:rPr>
        <w:t xml:space="preserve"> 除第二章“投标人须知”前附表授权直接确定中标人外，评标委员会按经评审的最低投标价法推荐中标候选人。</w:t>
      </w:r>
    </w:p>
    <w:p>
      <w:pPr>
        <w:spacing w:line="360" w:lineRule="auto"/>
        <w:ind w:firstLine="420" w:firstLineChars="200"/>
        <w:jc w:val="left"/>
        <w:rPr>
          <w:rFonts w:ascii="宋体" w:hAnsi="宋体" w:cs="宋体"/>
          <w:color w:val="auto"/>
          <w:szCs w:val="21"/>
        </w:rPr>
      </w:pPr>
      <w:r>
        <w:rPr>
          <w:rFonts w:ascii="宋体" w:hAnsi="宋体" w:cs="宋体"/>
          <w:color w:val="auto"/>
          <w:szCs w:val="21"/>
        </w:rPr>
        <w:t>3.</w:t>
      </w:r>
      <w:r>
        <w:rPr>
          <w:rFonts w:hint="eastAsia" w:ascii="宋体" w:hAnsi="宋体" w:cs="宋体"/>
          <w:color w:val="auto"/>
          <w:szCs w:val="21"/>
        </w:rPr>
        <w:t>4</w:t>
      </w:r>
      <w:r>
        <w:rPr>
          <w:rFonts w:ascii="宋体" w:hAnsi="宋体" w:cs="宋体"/>
          <w:color w:val="auto"/>
          <w:szCs w:val="21"/>
        </w:rPr>
        <w:t>.2</w:t>
      </w:r>
      <w:r>
        <w:rPr>
          <w:rFonts w:hint="eastAsia" w:ascii="宋体" w:hAnsi="宋体" w:cs="宋体"/>
          <w:color w:val="auto"/>
          <w:szCs w:val="21"/>
        </w:rPr>
        <w:t xml:space="preserve"> 评标委员会完成评标后，应当向</w:t>
      </w:r>
      <w:r>
        <w:rPr>
          <w:rFonts w:hint="eastAsia" w:ascii="宋体" w:hAnsi="宋体" w:cs="宋体"/>
          <w:color w:val="auto"/>
          <w:szCs w:val="21"/>
          <w:lang w:val="en-US" w:eastAsia="zh-CN"/>
        </w:rPr>
        <w:t>招标人</w:t>
      </w:r>
      <w:r>
        <w:rPr>
          <w:rFonts w:hint="eastAsia" w:ascii="宋体" w:hAnsi="宋体" w:cs="宋体"/>
          <w:color w:val="auto"/>
          <w:szCs w:val="21"/>
        </w:rPr>
        <w:t>提交书面评标报告和中标候选人名单。</w:t>
      </w:r>
    </w:p>
    <w:p>
      <w:pPr>
        <w:pStyle w:val="37"/>
        <w:spacing w:line="360" w:lineRule="auto"/>
        <w:rPr>
          <w:rFonts w:ascii="宋体" w:hAnsi="宋体"/>
          <w:b/>
          <w:color w:val="auto"/>
          <w:sz w:val="28"/>
          <w:szCs w:val="28"/>
          <w:highlight w:val="none"/>
          <w:u w:val="none"/>
          <w:lang w:eastAsia="zh-CN"/>
        </w:rPr>
      </w:pPr>
      <w:r>
        <w:rPr>
          <w:rFonts w:ascii="宋体" w:hAnsi="宋体" w:cs="宋体"/>
          <w:color w:val="auto"/>
          <w:szCs w:val="21"/>
          <w:lang w:eastAsia="zh-CN"/>
        </w:rPr>
        <w:br w:type="page"/>
      </w:r>
      <w:r>
        <w:rPr>
          <w:rFonts w:hint="eastAsia" w:ascii="宋体" w:hAnsi="宋体"/>
          <w:b/>
          <w:color w:val="auto"/>
          <w:sz w:val="28"/>
          <w:szCs w:val="28"/>
          <w:highlight w:val="none"/>
          <w:u w:val="none"/>
          <w:lang w:eastAsia="zh-CN"/>
        </w:rPr>
        <w:t>附件A：经评审的最低投标价法否决投标情况一览表</w:t>
      </w:r>
    </w:p>
    <w:p>
      <w:pPr>
        <w:pStyle w:val="37"/>
        <w:spacing w:line="360" w:lineRule="auto"/>
        <w:ind w:firstLine="420" w:firstLineChars="200"/>
        <w:jc w:val="both"/>
        <w:rPr>
          <w:rFonts w:hint="eastAsia" w:ascii="宋体" w:hAnsi="宋体"/>
          <w:color w:val="auto"/>
          <w:sz w:val="21"/>
          <w:szCs w:val="21"/>
          <w:highlight w:val="none"/>
          <w:u w:val="none"/>
          <w:lang w:eastAsia="zh-CN"/>
        </w:rPr>
      </w:pPr>
      <w:r>
        <w:rPr>
          <w:rFonts w:hint="eastAsia" w:ascii="宋体" w:hAnsi="宋体"/>
          <w:color w:val="auto"/>
          <w:sz w:val="21"/>
          <w:szCs w:val="21"/>
          <w:highlight w:val="none"/>
          <w:u w:val="none"/>
          <w:lang w:eastAsia="zh-CN"/>
        </w:rPr>
        <w:t>投标文件存在本一览表下列情形之一的，投标文件视为重大偏差并作否决投标处理，否则，评标委员会不得视为重大偏差而否决投标人的投标文件。</w:t>
      </w:r>
    </w:p>
    <w:tbl>
      <w:tblPr>
        <w:tblStyle w:val="52"/>
        <w:tblW w:w="8809" w:type="dxa"/>
        <w:jc w:val="center"/>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961"/>
        <w:gridCol w:w="1515"/>
        <w:gridCol w:w="6333"/>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61" w:type="dxa"/>
            <w:tcBorders>
              <w:top w:val="single" w:color="000000" w:sz="8" w:space="0"/>
              <w:left w:val="single" w:color="000000" w:sz="8" w:space="0"/>
              <w:bottom w:val="single" w:color="000000" w:sz="4" w:space="0"/>
              <w:right w:val="single" w:color="000000" w:sz="4" w:space="0"/>
            </w:tcBorders>
            <w:vAlign w:val="center"/>
          </w:tcPr>
          <w:p>
            <w:pPr>
              <w:spacing w:line="400" w:lineRule="exact"/>
              <w:jc w:val="center"/>
              <w:rPr>
                <w:rFonts w:ascii="宋体" w:hAnsi="宋体"/>
                <w:b/>
                <w:color w:val="auto"/>
                <w:szCs w:val="21"/>
                <w:highlight w:val="none"/>
              </w:rPr>
            </w:pPr>
            <w:r>
              <w:rPr>
                <w:rFonts w:hint="eastAsia" w:ascii="宋体" w:hAnsi="宋体"/>
                <w:b/>
                <w:color w:val="auto"/>
                <w:szCs w:val="21"/>
                <w:highlight w:val="none"/>
              </w:rPr>
              <w:t>章节号</w:t>
            </w:r>
          </w:p>
        </w:tc>
        <w:tc>
          <w:tcPr>
            <w:tcW w:w="1515" w:type="dxa"/>
            <w:tcBorders>
              <w:top w:val="single" w:color="000000" w:sz="8" w:space="0"/>
              <w:left w:val="single" w:color="000000" w:sz="4" w:space="0"/>
              <w:bottom w:val="single" w:color="000000" w:sz="4" w:space="0"/>
              <w:right w:val="single" w:color="000000" w:sz="4" w:space="0"/>
            </w:tcBorders>
            <w:vAlign w:val="center"/>
          </w:tcPr>
          <w:p>
            <w:pPr>
              <w:spacing w:line="400" w:lineRule="exact"/>
              <w:jc w:val="center"/>
              <w:rPr>
                <w:rFonts w:ascii="宋体" w:hAnsi="宋体"/>
                <w:b/>
                <w:color w:val="auto"/>
                <w:szCs w:val="21"/>
                <w:highlight w:val="none"/>
              </w:rPr>
            </w:pPr>
            <w:r>
              <w:rPr>
                <w:rFonts w:hint="eastAsia" w:ascii="宋体" w:hAnsi="宋体"/>
                <w:b/>
                <w:color w:val="auto"/>
                <w:szCs w:val="21"/>
                <w:highlight w:val="none"/>
              </w:rPr>
              <w:t>条款名称</w:t>
            </w:r>
          </w:p>
        </w:tc>
        <w:tc>
          <w:tcPr>
            <w:tcW w:w="6333" w:type="dxa"/>
            <w:tcBorders>
              <w:top w:val="single" w:color="000000" w:sz="8" w:space="0"/>
              <w:left w:val="single" w:color="000000" w:sz="4" w:space="0"/>
              <w:bottom w:val="single" w:color="000000" w:sz="4" w:space="0"/>
              <w:right w:val="single" w:color="000000" w:sz="8" w:space="0"/>
            </w:tcBorders>
            <w:vAlign w:val="center"/>
          </w:tcPr>
          <w:p>
            <w:pPr>
              <w:spacing w:line="400" w:lineRule="exact"/>
              <w:jc w:val="center"/>
              <w:rPr>
                <w:rFonts w:ascii="宋体" w:hAnsi="宋体"/>
                <w:b/>
                <w:color w:val="auto"/>
                <w:szCs w:val="21"/>
                <w:highlight w:val="none"/>
              </w:rPr>
            </w:pPr>
            <w:r>
              <w:rPr>
                <w:rFonts w:hint="eastAsia" w:ascii="宋体" w:hAnsi="宋体"/>
                <w:b/>
                <w:color w:val="auto"/>
                <w:szCs w:val="21"/>
                <w:highlight w:val="none"/>
              </w:rPr>
              <w:t>否决投标条件</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blHeader/>
          <w:jc w:val="center"/>
        </w:trPr>
        <w:tc>
          <w:tcPr>
            <w:tcW w:w="961" w:type="dxa"/>
            <w:vMerge w:val="restart"/>
            <w:tcBorders>
              <w:top w:val="single" w:color="000000" w:sz="4" w:space="0"/>
              <w:left w:val="single" w:color="000000" w:sz="8" w:space="0"/>
              <w:bottom w:val="single" w:color="000000" w:sz="4" w:space="0"/>
              <w:right w:val="single" w:color="000000" w:sz="4" w:space="0"/>
            </w:tcBorders>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第三章</w:t>
            </w:r>
          </w:p>
        </w:tc>
        <w:tc>
          <w:tcPr>
            <w:tcW w:w="1515" w:type="dxa"/>
            <w:tcBorders>
              <w:top w:val="single" w:color="000000" w:sz="4" w:space="0"/>
              <w:left w:val="single" w:color="000000" w:sz="4" w:space="0"/>
              <w:bottom w:val="single" w:color="auto" w:sz="4" w:space="0"/>
              <w:right w:val="single" w:color="000000" w:sz="4" w:space="0"/>
            </w:tcBorders>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技术方案评审</w:t>
            </w:r>
          </w:p>
          <w:p>
            <w:pPr>
              <w:spacing w:line="400" w:lineRule="exact"/>
              <w:jc w:val="center"/>
              <w:rPr>
                <w:rFonts w:ascii="宋体" w:hAnsi="宋体"/>
                <w:color w:val="auto"/>
                <w:szCs w:val="21"/>
                <w:highlight w:val="none"/>
              </w:rPr>
            </w:pPr>
            <w:r>
              <w:rPr>
                <w:rFonts w:hint="eastAsia" w:ascii="宋体" w:hAnsi="宋体"/>
                <w:color w:val="auto"/>
                <w:szCs w:val="21"/>
                <w:highlight w:val="none"/>
              </w:rPr>
              <w:t>（如有）</w:t>
            </w:r>
          </w:p>
        </w:tc>
        <w:tc>
          <w:tcPr>
            <w:tcW w:w="6333" w:type="dxa"/>
            <w:tcBorders>
              <w:top w:val="single" w:color="000000" w:sz="4" w:space="0"/>
              <w:left w:val="single" w:color="000000" w:sz="4" w:space="0"/>
              <w:bottom w:val="single" w:color="000000" w:sz="4" w:space="0"/>
              <w:right w:val="single" w:color="000000" w:sz="8" w:space="0"/>
            </w:tcBorders>
            <w:vAlign w:val="center"/>
          </w:tcPr>
          <w:p>
            <w:pPr>
              <w:spacing w:line="400" w:lineRule="exact"/>
              <w:rPr>
                <w:rFonts w:hint="eastAsia" w:ascii="宋体" w:hAnsi="宋体" w:eastAsia="宋体"/>
                <w:color w:val="auto"/>
                <w:szCs w:val="21"/>
                <w:highlight w:val="none"/>
                <w:lang w:val="en-US" w:eastAsia="zh-CN"/>
              </w:rPr>
            </w:pPr>
            <w:r>
              <w:rPr>
                <w:rFonts w:hint="eastAsia" w:ascii="宋体" w:hAnsi="宋体"/>
                <w:color w:val="auto"/>
                <w:szCs w:val="21"/>
                <w:highlight w:val="none"/>
              </w:rPr>
              <w:t>A-1投标人的技术方案</w:t>
            </w:r>
            <w:r>
              <w:rPr>
                <w:rFonts w:hint="eastAsia" w:ascii="宋体" w:hAnsi="宋体"/>
                <w:color w:val="auto"/>
                <w:szCs w:val="21"/>
                <w:highlight w:val="none"/>
                <w:lang w:val="en-US" w:eastAsia="zh-CN"/>
              </w:rPr>
              <w:t>综合性</w:t>
            </w:r>
            <w:r>
              <w:rPr>
                <w:rFonts w:hint="eastAsia" w:ascii="宋体" w:hAnsi="宋体"/>
                <w:color w:val="auto"/>
                <w:szCs w:val="21"/>
                <w:highlight w:val="none"/>
              </w:rPr>
              <w:t>评审不合格，由评标委员会作否决投标处理。</w:t>
            </w:r>
            <w:r>
              <w:rPr>
                <w:rFonts w:hint="eastAsia" w:ascii="宋体" w:hAnsi="宋体"/>
                <w:color w:val="auto"/>
                <w:szCs w:val="21"/>
                <w:lang w:val="en-US" w:eastAsia="zh-CN"/>
              </w:rPr>
              <w:t>技术方案采用暗标评审时，其形式应符合</w:t>
            </w:r>
            <w:r>
              <w:rPr>
                <w:rFonts w:hint="eastAsia" w:ascii="宋体" w:hAnsi="宋体"/>
                <w:color w:val="auto"/>
                <w:szCs w:val="21"/>
              </w:rPr>
              <w:t>第二章投标人须知前附表第3.7.5项（</w:t>
            </w:r>
            <w:r>
              <w:rPr>
                <w:rFonts w:hint="eastAsia" w:ascii="宋体" w:hAnsi="宋体"/>
                <w:color w:val="auto"/>
                <w:szCs w:val="21"/>
                <w:lang w:val="en-US" w:eastAsia="zh-CN"/>
              </w:rPr>
              <w:t>4</w:t>
            </w:r>
            <w:r>
              <w:rPr>
                <w:rFonts w:hint="eastAsia" w:ascii="宋体" w:hAnsi="宋体"/>
                <w:color w:val="auto"/>
                <w:szCs w:val="21"/>
              </w:rPr>
              <w:t>）技术部分</w:t>
            </w:r>
            <w:r>
              <w:rPr>
                <w:rFonts w:hint="eastAsia" w:ascii="宋体" w:hAnsi="宋体"/>
                <w:color w:val="auto"/>
                <w:szCs w:val="21"/>
                <w:lang w:val="en-US" w:eastAsia="zh-CN"/>
              </w:rPr>
              <w:t>的</w:t>
            </w:r>
            <w:r>
              <w:rPr>
                <w:rFonts w:hint="eastAsia" w:ascii="宋体" w:hAnsi="宋体"/>
                <w:color w:val="auto"/>
                <w:szCs w:val="21"/>
              </w:rPr>
              <w:t>要求</w:t>
            </w:r>
            <w:r>
              <w:rPr>
                <w:rFonts w:hint="eastAsia" w:ascii="宋体" w:hAnsi="宋体"/>
                <w:color w:val="auto"/>
                <w:szCs w:val="21"/>
                <w:lang w:eastAsia="zh-CN"/>
              </w:rPr>
              <w:t>，</w:t>
            </w:r>
            <w:r>
              <w:rPr>
                <w:rFonts w:hint="eastAsia" w:ascii="宋体" w:hAnsi="宋体"/>
                <w:color w:val="auto"/>
                <w:szCs w:val="21"/>
              </w:rPr>
              <w:t>否则由评标委员会作否决投标处理</w:t>
            </w:r>
            <w:r>
              <w:rPr>
                <w:rFonts w:hint="eastAsia" w:ascii="宋体" w:hAnsi="宋体"/>
                <w:color w:val="auto"/>
                <w:szCs w:val="21"/>
                <w:lang w:eastAsia="zh-CN"/>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blHeade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olor w:val="auto"/>
                <w:szCs w:val="21"/>
                <w:highlight w:val="none"/>
              </w:rPr>
            </w:pPr>
          </w:p>
        </w:tc>
        <w:tc>
          <w:tcPr>
            <w:tcW w:w="1515" w:type="dxa"/>
            <w:vMerge w:val="restart"/>
            <w:tcBorders>
              <w:top w:val="single" w:color="auto" w:sz="4" w:space="0"/>
              <w:left w:val="single" w:color="000000" w:sz="4" w:space="0"/>
              <w:bottom w:val="single" w:color="000000" w:sz="4" w:space="0"/>
              <w:right w:val="single" w:color="000000" w:sz="4" w:space="0"/>
            </w:tcBorders>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资格评审</w:t>
            </w:r>
          </w:p>
        </w:tc>
        <w:tc>
          <w:tcPr>
            <w:tcW w:w="6333" w:type="dxa"/>
            <w:tcBorders>
              <w:top w:val="single" w:color="000000" w:sz="4" w:space="0"/>
              <w:left w:val="single" w:color="000000" w:sz="4" w:space="0"/>
              <w:bottom w:val="single" w:color="000000" w:sz="4" w:space="0"/>
              <w:right w:val="single" w:color="000000" w:sz="8" w:space="0"/>
            </w:tcBorders>
            <w:vAlign w:val="center"/>
          </w:tcPr>
          <w:p>
            <w:pPr>
              <w:spacing w:line="400" w:lineRule="exact"/>
              <w:rPr>
                <w:rFonts w:ascii="宋体" w:hAnsi="宋体"/>
                <w:color w:val="auto"/>
                <w:szCs w:val="21"/>
                <w:highlight w:val="none"/>
              </w:rPr>
            </w:pPr>
            <w:r>
              <w:rPr>
                <w:rFonts w:hint="eastAsia" w:ascii="宋体" w:hAnsi="宋体"/>
                <w:color w:val="auto"/>
                <w:szCs w:val="21"/>
                <w:highlight w:val="none"/>
              </w:rPr>
              <w:t>A-2投标人的资质条件、营业执照及安全生产条件须满足投标人须知前附表第1.4.1项的要求，否则由评标委员会作否决投标处理。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blHeade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olor w:val="auto"/>
                <w:szCs w:val="21"/>
                <w:highlight w:val="none"/>
              </w:rPr>
            </w:pPr>
          </w:p>
        </w:tc>
        <w:tc>
          <w:tcPr>
            <w:tcW w:w="1515" w:type="dxa"/>
            <w:vMerge w:val="continue"/>
            <w:tcBorders>
              <w:top w:val="single" w:color="auto" w:sz="4" w:space="0"/>
              <w:left w:val="single" w:color="000000" w:sz="4" w:space="0"/>
              <w:bottom w:val="single" w:color="000000" w:sz="4" w:space="0"/>
              <w:right w:val="single" w:color="000000" w:sz="4" w:space="0"/>
            </w:tcBorders>
            <w:vAlign w:val="center"/>
          </w:tcPr>
          <w:p>
            <w:pPr>
              <w:widowControl/>
              <w:jc w:val="left"/>
              <w:rPr>
                <w:rFonts w:ascii="宋体" w:hAnsi="宋体"/>
                <w:color w:val="auto"/>
                <w:szCs w:val="21"/>
                <w:highlight w:val="none"/>
              </w:rPr>
            </w:pPr>
          </w:p>
        </w:tc>
        <w:tc>
          <w:tcPr>
            <w:tcW w:w="6333" w:type="dxa"/>
            <w:tcBorders>
              <w:top w:val="single" w:color="000000" w:sz="4" w:space="0"/>
              <w:left w:val="single" w:color="000000" w:sz="4" w:space="0"/>
              <w:bottom w:val="single" w:color="000000" w:sz="4" w:space="0"/>
              <w:right w:val="single" w:color="000000" w:sz="8" w:space="0"/>
            </w:tcBorders>
            <w:vAlign w:val="center"/>
          </w:tcPr>
          <w:p>
            <w:pPr>
              <w:spacing w:line="400" w:lineRule="exact"/>
              <w:rPr>
                <w:rFonts w:ascii="宋体" w:hAnsi="宋体"/>
                <w:color w:val="auto"/>
                <w:szCs w:val="21"/>
                <w:highlight w:val="none"/>
              </w:rPr>
            </w:pPr>
            <w:r>
              <w:rPr>
                <w:rFonts w:hint="eastAsia" w:ascii="宋体" w:hAnsi="宋体"/>
                <w:color w:val="auto"/>
                <w:szCs w:val="21"/>
                <w:highlight w:val="none"/>
              </w:rPr>
              <w:t>A-3投标人的财务须满足投标人须知前附表第1.4.1项的要求，否则由评标委员会作否决投标处理（如有）。</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blHeade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olor w:val="auto"/>
                <w:szCs w:val="21"/>
                <w:highlight w:val="none"/>
              </w:rPr>
            </w:pPr>
          </w:p>
        </w:tc>
        <w:tc>
          <w:tcPr>
            <w:tcW w:w="1515" w:type="dxa"/>
            <w:vMerge w:val="continue"/>
            <w:tcBorders>
              <w:top w:val="single" w:color="auto" w:sz="4" w:space="0"/>
              <w:left w:val="single" w:color="000000" w:sz="4" w:space="0"/>
              <w:bottom w:val="single" w:color="000000" w:sz="4" w:space="0"/>
              <w:right w:val="single" w:color="000000" w:sz="4" w:space="0"/>
            </w:tcBorders>
            <w:vAlign w:val="center"/>
          </w:tcPr>
          <w:p>
            <w:pPr>
              <w:widowControl/>
              <w:jc w:val="left"/>
              <w:rPr>
                <w:rFonts w:ascii="宋体" w:hAnsi="宋体"/>
                <w:color w:val="auto"/>
                <w:szCs w:val="21"/>
                <w:highlight w:val="none"/>
              </w:rPr>
            </w:pPr>
          </w:p>
        </w:tc>
        <w:tc>
          <w:tcPr>
            <w:tcW w:w="6333" w:type="dxa"/>
            <w:tcBorders>
              <w:top w:val="single" w:color="000000" w:sz="4" w:space="0"/>
              <w:left w:val="single" w:color="000000" w:sz="4" w:space="0"/>
              <w:bottom w:val="single" w:color="000000" w:sz="4" w:space="0"/>
              <w:right w:val="single" w:color="000000" w:sz="8" w:space="0"/>
            </w:tcBorders>
            <w:vAlign w:val="center"/>
          </w:tcPr>
          <w:p>
            <w:pPr>
              <w:spacing w:line="400" w:lineRule="exact"/>
              <w:rPr>
                <w:rFonts w:ascii="宋体" w:hAnsi="宋体"/>
                <w:color w:val="auto"/>
                <w:szCs w:val="21"/>
                <w:highlight w:val="none"/>
              </w:rPr>
            </w:pPr>
            <w:r>
              <w:rPr>
                <w:rFonts w:hint="eastAsia" w:ascii="宋体" w:hAnsi="宋体"/>
                <w:color w:val="auto"/>
                <w:szCs w:val="21"/>
                <w:highlight w:val="none"/>
              </w:rPr>
              <w:t>A-4投标人的业绩须满足投标人须知前附表第1.4.1项的要求，否则由评标委员会作否决投标处理（如有）。</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blHeade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olor w:val="auto"/>
                <w:szCs w:val="21"/>
                <w:highlight w:val="none"/>
              </w:rPr>
            </w:pPr>
          </w:p>
        </w:tc>
        <w:tc>
          <w:tcPr>
            <w:tcW w:w="1515" w:type="dxa"/>
            <w:vMerge w:val="continue"/>
            <w:tcBorders>
              <w:top w:val="single" w:color="auto" w:sz="4" w:space="0"/>
              <w:left w:val="single" w:color="000000" w:sz="4" w:space="0"/>
              <w:bottom w:val="single" w:color="000000" w:sz="4" w:space="0"/>
              <w:right w:val="single" w:color="000000" w:sz="4" w:space="0"/>
            </w:tcBorders>
            <w:vAlign w:val="center"/>
          </w:tcPr>
          <w:p>
            <w:pPr>
              <w:widowControl/>
              <w:jc w:val="left"/>
              <w:rPr>
                <w:rFonts w:ascii="宋体" w:hAnsi="宋体"/>
                <w:color w:val="auto"/>
                <w:szCs w:val="21"/>
                <w:highlight w:val="none"/>
              </w:rPr>
            </w:pPr>
          </w:p>
        </w:tc>
        <w:tc>
          <w:tcPr>
            <w:tcW w:w="6333" w:type="dxa"/>
            <w:tcBorders>
              <w:top w:val="single" w:color="000000" w:sz="4" w:space="0"/>
              <w:left w:val="single" w:color="000000" w:sz="4" w:space="0"/>
              <w:bottom w:val="single" w:color="000000" w:sz="4" w:space="0"/>
              <w:right w:val="single" w:color="000000" w:sz="8" w:space="0"/>
            </w:tcBorders>
            <w:vAlign w:val="center"/>
          </w:tcPr>
          <w:p>
            <w:pPr>
              <w:spacing w:line="400" w:lineRule="exact"/>
              <w:rPr>
                <w:rFonts w:ascii="宋体" w:hAnsi="宋体"/>
                <w:color w:val="auto"/>
                <w:szCs w:val="21"/>
                <w:highlight w:val="none"/>
              </w:rPr>
            </w:pPr>
            <w:r>
              <w:rPr>
                <w:rFonts w:hint="eastAsia" w:ascii="宋体" w:hAnsi="宋体"/>
                <w:color w:val="auto"/>
                <w:szCs w:val="21"/>
                <w:highlight w:val="none"/>
              </w:rPr>
              <w:t>A-5投标人的投标截止日投标资格情况须满足投标人须知前附表第1.4.1项的要求，否则由评标委员会作否决投标处理。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blHeade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olor w:val="auto"/>
                <w:szCs w:val="21"/>
                <w:highlight w:val="none"/>
              </w:rPr>
            </w:pPr>
          </w:p>
        </w:tc>
        <w:tc>
          <w:tcPr>
            <w:tcW w:w="1515" w:type="dxa"/>
            <w:vMerge w:val="continue"/>
            <w:tcBorders>
              <w:top w:val="single" w:color="auto" w:sz="4" w:space="0"/>
              <w:left w:val="single" w:color="000000" w:sz="4" w:space="0"/>
              <w:bottom w:val="single" w:color="000000" w:sz="4" w:space="0"/>
              <w:right w:val="single" w:color="000000" w:sz="4" w:space="0"/>
            </w:tcBorders>
            <w:vAlign w:val="center"/>
          </w:tcPr>
          <w:p>
            <w:pPr>
              <w:widowControl/>
              <w:jc w:val="left"/>
              <w:rPr>
                <w:rFonts w:ascii="宋体" w:hAnsi="宋体"/>
                <w:color w:val="auto"/>
                <w:szCs w:val="21"/>
                <w:highlight w:val="none"/>
              </w:rPr>
            </w:pPr>
          </w:p>
        </w:tc>
        <w:tc>
          <w:tcPr>
            <w:tcW w:w="6333" w:type="dxa"/>
            <w:tcBorders>
              <w:top w:val="single" w:color="000000" w:sz="4" w:space="0"/>
              <w:left w:val="single" w:color="000000" w:sz="4" w:space="0"/>
              <w:bottom w:val="single" w:color="000000" w:sz="4" w:space="0"/>
              <w:right w:val="single" w:color="000000" w:sz="8" w:space="0"/>
            </w:tcBorders>
            <w:vAlign w:val="center"/>
          </w:tcPr>
          <w:p>
            <w:pPr>
              <w:spacing w:line="400" w:lineRule="exact"/>
              <w:rPr>
                <w:rFonts w:ascii="宋体" w:hAnsi="宋体"/>
                <w:color w:val="auto"/>
                <w:szCs w:val="21"/>
                <w:highlight w:val="none"/>
              </w:rPr>
            </w:pPr>
            <w:r>
              <w:rPr>
                <w:rFonts w:hint="eastAsia" w:ascii="宋体" w:hAnsi="宋体"/>
                <w:color w:val="auto"/>
                <w:szCs w:val="21"/>
                <w:highlight w:val="none"/>
              </w:rPr>
              <w:t>A-6投标人的项目经理和项目总工资格须满足投标人须知前附表第1.4.1项的要求，否则由评标委员会作否决投标处理。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blHeade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olor w:val="auto"/>
                <w:szCs w:val="21"/>
                <w:highlight w:val="none"/>
              </w:rPr>
            </w:pPr>
          </w:p>
        </w:tc>
        <w:tc>
          <w:tcPr>
            <w:tcW w:w="1515" w:type="dxa"/>
            <w:vMerge w:val="continue"/>
            <w:tcBorders>
              <w:top w:val="single" w:color="auto" w:sz="4" w:space="0"/>
              <w:left w:val="single" w:color="000000" w:sz="4" w:space="0"/>
              <w:bottom w:val="single" w:color="000000" w:sz="4" w:space="0"/>
              <w:right w:val="single" w:color="000000" w:sz="4" w:space="0"/>
            </w:tcBorders>
            <w:vAlign w:val="center"/>
          </w:tcPr>
          <w:p>
            <w:pPr>
              <w:widowControl/>
              <w:jc w:val="left"/>
              <w:rPr>
                <w:rFonts w:ascii="宋体" w:hAnsi="宋体"/>
                <w:color w:val="auto"/>
                <w:szCs w:val="21"/>
                <w:highlight w:val="none"/>
              </w:rPr>
            </w:pPr>
          </w:p>
        </w:tc>
        <w:tc>
          <w:tcPr>
            <w:tcW w:w="6333" w:type="dxa"/>
            <w:tcBorders>
              <w:top w:val="single" w:color="000000" w:sz="4" w:space="0"/>
              <w:left w:val="single" w:color="000000" w:sz="4" w:space="0"/>
              <w:bottom w:val="single" w:color="000000" w:sz="4" w:space="0"/>
              <w:right w:val="single" w:color="000000" w:sz="8" w:space="0"/>
            </w:tcBorders>
            <w:vAlign w:val="center"/>
          </w:tcPr>
          <w:p>
            <w:pPr>
              <w:spacing w:line="400" w:lineRule="exact"/>
              <w:rPr>
                <w:rFonts w:hint="eastAsia" w:ascii="宋体" w:hAnsi="宋体"/>
                <w:color w:val="auto"/>
                <w:szCs w:val="21"/>
                <w:highlight w:val="none"/>
              </w:rPr>
            </w:pPr>
            <w:r>
              <w:rPr>
                <w:rFonts w:hint="eastAsia" w:ascii="宋体" w:hAnsi="宋体"/>
                <w:color w:val="auto"/>
                <w:szCs w:val="21"/>
                <w:highlight w:val="none"/>
              </w:rPr>
              <w:t>A-7投标人的</w:t>
            </w:r>
            <w:r>
              <w:rPr>
                <w:rFonts w:hint="eastAsia" w:ascii="宋体" w:hAnsi="宋体"/>
                <w:color w:val="auto"/>
                <w:kern w:val="0"/>
                <w:highlight w:val="none"/>
              </w:rPr>
              <w:t>其他管理和技术人员最低要求</w:t>
            </w:r>
            <w:r>
              <w:rPr>
                <w:rFonts w:hint="eastAsia" w:ascii="宋体" w:hAnsi="宋体"/>
                <w:color w:val="auto"/>
                <w:szCs w:val="21"/>
                <w:highlight w:val="none"/>
              </w:rPr>
              <w:t>须满足投标人须知前附表1.4.1项的要求，否则由评标委员会作否决投标处理（如有）。</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blHeade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olor w:val="auto"/>
                <w:szCs w:val="21"/>
                <w:highlight w:val="none"/>
              </w:rPr>
            </w:pPr>
          </w:p>
        </w:tc>
        <w:tc>
          <w:tcPr>
            <w:tcW w:w="1515" w:type="dxa"/>
            <w:vMerge w:val="continue"/>
            <w:tcBorders>
              <w:top w:val="single" w:color="auto" w:sz="4" w:space="0"/>
              <w:left w:val="single" w:color="000000" w:sz="4" w:space="0"/>
              <w:bottom w:val="single" w:color="000000" w:sz="4" w:space="0"/>
              <w:right w:val="single" w:color="000000" w:sz="4" w:space="0"/>
            </w:tcBorders>
            <w:vAlign w:val="center"/>
          </w:tcPr>
          <w:p>
            <w:pPr>
              <w:widowControl/>
              <w:jc w:val="left"/>
              <w:rPr>
                <w:rFonts w:ascii="宋体" w:hAnsi="宋体"/>
                <w:color w:val="auto"/>
                <w:szCs w:val="21"/>
                <w:highlight w:val="none"/>
              </w:rPr>
            </w:pPr>
          </w:p>
        </w:tc>
        <w:tc>
          <w:tcPr>
            <w:tcW w:w="6333" w:type="dxa"/>
            <w:tcBorders>
              <w:top w:val="single" w:color="000000" w:sz="4" w:space="0"/>
              <w:left w:val="single" w:color="000000" w:sz="4" w:space="0"/>
              <w:bottom w:val="single" w:color="000000" w:sz="4" w:space="0"/>
              <w:right w:val="single" w:color="000000" w:sz="8" w:space="0"/>
            </w:tcBorders>
            <w:vAlign w:val="center"/>
          </w:tcPr>
          <w:p>
            <w:pPr>
              <w:spacing w:line="400" w:lineRule="exact"/>
              <w:rPr>
                <w:rFonts w:hint="eastAsia" w:ascii="宋体" w:hAnsi="宋体"/>
                <w:color w:val="auto"/>
                <w:szCs w:val="21"/>
                <w:highlight w:val="none"/>
              </w:rPr>
            </w:pPr>
            <w:r>
              <w:rPr>
                <w:rFonts w:hint="eastAsia" w:ascii="宋体" w:hAnsi="宋体"/>
                <w:color w:val="auto"/>
                <w:szCs w:val="21"/>
                <w:highlight w:val="none"/>
              </w:rPr>
              <w:t>A-8投标人的</w:t>
            </w:r>
            <w:r>
              <w:rPr>
                <w:rFonts w:ascii="宋体" w:hAnsi="宋体"/>
                <w:color w:val="auto"/>
                <w:kern w:val="0"/>
                <w:highlight w:val="none"/>
              </w:rPr>
              <w:t>主要机械设备和试验检测设备最低要求</w:t>
            </w:r>
            <w:r>
              <w:rPr>
                <w:rFonts w:hint="eastAsia" w:ascii="宋体" w:hAnsi="宋体"/>
                <w:color w:val="auto"/>
                <w:szCs w:val="21"/>
                <w:highlight w:val="none"/>
              </w:rPr>
              <w:t>须满足投标人须知前附表1.4.1项的要求，否则由评标委员会作否决投标处理（如有）。</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blHeade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olor w:val="auto"/>
                <w:szCs w:val="21"/>
                <w:highlight w:val="none"/>
              </w:rPr>
            </w:pPr>
          </w:p>
        </w:tc>
        <w:tc>
          <w:tcPr>
            <w:tcW w:w="1515" w:type="dxa"/>
            <w:vMerge w:val="continue"/>
            <w:tcBorders>
              <w:top w:val="single" w:color="auto" w:sz="4" w:space="0"/>
              <w:left w:val="single" w:color="000000" w:sz="4" w:space="0"/>
              <w:bottom w:val="single" w:color="000000" w:sz="4" w:space="0"/>
              <w:right w:val="single" w:color="000000" w:sz="4" w:space="0"/>
            </w:tcBorders>
            <w:vAlign w:val="center"/>
          </w:tcPr>
          <w:p>
            <w:pPr>
              <w:widowControl/>
              <w:jc w:val="left"/>
              <w:rPr>
                <w:rFonts w:ascii="宋体" w:hAnsi="宋体"/>
                <w:color w:val="auto"/>
                <w:szCs w:val="21"/>
                <w:highlight w:val="none"/>
              </w:rPr>
            </w:pPr>
          </w:p>
        </w:tc>
        <w:tc>
          <w:tcPr>
            <w:tcW w:w="6333" w:type="dxa"/>
            <w:tcBorders>
              <w:top w:val="single" w:color="000000" w:sz="4" w:space="0"/>
              <w:left w:val="single" w:color="000000" w:sz="4" w:space="0"/>
              <w:bottom w:val="single" w:color="000000" w:sz="4" w:space="0"/>
              <w:right w:val="single" w:color="000000" w:sz="8" w:space="0"/>
            </w:tcBorders>
            <w:vAlign w:val="center"/>
          </w:tcPr>
          <w:p>
            <w:pPr>
              <w:spacing w:line="400" w:lineRule="exact"/>
              <w:rPr>
                <w:rFonts w:ascii="宋体" w:hAnsi="宋体"/>
                <w:color w:val="auto"/>
                <w:szCs w:val="21"/>
                <w:highlight w:val="none"/>
              </w:rPr>
            </w:pPr>
            <w:r>
              <w:rPr>
                <w:rFonts w:hint="eastAsia" w:ascii="宋体" w:hAnsi="宋体"/>
                <w:color w:val="auto"/>
                <w:szCs w:val="21"/>
                <w:highlight w:val="none"/>
              </w:rPr>
              <w:t>A-9投标人的其他要求须满足投标人须知前附表第1.4.1项的要求，否则由评标委员会作否决投标处理。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blHeade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olor w:val="auto"/>
                <w:szCs w:val="21"/>
                <w:highlight w:val="none"/>
              </w:rPr>
            </w:pPr>
          </w:p>
        </w:tc>
        <w:tc>
          <w:tcPr>
            <w:tcW w:w="1515" w:type="dxa"/>
            <w:vMerge w:val="continue"/>
            <w:tcBorders>
              <w:top w:val="single" w:color="auto" w:sz="4" w:space="0"/>
              <w:left w:val="single" w:color="000000" w:sz="4" w:space="0"/>
              <w:bottom w:val="single" w:color="000000" w:sz="4" w:space="0"/>
              <w:right w:val="single" w:color="000000" w:sz="4" w:space="0"/>
            </w:tcBorders>
            <w:vAlign w:val="center"/>
          </w:tcPr>
          <w:p>
            <w:pPr>
              <w:widowControl/>
              <w:jc w:val="left"/>
              <w:rPr>
                <w:rFonts w:ascii="宋体" w:hAnsi="宋体"/>
                <w:color w:val="auto"/>
                <w:szCs w:val="21"/>
                <w:highlight w:val="none"/>
              </w:rPr>
            </w:pPr>
          </w:p>
        </w:tc>
        <w:tc>
          <w:tcPr>
            <w:tcW w:w="6333" w:type="dxa"/>
            <w:tcBorders>
              <w:top w:val="single" w:color="000000" w:sz="4" w:space="0"/>
              <w:left w:val="single" w:color="000000" w:sz="4" w:space="0"/>
              <w:bottom w:val="single" w:color="000000" w:sz="4" w:space="0"/>
              <w:right w:val="single" w:color="000000" w:sz="8" w:space="0"/>
            </w:tcBorders>
            <w:vAlign w:val="center"/>
          </w:tcPr>
          <w:p>
            <w:pPr>
              <w:spacing w:line="400" w:lineRule="exact"/>
              <w:rPr>
                <w:rFonts w:ascii="宋体" w:hAnsi="宋体"/>
                <w:color w:val="auto"/>
                <w:szCs w:val="21"/>
                <w:highlight w:val="none"/>
              </w:rPr>
            </w:pPr>
            <w:r>
              <w:rPr>
                <w:rFonts w:hint="eastAsia" w:ascii="宋体" w:hAnsi="宋体"/>
                <w:color w:val="auto"/>
                <w:szCs w:val="21"/>
                <w:highlight w:val="none"/>
              </w:rPr>
              <w:t>A-10若有联合体投标人，则：</w:t>
            </w:r>
          </w:p>
          <w:p>
            <w:pPr>
              <w:spacing w:line="400" w:lineRule="exac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s="宋体"/>
                <w:color w:val="auto"/>
                <w:szCs w:val="21"/>
                <w:highlight w:val="none"/>
              </w:rPr>
              <w:t>联合体各方应按招标文件提供的格式签订联合体协议书，明确联合体牵头人和各方权利义务</w:t>
            </w:r>
            <w:r>
              <w:rPr>
                <w:rFonts w:hint="eastAsia" w:ascii="宋体" w:hAnsi="宋体"/>
                <w:color w:val="auto"/>
                <w:szCs w:val="21"/>
                <w:highlight w:val="none"/>
              </w:rPr>
              <w:t>；</w:t>
            </w:r>
          </w:p>
          <w:p>
            <w:pPr>
              <w:spacing w:line="400" w:lineRule="exact"/>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s="宋体"/>
                <w:color w:val="auto"/>
                <w:szCs w:val="21"/>
                <w:highlight w:val="none"/>
              </w:rPr>
              <w:t>由同一专业的单位组成的联合体，按照资质等级较低的单位确定资质等级</w:t>
            </w:r>
            <w:r>
              <w:rPr>
                <w:rFonts w:hint="eastAsia" w:ascii="宋体" w:hAnsi="宋体"/>
                <w:color w:val="auto"/>
                <w:szCs w:val="21"/>
                <w:highlight w:val="none"/>
              </w:rPr>
              <w:t>；</w:t>
            </w:r>
          </w:p>
          <w:p>
            <w:pPr>
              <w:spacing w:line="400" w:lineRule="exact"/>
              <w:rPr>
                <w:rFonts w:hint="eastAsia" w:ascii="宋体" w:hAnsi="宋体"/>
                <w:color w:val="auto"/>
                <w:szCs w:val="21"/>
                <w:highlight w:val="none"/>
              </w:rPr>
            </w:pPr>
            <w:r>
              <w:rPr>
                <w:rFonts w:hint="eastAsia" w:ascii="宋体" w:hAnsi="宋体"/>
                <w:color w:val="auto"/>
                <w:szCs w:val="21"/>
                <w:highlight w:val="none"/>
              </w:rPr>
              <w:t>（3）</w:t>
            </w:r>
            <w:r>
              <w:rPr>
                <w:rFonts w:hint="eastAsia" w:ascii="宋体" w:hAnsi="宋体" w:cs="宋体"/>
                <w:color w:val="auto"/>
                <w:szCs w:val="21"/>
                <w:highlight w:val="none"/>
              </w:rPr>
              <w:t>联合体各方不得再以自己名义单独或参加其他联合体在同一标段中投标</w:t>
            </w:r>
            <w:r>
              <w:rPr>
                <w:rFonts w:hint="eastAsia" w:ascii="宋体" w:hAnsi="宋体"/>
                <w:color w:val="auto"/>
                <w:szCs w:val="21"/>
                <w:highlight w:val="none"/>
              </w:rPr>
              <w:t>；</w:t>
            </w:r>
          </w:p>
          <w:p>
            <w:pPr>
              <w:spacing w:line="400" w:lineRule="exact"/>
              <w:rPr>
                <w:rFonts w:hint="eastAsia" w:ascii="宋体" w:hAnsi="宋体"/>
                <w:color w:val="auto"/>
                <w:szCs w:val="21"/>
                <w:highlight w:val="none"/>
              </w:rPr>
            </w:pPr>
            <w:r>
              <w:rPr>
                <w:rFonts w:hint="eastAsia" w:ascii="宋体" w:hAnsi="宋体"/>
                <w:color w:val="auto"/>
                <w:szCs w:val="21"/>
                <w:highlight w:val="none"/>
              </w:rPr>
              <w:t>（4）</w:t>
            </w:r>
            <w:r>
              <w:rPr>
                <w:rFonts w:hint="eastAsia" w:ascii="宋体" w:hAnsi="宋体" w:cs="宋体"/>
                <w:color w:val="auto"/>
                <w:szCs w:val="21"/>
                <w:highlight w:val="none"/>
              </w:rPr>
              <w:t>联合体所有成员数量不得超过投标人须知前附表规定的数量</w:t>
            </w:r>
            <w:r>
              <w:rPr>
                <w:rFonts w:hint="eastAsia" w:ascii="宋体" w:hAnsi="宋体"/>
                <w:color w:val="auto"/>
                <w:szCs w:val="21"/>
                <w:highlight w:val="none"/>
              </w:rPr>
              <w:t>。</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olor w:val="auto"/>
                <w:szCs w:val="21"/>
                <w:highlight w:val="none"/>
              </w:rPr>
            </w:pPr>
          </w:p>
        </w:tc>
        <w:tc>
          <w:tcPr>
            <w:tcW w:w="1515" w:type="dxa"/>
            <w:vMerge w:val="restart"/>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形式评审</w:t>
            </w:r>
          </w:p>
        </w:tc>
        <w:tc>
          <w:tcPr>
            <w:tcW w:w="6333" w:type="dxa"/>
            <w:tcBorders>
              <w:top w:val="single" w:color="000000" w:sz="4" w:space="0"/>
              <w:left w:val="single" w:color="000000" w:sz="4" w:space="0"/>
              <w:bottom w:val="single" w:color="000000" w:sz="4" w:space="0"/>
              <w:right w:val="single" w:color="000000" w:sz="8" w:space="0"/>
            </w:tcBorders>
            <w:vAlign w:val="top"/>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A-11投标人名称必须与营业执照、资质证书、安全生产许可证一致，依法变更名称的应提交相应证明材料，否则由评标委员会作否决投标处理。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olor w:val="auto"/>
                <w:szCs w:val="21"/>
                <w:highlight w:val="none"/>
              </w:rPr>
            </w:pP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olor w:val="auto"/>
                <w:szCs w:val="21"/>
                <w:highlight w:val="none"/>
              </w:rPr>
            </w:pPr>
          </w:p>
        </w:tc>
        <w:tc>
          <w:tcPr>
            <w:tcW w:w="6333" w:type="dxa"/>
            <w:tcBorders>
              <w:top w:val="single" w:color="000000" w:sz="4" w:space="0"/>
              <w:left w:val="single" w:color="000000" w:sz="4" w:space="0"/>
              <w:bottom w:val="single" w:color="000000" w:sz="4" w:space="0"/>
              <w:right w:val="single" w:color="000000" w:sz="8" w:space="0"/>
            </w:tcBorders>
            <w:vAlign w:val="top"/>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A-12投标文件格式（不含投标函部分）符合第二章“投标人须知”第3.7款的要求，否则由评标委员会作否决投标处理。</w:t>
            </w:r>
          </w:p>
          <w:p>
            <w:pPr>
              <w:spacing w:line="400" w:lineRule="exact"/>
              <w:ind w:firstLine="420" w:firstLineChars="200"/>
              <w:rPr>
                <w:rFonts w:ascii="宋体" w:hAnsi="宋体"/>
                <w:color w:val="auto"/>
                <w:szCs w:val="21"/>
                <w:highlight w:val="none"/>
              </w:rPr>
            </w:pPr>
            <w:r>
              <w:rPr>
                <w:rFonts w:hint="eastAsia" w:ascii="宋体" w:hAnsi="宋体"/>
                <w:color w:val="auto"/>
                <w:kern w:val="0"/>
                <w:szCs w:val="21"/>
                <w:highlight w:val="none"/>
              </w:rPr>
              <w:t>编制投标文件时不得对第九章“投标文件格式”的相应要素作实质性修改，否则</w:t>
            </w:r>
            <w:r>
              <w:rPr>
                <w:rFonts w:hint="eastAsia" w:ascii="宋体" w:hAnsi="宋体"/>
                <w:color w:val="auto"/>
                <w:szCs w:val="21"/>
                <w:highlight w:val="none"/>
              </w:rPr>
              <w:t>视为重大偏差，</w:t>
            </w:r>
            <w:r>
              <w:rPr>
                <w:rFonts w:hint="eastAsia" w:ascii="宋体" w:hAnsi="宋体"/>
                <w:color w:val="auto"/>
                <w:kern w:val="0"/>
                <w:szCs w:val="21"/>
                <w:highlight w:val="none"/>
              </w:rPr>
              <w:t>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olor w:val="auto"/>
                <w:szCs w:val="21"/>
                <w:highlight w:val="none"/>
              </w:rPr>
            </w:pP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olor w:val="auto"/>
                <w:szCs w:val="21"/>
                <w:highlight w:val="none"/>
              </w:rPr>
            </w:pPr>
          </w:p>
        </w:tc>
        <w:tc>
          <w:tcPr>
            <w:tcW w:w="6333" w:type="dxa"/>
            <w:tcBorders>
              <w:top w:val="single" w:color="000000" w:sz="4" w:space="0"/>
              <w:left w:val="single" w:color="000000" w:sz="4" w:space="0"/>
              <w:bottom w:val="single" w:color="000000" w:sz="4" w:space="0"/>
              <w:right w:val="single" w:color="000000" w:sz="8" w:space="0"/>
            </w:tcBorders>
            <w:vAlign w:val="top"/>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-13联合体参与投标的应提交联合体协议书，并明确联合体牵头人。在联合体协议书第5条联合体各成员单位内部的职责分工中填写的联合体所有成员单位名称应与其营业执照、资质证书、安全生产许可证一致，依法变更名称的应提交相应证明材料，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olor w:val="auto"/>
                <w:szCs w:val="21"/>
                <w:highlight w:val="none"/>
              </w:rPr>
            </w:pP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olor w:val="auto"/>
                <w:szCs w:val="21"/>
                <w:highlight w:val="none"/>
              </w:rPr>
            </w:pPr>
          </w:p>
        </w:tc>
        <w:tc>
          <w:tcPr>
            <w:tcW w:w="6333" w:type="dxa"/>
            <w:tcBorders>
              <w:top w:val="single" w:color="000000" w:sz="4" w:space="0"/>
              <w:left w:val="single" w:color="000000" w:sz="4" w:space="0"/>
              <w:bottom w:val="single" w:color="000000" w:sz="4" w:space="0"/>
              <w:right w:val="single" w:color="000000" w:sz="8" w:space="0"/>
            </w:tcBorders>
            <w:vAlign w:val="top"/>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A-14第九章 投标文件格式</w:t>
            </w:r>
            <w:r>
              <w:rPr>
                <w:rFonts w:hint="eastAsia" w:ascii="宋体" w:hAnsi="宋体" w:cs="宋体"/>
                <w:color w:val="auto"/>
                <w:kern w:val="0"/>
                <w:highlight w:val="none"/>
              </w:rPr>
              <w:t>（不含投标函部分）</w:t>
            </w:r>
            <w:r>
              <w:rPr>
                <w:rFonts w:hint="eastAsia" w:ascii="宋体" w:hAnsi="宋体"/>
                <w:color w:val="auto"/>
                <w:szCs w:val="21"/>
                <w:highlight w:val="none"/>
              </w:rPr>
              <w:t>要求法定代表人或其委托代理人</w:t>
            </w:r>
            <w:r>
              <w:rPr>
                <w:rFonts w:hint="eastAsia" w:ascii="宋体" w:hAnsi="宋体"/>
                <w:color w:val="auto"/>
                <w:szCs w:val="21"/>
                <w:highlight w:val="none"/>
                <w:lang w:eastAsia="zh-CN"/>
              </w:rPr>
              <w:t>签名</w:t>
            </w:r>
            <w:r>
              <w:rPr>
                <w:rFonts w:hint="eastAsia" w:ascii="宋体" w:hAnsi="宋体"/>
                <w:color w:val="auto"/>
                <w:szCs w:val="21"/>
                <w:highlight w:val="none"/>
              </w:rPr>
              <w:t>（或盖章）的须齐全，</w:t>
            </w:r>
            <w:r>
              <w:rPr>
                <w:rFonts w:hint="eastAsia" w:ascii="宋体" w:hAnsi="宋体"/>
                <w:color w:val="auto"/>
                <w:szCs w:val="21"/>
                <w:highlight w:val="none"/>
                <w:lang w:val="en-US" w:eastAsia="zh-CN"/>
              </w:rPr>
              <w:t>要求签名的，</w:t>
            </w:r>
            <w:r>
              <w:rPr>
                <w:rFonts w:hint="eastAsia" w:ascii="宋体" w:hAnsi="宋体"/>
                <w:color w:val="auto"/>
                <w:kern w:val="0"/>
                <w:highlight w:val="none"/>
              </w:rPr>
              <w:t>签名采用手写签名或签章均可</w:t>
            </w:r>
            <w:r>
              <w:rPr>
                <w:rFonts w:hint="eastAsia" w:ascii="宋体" w:hAnsi="宋体"/>
                <w:color w:val="auto"/>
                <w:kern w:val="0"/>
                <w:highlight w:val="none"/>
                <w:lang w:eastAsia="zh-CN"/>
              </w:rPr>
              <w:t>，</w:t>
            </w:r>
            <w:r>
              <w:rPr>
                <w:rFonts w:hint="eastAsia" w:ascii="宋体" w:hAnsi="宋体"/>
                <w:color w:val="auto"/>
                <w:szCs w:val="21"/>
                <w:highlight w:val="none"/>
              </w:rPr>
              <w:t>否则由评标委员会作否决投标处理。</w:t>
            </w:r>
          </w:p>
          <w:p>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若投标单位为联合体，则联合体协议书中各联合体成员单位</w:t>
            </w:r>
            <w:r>
              <w:rPr>
                <w:rFonts w:hint="eastAsia" w:ascii="宋体" w:hAnsi="宋体"/>
                <w:color w:val="auto"/>
                <w:szCs w:val="21"/>
                <w:highlight w:val="none"/>
                <w:lang w:eastAsia="zh-CN"/>
              </w:rPr>
              <w:t>签名</w:t>
            </w:r>
            <w:r>
              <w:rPr>
                <w:rFonts w:hint="eastAsia" w:ascii="宋体" w:hAnsi="宋体"/>
                <w:color w:val="auto"/>
                <w:szCs w:val="21"/>
                <w:highlight w:val="none"/>
              </w:rPr>
              <w:t>（或盖章）须齐全，联合体协议书以外的投标文件格式中，</w:t>
            </w:r>
            <w:r>
              <w:rPr>
                <w:rFonts w:hint="eastAsia" w:ascii="宋体" w:hAnsi="宋体" w:cs="宋体"/>
                <w:color w:val="auto"/>
                <w:kern w:val="0"/>
                <w:highlight w:val="none"/>
              </w:rPr>
              <w:t>要求法定代表人或其委托代理人</w:t>
            </w:r>
            <w:r>
              <w:rPr>
                <w:rFonts w:hint="eastAsia" w:ascii="宋体" w:hAnsi="宋体" w:cs="宋体"/>
                <w:color w:val="auto"/>
                <w:kern w:val="0"/>
                <w:highlight w:val="none"/>
                <w:lang w:eastAsia="zh-CN"/>
              </w:rPr>
              <w:t>签名</w:t>
            </w:r>
            <w:r>
              <w:rPr>
                <w:rFonts w:hint="eastAsia" w:ascii="宋体" w:hAnsi="宋体" w:cs="宋体"/>
                <w:color w:val="auto"/>
                <w:kern w:val="0"/>
                <w:highlight w:val="none"/>
              </w:rPr>
              <w:t>（或盖章）的均由联合体牵头人法定代表人或其委托代理人</w:t>
            </w:r>
            <w:r>
              <w:rPr>
                <w:rFonts w:hint="eastAsia" w:ascii="宋体" w:hAnsi="宋体" w:cs="宋体"/>
                <w:color w:val="auto"/>
                <w:kern w:val="0"/>
                <w:highlight w:val="none"/>
                <w:lang w:eastAsia="zh-CN"/>
              </w:rPr>
              <w:t>签名</w:t>
            </w:r>
            <w:r>
              <w:rPr>
                <w:rFonts w:hint="eastAsia" w:ascii="宋体" w:hAnsi="宋体" w:cs="宋体"/>
                <w:color w:val="auto"/>
                <w:kern w:val="0"/>
                <w:highlight w:val="none"/>
              </w:rPr>
              <w:t>（或盖章）</w:t>
            </w:r>
            <w:r>
              <w:rPr>
                <w:rFonts w:hint="eastAsia" w:ascii="宋体" w:hAnsi="宋体"/>
                <w:color w:val="auto"/>
                <w:szCs w:val="21"/>
                <w:highlight w:val="none"/>
              </w:rPr>
              <w:t>，否则由评标委员会作否决投标处理。</w:t>
            </w:r>
          </w:p>
          <w:p>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第九章 投标文件格式</w:t>
            </w:r>
            <w:r>
              <w:rPr>
                <w:rFonts w:hint="eastAsia" w:ascii="宋体" w:hAnsi="宋体" w:cs="宋体"/>
                <w:color w:val="auto"/>
                <w:kern w:val="0"/>
                <w:highlight w:val="none"/>
              </w:rPr>
              <w:t>（不含投标函部分）</w:t>
            </w:r>
            <w:r>
              <w:rPr>
                <w:rFonts w:hint="eastAsia" w:ascii="宋体" w:hAnsi="宋体"/>
                <w:color w:val="auto"/>
                <w:szCs w:val="21"/>
                <w:highlight w:val="none"/>
              </w:rPr>
              <w:t>要求加盖单位法人章的，应加盖投标人的单位</w:t>
            </w:r>
            <w:r>
              <w:rPr>
                <w:rFonts w:hint="eastAsia" w:ascii="宋体" w:hAnsi="宋体"/>
                <w:color w:val="auto"/>
                <w:szCs w:val="21"/>
                <w:highlight w:val="none"/>
                <w:lang w:val="en-US" w:eastAsia="zh-CN"/>
              </w:rPr>
              <w:t>鲜章</w:t>
            </w:r>
            <w:r>
              <w:rPr>
                <w:rFonts w:hint="eastAsia" w:ascii="宋体" w:hAnsi="宋体"/>
                <w:color w:val="auto"/>
                <w:szCs w:val="21"/>
                <w:highlight w:val="none"/>
              </w:rPr>
              <w:t>，否则由评标委员会作否决投标处理。</w:t>
            </w:r>
          </w:p>
          <w:p>
            <w:pPr>
              <w:spacing w:line="400" w:lineRule="exact"/>
              <w:ind w:firstLine="420" w:firstLineChars="200"/>
              <w:rPr>
                <w:rFonts w:ascii="宋体" w:hAnsi="宋体"/>
                <w:color w:val="auto"/>
                <w:szCs w:val="21"/>
                <w:highlight w:val="none"/>
              </w:rPr>
            </w:pPr>
            <w:r>
              <w:rPr>
                <w:rFonts w:hint="eastAsia" w:ascii="宋体" w:hAnsi="宋体"/>
                <w:color w:val="auto"/>
                <w:highlight w:val="none"/>
              </w:rPr>
              <w:t>若投标单位为联合体，则联合体协议书中要求各联合体成员盖单位法人章的，各联合体成员盖章须齐全，联合体协议书以外的投标文件格式中要求投标人加盖单位法人章的，均由联合体牵头人加盖其单位</w:t>
            </w:r>
            <w:r>
              <w:rPr>
                <w:rFonts w:hint="eastAsia" w:ascii="宋体" w:hAnsi="宋体"/>
                <w:color w:val="auto"/>
                <w:highlight w:val="none"/>
                <w:lang w:val="en-US" w:eastAsia="zh-CN"/>
              </w:rPr>
              <w:t>鲜章</w:t>
            </w:r>
            <w:r>
              <w:rPr>
                <w:rFonts w:hint="eastAsia" w:ascii="宋体" w:hAnsi="宋体"/>
                <w:color w:val="auto"/>
                <w:highlight w:val="none"/>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olor w:val="auto"/>
                <w:szCs w:val="21"/>
                <w:highlight w:val="none"/>
              </w:rPr>
            </w:pP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olor w:val="auto"/>
                <w:szCs w:val="21"/>
                <w:highlight w:val="none"/>
              </w:rPr>
            </w:pPr>
          </w:p>
        </w:tc>
        <w:tc>
          <w:tcPr>
            <w:tcW w:w="6333" w:type="dxa"/>
            <w:tcBorders>
              <w:top w:val="single" w:color="000000" w:sz="4" w:space="0"/>
              <w:left w:val="single" w:color="000000" w:sz="4" w:space="0"/>
              <w:bottom w:val="single" w:color="000000" w:sz="4" w:space="0"/>
              <w:right w:val="single" w:color="000000" w:sz="8" w:space="0"/>
            </w:tcBorders>
            <w:vAlign w:val="top"/>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A-15投标人法定代表人的委托代理人有法定代表人签署的授权委托书和投标人为其缴纳的养老保险证明材料。否则由评标委员会作否决投标处理。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olor w:val="auto"/>
                <w:szCs w:val="21"/>
                <w:highlight w:val="none"/>
              </w:rPr>
            </w:pPr>
          </w:p>
        </w:tc>
        <w:tc>
          <w:tcPr>
            <w:tcW w:w="1515" w:type="dxa"/>
            <w:vMerge w:val="restart"/>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响应性评审</w:t>
            </w:r>
          </w:p>
        </w:tc>
        <w:tc>
          <w:tcPr>
            <w:tcW w:w="6333" w:type="dxa"/>
            <w:tcBorders>
              <w:top w:val="single" w:color="000000" w:sz="4" w:space="0"/>
              <w:left w:val="single" w:color="000000" w:sz="4" w:space="0"/>
              <w:bottom w:val="single" w:color="000000" w:sz="4" w:space="0"/>
              <w:right w:val="single" w:color="000000" w:sz="8" w:space="0"/>
            </w:tcBorders>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A-16投标内容符合第二章“投标人须知”第1.3.1项规定，否则由评标委员会作否决投标处理。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olor w:val="auto"/>
                <w:szCs w:val="21"/>
                <w:highlight w:val="none"/>
              </w:rPr>
            </w:pPr>
          </w:p>
        </w:tc>
        <w:tc>
          <w:tcPr>
            <w:tcW w:w="1515" w:type="dxa"/>
            <w:vMerge w:val="continue"/>
            <w:tcBorders>
              <w:left w:val="single" w:color="000000" w:sz="4" w:space="0"/>
              <w:right w:val="single" w:color="000000" w:sz="4" w:space="0"/>
            </w:tcBorders>
            <w:vAlign w:val="center"/>
          </w:tcPr>
          <w:p>
            <w:pPr>
              <w:spacing w:line="400" w:lineRule="exact"/>
              <w:jc w:val="center"/>
              <w:rPr>
                <w:rFonts w:hint="eastAsia" w:ascii="宋体" w:hAnsi="宋体"/>
                <w:color w:val="auto"/>
                <w:szCs w:val="21"/>
                <w:highlight w:val="none"/>
              </w:rPr>
            </w:pPr>
          </w:p>
        </w:tc>
        <w:tc>
          <w:tcPr>
            <w:tcW w:w="6333" w:type="dxa"/>
            <w:tcBorders>
              <w:top w:val="single" w:color="000000" w:sz="4" w:space="0"/>
              <w:left w:val="single" w:color="000000" w:sz="4" w:space="0"/>
              <w:bottom w:val="single" w:color="000000" w:sz="4" w:space="0"/>
              <w:right w:val="single" w:color="000000" w:sz="8" w:space="0"/>
            </w:tcBorders>
            <w:vAlign w:val="center"/>
          </w:tcPr>
          <w:p>
            <w:pPr>
              <w:spacing w:line="400" w:lineRule="exact"/>
              <w:ind w:firstLine="420" w:firstLineChars="200"/>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A-17</w:t>
            </w:r>
            <w:r>
              <w:rPr>
                <w:rFonts w:hint="eastAsia" w:ascii="宋体" w:hAnsi="宋体"/>
                <w:color w:val="auto"/>
                <w:szCs w:val="21"/>
                <w:highlight w:val="none"/>
              </w:rPr>
              <w:t>投标函附录的所有数据均符合招标文件规定</w:t>
            </w:r>
            <w:r>
              <w:rPr>
                <w:rFonts w:hint="eastAsia" w:ascii="宋体" w:hAnsi="宋体"/>
                <w:color w:val="auto"/>
                <w:szCs w:val="21"/>
                <w:highlight w:val="none"/>
                <w:lang w:eastAsia="zh-CN"/>
              </w:rPr>
              <w:t>，</w:t>
            </w:r>
            <w:r>
              <w:rPr>
                <w:rFonts w:hint="eastAsia" w:ascii="宋体" w:hAnsi="宋体"/>
                <w:color w:val="auto"/>
                <w:szCs w:val="21"/>
                <w:highlight w:val="none"/>
              </w:rPr>
              <w:t>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olor w:val="auto"/>
                <w:szCs w:val="21"/>
                <w:highlight w:val="none"/>
              </w:rPr>
            </w:pP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olor w:val="auto"/>
                <w:szCs w:val="21"/>
                <w:highlight w:val="none"/>
              </w:rPr>
            </w:pPr>
          </w:p>
        </w:tc>
        <w:tc>
          <w:tcPr>
            <w:tcW w:w="6333" w:type="dxa"/>
            <w:tcBorders>
              <w:top w:val="single" w:color="000000" w:sz="4" w:space="0"/>
              <w:left w:val="single" w:color="000000" w:sz="4" w:space="0"/>
              <w:bottom w:val="single" w:color="000000" w:sz="4" w:space="0"/>
              <w:right w:val="single" w:color="000000" w:sz="8" w:space="0"/>
            </w:tcBorders>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w:t>
            </w:r>
            <w:r>
              <w:rPr>
                <w:rFonts w:hint="eastAsia" w:ascii="宋体" w:hAnsi="宋体"/>
                <w:color w:val="auto"/>
                <w:szCs w:val="21"/>
                <w:highlight w:val="none"/>
                <w:lang w:val="en-US" w:eastAsia="zh-CN"/>
              </w:rPr>
              <w:t>8</w:t>
            </w:r>
            <w:r>
              <w:rPr>
                <w:rFonts w:hint="eastAsia" w:ascii="宋体" w:hAnsi="宋体"/>
                <w:color w:val="auto"/>
                <w:szCs w:val="21"/>
                <w:highlight w:val="none"/>
              </w:rPr>
              <w:t>投标人应按投标人须知前附表第3.4款规定递交投标保证金，并作为其投标文件的组成部分，否则由评标委员会作否决投标处理。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olor w:val="auto"/>
                <w:szCs w:val="21"/>
                <w:highlight w:val="none"/>
              </w:rPr>
            </w:pP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olor w:val="auto"/>
                <w:szCs w:val="21"/>
                <w:highlight w:val="none"/>
              </w:rPr>
            </w:pPr>
          </w:p>
        </w:tc>
        <w:tc>
          <w:tcPr>
            <w:tcW w:w="6333" w:type="dxa"/>
            <w:tcBorders>
              <w:top w:val="single" w:color="000000" w:sz="4" w:space="0"/>
              <w:left w:val="single" w:color="000000" w:sz="4" w:space="0"/>
              <w:bottom w:val="single" w:color="000000" w:sz="4" w:space="0"/>
              <w:right w:val="single" w:color="000000" w:sz="8" w:space="0"/>
            </w:tcBorders>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w:t>
            </w:r>
            <w:r>
              <w:rPr>
                <w:rFonts w:hint="eastAsia" w:ascii="宋体" w:hAnsi="宋体"/>
                <w:color w:val="auto"/>
                <w:szCs w:val="21"/>
                <w:highlight w:val="none"/>
                <w:lang w:val="en-US" w:eastAsia="zh-CN"/>
              </w:rPr>
              <w:t>9</w:t>
            </w:r>
            <w:r>
              <w:rPr>
                <w:rFonts w:hint="eastAsia" w:ascii="宋体" w:hAnsi="宋体"/>
                <w:color w:val="auto"/>
                <w:szCs w:val="21"/>
                <w:highlight w:val="none"/>
              </w:rPr>
              <w:t>符合第四章“合同条款及格式”规定，投标文件不应附有招标人不能接受的条件。否则由评标委员会作否决投标处理。（由投标人承诺，承诺书格式详见第九章投标文件格式。）</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olor w:val="auto"/>
                <w:szCs w:val="21"/>
                <w:highlight w:val="none"/>
              </w:rPr>
            </w:pP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olor w:val="auto"/>
                <w:szCs w:val="21"/>
                <w:highlight w:val="none"/>
              </w:rPr>
            </w:pPr>
          </w:p>
        </w:tc>
        <w:tc>
          <w:tcPr>
            <w:tcW w:w="6333" w:type="dxa"/>
            <w:tcBorders>
              <w:top w:val="single" w:color="000000" w:sz="4" w:space="0"/>
              <w:left w:val="single" w:color="000000" w:sz="4" w:space="0"/>
              <w:bottom w:val="single" w:color="000000" w:sz="4" w:space="0"/>
              <w:right w:val="single" w:color="000000" w:sz="8" w:space="0"/>
            </w:tcBorders>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w:t>
            </w:r>
            <w:r>
              <w:rPr>
                <w:rFonts w:hint="eastAsia" w:ascii="宋体" w:hAnsi="宋体"/>
                <w:color w:val="auto"/>
                <w:szCs w:val="21"/>
                <w:highlight w:val="none"/>
                <w:lang w:val="en-US" w:eastAsia="zh-CN"/>
              </w:rPr>
              <w:t>20</w:t>
            </w:r>
            <w:r>
              <w:rPr>
                <w:rFonts w:hint="eastAsia" w:ascii="宋体" w:hAnsi="宋体"/>
                <w:color w:val="auto"/>
                <w:szCs w:val="21"/>
                <w:highlight w:val="none"/>
              </w:rPr>
              <w:t>符合第七章“技术标准和要求”规定。否则由评标委员会作否决投标处理（如有）。（由投标人承诺，承诺书格式详见第九章投标文件格式。）</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olor w:val="auto"/>
                <w:szCs w:val="21"/>
                <w:highlight w:val="none"/>
              </w:rPr>
            </w:pP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olor w:val="auto"/>
                <w:szCs w:val="21"/>
                <w:highlight w:val="none"/>
              </w:rPr>
            </w:pPr>
          </w:p>
        </w:tc>
        <w:tc>
          <w:tcPr>
            <w:tcW w:w="6333" w:type="dxa"/>
            <w:tcBorders>
              <w:top w:val="single" w:color="000000" w:sz="4" w:space="0"/>
              <w:left w:val="single" w:color="000000" w:sz="4" w:space="0"/>
              <w:bottom w:val="single" w:color="000000" w:sz="4" w:space="0"/>
              <w:right w:val="single" w:color="000000" w:sz="8" w:space="0"/>
            </w:tcBorders>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w:t>
            </w:r>
            <w:r>
              <w:rPr>
                <w:rFonts w:hint="eastAsia" w:ascii="宋体" w:hAnsi="宋体"/>
                <w:color w:val="auto"/>
                <w:szCs w:val="21"/>
                <w:highlight w:val="none"/>
                <w:lang w:val="en-US" w:eastAsia="zh-CN"/>
              </w:rPr>
              <w:t>21</w:t>
            </w:r>
            <w:r>
              <w:rPr>
                <w:rFonts w:hint="eastAsia" w:ascii="宋体" w:hAnsi="宋体"/>
                <w:color w:val="auto"/>
                <w:szCs w:val="21"/>
                <w:highlight w:val="none"/>
              </w:rPr>
              <w:t>投标人有以下情形之一的，其投标文件由评标委员会作否决投标处理：</w:t>
            </w:r>
          </w:p>
          <w:p>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1.第二章“投标人须知”第1.4.3项规定的任何一种情形的；</w:t>
            </w:r>
          </w:p>
          <w:p>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2.本次投标有串通投标、弄虚作假等违反招投标相关法律、法规的行为的；</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3.拒绝按评标委员会要求澄清、说明或补正的。</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olor w:val="auto"/>
                <w:szCs w:val="21"/>
                <w:highlight w:val="none"/>
              </w:rPr>
            </w:pPr>
          </w:p>
        </w:tc>
        <w:tc>
          <w:tcPr>
            <w:tcW w:w="1515" w:type="dxa"/>
            <w:vMerge w:val="restart"/>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投标函部分及经济部分评审</w:t>
            </w:r>
          </w:p>
        </w:tc>
        <w:tc>
          <w:tcPr>
            <w:tcW w:w="6333" w:type="dxa"/>
            <w:tcBorders>
              <w:top w:val="single" w:color="000000" w:sz="4" w:space="0"/>
              <w:left w:val="single" w:color="000000" w:sz="4" w:space="0"/>
              <w:bottom w:val="single" w:color="000000" w:sz="4" w:space="0"/>
              <w:right w:val="single" w:color="000000" w:sz="8" w:space="0"/>
            </w:tcBorders>
            <w:vAlign w:val="center"/>
          </w:tcPr>
          <w:p>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w:t>
            </w:r>
            <w:r>
              <w:rPr>
                <w:rFonts w:hint="eastAsia" w:ascii="宋体" w:hAnsi="宋体"/>
                <w:color w:val="auto"/>
                <w:szCs w:val="21"/>
                <w:highlight w:val="none"/>
                <w:lang w:val="en-US" w:eastAsia="zh-CN"/>
              </w:rPr>
              <w:t>22</w:t>
            </w:r>
            <w:r>
              <w:rPr>
                <w:rFonts w:hint="eastAsia" w:ascii="宋体" w:hAnsi="宋体" w:cs="宋体"/>
                <w:color w:val="auto"/>
                <w:kern w:val="0"/>
                <w:highlight w:val="none"/>
              </w:rPr>
              <w:t>投标函部分的格式要求法定代表人或其委托代理人</w:t>
            </w:r>
            <w:r>
              <w:rPr>
                <w:rFonts w:hint="eastAsia" w:ascii="宋体" w:hAnsi="宋体" w:cs="宋体"/>
                <w:color w:val="auto"/>
                <w:kern w:val="0"/>
                <w:highlight w:val="none"/>
                <w:lang w:eastAsia="zh-CN"/>
              </w:rPr>
              <w:t>签名</w:t>
            </w:r>
            <w:r>
              <w:rPr>
                <w:rFonts w:hint="eastAsia" w:ascii="宋体" w:hAnsi="宋体" w:cs="宋体"/>
                <w:color w:val="auto"/>
                <w:kern w:val="0"/>
                <w:highlight w:val="none"/>
              </w:rPr>
              <w:t>（或盖章）的须齐全，</w:t>
            </w:r>
            <w:r>
              <w:rPr>
                <w:rFonts w:hint="eastAsia" w:ascii="宋体" w:hAnsi="宋体"/>
                <w:color w:val="auto"/>
                <w:szCs w:val="21"/>
                <w:highlight w:val="none"/>
                <w:lang w:val="en-US" w:eastAsia="zh-CN"/>
              </w:rPr>
              <w:t>要求签名的，</w:t>
            </w:r>
            <w:r>
              <w:rPr>
                <w:rFonts w:hint="eastAsia" w:ascii="宋体" w:hAnsi="宋体"/>
                <w:color w:val="auto"/>
                <w:kern w:val="0"/>
                <w:highlight w:val="none"/>
              </w:rPr>
              <w:t>签名采用手写签名或签章均可</w:t>
            </w:r>
            <w:r>
              <w:rPr>
                <w:rFonts w:hint="eastAsia" w:ascii="宋体" w:hAnsi="宋体"/>
                <w:color w:val="auto"/>
                <w:kern w:val="0"/>
                <w:highlight w:val="none"/>
                <w:lang w:eastAsia="zh-CN"/>
              </w:rPr>
              <w:t>，</w:t>
            </w:r>
            <w:r>
              <w:rPr>
                <w:rFonts w:hint="eastAsia" w:ascii="宋体" w:hAnsi="宋体" w:cs="宋体"/>
                <w:color w:val="auto"/>
                <w:kern w:val="0"/>
                <w:highlight w:val="none"/>
              </w:rPr>
              <w:t>要求加盖单位法人章的，应加盖投标人的单位</w:t>
            </w:r>
            <w:r>
              <w:rPr>
                <w:rFonts w:hint="eastAsia" w:ascii="宋体" w:hAnsi="宋体" w:cs="宋体"/>
                <w:color w:val="auto"/>
                <w:kern w:val="0"/>
                <w:highlight w:val="none"/>
                <w:lang w:val="en-US" w:eastAsia="zh-CN"/>
              </w:rPr>
              <w:t>鲜章</w:t>
            </w:r>
            <w:r>
              <w:rPr>
                <w:rFonts w:hint="eastAsia" w:ascii="宋体" w:hAnsi="宋体"/>
                <w:color w:val="auto"/>
                <w:szCs w:val="21"/>
                <w:highlight w:val="none"/>
              </w:rPr>
              <w:t>，否则由评标委员会作否决投标处理。</w:t>
            </w:r>
          </w:p>
          <w:p>
            <w:pPr>
              <w:spacing w:line="400" w:lineRule="exact"/>
              <w:ind w:firstLine="420" w:firstLineChars="200"/>
              <w:rPr>
                <w:rFonts w:ascii="宋体" w:hAnsi="宋体"/>
                <w:color w:val="auto"/>
                <w:szCs w:val="21"/>
                <w:highlight w:val="none"/>
              </w:rPr>
            </w:pPr>
            <w:r>
              <w:rPr>
                <w:rFonts w:hint="eastAsia" w:ascii="宋体" w:hAnsi="宋体" w:cs="宋体"/>
                <w:color w:val="auto"/>
                <w:kern w:val="0"/>
                <w:highlight w:val="none"/>
              </w:rPr>
              <w:t>联合体投标的，投标函部分的格式中要求投标人加盖单位法人章的，均由联合体牵头人加盖其单位</w:t>
            </w:r>
            <w:r>
              <w:rPr>
                <w:rFonts w:hint="eastAsia" w:ascii="宋体" w:hAnsi="宋体" w:cs="宋体"/>
                <w:color w:val="auto"/>
                <w:kern w:val="0"/>
                <w:highlight w:val="none"/>
                <w:lang w:val="en-US" w:eastAsia="zh-CN"/>
              </w:rPr>
              <w:t>鲜章</w:t>
            </w:r>
            <w:r>
              <w:rPr>
                <w:rFonts w:hint="eastAsia" w:ascii="宋体" w:hAnsi="宋体" w:cs="宋体"/>
                <w:color w:val="auto"/>
                <w:kern w:val="0"/>
                <w:highlight w:val="none"/>
              </w:rPr>
              <w:t>，否则由评标委员会作否决投标处理。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olor w:val="auto"/>
                <w:szCs w:val="21"/>
                <w:highlight w:val="none"/>
              </w:rPr>
            </w:pP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olor w:val="auto"/>
                <w:szCs w:val="21"/>
                <w:highlight w:val="none"/>
              </w:rPr>
            </w:pPr>
          </w:p>
        </w:tc>
        <w:tc>
          <w:tcPr>
            <w:tcW w:w="6333" w:type="dxa"/>
            <w:tcBorders>
              <w:top w:val="single" w:color="000000" w:sz="4" w:space="0"/>
              <w:left w:val="single" w:color="000000" w:sz="4" w:space="0"/>
              <w:bottom w:val="single" w:color="000000" w:sz="4" w:space="0"/>
              <w:right w:val="single" w:color="000000" w:sz="8" w:space="0"/>
            </w:tcBorders>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w:t>
            </w:r>
            <w:r>
              <w:rPr>
                <w:rFonts w:hint="default" w:ascii="宋体" w:hAnsi="宋体"/>
                <w:color w:val="auto"/>
                <w:szCs w:val="21"/>
                <w:highlight w:val="none"/>
                <w:lang w:val="en-US"/>
              </w:rPr>
              <w:t>23</w:t>
            </w:r>
            <w:r>
              <w:rPr>
                <w:rFonts w:hint="eastAsia" w:ascii="宋体" w:hAnsi="宋体"/>
                <w:color w:val="auto"/>
                <w:szCs w:val="21"/>
                <w:highlight w:val="none"/>
              </w:rPr>
              <w:t>工期符合第二章“投标人须知”第1.3.2项规定，否则由评标委员会作否决投标处理。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olor w:val="auto"/>
                <w:szCs w:val="21"/>
                <w:highlight w:val="none"/>
              </w:rPr>
            </w:pP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olor w:val="auto"/>
                <w:szCs w:val="21"/>
                <w:highlight w:val="none"/>
              </w:rPr>
            </w:pPr>
          </w:p>
        </w:tc>
        <w:tc>
          <w:tcPr>
            <w:tcW w:w="6333" w:type="dxa"/>
            <w:tcBorders>
              <w:top w:val="single" w:color="000000" w:sz="4" w:space="0"/>
              <w:left w:val="single" w:color="000000" w:sz="4" w:space="0"/>
              <w:bottom w:val="single" w:color="000000" w:sz="4" w:space="0"/>
              <w:right w:val="single" w:color="000000" w:sz="8" w:space="0"/>
            </w:tcBorders>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w:t>
            </w:r>
            <w:r>
              <w:rPr>
                <w:rFonts w:hint="default" w:ascii="宋体" w:hAnsi="宋体"/>
                <w:color w:val="auto"/>
                <w:szCs w:val="21"/>
                <w:highlight w:val="none"/>
                <w:lang w:val="en-US"/>
              </w:rPr>
              <w:t>24</w:t>
            </w:r>
            <w:r>
              <w:rPr>
                <w:rFonts w:hint="eastAsia" w:ascii="宋体" w:hAnsi="宋体"/>
                <w:color w:val="auto"/>
                <w:szCs w:val="21"/>
                <w:highlight w:val="none"/>
              </w:rPr>
              <w:t>工程质量符合第二章“投标人须知”第1.3.3项规定，否则由评标委员会作否决投标处理。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olor w:val="auto"/>
                <w:szCs w:val="21"/>
                <w:highlight w:val="none"/>
              </w:rPr>
            </w:pP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olor w:val="auto"/>
                <w:szCs w:val="21"/>
                <w:highlight w:val="none"/>
              </w:rPr>
            </w:pPr>
          </w:p>
        </w:tc>
        <w:tc>
          <w:tcPr>
            <w:tcW w:w="6333" w:type="dxa"/>
            <w:tcBorders>
              <w:top w:val="single" w:color="000000" w:sz="4" w:space="0"/>
              <w:left w:val="single" w:color="000000" w:sz="4" w:space="0"/>
              <w:bottom w:val="single" w:color="000000" w:sz="4" w:space="0"/>
              <w:right w:val="single" w:color="000000" w:sz="8" w:space="0"/>
            </w:tcBorders>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w:t>
            </w:r>
            <w:r>
              <w:rPr>
                <w:rFonts w:hint="default" w:ascii="宋体" w:hAnsi="宋体"/>
                <w:color w:val="auto"/>
                <w:szCs w:val="21"/>
                <w:highlight w:val="none"/>
                <w:lang w:val="en-US"/>
              </w:rPr>
              <w:t>25</w:t>
            </w:r>
            <w:r>
              <w:rPr>
                <w:rFonts w:hint="eastAsia" w:ascii="宋体" w:hAnsi="宋体"/>
                <w:color w:val="auto"/>
                <w:szCs w:val="21"/>
                <w:highlight w:val="none"/>
              </w:rPr>
              <w:t>投标有效期符合第二章“投标人须知”第3.3.1项规定，否则由评标委员会作否决投标处理。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olor w:val="auto"/>
                <w:szCs w:val="21"/>
                <w:highlight w:val="none"/>
              </w:rPr>
            </w:pP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olor w:val="auto"/>
                <w:szCs w:val="21"/>
                <w:highlight w:val="none"/>
              </w:rPr>
            </w:pPr>
          </w:p>
        </w:tc>
        <w:tc>
          <w:tcPr>
            <w:tcW w:w="6333" w:type="dxa"/>
            <w:tcBorders>
              <w:top w:val="single" w:color="000000" w:sz="4" w:space="0"/>
              <w:left w:val="single" w:color="000000" w:sz="4" w:space="0"/>
              <w:bottom w:val="single" w:color="000000" w:sz="4" w:space="0"/>
              <w:right w:val="single" w:color="000000" w:sz="8" w:space="0"/>
            </w:tcBorders>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w:t>
            </w:r>
            <w:r>
              <w:rPr>
                <w:rFonts w:hint="default" w:ascii="宋体" w:hAnsi="宋体"/>
                <w:color w:val="auto"/>
                <w:szCs w:val="21"/>
                <w:highlight w:val="none"/>
                <w:lang w:val="en-US"/>
              </w:rPr>
              <w:t>26</w:t>
            </w:r>
            <w:r>
              <w:rPr>
                <w:rFonts w:hint="eastAsia" w:ascii="宋体" w:hAnsi="宋体"/>
                <w:color w:val="auto"/>
                <w:szCs w:val="21"/>
                <w:highlight w:val="none"/>
              </w:rPr>
              <w:t>投标函中的总报价不得高于招标人公布的投标总报价最高限价，否则由评标委员会作否决投标处理。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olor w:val="auto"/>
                <w:szCs w:val="21"/>
                <w:highlight w:val="none"/>
              </w:rPr>
            </w:pP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olor w:val="auto"/>
                <w:szCs w:val="21"/>
                <w:highlight w:val="none"/>
              </w:rPr>
            </w:pPr>
          </w:p>
        </w:tc>
        <w:tc>
          <w:tcPr>
            <w:tcW w:w="6333" w:type="dxa"/>
            <w:tcBorders>
              <w:top w:val="single" w:color="000000" w:sz="4" w:space="0"/>
              <w:left w:val="single" w:color="000000" w:sz="4" w:space="0"/>
              <w:bottom w:val="single" w:color="000000" w:sz="4" w:space="0"/>
              <w:right w:val="single" w:color="000000" w:sz="8" w:space="0"/>
            </w:tcBorders>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w:t>
            </w:r>
            <w:r>
              <w:rPr>
                <w:rFonts w:hint="default" w:ascii="宋体" w:hAnsi="宋体"/>
                <w:color w:val="auto"/>
                <w:szCs w:val="21"/>
                <w:highlight w:val="none"/>
                <w:lang w:val="en-US"/>
              </w:rPr>
              <w:t>28</w:t>
            </w:r>
            <w:r>
              <w:rPr>
                <w:rFonts w:hint="eastAsia" w:ascii="宋体" w:hAnsi="宋体"/>
                <w:color w:val="auto"/>
                <w:szCs w:val="21"/>
                <w:highlight w:val="none"/>
              </w:rPr>
              <w:t>只能有一个有效报价。在招标文件没有规定的情况下，不得提交选择性报价，否则由评标委员会作否决投标处理。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olor w:val="auto"/>
                <w:szCs w:val="21"/>
                <w:highlight w:val="none"/>
              </w:rPr>
            </w:pP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olor w:val="auto"/>
                <w:szCs w:val="21"/>
                <w:highlight w:val="none"/>
              </w:rPr>
            </w:pPr>
          </w:p>
        </w:tc>
        <w:tc>
          <w:tcPr>
            <w:tcW w:w="6333" w:type="dxa"/>
            <w:tcBorders>
              <w:top w:val="single" w:color="000000" w:sz="4" w:space="0"/>
              <w:left w:val="single" w:color="000000" w:sz="4" w:space="0"/>
              <w:bottom w:val="single" w:color="000000" w:sz="4" w:space="0"/>
              <w:right w:val="single" w:color="000000" w:sz="8" w:space="0"/>
            </w:tcBorders>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w:t>
            </w:r>
            <w:r>
              <w:rPr>
                <w:rFonts w:hint="default" w:ascii="宋体" w:hAnsi="宋体"/>
                <w:color w:val="auto"/>
                <w:szCs w:val="21"/>
                <w:highlight w:val="none"/>
                <w:lang w:val="en-US"/>
              </w:rPr>
              <w:t>29</w:t>
            </w:r>
            <w:r>
              <w:rPr>
                <w:rFonts w:hint="eastAsia" w:ascii="宋体" w:hAnsi="宋体"/>
                <w:color w:val="auto"/>
                <w:szCs w:val="21"/>
                <w:highlight w:val="none"/>
              </w:rPr>
              <w:t>投标人对已标价工程量清单的承诺必须满足第二章“投标人须知前附表”第3.2.9项要求，否则由评标委员会作否决投标处理。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olor w:val="auto"/>
                <w:szCs w:val="21"/>
                <w:highlight w:val="none"/>
              </w:rPr>
            </w:pP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olor w:val="auto"/>
                <w:szCs w:val="21"/>
                <w:highlight w:val="none"/>
              </w:rPr>
            </w:pPr>
          </w:p>
        </w:tc>
        <w:tc>
          <w:tcPr>
            <w:tcW w:w="6333" w:type="dxa"/>
            <w:tcBorders>
              <w:top w:val="single" w:color="000000" w:sz="4" w:space="0"/>
              <w:left w:val="single" w:color="000000" w:sz="4" w:space="0"/>
              <w:bottom w:val="single" w:color="000000" w:sz="4" w:space="0"/>
              <w:right w:val="single" w:color="000000" w:sz="8" w:space="0"/>
            </w:tcBorders>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w:t>
            </w:r>
            <w:r>
              <w:rPr>
                <w:rFonts w:hint="default" w:ascii="宋体" w:hAnsi="宋体"/>
                <w:color w:val="auto"/>
                <w:szCs w:val="21"/>
                <w:highlight w:val="none"/>
                <w:lang w:val="en-US"/>
              </w:rPr>
              <w:t>30</w:t>
            </w:r>
            <w:r>
              <w:rPr>
                <w:rFonts w:hint="eastAsia" w:ascii="宋体" w:hAnsi="宋体"/>
                <w:color w:val="auto"/>
                <w:szCs w:val="21"/>
                <w:highlight w:val="none"/>
              </w:rPr>
              <w:t>投标报价有算术错误的，按照第三章“评标办法”第3.2.3项规定执行，否则由评标委员会作否决投标处理。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61" w:type="dxa"/>
            <w:tcBorders>
              <w:top w:val="single" w:color="000000" w:sz="4" w:space="0"/>
              <w:left w:val="single" w:color="000000" w:sz="8" w:space="0"/>
              <w:bottom w:val="single" w:color="000000" w:sz="8" w:space="0"/>
              <w:right w:val="single" w:color="000000" w:sz="4" w:space="0"/>
            </w:tcBorders>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其他</w:t>
            </w:r>
          </w:p>
        </w:tc>
        <w:tc>
          <w:tcPr>
            <w:tcW w:w="1515" w:type="dxa"/>
            <w:tcBorders>
              <w:top w:val="single" w:color="000000" w:sz="4" w:space="0"/>
              <w:left w:val="single" w:color="000000" w:sz="4" w:space="0"/>
              <w:bottom w:val="single" w:color="000000" w:sz="8" w:space="0"/>
              <w:right w:val="single" w:color="000000" w:sz="4" w:space="0"/>
            </w:tcBorders>
            <w:vAlign w:val="center"/>
          </w:tcPr>
          <w:p>
            <w:pPr>
              <w:spacing w:line="400" w:lineRule="exact"/>
              <w:jc w:val="center"/>
              <w:rPr>
                <w:rFonts w:ascii="宋体" w:hAnsi="宋体"/>
                <w:color w:val="auto"/>
                <w:szCs w:val="21"/>
                <w:highlight w:val="none"/>
              </w:rPr>
            </w:pPr>
          </w:p>
        </w:tc>
        <w:tc>
          <w:tcPr>
            <w:tcW w:w="6333" w:type="dxa"/>
            <w:tcBorders>
              <w:top w:val="single" w:color="000000" w:sz="4" w:space="0"/>
              <w:left w:val="single" w:color="000000" w:sz="4" w:space="0"/>
              <w:bottom w:val="single" w:color="000000" w:sz="8" w:space="0"/>
              <w:right w:val="single" w:color="000000" w:sz="8" w:space="0"/>
            </w:tcBorders>
            <w:vAlign w:val="top"/>
          </w:tcPr>
          <w:p>
            <w:pPr>
              <w:spacing w:line="400" w:lineRule="exact"/>
              <w:ind w:firstLine="420" w:firstLineChars="200"/>
              <w:rPr>
                <w:rFonts w:hint="eastAsia" w:ascii="宋体" w:hAnsi="宋体" w:eastAsia="宋体"/>
                <w:i/>
                <w:color w:val="auto"/>
                <w:szCs w:val="21"/>
                <w:highlight w:val="none"/>
                <w:lang w:eastAsia="zh-CN"/>
              </w:rPr>
            </w:pPr>
            <w:r>
              <w:rPr>
                <w:rFonts w:hint="eastAsia" w:ascii="宋体" w:hAnsi="宋体"/>
                <w:i/>
                <w:color w:val="auto"/>
                <w:szCs w:val="21"/>
                <w:highlight w:val="none"/>
                <w:lang w:val="en-US" w:eastAsia="zh-CN"/>
              </w:rPr>
              <w:t>无</w:t>
            </w:r>
          </w:p>
        </w:tc>
      </w:tr>
    </w:tbl>
    <w:p>
      <w:pPr>
        <w:ind w:left="1807" w:hanging="1800" w:hangingChars="500"/>
        <w:jc w:val="center"/>
        <w:rPr>
          <w:rFonts w:hint="eastAsia" w:ascii="宋体" w:hAnsi="宋体" w:cs="宋体"/>
          <w:b/>
          <w:bCs/>
          <w:color w:val="auto"/>
          <w:sz w:val="32"/>
          <w:szCs w:val="32"/>
          <w:u w:val="single"/>
          <w:lang w:val="zh-CN"/>
        </w:rPr>
      </w:pPr>
      <w:r>
        <w:rPr>
          <w:rFonts w:hint="eastAsia"/>
          <w:color w:val="auto"/>
          <w:kern w:val="0"/>
          <w:sz w:val="36"/>
          <w:szCs w:val="36"/>
        </w:rPr>
        <w:br w:type="page"/>
      </w:r>
      <w:bookmarkEnd w:id="51"/>
      <w:bookmarkEnd w:id="52"/>
      <w:bookmarkEnd w:id="105"/>
      <w:bookmarkEnd w:id="106"/>
      <w:bookmarkStart w:id="121" w:name="_Toc152042286"/>
      <w:bookmarkStart w:id="122" w:name="_Toc144974478"/>
      <w:bookmarkStart w:id="123" w:name="_Toc452058739"/>
      <w:bookmarkStart w:id="124" w:name="_Toc513492491"/>
      <w:bookmarkStart w:id="125" w:name="_Toc352707846"/>
      <w:bookmarkStart w:id="126" w:name="_Toc354832093"/>
      <w:bookmarkStart w:id="127" w:name="_Toc199124869"/>
      <w:r>
        <w:rPr>
          <w:rFonts w:hint="eastAsia" w:ascii="宋体" w:hAnsi="宋体" w:cs="宋体"/>
          <w:b/>
          <w:bCs/>
          <w:color w:val="auto"/>
          <w:sz w:val="32"/>
          <w:szCs w:val="32"/>
          <w:u w:val="single"/>
          <w:lang w:val="zh-CN"/>
        </w:rPr>
        <w:t>2025年度福果镇农村公路护栏建设项目</w:t>
      </w:r>
    </w:p>
    <w:p>
      <w:pPr>
        <w:ind w:left="1807" w:hanging="1807" w:hangingChars="500"/>
        <w:jc w:val="center"/>
        <w:rPr>
          <w:rFonts w:hint="eastAsia" w:ascii="宋体" w:hAnsi="宋体" w:cs="宋体"/>
          <w:b/>
          <w:bCs/>
          <w:color w:val="auto"/>
          <w:sz w:val="44"/>
          <w:szCs w:val="44"/>
          <w:lang w:val="zh-CN"/>
        </w:rPr>
      </w:pPr>
      <w:r>
        <w:rPr>
          <w:rFonts w:hint="eastAsia" w:ascii="宋体" w:hAnsi="宋体" w:cs="宋体"/>
          <w:b/>
          <w:bCs/>
          <w:color w:val="auto"/>
          <w:sz w:val="36"/>
          <w:szCs w:val="36"/>
          <w:lang w:val="zh-CN"/>
        </w:rPr>
        <w:t>施工合同</w:t>
      </w:r>
    </w:p>
    <w:p>
      <w:pPr>
        <w:tabs>
          <w:tab w:val="left" w:pos="1695"/>
          <w:tab w:val="left" w:pos="3370"/>
          <w:tab w:val="left" w:pos="5555"/>
        </w:tabs>
        <w:autoSpaceDE w:val="0"/>
        <w:autoSpaceDN w:val="0"/>
        <w:adjustRightInd w:val="0"/>
        <w:snapToGrid w:val="0"/>
        <w:spacing w:line="360" w:lineRule="auto"/>
        <w:jc w:val="center"/>
        <w:rPr>
          <w:rFonts w:hint="eastAsia" w:ascii="宋体" w:hAnsi="宋体" w:cs="MingLiU"/>
          <w:color w:val="auto"/>
          <w:kern w:val="0"/>
          <w:sz w:val="20"/>
        </w:rPr>
      </w:pPr>
    </w:p>
    <w:bookmarkEnd w:id="121"/>
    <w:bookmarkEnd w:id="122"/>
    <w:p>
      <w:pPr>
        <w:spacing w:line="400" w:lineRule="exact"/>
        <w:jc w:val="center"/>
        <w:rPr>
          <w:rFonts w:hint="eastAsia" w:hAnsi="黑体" w:eastAsia="黑体"/>
          <w:b/>
          <w:color w:val="auto"/>
          <w:sz w:val="32"/>
          <w:szCs w:val="32"/>
        </w:rPr>
      </w:pPr>
      <w:bookmarkStart w:id="128" w:name="_Toc28955"/>
      <w:bookmarkStart w:id="129" w:name="_Toc17540"/>
      <w:bookmarkStart w:id="130" w:name="_Toc483923184"/>
      <w:bookmarkStart w:id="131" w:name="_Toc389633615"/>
      <w:bookmarkStart w:id="132" w:name="_Toc319675654"/>
      <w:bookmarkStart w:id="133" w:name="_Toc330976731"/>
      <w:bookmarkStart w:id="134" w:name="_Toc152042554"/>
      <w:bookmarkStart w:id="135" w:name="_Toc152045772"/>
      <w:bookmarkStart w:id="136" w:name="_Toc144974834"/>
      <w:bookmarkStart w:id="137" w:name="_Toc152045785"/>
      <w:bookmarkStart w:id="138" w:name="_Toc25457"/>
      <w:bookmarkStart w:id="139" w:name="_Toc287607858"/>
      <w:bookmarkStart w:id="140" w:name="_Toc152042574"/>
      <w:bookmarkStart w:id="141" w:name="_Toc386029711"/>
      <w:bookmarkStart w:id="142" w:name="_Toc277082640"/>
      <w:bookmarkStart w:id="143" w:name="_Toc224103479"/>
      <w:bookmarkStart w:id="144" w:name="_Toc24925"/>
      <w:bookmarkStart w:id="145" w:name="_Toc144974854"/>
      <w:r>
        <w:rPr>
          <w:rFonts w:hint="eastAsia" w:hAnsi="黑体" w:eastAsia="黑体"/>
          <w:b/>
          <w:color w:val="auto"/>
          <w:sz w:val="32"/>
          <w:szCs w:val="32"/>
        </w:rPr>
        <w:t>第一部分 合同协议书</w:t>
      </w:r>
    </w:p>
    <w:p>
      <w:pPr>
        <w:spacing w:line="400" w:lineRule="exact"/>
        <w:jc w:val="center"/>
        <w:rPr>
          <w:rFonts w:hint="eastAsia" w:hAnsi="黑体" w:eastAsia="黑体"/>
          <w:b/>
          <w:color w:val="auto"/>
          <w:sz w:val="32"/>
          <w:szCs w:val="32"/>
        </w:rPr>
      </w:pPr>
    </w:p>
    <w:p>
      <w:pPr>
        <w:spacing w:line="460" w:lineRule="exact"/>
        <w:rPr>
          <w:rFonts w:hint="eastAsia" w:ascii="宋体" w:hAnsi="宋体" w:eastAsia="宋体" w:cs="宋体"/>
          <w:b/>
          <w:snapToGrid w:val="0"/>
          <w:color w:val="auto"/>
          <w:kern w:val="0"/>
          <w:szCs w:val="21"/>
          <w:u w:val="single"/>
          <w:lang w:eastAsia="zh-CN"/>
        </w:rPr>
      </w:pPr>
      <w:r>
        <w:rPr>
          <w:rFonts w:hint="eastAsia" w:ascii="宋体" w:hAnsi="宋体" w:cs="宋体"/>
          <w:b/>
          <w:color w:val="auto"/>
          <w:szCs w:val="21"/>
        </w:rPr>
        <w:t>发包人（全称）：</w:t>
      </w:r>
      <w:r>
        <w:rPr>
          <w:rFonts w:hint="eastAsia" w:ascii="宋体" w:hAnsi="宋体" w:cs="宋体"/>
          <w:b/>
          <w:color w:val="auto"/>
          <w:szCs w:val="21"/>
          <w:u w:val="single"/>
          <w:lang w:eastAsia="zh-CN"/>
        </w:rPr>
        <w:t>重庆市铜梁区福果镇人民政府</w:t>
      </w:r>
    </w:p>
    <w:p>
      <w:pPr>
        <w:spacing w:line="460" w:lineRule="exact"/>
        <w:rPr>
          <w:rFonts w:hint="eastAsia" w:ascii="宋体" w:hAnsi="宋体" w:cs="宋体"/>
          <w:b/>
          <w:color w:val="auto"/>
          <w:szCs w:val="21"/>
          <w:u w:val="single"/>
        </w:rPr>
      </w:pPr>
      <w:r>
        <w:rPr>
          <w:rFonts w:hint="eastAsia" w:ascii="宋体" w:hAnsi="宋体" w:cs="宋体"/>
          <w:b/>
          <w:color w:val="auto"/>
          <w:szCs w:val="21"/>
        </w:rPr>
        <w:t xml:space="preserve">承包人（全称）：                      </w:t>
      </w:r>
    </w:p>
    <w:p>
      <w:pPr>
        <w:spacing w:line="460" w:lineRule="exact"/>
        <w:ind w:firstLine="527" w:firstLineChars="250"/>
        <w:jc w:val="left"/>
        <w:rPr>
          <w:rFonts w:hint="eastAsia" w:ascii="宋体" w:hAnsi="宋体" w:cs="宋体"/>
          <w:b/>
          <w:snapToGrid w:val="0"/>
          <w:color w:val="auto"/>
          <w:kern w:val="0"/>
          <w:szCs w:val="21"/>
          <w:u w:val="single"/>
        </w:rPr>
      </w:pPr>
      <w:r>
        <w:rPr>
          <w:rFonts w:hint="eastAsia" w:ascii="宋体" w:hAnsi="宋体" w:cs="宋体"/>
          <w:b/>
          <w:color w:val="auto"/>
          <w:szCs w:val="21"/>
          <w:u w:val="single"/>
          <w:lang w:eastAsia="zh-CN"/>
        </w:rPr>
        <w:t>重庆市铜梁区福果镇人民政府</w:t>
      </w:r>
      <w:r>
        <w:rPr>
          <w:rFonts w:hint="eastAsia" w:ascii="宋体" w:hAnsi="宋体" w:cs="宋体"/>
          <w:bCs/>
          <w:snapToGrid w:val="0"/>
          <w:color w:val="auto"/>
          <w:kern w:val="0"/>
          <w:szCs w:val="21"/>
        </w:rPr>
        <w:t>（发包人名称，以下简称“发包人”）为实施</w:t>
      </w:r>
      <w:r>
        <w:rPr>
          <w:rFonts w:hint="eastAsia" w:ascii="宋体" w:hAnsi="宋体" w:cs="MingLiU"/>
          <w:b/>
          <w:bCs/>
          <w:snapToGrid w:val="0"/>
          <w:color w:val="auto"/>
          <w:kern w:val="0"/>
          <w:szCs w:val="21"/>
          <w:u w:val="single"/>
          <w:lang w:eastAsia="zh-CN"/>
        </w:rPr>
        <w:t>2025年度福果镇农村公路护栏建设项目</w:t>
      </w:r>
      <w:r>
        <w:rPr>
          <w:rFonts w:hint="eastAsia" w:ascii="宋体" w:hAnsi="宋体" w:cs="MingLiU"/>
          <w:snapToGrid w:val="0"/>
          <w:color w:val="auto"/>
          <w:kern w:val="0"/>
          <w:szCs w:val="21"/>
          <w:u w:val="single"/>
        </w:rPr>
        <w:t xml:space="preserve"> </w:t>
      </w:r>
      <w:r>
        <w:rPr>
          <w:rFonts w:hint="eastAsia" w:ascii="宋体" w:hAnsi="宋体" w:cs="MingLiU"/>
          <w:snapToGrid w:val="0"/>
          <w:color w:val="auto"/>
          <w:kern w:val="0"/>
          <w:szCs w:val="21"/>
        </w:rPr>
        <w:t>（</w:t>
      </w:r>
      <w:r>
        <w:rPr>
          <w:rFonts w:hint="eastAsia" w:ascii="宋体" w:hAnsi="宋体" w:cs="宋体"/>
          <w:bCs/>
          <w:snapToGrid w:val="0"/>
          <w:color w:val="auto"/>
          <w:kern w:val="0"/>
          <w:szCs w:val="21"/>
        </w:rPr>
        <w:t>项目名称）已接受</w:t>
      </w:r>
      <w:r>
        <w:rPr>
          <w:rFonts w:hint="eastAsia" w:ascii="宋体" w:hAnsi="宋体" w:cs="宋体"/>
          <w:bCs/>
          <w:snapToGrid w:val="0"/>
          <w:color w:val="auto"/>
          <w:w w:val="200"/>
          <w:kern w:val="0"/>
          <w:szCs w:val="21"/>
          <w:u w:val="single"/>
        </w:rPr>
        <w:t xml:space="preserve">           </w:t>
      </w:r>
      <w:r>
        <w:rPr>
          <w:rFonts w:hint="eastAsia" w:ascii="宋体" w:hAnsi="宋体" w:cs="宋体"/>
          <w:bCs/>
          <w:snapToGrid w:val="0"/>
          <w:color w:val="auto"/>
          <w:kern w:val="0"/>
          <w:szCs w:val="21"/>
        </w:rPr>
        <w:t>（承包人名称，以下简称“承包人”）对该项目</w:t>
      </w:r>
      <w:r>
        <w:rPr>
          <w:rFonts w:hint="eastAsia" w:ascii="宋体" w:hAnsi="宋体" w:cs="宋体"/>
          <w:snapToGrid w:val="0"/>
          <w:color w:val="auto"/>
          <w:kern w:val="0"/>
          <w:szCs w:val="21"/>
        </w:rPr>
        <w:t>施工的参选。 发包人和承包人共同达成如下协议。</w:t>
      </w:r>
    </w:p>
    <w:p>
      <w:pPr>
        <w:spacing w:line="500" w:lineRule="exact"/>
        <w:ind w:firstLine="420" w:firstLineChars="200"/>
        <w:rPr>
          <w:rFonts w:hint="eastAsia" w:ascii="宋体" w:hAnsi="宋体" w:eastAsia="宋体" w:cs="宋体"/>
          <w:color w:val="auto"/>
          <w:szCs w:val="21"/>
          <w:u w:val="single"/>
          <w:lang w:eastAsia="zh-CN"/>
        </w:rPr>
      </w:pPr>
      <w:r>
        <w:rPr>
          <w:rFonts w:hint="eastAsia" w:ascii="宋体" w:hAnsi="宋体" w:cs="宋体"/>
          <w:snapToGrid w:val="0"/>
          <w:color w:val="auto"/>
          <w:kern w:val="0"/>
          <w:szCs w:val="21"/>
        </w:rPr>
        <w:t>1.</w:t>
      </w:r>
      <w:r>
        <w:rPr>
          <w:rFonts w:hint="eastAsia" w:ascii="宋体" w:hAnsi="宋体" w:cs="宋体"/>
          <w:snapToGrid w:val="0"/>
          <w:color w:val="auto"/>
          <w:kern w:val="0"/>
          <w:szCs w:val="21"/>
          <w:lang w:eastAsia="zh-CN"/>
        </w:rPr>
        <w:t>2025年度福果镇农村公路护栏建设项目</w:t>
      </w:r>
      <w:r>
        <w:rPr>
          <w:rFonts w:hint="eastAsia" w:ascii="宋体" w:hAnsi="宋体" w:cs="宋体"/>
          <w:color w:val="auto"/>
          <w:szCs w:val="21"/>
        </w:rPr>
        <w:t>：主要内容包括新建公路护栏工程等内容</w:t>
      </w:r>
      <w:r>
        <w:rPr>
          <w:rFonts w:hint="eastAsia" w:ascii="宋体" w:hAnsi="宋体" w:cs="宋体"/>
          <w:color w:val="auto"/>
          <w:szCs w:val="21"/>
          <w:lang w:eastAsia="zh-CN"/>
        </w:rPr>
        <w:t>，工程地址位于重庆市铜梁区福果镇，本次发包的范围为项目的施工，具体内容以发包人发布的施工图和工程量清单为准</w:t>
      </w:r>
    </w:p>
    <w:p>
      <w:pPr>
        <w:spacing w:line="420" w:lineRule="exact"/>
        <w:ind w:firstLine="420" w:firstLineChars="200"/>
        <w:rPr>
          <w:rFonts w:hint="eastAsia" w:ascii="宋体" w:hAnsi="宋体" w:cs="宋体"/>
          <w:color w:val="auto"/>
          <w:szCs w:val="21"/>
          <w:u w:val="single"/>
        </w:rPr>
      </w:pPr>
      <w:r>
        <w:rPr>
          <w:rFonts w:hint="eastAsia" w:ascii="宋体" w:hAnsi="宋体" w:cs="宋体"/>
          <w:color w:val="auto"/>
          <w:szCs w:val="21"/>
          <w:u w:val="single"/>
        </w:rPr>
        <w:t>2. 本协议书与下列文件一起构成合同文件：</w:t>
      </w:r>
    </w:p>
    <w:p>
      <w:pPr>
        <w:spacing w:line="460" w:lineRule="exact"/>
        <w:ind w:firstLine="210" w:firstLineChars="100"/>
        <w:jc w:val="left"/>
        <w:rPr>
          <w:rFonts w:hint="eastAsia" w:ascii="宋体" w:hAnsi="宋体" w:cs="宋体"/>
          <w:color w:val="auto"/>
          <w:szCs w:val="21"/>
          <w:u w:val="single"/>
        </w:rPr>
      </w:pPr>
      <w:r>
        <w:rPr>
          <w:rFonts w:hint="eastAsia" w:ascii="宋体" w:hAnsi="宋体" w:cs="宋体"/>
          <w:color w:val="auto"/>
          <w:szCs w:val="21"/>
        </w:rPr>
        <w:t>（1）</w:t>
      </w:r>
      <w:r>
        <w:rPr>
          <w:rFonts w:hint="eastAsia" w:ascii="宋体" w:hAnsi="宋体" w:cs="宋体"/>
          <w:color w:val="auto"/>
          <w:szCs w:val="21"/>
          <w:u w:val="single"/>
        </w:rPr>
        <w:t>合同协议书及各种合同附件（含评标期间和合同谈判过程中的澄清文件和补充资料）；</w:t>
      </w:r>
    </w:p>
    <w:p>
      <w:pPr>
        <w:spacing w:line="460" w:lineRule="exact"/>
        <w:ind w:firstLine="210" w:firstLineChars="100"/>
        <w:jc w:val="left"/>
        <w:rPr>
          <w:rFonts w:hint="eastAsia" w:ascii="宋体" w:hAnsi="宋体" w:cs="宋体"/>
          <w:color w:val="auto"/>
          <w:szCs w:val="21"/>
        </w:rPr>
      </w:pPr>
      <w:r>
        <w:rPr>
          <w:rFonts w:hint="eastAsia" w:ascii="宋体" w:hAnsi="宋体" w:cs="宋体"/>
          <w:color w:val="auto"/>
          <w:szCs w:val="21"/>
        </w:rPr>
        <w:t>（2）</w:t>
      </w:r>
      <w:r>
        <w:rPr>
          <w:rFonts w:hint="eastAsia" w:ascii="宋体" w:hAnsi="宋体" w:cs="宋体"/>
          <w:color w:val="auto"/>
          <w:szCs w:val="21"/>
          <w:u w:val="single"/>
        </w:rPr>
        <w:t>中</w:t>
      </w:r>
      <w:r>
        <w:rPr>
          <w:rFonts w:hint="eastAsia" w:ascii="宋体" w:hAnsi="宋体" w:cs="宋体"/>
          <w:color w:val="auto"/>
          <w:szCs w:val="21"/>
          <w:u w:val="single"/>
          <w:lang w:val="en-US" w:eastAsia="zh-CN"/>
        </w:rPr>
        <w:t>标</w:t>
      </w:r>
      <w:r>
        <w:rPr>
          <w:rFonts w:hint="eastAsia" w:ascii="宋体" w:hAnsi="宋体" w:cs="宋体"/>
          <w:color w:val="auto"/>
          <w:szCs w:val="21"/>
          <w:u w:val="single"/>
        </w:rPr>
        <w:t>通知书；</w:t>
      </w:r>
    </w:p>
    <w:p>
      <w:pPr>
        <w:spacing w:line="460" w:lineRule="exact"/>
        <w:ind w:firstLine="210" w:firstLineChars="100"/>
        <w:jc w:val="left"/>
        <w:rPr>
          <w:rFonts w:hint="eastAsia" w:ascii="宋体" w:hAnsi="宋体" w:cs="宋体"/>
          <w:color w:val="auto"/>
          <w:szCs w:val="21"/>
        </w:rPr>
      </w:pPr>
      <w:r>
        <w:rPr>
          <w:rFonts w:hint="eastAsia" w:ascii="宋体" w:hAnsi="宋体" w:cs="宋体"/>
          <w:color w:val="auto"/>
          <w:szCs w:val="21"/>
        </w:rPr>
        <w:t>（3）</w:t>
      </w:r>
      <w:r>
        <w:rPr>
          <w:rFonts w:hint="eastAsia" w:ascii="宋体" w:hAnsi="宋体" w:cs="宋体"/>
          <w:color w:val="auto"/>
          <w:szCs w:val="21"/>
          <w:u w:val="single"/>
        </w:rPr>
        <w:t>项目专用合同条款；</w:t>
      </w:r>
    </w:p>
    <w:p>
      <w:pPr>
        <w:spacing w:line="460" w:lineRule="exact"/>
        <w:ind w:firstLine="210" w:firstLineChars="100"/>
        <w:jc w:val="left"/>
        <w:rPr>
          <w:rFonts w:hint="eastAsia" w:ascii="宋体" w:hAnsi="宋体" w:cs="宋体"/>
          <w:color w:val="auto"/>
          <w:szCs w:val="21"/>
        </w:rPr>
      </w:pPr>
      <w:r>
        <w:rPr>
          <w:rFonts w:hint="eastAsia" w:ascii="宋体" w:hAnsi="宋体" w:cs="宋体"/>
          <w:color w:val="auto"/>
          <w:szCs w:val="21"/>
        </w:rPr>
        <w:t>（4）</w:t>
      </w:r>
      <w:r>
        <w:rPr>
          <w:rFonts w:hint="eastAsia" w:ascii="宋体" w:hAnsi="宋体" w:cs="宋体"/>
          <w:color w:val="auto"/>
          <w:szCs w:val="21"/>
          <w:u w:val="single"/>
        </w:rPr>
        <w:t>公路工程专用合同条款；</w:t>
      </w:r>
    </w:p>
    <w:p>
      <w:pPr>
        <w:spacing w:line="460" w:lineRule="exact"/>
        <w:ind w:firstLine="210" w:firstLineChars="100"/>
        <w:jc w:val="left"/>
        <w:rPr>
          <w:rFonts w:hint="eastAsia" w:ascii="宋体" w:hAnsi="宋体" w:cs="宋体"/>
          <w:color w:val="auto"/>
          <w:szCs w:val="21"/>
          <w:u w:val="single"/>
        </w:rPr>
      </w:pPr>
      <w:r>
        <w:rPr>
          <w:rFonts w:hint="eastAsia" w:ascii="宋体" w:hAnsi="宋体" w:cs="宋体"/>
          <w:color w:val="auto"/>
          <w:szCs w:val="21"/>
        </w:rPr>
        <w:t>（5）</w:t>
      </w:r>
      <w:r>
        <w:rPr>
          <w:rFonts w:hint="eastAsia" w:ascii="宋体" w:hAnsi="宋体" w:cs="宋体"/>
          <w:color w:val="auto"/>
          <w:szCs w:val="21"/>
          <w:u w:val="single"/>
        </w:rPr>
        <w:t>通用合同条款；</w:t>
      </w:r>
    </w:p>
    <w:p>
      <w:pPr>
        <w:spacing w:line="460" w:lineRule="exact"/>
        <w:ind w:firstLine="210" w:firstLineChars="100"/>
        <w:jc w:val="left"/>
        <w:rPr>
          <w:rFonts w:hint="eastAsia" w:ascii="宋体" w:hAnsi="宋体" w:cs="宋体"/>
          <w:color w:val="auto"/>
          <w:szCs w:val="21"/>
          <w:u w:val="single"/>
        </w:rPr>
      </w:pPr>
      <w:r>
        <w:rPr>
          <w:rFonts w:hint="eastAsia" w:ascii="宋体" w:hAnsi="宋体" w:cs="宋体"/>
          <w:color w:val="auto"/>
          <w:szCs w:val="21"/>
        </w:rPr>
        <w:t>（6）</w:t>
      </w:r>
      <w:r>
        <w:rPr>
          <w:rFonts w:hint="eastAsia" w:ascii="宋体" w:hAnsi="宋体" w:cs="宋体"/>
          <w:color w:val="auto"/>
          <w:szCs w:val="21"/>
          <w:u w:val="single"/>
        </w:rPr>
        <w:t>技术规范；</w:t>
      </w:r>
    </w:p>
    <w:p>
      <w:pPr>
        <w:spacing w:line="460" w:lineRule="exact"/>
        <w:ind w:firstLine="210" w:firstLineChars="100"/>
        <w:jc w:val="left"/>
        <w:rPr>
          <w:rFonts w:hint="eastAsia" w:ascii="宋体" w:hAnsi="宋体" w:cs="宋体"/>
          <w:color w:val="auto"/>
          <w:szCs w:val="21"/>
          <w:u w:val="single"/>
        </w:rPr>
      </w:pPr>
      <w:r>
        <w:rPr>
          <w:rFonts w:hint="eastAsia" w:ascii="宋体" w:hAnsi="宋体" w:cs="宋体"/>
          <w:color w:val="auto"/>
          <w:szCs w:val="21"/>
        </w:rPr>
        <w:t>（7）</w:t>
      </w:r>
      <w:r>
        <w:rPr>
          <w:rFonts w:hint="eastAsia" w:ascii="宋体" w:hAnsi="宋体" w:cs="宋体"/>
          <w:color w:val="auto"/>
          <w:szCs w:val="21"/>
          <w:u w:val="single"/>
        </w:rPr>
        <w:t>图纸；</w:t>
      </w:r>
    </w:p>
    <w:p>
      <w:pPr>
        <w:spacing w:line="460" w:lineRule="exact"/>
        <w:ind w:firstLine="210" w:firstLineChars="100"/>
        <w:jc w:val="left"/>
        <w:rPr>
          <w:rFonts w:hint="eastAsia" w:ascii="宋体" w:hAnsi="宋体" w:cs="宋体"/>
          <w:color w:val="auto"/>
          <w:szCs w:val="21"/>
          <w:u w:val="single"/>
        </w:rPr>
      </w:pPr>
      <w:r>
        <w:rPr>
          <w:rFonts w:hint="eastAsia" w:ascii="宋体" w:hAnsi="宋体" w:cs="宋体"/>
          <w:color w:val="auto"/>
          <w:szCs w:val="21"/>
        </w:rPr>
        <w:t>（8）</w:t>
      </w:r>
      <w:r>
        <w:rPr>
          <w:rFonts w:hint="eastAsia" w:ascii="宋体" w:hAnsi="宋体" w:cs="宋体"/>
          <w:color w:val="auto"/>
          <w:szCs w:val="21"/>
          <w:u w:val="single"/>
        </w:rPr>
        <w:t>已标价工程清单；</w:t>
      </w:r>
    </w:p>
    <w:p>
      <w:pPr>
        <w:spacing w:line="460" w:lineRule="exact"/>
        <w:ind w:firstLine="210" w:firstLineChars="100"/>
        <w:jc w:val="left"/>
        <w:rPr>
          <w:rFonts w:hint="eastAsia" w:ascii="宋体" w:hAnsi="宋体" w:cs="宋体"/>
          <w:color w:val="auto"/>
          <w:szCs w:val="21"/>
          <w:u w:val="single"/>
        </w:rPr>
      </w:pPr>
      <w:r>
        <w:rPr>
          <w:rFonts w:hint="eastAsia" w:ascii="宋体" w:hAnsi="宋体" w:cs="宋体"/>
          <w:color w:val="auto"/>
          <w:szCs w:val="21"/>
        </w:rPr>
        <w:t>（9）</w:t>
      </w:r>
      <w:r>
        <w:rPr>
          <w:rFonts w:hint="eastAsia" w:ascii="宋体" w:hAnsi="宋体" w:cs="宋体"/>
          <w:color w:val="auto"/>
          <w:szCs w:val="21"/>
          <w:u w:val="single"/>
          <w:lang w:val="en-US" w:eastAsia="zh-CN"/>
        </w:rPr>
        <w:t>比选</w:t>
      </w:r>
      <w:r>
        <w:rPr>
          <w:rFonts w:hint="eastAsia" w:ascii="宋体" w:hAnsi="宋体" w:cs="宋体"/>
          <w:color w:val="auto"/>
          <w:szCs w:val="21"/>
          <w:u w:val="single"/>
        </w:rPr>
        <w:t>文件；</w:t>
      </w:r>
    </w:p>
    <w:p>
      <w:pPr>
        <w:spacing w:line="460" w:lineRule="exact"/>
        <w:ind w:firstLine="210" w:firstLineChars="100"/>
        <w:jc w:val="left"/>
        <w:rPr>
          <w:rFonts w:hint="eastAsia" w:ascii="宋体" w:hAnsi="宋体" w:cs="宋体"/>
          <w:color w:val="auto"/>
          <w:szCs w:val="21"/>
          <w:u w:val="single"/>
        </w:rPr>
      </w:pPr>
      <w:r>
        <w:rPr>
          <w:rFonts w:hint="eastAsia" w:ascii="宋体" w:hAnsi="宋体" w:cs="宋体"/>
          <w:color w:val="auto"/>
          <w:szCs w:val="21"/>
        </w:rPr>
        <w:t>（10）</w:t>
      </w:r>
      <w:r>
        <w:rPr>
          <w:rFonts w:hint="eastAsia" w:ascii="宋体" w:hAnsi="宋体" w:cs="宋体"/>
          <w:color w:val="auto"/>
          <w:szCs w:val="21"/>
          <w:u w:val="single"/>
        </w:rPr>
        <w:t>其他合同文件（如有）；</w:t>
      </w:r>
    </w:p>
    <w:p>
      <w:pPr>
        <w:spacing w:line="460" w:lineRule="exact"/>
        <w:ind w:firstLine="210" w:firstLineChars="100"/>
        <w:jc w:val="left"/>
        <w:rPr>
          <w:rFonts w:hint="eastAsia" w:ascii="宋体" w:hAnsi="宋体" w:cs="宋体"/>
          <w:color w:val="auto"/>
          <w:szCs w:val="21"/>
          <w:u w:val="single"/>
        </w:rPr>
      </w:pPr>
      <w:r>
        <w:rPr>
          <w:rFonts w:hint="eastAsia" w:ascii="宋体" w:hAnsi="宋体" w:cs="宋体"/>
          <w:color w:val="auto"/>
          <w:szCs w:val="21"/>
        </w:rPr>
        <w:t>（11）</w:t>
      </w:r>
      <w:r>
        <w:rPr>
          <w:rFonts w:hint="eastAsia" w:ascii="宋体" w:hAnsi="宋体" w:cs="宋体"/>
          <w:color w:val="auto"/>
          <w:szCs w:val="21"/>
          <w:u w:val="single"/>
        </w:rPr>
        <w:t>合同履行中，发包人承包人有关工程的洽商、变更等书面协议或文件视为本合同的组成部分。</w:t>
      </w:r>
    </w:p>
    <w:p>
      <w:pPr>
        <w:tabs>
          <w:tab w:val="left" w:pos="4520"/>
          <w:tab w:val="left" w:pos="5980"/>
        </w:tabs>
        <w:autoSpaceDE w:val="0"/>
        <w:autoSpaceDN w:val="0"/>
        <w:adjustRightInd w:val="0"/>
        <w:snapToGrid w:val="0"/>
        <w:spacing w:line="460" w:lineRule="exact"/>
        <w:ind w:right="-23" w:firstLine="420" w:firstLineChars="200"/>
        <w:jc w:val="left"/>
        <w:rPr>
          <w:rFonts w:hint="eastAsia" w:ascii="宋体" w:hAnsi="宋体" w:cs="宋体"/>
          <w:snapToGrid w:val="0"/>
          <w:color w:val="auto"/>
          <w:kern w:val="0"/>
          <w:szCs w:val="21"/>
        </w:rPr>
      </w:pPr>
      <w:r>
        <w:rPr>
          <w:rFonts w:hint="eastAsia" w:ascii="宋体" w:hAnsi="宋体" w:cs="宋体"/>
          <w:snapToGrid w:val="0"/>
          <w:color w:val="auto"/>
          <w:kern w:val="0"/>
          <w:szCs w:val="21"/>
        </w:rPr>
        <w:t>上述文件互相补充和解释，如有不明确或不一致之处，以合同约定次序在先者为准。</w:t>
      </w:r>
    </w:p>
    <w:p>
      <w:pPr>
        <w:spacing w:line="500" w:lineRule="exact"/>
        <w:ind w:firstLine="411" w:firstLineChars="196"/>
        <w:rPr>
          <w:rFonts w:hint="eastAsia" w:ascii="宋体" w:hAnsi="宋体" w:cs="宋体"/>
          <w:bCs/>
          <w:snapToGrid w:val="0"/>
          <w:color w:val="auto"/>
          <w:kern w:val="0"/>
          <w:szCs w:val="21"/>
          <w:u w:val="single"/>
        </w:rPr>
      </w:pPr>
      <w:r>
        <w:rPr>
          <w:rFonts w:hint="eastAsia" w:ascii="宋体" w:hAnsi="宋体" w:cs="宋体"/>
          <w:snapToGrid w:val="0"/>
          <w:color w:val="auto"/>
          <w:kern w:val="0"/>
          <w:szCs w:val="21"/>
        </w:rPr>
        <w:t>3. 根据工程量清单所列承担的预计工程数量和</w:t>
      </w:r>
      <w:r>
        <w:rPr>
          <w:rFonts w:hint="eastAsia" w:ascii="宋体" w:hAnsi="宋体" w:cs="宋体"/>
          <w:snapToGrid w:val="0"/>
          <w:color w:val="auto"/>
          <w:kern w:val="0"/>
          <w:szCs w:val="21"/>
          <w:lang w:eastAsia="zh-CN"/>
        </w:rPr>
        <w:t>总</w:t>
      </w:r>
      <w:r>
        <w:rPr>
          <w:rFonts w:hint="eastAsia" w:ascii="宋体" w:hAnsi="宋体" w:cs="宋体"/>
          <w:snapToGrid w:val="0"/>
          <w:color w:val="auto"/>
          <w:kern w:val="0"/>
          <w:szCs w:val="21"/>
        </w:rPr>
        <w:t>价计算的签约合同价：人民币（大写）</w:t>
      </w:r>
      <w:r>
        <w:rPr>
          <w:rFonts w:hint="eastAsia" w:ascii="宋体" w:hAnsi="宋体" w:cs="宋体"/>
          <w:snapToGrid w:val="0"/>
          <w:color w:val="auto"/>
          <w:w w:val="200"/>
          <w:kern w:val="0"/>
          <w:szCs w:val="21"/>
          <w:u w:val="single"/>
        </w:rPr>
        <w:t xml:space="preserve">    </w:t>
      </w:r>
      <w:r>
        <w:rPr>
          <w:rFonts w:hint="eastAsia" w:ascii="宋体" w:hAnsi="宋体" w:cs="宋体"/>
          <w:snapToGrid w:val="0"/>
          <w:color w:val="auto"/>
          <w:kern w:val="0"/>
          <w:szCs w:val="21"/>
        </w:rPr>
        <w:t>元（¥</w:t>
      </w:r>
      <w:r>
        <w:rPr>
          <w:rFonts w:hint="eastAsia" w:ascii="宋体" w:hAnsi="宋体" w:cs="宋体"/>
          <w:snapToGrid w:val="0"/>
          <w:color w:val="auto"/>
          <w:w w:val="200"/>
          <w:kern w:val="0"/>
          <w:szCs w:val="21"/>
          <w:u w:val="single"/>
        </w:rPr>
        <w:t xml:space="preserve">        </w:t>
      </w:r>
      <w:r>
        <w:rPr>
          <w:rFonts w:hint="eastAsia" w:ascii="宋体" w:hAnsi="宋体" w:cs="宋体"/>
          <w:snapToGrid w:val="0"/>
          <w:color w:val="auto"/>
          <w:kern w:val="0"/>
          <w:szCs w:val="21"/>
        </w:rPr>
        <w:t>）。承包范围：</w:t>
      </w:r>
      <w:r>
        <w:rPr>
          <w:rFonts w:hint="eastAsia" w:ascii="宋体" w:hAnsi="宋体" w:cs="宋体"/>
          <w:color w:val="auto"/>
          <w:szCs w:val="21"/>
          <w:u w:val="single"/>
        </w:rPr>
        <w:t>施工图所示的全部工程内容，具体以抽选人发出的工程量清单为准</w:t>
      </w:r>
      <w:r>
        <w:rPr>
          <w:rFonts w:hint="eastAsia" w:ascii="宋体" w:hAnsi="宋体" w:cs="宋体"/>
          <w:color w:val="auto"/>
          <w:szCs w:val="21"/>
        </w:rPr>
        <w:t>。</w:t>
      </w:r>
    </w:p>
    <w:p>
      <w:pPr>
        <w:tabs>
          <w:tab w:val="left" w:pos="4520"/>
          <w:tab w:val="left" w:pos="5980"/>
        </w:tabs>
        <w:autoSpaceDE w:val="0"/>
        <w:autoSpaceDN w:val="0"/>
        <w:adjustRightInd w:val="0"/>
        <w:snapToGrid w:val="0"/>
        <w:spacing w:line="460" w:lineRule="exact"/>
        <w:ind w:right="-23" w:firstLine="478" w:firstLineChars="228"/>
        <w:jc w:val="left"/>
        <w:rPr>
          <w:rFonts w:hint="eastAsia" w:ascii="宋体" w:hAnsi="宋体" w:cs="宋体"/>
          <w:snapToGrid w:val="0"/>
          <w:color w:val="auto"/>
          <w:kern w:val="0"/>
          <w:szCs w:val="21"/>
        </w:rPr>
      </w:pPr>
      <w:r>
        <w:rPr>
          <w:rFonts w:hint="eastAsia" w:ascii="宋体" w:hAnsi="宋体" w:cs="宋体"/>
          <w:snapToGrid w:val="0"/>
          <w:color w:val="auto"/>
          <w:kern w:val="0"/>
          <w:szCs w:val="21"/>
        </w:rPr>
        <w:t>4.  承包人项目经理：</w:t>
      </w:r>
      <w:r>
        <w:rPr>
          <w:rFonts w:hint="eastAsia" w:ascii="宋体" w:hAnsi="宋体" w:cs="宋体"/>
          <w:snapToGrid w:val="0"/>
          <w:color w:val="auto"/>
          <w:w w:val="200"/>
          <w:kern w:val="0"/>
          <w:szCs w:val="21"/>
          <w:u w:val="single"/>
        </w:rPr>
        <w:t xml:space="preserve"> </w:t>
      </w:r>
      <w:r>
        <w:rPr>
          <w:rFonts w:hint="eastAsia" w:ascii="宋体" w:hAnsi="宋体" w:cs="宋体"/>
          <w:snapToGrid w:val="0"/>
          <w:color w:val="auto"/>
          <w:kern w:val="0"/>
          <w:szCs w:val="21"/>
          <w:u w:val="single"/>
        </w:rPr>
        <w:tab/>
      </w:r>
      <w:r>
        <w:rPr>
          <w:rFonts w:hint="eastAsia" w:ascii="宋体" w:hAnsi="宋体" w:cs="宋体"/>
          <w:snapToGrid w:val="0"/>
          <w:color w:val="auto"/>
          <w:kern w:val="0"/>
          <w:szCs w:val="21"/>
        </w:rPr>
        <w:t>。</w:t>
      </w:r>
    </w:p>
    <w:p>
      <w:pPr>
        <w:tabs>
          <w:tab w:val="left" w:pos="3360"/>
        </w:tabs>
        <w:autoSpaceDE w:val="0"/>
        <w:autoSpaceDN w:val="0"/>
        <w:adjustRightInd w:val="0"/>
        <w:snapToGrid w:val="0"/>
        <w:spacing w:line="460" w:lineRule="exact"/>
        <w:ind w:left="479" w:right="-20"/>
        <w:jc w:val="left"/>
        <w:rPr>
          <w:rFonts w:hint="eastAsia" w:ascii="宋体" w:hAnsi="宋体" w:cs="宋体"/>
          <w:snapToGrid w:val="0"/>
          <w:color w:val="auto"/>
          <w:kern w:val="0"/>
          <w:szCs w:val="21"/>
        </w:rPr>
      </w:pPr>
      <w:r>
        <w:rPr>
          <w:rFonts w:hint="eastAsia" w:ascii="宋体" w:hAnsi="宋体" w:cs="宋体"/>
          <w:snapToGrid w:val="0"/>
          <w:color w:val="auto"/>
          <w:kern w:val="0"/>
          <w:szCs w:val="21"/>
        </w:rPr>
        <w:t>5.  工程质量符合</w:t>
      </w:r>
      <w:r>
        <w:rPr>
          <w:rFonts w:hint="eastAsia" w:ascii="宋体" w:hAnsi="宋体" w:cs="宋体"/>
          <w:snapToGrid w:val="0"/>
          <w:color w:val="auto"/>
          <w:kern w:val="0"/>
          <w:szCs w:val="21"/>
          <w:u w:val="single"/>
        </w:rPr>
        <w:t>国家现行有关施工质量验收规范要求，并达到合格</w:t>
      </w:r>
      <w:r>
        <w:rPr>
          <w:rFonts w:hint="eastAsia" w:ascii="宋体" w:hAnsi="宋体" w:cs="宋体"/>
          <w:snapToGrid w:val="0"/>
          <w:color w:val="auto"/>
          <w:kern w:val="0"/>
          <w:szCs w:val="21"/>
        </w:rPr>
        <w:t>标准。</w:t>
      </w:r>
    </w:p>
    <w:p>
      <w:pPr>
        <w:autoSpaceDE w:val="0"/>
        <w:autoSpaceDN w:val="0"/>
        <w:adjustRightInd w:val="0"/>
        <w:snapToGrid w:val="0"/>
        <w:spacing w:line="460" w:lineRule="exact"/>
        <w:ind w:left="479" w:right="-20"/>
        <w:jc w:val="left"/>
        <w:rPr>
          <w:rFonts w:hint="eastAsia" w:ascii="宋体" w:hAnsi="宋体" w:cs="宋体"/>
          <w:snapToGrid w:val="0"/>
          <w:color w:val="auto"/>
          <w:kern w:val="0"/>
          <w:szCs w:val="21"/>
        </w:rPr>
      </w:pPr>
      <w:r>
        <w:rPr>
          <w:rFonts w:hint="eastAsia" w:ascii="宋体" w:hAnsi="宋体" w:cs="宋体"/>
          <w:snapToGrid w:val="0"/>
          <w:color w:val="auto"/>
          <w:kern w:val="0"/>
          <w:szCs w:val="21"/>
        </w:rPr>
        <w:t>6.  承包人承诺按合同约定承担工程的实施、完成及缺陷修复。</w:t>
      </w:r>
    </w:p>
    <w:p>
      <w:pPr>
        <w:autoSpaceDE w:val="0"/>
        <w:autoSpaceDN w:val="0"/>
        <w:adjustRightInd w:val="0"/>
        <w:snapToGrid w:val="0"/>
        <w:spacing w:line="460" w:lineRule="exact"/>
        <w:ind w:left="479" w:right="-20"/>
        <w:jc w:val="left"/>
        <w:rPr>
          <w:rFonts w:hint="eastAsia" w:ascii="宋体" w:hAnsi="宋体" w:cs="宋体"/>
          <w:snapToGrid w:val="0"/>
          <w:color w:val="auto"/>
          <w:kern w:val="0"/>
          <w:szCs w:val="21"/>
        </w:rPr>
      </w:pPr>
      <w:r>
        <w:rPr>
          <w:rFonts w:hint="eastAsia" w:ascii="宋体" w:hAnsi="宋体" w:cs="宋体"/>
          <w:snapToGrid w:val="0"/>
          <w:color w:val="auto"/>
          <w:kern w:val="0"/>
          <w:szCs w:val="21"/>
        </w:rPr>
        <w:t>7.  发包人承诺按合同约定的条件、时间和方式向承包人支付合同价款。</w:t>
      </w:r>
    </w:p>
    <w:p>
      <w:pPr>
        <w:autoSpaceDE w:val="0"/>
        <w:autoSpaceDN w:val="0"/>
        <w:adjustRightInd w:val="0"/>
        <w:snapToGrid w:val="0"/>
        <w:spacing w:line="460" w:lineRule="exact"/>
        <w:ind w:left="479" w:right="-20"/>
        <w:jc w:val="left"/>
        <w:rPr>
          <w:rFonts w:hint="eastAsia" w:ascii="宋体" w:hAnsi="宋体" w:cs="宋体"/>
          <w:snapToGrid w:val="0"/>
          <w:color w:val="auto"/>
          <w:kern w:val="0"/>
          <w:szCs w:val="21"/>
          <w:highlight w:val="none"/>
        </w:rPr>
      </w:pPr>
      <w:r>
        <w:rPr>
          <w:rFonts w:hint="eastAsia" w:ascii="宋体" w:hAnsi="宋体" w:cs="宋体"/>
          <w:snapToGrid w:val="0"/>
          <w:color w:val="auto"/>
          <w:kern w:val="0"/>
          <w:szCs w:val="21"/>
        </w:rPr>
        <w:t>8.  承包人应按照监理人指示开工，工期</w:t>
      </w:r>
      <w:r>
        <w:rPr>
          <w:rFonts w:hint="eastAsia" w:ascii="宋体" w:hAnsi="宋体" w:cs="宋体"/>
          <w:snapToGrid w:val="0"/>
          <w:color w:val="auto"/>
          <w:kern w:val="0"/>
          <w:szCs w:val="21"/>
          <w:highlight w:val="none"/>
        </w:rPr>
        <w:t>为</w:t>
      </w:r>
      <w:r>
        <w:rPr>
          <w:rFonts w:hint="eastAsia" w:ascii="宋体" w:hAnsi="宋体" w:cs="宋体"/>
          <w:snapToGrid w:val="0"/>
          <w:color w:val="auto"/>
          <w:kern w:val="0"/>
          <w:szCs w:val="21"/>
          <w:highlight w:val="none"/>
          <w:u w:val="single"/>
          <w:lang w:val="en-US" w:eastAsia="zh-CN"/>
        </w:rPr>
        <w:t>30日历天</w:t>
      </w:r>
      <w:r>
        <w:rPr>
          <w:rFonts w:hint="eastAsia" w:ascii="宋体" w:hAnsi="宋体" w:cs="宋体"/>
          <w:snapToGrid w:val="0"/>
          <w:color w:val="auto"/>
          <w:kern w:val="0"/>
          <w:szCs w:val="21"/>
          <w:highlight w:val="none"/>
        </w:rPr>
        <w:t>。</w:t>
      </w:r>
    </w:p>
    <w:p>
      <w:pPr>
        <w:autoSpaceDE w:val="0"/>
        <w:autoSpaceDN w:val="0"/>
        <w:adjustRightInd w:val="0"/>
        <w:snapToGrid w:val="0"/>
        <w:spacing w:line="460" w:lineRule="exact"/>
        <w:ind w:left="479" w:right="-20"/>
        <w:jc w:val="left"/>
        <w:rPr>
          <w:rFonts w:hint="eastAsia" w:ascii="宋体" w:hAnsi="宋体" w:cs="宋体"/>
          <w:snapToGrid w:val="0"/>
          <w:color w:val="auto"/>
          <w:kern w:val="0"/>
          <w:szCs w:val="21"/>
        </w:rPr>
      </w:pPr>
      <w:r>
        <w:rPr>
          <w:rFonts w:hint="eastAsia" w:ascii="宋体" w:hAnsi="宋体" w:cs="宋体"/>
          <w:snapToGrid w:val="0"/>
          <w:color w:val="auto"/>
          <w:kern w:val="0"/>
          <w:szCs w:val="21"/>
          <w:highlight w:val="none"/>
        </w:rPr>
        <w:t>9. 本协议书在承包人提供履约担保后，由双方法定代表人</w:t>
      </w:r>
      <w:r>
        <w:rPr>
          <w:rFonts w:hint="eastAsia" w:ascii="宋体" w:hAnsi="宋体" w:cs="宋体"/>
          <w:snapToGrid w:val="0"/>
          <w:color w:val="auto"/>
          <w:kern w:val="0"/>
          <w:szCs w:val="21"/>
        </w:rPr>
        <w:t>或其委托代理人签署并加盖单位章后生效。全部工程完工后经</w:t>
      </w:r>
      <w:r>
        <w:rPr>
          <w:rFonts w:hint="eastAsia" w:hAnsi="宋体"/>
          <w:color w:val="auto"/>
          <w:sz w:val="20"/>
        </w:rPr>
        <w:t>竣（交）工</w:t>
      </w:r>
      <w:r>
        <w:rPr>
          <w:rFonts w:hint="eastAsia" w:ascii="宋体" w:hAnsi="宋体" w:cs="宋体"/>
          <w:snapToGrid w:val="0"/>
          <w:color w:val="auto"/>
          <w:kern w:val="0"/>
          <w:szCs w:val="21"/>
        </w:rPr>
        <w:t>验收合格、缺陷责任期满签发缺陷责任终止证书后失效。</w:t>
      </w:r>
    </w:p>
    <w:p>
      <w:pPr>
        <w:tabs>
          <w:tab w:val="left" w:pos="2520"/>
        </w:tabs>
        <w:autoSpaceDE w:val="0"/>
        <w:autoSpaceDN w:val="0"/>
        <w:adjustRightInd w:val="0"/>
        <w:snapToGrid w:val="0"/>
        <w:spacing w:line="460" w:lineRule="exact"/>
        <w:ind w:left="479" w:right="-20"/>
        <w:jc w:val="left"/>
        <w:rPr>
          <w:rFonts w:hint="eastAsia" w:ascii="宋体" w:hAnsi="宋体" w:cs="宋体"/>
          <w:snapToGrid w:val="0"/>
          <w:color w:val="auto"/>
          <w:kern w:val="0"/>
          <w:szCs w:val="21"/>
        </w:rPr>
      </w:pPr>
      <w:r>
        <w:rPr>
          <w:rFonts w:hint="eastAsia" w:ascii="宋体" w:hAnsi="宋体" w:cs="宋体"/>
          <w:snapToGrid w:val="0"/>
          <w:color w:val="auto"/>
          <w:kern w:val="0"/>
          <w:szCs w:val="21"/>
        </w:rPr>
        <w:t>10.  本协议书一式</w:t>
      </w:r>
      <w:r>
        <w:rPr>
          <w:rFonts w:hint="eastAsia" w:ascii="宋体" w:hAnsi="宋体" w:cs="宋体"/>
          <w:snapToGrid w:val="0"/>
          <w:color w:val="auto"/>
          <w:kern w:val="0"/>
          <w:szCs w:val="21"/>
          <w:u w:val="single"/>
        </w:rPr>
        <w:t xml:space="preserve">    </w:t>
      </w:r>
      <w:r>
        <w:rPr>
          <w:rFonts w:hint="eastAsia" w:ascii="宋体" w:hAnsi="宋体" w:cs="宋体"/>
          <w:snapToGrid w:val="0"/>
          <w:color w:val="auto"/>
          <w:kern w:val="0"/>
          <w:szCs w:val="21"/>
          <w:u w:val="single"/>
        </w:rPr>
        <w:tab/>
      </w:r>
      <w:r>
        <w:rPr>
          <w:rFonts w:hint="eastAsia" w:ascii="宋体" w:hAnsi="宋体" w:cs="宋体"/>
          <w:snapToGrid w:val="0"/>
          <w:color w:val="auto"/>
          <w:kern w:val="0"/>
          <w:szCs w:val="21"/>
        </w:rPr>
        <w:t>份，合同双方各执</w:t>
      </w:r>
      <w:r>
        <w:rPr>
          <w:rFonts w:hint="eastAsia" w:ascii="宋体" w:hAnsi="宋体" w:cs="宋体"/>
          <w:snapToGrid w:val="0"/>
          <w:color w:val="auto"/>
          <w:kern w:val="0"/>
          <w:szCs w:val="21"/>
          <w:u w:val="single"/>
        </w:rPr>
        <w:t xml:space="preserve">     </w:t>
      </w:r>
      <w:r>
        <w:rPr>
          <w:rFonts w:hint="eastAsia" w:ascii="宋体" w:hAnsi="宋体" w:cs="宋体"/>
          <w:snapToGrid w:val="0"/>
          <w:color w:val="auto"/>
          <w:kern w:val="0"/>
          <w:szCs w:val="21"/>
        </w:rPr>
        <w:t>份。</w:t>
      </w:r>
    </w:p>
    <w:p>
      <w:pPr>
        <w:tabs>
          <w:tab w:val="left" w:pos="2520"/>
        </w:tabs>
        <w:autoSpaceDE w:val="0"/>
        <w:autoSpaceDN w:val="0"/>
        <w:adjustRightInd w:val="0"/>
        <w:snapToGrid w:val="0"/>
        <w:spacing w:line="460" w:lineRule="exact"/>
        <w:ind w:left="479" w:right="-20"/>
        <w:jc w:val="left"/>
        <w:rPr>
          <w:rFonts w:hint="eastAsia" w:ascii="宋体" w:hAnsi="宋体" w:cs="宋体"/>
          <w:snapToGrid w:val="0"/>
          <w:color w:val="auto"/>
          <w:kern w:val="0"/>
          <w:szCs w:val="21"/>
          <w:u w:val="single"/>
        </w:rPr>
      </w:pPr>
      <w:r>
        <w:rPr>
          <w:rFonts w:hint="eastAsia" w:ascii="宋体" w:hAnsi="宋体" w:cs="宋体"/>
          <w:snapToGrid w:val="0"/>
          <w:color w:val="auto"/>
          <w:kern w:val="0"/>
          <w:szCs w:val="21"/>
        </w:rPr>
        <w:t>11.  签约地点：</w:t>
      </w:r>
      <w:r>
        <w:rPr>
          <w:rFonts w:hint="eastAsia" w:ascii="宋体" w:hAnsi="宋体" w:cs="宋体"/>
          <w:b/>
          <w:snapToGrid w:val="0"/>
          <w:color w:val="auto"/>
          <w:kern w:val="0"/>
          <w:szCs w:val="21"/>
          <w:u w:val="single"/>
        </w:rPr>
        <w:t xml:space="preserve">                        </w:t>
      </w:r>
      <w:r>
        <w:rPr>
          <w:rFonts w:hint="eastAsia" w:ascii="宋体" w:hAnsi="宋体" w:cs="宋体"/>
          <w:snapToGrid w:val="0"/>
          <w:color w:val="auto"/>
          <w:kern w:val="0"/>
          <w:szCs w:val="21"/>
          <w:u w:val="single"/>
        </w:rPr>
        <w:t xml:space="preserve">        </w:t>
      </w:r>
    </w:p>
    <w:p>
      <w:pPr>
        <w:spacing w:line="460" w:lineRule="exact"/>
        <w:ind w:firstLine="482"/>
        <w:rPr>
          <w:rFonts w:hint="eastAsia" w:ascii="宋体" w:hAnsi="宋体" w:cs="宋体"/>
          <w:color w:val="auto"/>
          <w:szCs w:val="21"/>
        </w:rPr>
      </w:pPr>
      <w:r>
        <w:rPr>
          <w:rFonts w:hint="eastAsia" w:ascii="宋体" w:hAnsi="宋体" w:cs="宋体"/>
          <w:snapToGrid w:val="0"/>
          <w:color w:val="auto"/>
          <w:kern w:val="0"/>
          <w:szCs w:val="21"/>
        </w:rPr>
        <w:t>12.  合同未尽事宜，双方另行签订补充协议。补充协议是合同的组成部分，</w:t>
      </w:r>
      <w:r>
        <w:rPr>
          <w:rFonts w:hint="eastAsia" w:ascii="宋体" w:hAnsi="宋体" w:cs="宋体"/>
          <w:color w:val="auto"/>
          <w:szCs w:val="21"/>
        </w:rPr>
        <w:t>具有同等法律效力。</w:t>
      </w:r>
    </w:p>
    <w:p>
      <w:pPr>
        <w:tabs>
          <w:tab w:val="left" w:pos="2820"/>
          <w:tab w:val="left" w:pos="4480"/>
          <w:tab w:val="left" w:pos="7140"/>
          <w:tab w:val="left" w:pos="7680"/>
        </w:tabs>
        <w:autoSpaceDE w:val="0"/>
        <w:autoSpaceDN w:val="0"/>
        <w:adjustRightInd w:val="0"/>
        <w:snapToGrid w:val="0"/>
        <w:spacing w:line="460" w:lineRule="exact"/>
        <w:ind w:right="-223"/>
        <w:jc w:val="left"/>
        <w:rPr>
          <w:rFonts w:hint="eastAsia" w:ascii="宋体" w:hAnsi="宋体" w:cs="宋体"/>
          <w:snapToGrid w:val="0"/>
          <w:color w:val="auto"/>
          <w:kern w:val="0"/>
          <w:szCs w:val="21"/>
        </w:rPr>
      </w:pPr>
    </w:p>
    <w:p>
      <w:pPr>
        <w:spacing w:line="460" w:lineRule="exact"/>
        <w:ind w:firstLine="630" w:firstLineChars="300"/>
        <w:rPr>
          <w:rFonts w:hint="eastAsia" w:ascii="宋体" w:hAnsi="宋体" w:cs="宋体"/>
          <w:color w:val="auto"/>
        </w:rPr>
      </w:pPr>
      <w:r>
        <w:rPr>
          <w:rFonts w:hint="eastAsia" w:ascii="宋体" w:hAnsi="宋体" w:cs="宋体"/>
          <w:color w:val="auto"/>
        </w:rPr>
        <w:t>发包人：</w:t>
      </w:r>
      <w:r>
        <w:rPr>
          <w:rFonts w:hint="eastAsia" w:ascii="宋体" w:hAnsi="宋体" w:cs="宋体"/>
          <w:b/>
          <w:snapToGrid w:val="0"/>
          <w:color w:val="auto"/>
          <w:kern w:val="0"/>
          <w:szCs w:val="21"/>
          <w:u w:val="single"/>
        </w:rPr>
        <w:t xml:space="preserve">                         （</w:t>
      </w:r>
      <w:r>
        <w:rPr>
          <w:rFonts w:hint="eastAsia" w:ascii="宋体" w:hAnsi="宋体" w:cs="宋体"/>
          <w:color w:val="auto"/>
        </w:rPr>
        <w:t>公章）　　     承包人：</w:t>
      </w:r>
      <w:r>
        <w:rPr>
          <w:rFonts w:hint="eastAsia" w:ascii="宋体" w:hAnsi="宋体" w:cs="宋体"/>
          <w:color w:val="auto"/>
          <w:u w:val="single"/>
        </w:rPr>
        <w:t>　　　　　　　　　　　（</w:t>
      </w:r>
      <w:r>
        <w:rPr>
          <w:rFonts w:hint="eastAsia" w:ascii="宋体" w:hAnsi="宋体" w:cs="宋体"/>
          <w:color w:val="auto"/>
        </w:rPr>
        <w:t>公章）</w:t>
      </w:r>
    </w:p>
    <w:p>
      <w:pPr>
        <w:spacing w:line="460" w:lineRule="exact"/>
        <w:ind w:firstLine="630" w:firstLineChars="300"/>
        <w:rPr>
          <w:rFonts w:hint="eastAsia" w:ascii="宋体" w:hAnsi="宋体" w:cs="宋体"/>
          <w:color w:val="auto"/>
          <w:u w:val="single"/>
        </w:rPr>
      </w:pPr>
      <w:r>
        <w:rPr>
          <w:rFonts w:hint="eastAsia" w:ascii="宋体" w:hAnsi="宋体" w:cs="宋体"/>
          <w:color w:val="auto"/>
        </w:rPr>
        <w:t>地址：</w:t>
      </w:r>
      <w:r>
        <w:rPr>
          <w:rFonts w:hint="eastAsia" w:ascii="宋体" w:hAnsi="宋体" w:cs="宋体"/>
          <w:b/>
          <w:snapToGrid w:val="0"/>
          <w:color w:val="auto"/>
          <w:kern w:val="0"/>
          <w:szCs w:val="21"/>
          <w:u w:val="single"/>
        </w:rPr>
        <w:t xml:space="preserve">                                </w:t>
      </w:r>
      <w:r>
        <w:rPr>
          <w:rFonts w:hint="eastAsia" w:ascii="宋体" w:hAnsi="宋体" w:cs="宋体"/>
          <w:color w:val="auto"/>
        </w:rPr>
        <w:t xml:space="preserve">          地址：</w:t>
      </w:r>
      <w:r>
        <w:rPr>
          <w:rFonts w:hint="eastAsia" w:ascii="宋体" w:hAnsi="宋体" w:cs="宋体"/>
          <w:color w:val="auto"/>
          <w:u w:val="single"/>
        </w:rPr>
        <w:t xml:space="preserve">                             </w:t>
      </w:r>
    </w:p>
    <w:p>
      <w:pPr>
        <w:spacing w:line="460" w:lineRule="exact"/>
        <w:ind w:firstLine="630" w:firstLineChars="300"/>
        <w:rPr>
          <w:rFonts w:hint="eastAsia" w:ascii="宋体" w:hAnsi="宋体" w:cs="宋体"/>
          <w:color w:val="auto"/>
        </w:rPr>
      </w:pPr>
      <w:r>
        <w:rPr>
          <w:rFonts w:hint="eastAsia" w:ascii="宋体" w:hAnsi="宋体" w:cs="宋体"/>
          <w:color w:val="auto"/>
        </w:rPr>
        <w:t>法定代表人或其　　　　　　　　　　　　　        法定代表人或其</w:t>
      </w:r>
    </w:p>
    <w:p>
      <w:pPr>
        <w:spacing w:line="460" w:lineRule="exact"/>
        <w:ind w:firstLine="630" w:firstLineChars="300"/>
        <w:rPr>
          <w:rFonts w:hint="eastAsia" w:ascii="宋体" w:hAnsi="宋体" w:cs="宋体"/>
          <w:color w:val="auto"/>
        </w:rPr>
      </w:pPr>
      <w:r>
        <w:rPr>
          <w:rFonts w:hint="eastAsia" w:ascii="宋体" w:hAnsi="宋体" w:cs="宋体"/>
          <w:color w:val="auto"/>
        </w:rPr>
        <w:t>委托代理人：</w:t>
      </w:r>
      <w:r>
        <w:rPr>
          <w:rFonts w:hint="eastAsia" w:ascii="宋体" w:hAnsi="宋体" w:cs="宋体"/>
          <w:color w:val="auto"/>
          <w:u w:val="single"/>
        </w:rPr>
        <w:t>　　　　　　　　　（</w:t>
      </w:r>
      <w:r>
        <w:rPr>
          <w:rFonts w:hint="eastAsia" w:ascii="宋体" w:hAnsi="宋体" w:cs="宋体"/>
          <w:color w:val="auto"/>
        </w:rPr>
        <w:t>签字）　　        委托代理人：</w:t>
      </w:r>
      <w:r>
        <w:rPr>
          <w:rFonts w:hint="eastAsia" w:ascii="宋体" w:hAnsi="宋体" w:cs="宋体"/>
          <w:color w:val="auto"/>
          <w:u w:val="single"/>
        </w:rPr>
        <w:t>　　　　　　　　　（</w:t>
      </w:r>
      <w:r>
        <w:rPr>
          <w:rFonts w:hint="eastAsia" w:ascii="宋体" w:hAnsi="宋体" w:cs="宋体"/>
          <w:color w:val="auto"/>
        </w:rPr>
        <w:t>签字）</w:t>
      </w:r>
    </w:p>
    <w:p>
      <w:pPr>
        <w:spacing w:line="460" w:lineRule="exact"/>
        <w:ind w:firstLine="630" w:firstLineChars="300"/>
        <w:rPr>
          <w:rFonts w:hint="eastAsia" w:ascii="宋体" w:hAnsi="宋体" w:cs="宋体"/>
          <w:color w:val="auto"/>
          <w:u w:val="single"/>
        </w:rPr>
      </w:pPr>
      <w:r>
        <w:rPr>
          <w:rFonts w:hint="eastAsia" w:ascii="宋体" w:hAnsi="宋体" w:cs="宋体"/>
          <w:color w:val="auto"/>
        </w:rPr>
        <w:t>电话：</w:t>
      </w:r>
      <w:r>
        <w:rPr>
          <w:rFonts w:hint="eastAsia" w:ascii="宋体" w:hAnsi="宋体" w:cs="宋体"/>
          <w:snapToGrid w:val="0"/>
          <w:color w:val="auto"/>
          <w:kern w:val="0"/>
          <w:szCs w:val="21"/>
          <w:u w:val="single"/>
        </w:rPr>
        <w:t xml:space="preserve">                        </w:t>
      </w:r>
      <w:r>
        <w:rPr>
          <w:rFonts w:hint="eastAsia" w:ascii="宋体" w:hAnsi="宋体" w:cs="宋体"/>
          <w:color w:val="auto"/>
        </w:rPr>
        <w:t>　　　            电话：</w:t>
      </w:r>
      <w:r>
        <w:rPr>
          <w:rFonts w:hint="eastAsia" w:ascii="宋体" w:hAnsi="宋体" w:cs="宋体"/>
          <w:color w:val="auto"/>
          <w:u w:val="single"/>
        </w:rPr>
        <w:t xml:space="preserve">　                           </w:t>
      </w:r>
    </w:p>
    <w:p>
      <w:pPr>
        <w:spacing w:line="460" w:lineRule="exact"/>
        <w:ind w:firstLine="630" w:firstLineChars="300"/>
        <w:rPr>
          <w:rFonts w:hint="eastAsia" w:ascii="宋体" w:hAnsi="宋体" w:cs="宋体"/>
          <w:color w:val="auto"/>
        </w:rPr>
      </w:pPr>
      <w:r>
        <w:rPr>
          <w:rFonts w:hint="eastAsia" w:ascii="宋体" w:hAnsi="宋体" w:cs="宋体"/>
          <w:color w:val="auto"/>
        </w:rPr>
        <w:t>传真：</w:t>
      </w:r>
      <w:r>
        <w:rPr>
          <w:rFonts w:hint="eastAsia" w:ascii="宋体" w:hAnsi="宋体" w:cs="宋体"/>
          <w:color w:val="auto"/>
          <w:u w:val="single"/>
        </w:rPr>
        <w:t>　　　　　　　　　　　　　</w:t>
      </w:r>
      <w:r>
        <w:rPr>
          <w:rFonts w:hint="eastAsia" w:ascii="宋体" w:hAnsi="宋体" w:cs="宋体"/>
          <w:color w:val="auto"/>
        </w:rPr>
        <w:t>　　　　        传真：</w:t>
      </w:r>
      <w:r>
        <w:rPr>
          <w:rFonts w:hint="eastAsia" w:ascii="宋体" w:hAnsi="宋体" w:cs="宋体"/>
          <w:color w:val="auto"/>
          <w:u w:val="single"/>
        </w:rPr>
        <w:t xml:space="preserve">                             </w:t>
      </w:r>
    </w:p>
    <w:p>
      <w:pPr>
        <w:spacing w:line="460" w:lineRule="exact"/>
        <w:ind w:firstLine="630" w:firstLineChars="300"/>
        <w:rPr>
          <w:rFonts w:hint="eastAsia" w:ascii="宋体" w:hAnsi="宋体" w:cs="宋体"/>
          <w:color w:val="auto"/>
        </w:rPr>
      </w:pPr>
      <w:r>
        <w:rPr>
          <w:rFonts w:hint="eastAsia" w:ascii="宋体" w:hAnsi="宋体" w:cs="宋体"/>
          <w:color w:val="auto"/>
        </w:rPr>
        <w:t>电子邮箱：</w:t>
      </w:r>
      <w:r>
        <w:rPr>
          <w:rFonts w:hint="eastAsia" w:ascii="宋体" w:hAnsi="宋体" w:cs="宋体"/>
          <w:color w:val="auto"/>
          <w:u w:val="single"/>
        </w:rPr>
        <w:t>　　　　　　　　　　　</w:t>
      </w:r>
      <w:r>
        <w:rPr>
          <w:rFonts w:hint="eastAsia" w:ascii="宋体" w:hAnsi="宋体" w:cs="宋体"/>
          <w:color w:val="auto"/>
        </w:rPr>
        <w:t>　　　　         电子邮箱：</w:t>
      </w:r>
      <w:r>
        <w:rPr>
          <w:rFonts w:hint="eastAsia" w:ascii="宋体" w:hAnsi="宋体" w:cs="宋体"/>
          <w:color w:val="auto"/>
          <w:u w:val="single"/>
        </w:rPr>
        <w:t xml:space="preserve">                        </w:t>
      </w:r>
    </w:p>
    <w:p>
      <w:pPr>
        <w:spacing w:line="460" w:lineRule="exact"/>
        <w:ind w:firstLine="630" w:firstLineChars="300"/>
        <w:rPr>
          <w:rFonts w:hint="eastAsia" w:ascii="宋体" w:hAnsi="宋体" w:cs="宋体"/>
          <w:color w:val="auto"/>
        </w:rPr>
      </w:pPr>
      <w:r>
        <w:rPr>
          <w:rFonts w:hint="eastAsia" w:ascii="宋体" w:hAnsi="宋体" w:cs="宋体"/>
          <w:color w:val="auto"/>
        </w:rPr>
        <w:t>开户银行：</w:t>
      </w:r>
      <w:r>
        <w:rPr>
          <w:rFonts w:hint="eastAsia" w:ascii="宋体" w:hAnsi="宋体" w:cs="宋体"/>
          <w:color w:val="auto"/>
          <w:u w:val="single"/>
        </w:rPr>
        <w:t xml:space="preserve">                 </w:t>
      </w:r>
      <w:r>
        <w:rPr>
          <w:rFonts w:hint="eastAsia" w:ascii="宋体" w:hAnsi="宋体" w:cs="宋体"/>
          <w:color w:val="auto"/>
        </w:rPr>
        <w:t>　　　                开户银行：________________________</w:t>
      </w:r>
    </w:p>
    <w:p>
      <w:pPr>
        <w:spacing w:line="460" w:lineRule="exact"/>
        <w:ind w:firstLine="630" w:firstLineChars="300"/>
        <w:rPr>
          <w:rFonts w:hint="eastAsia" w:ascii="宋体" w:hAnsi="宋体" w:cs="宋体"/>
          <w:color w:val="auto"/>
        </w:rPr>
      </w:pPr>
      <w:r>
        <w:rPr>
          <w:rFonts w:hint="eastAsia" w:ascii="宋体" w:hAnsi="宋体" w:cs="宋体"/>
          <w:color w:val="auto"/>
        </w:rPr>
        <w:t>账号：</w:t>
      </w:r>
      <w:r>
        <w:rPr>
          <w:rFonts w:hint="eastAsia" w:ascii="宋体" w:hAnsi="宋体" w:cs="宋体"/>
          <w:color w:val="auto"/>
          <w:u w:val="single"/>
        </w:rPr>
        <w:t xml:space="preserve">                    </w:t>
      </w:r>
      <w:r>
        <w:rPr>
          <w:rFonts w:hint="eastAsia" w:ascii="宋体" w:hAnsi="宋体" w:cs="宋体"/>
          <w:color w:val="auto"/>
        </w:rPr>
        <w:t>　　　　               账号：____________________________</w:t>
      </w:r>
    </w:p>
    <w:p>
      <w:pPr>
        <w:spacing w:line="460" w:lineRule="exact"/>
        <w:ind w:firstLine="630" w:firstLineChars="300"/>
        <w:rPr>
          <w:rFonts w:hint="eastAsia" w:ascii="宋体" w:hAnsi="宋体" w:cs="宋体"/>
          <w:color w:val="auto"/>
        </w:rPr>
      </w:pPr>
      <w:r>
        <w:rPr>
          <w:rFonts w:hint="eastAsia" w:ascii="宋体" w:hAnsi="宋体" w:cs="宋体"/>
          <w:color w:val="auto"/>
        </w:rPr>
        <w:t>邮政编码：</w:t>
      </w:r>
      <w:r>
        <w:rPr>
          <w:rFonts w:hint="eastAsia" w:ascii="宋体" w:hAnsi="宋体" w:cs="宋体"/>
          <w:color w:val="auto"/>
          <w:u w:val="single"/>
        </w:rPr>
        <w:t xml:space="preserve">           　　　　　</w:t>
      </w:r>
      <w:r>
        <w:rPr>
          <w:rFonts w:hint="eastAsia" w:ascii="宋体" w:hAnsi="宋体" w:cs="宋体"/>
          <w:color w:val="auto"/>
        </w:rPr>
        <w:t>　　　     　     邮政编码：________________________</w:t>
      </w:r>
    </w:p>
    <w:p>
      <w:pPr>
        <w:spacing w:line="460" w:lineRule="exact"/>
        <w:ind w:firstLine="420"/>
        <w:rPr>
          <w:rFonts w:hint="eastAsia" w:ascii="宋体" w:hAnsi="宋体" w:cs="宋体"/>
          <w:color w:val="auto"/>
        </w:rPr>
      </w:pPr>
    </w:p>
    <w:p>
      <w:pPr>
        <w:spacing w:line="460" w:lineRule="exact"/>
        <w:ind w:firstLine="6720" w:firstLineChars="3200"/>
        <w:rPr>
          <w:rFonts w:hint="eastAsia" w:ascii="宋体" w:hAnsi="宋体" w:cs="宋体"/>
          <w:color w:val="auto"/>
        </w:rPr>
      </w:pPr>
      <w:r>
        <w:rPr>
          <w:rFonts w:hint="eastAsia" w:ascii="宋体" w:hAnsi="宋体" w:cs="宋体"/>
          <w:color w:val="auto"/>
        </w:rPr>
        <w:t xml:space="preserve">   年   月   日</w:t>
      </w:r>
    </w:p>
    <w:p>
      <w:pPr>
        <w:spacing w:line="460" w:lineRule="exact"/>
        <w:rPr>
          <w:rFonts w:hint="eastAsia" w:ascii="宋体" w:hAnsi="宋体" w:cs="宋体"/>
          <w:color w:val="auto"/>
        </w:rPr>
      </w:pPr>
    </w:p>
    <w:p>
      <w:pPr>
        <w:spacing w:line="400" w:lineRule="exact"/>
        <w:rPr>
          <w:rFonts w:hint="eastAsia" w:ascii="宋体" w:hAnsi="宋体" w:cs="宋体"/>
          <w:color w:val="auto"/>
        </w:rPr>
      </w:pPr>
    </w:p>
    <w:p>
      <w:pPr>
        <w:pStyle w:val="2"/>
        <w:rPr>
          <w:rFonts w:hint="eastAsia" w:ascii="宋体" w:hAnsi="宋体" w:cs="宋体"/>
          <w:color w:val="auto"/>
        </w:rPr>
      </w:pPr>
    </w:p>
    <w:p>
      <w:pPr>
        <w:rPr>
          <w:rFonts w:hint="eastAsia" w:ascii="宋体" w:hAnsi="宋体" w:cs="宋体"/>
          <w:color w:val="auto"/>
        </w:rPr>
      </w:pPr>
    </w:p>
    <w:p>
      <w:pPr>
        <w:pStyle w:val="2"/>
        <w:rPr>
          <w:rFonts w:hint="eastAsia"/>
          <w:color w:val="auto"/>
        </w:rPr>
      </w:pPr>
    </w:p>
    <w:p>
      <w:pPr>
        <w:autoSpaceDE w:val="0"/>
        <w:autoSpaceDN w:val="0"/>
        <w:adjustRightInd w:val="0"/>
        <w:snapToGrid w:val="0"/>
        <w:spacing w:line="400" w:lineRule="exact"/>
        <w:rPr>
          <w:rFonts w:hint="eastAsia" w:ascii="宋体" w:hAnsi="宋体" w:cs="宋体"/>
          <w:color w:val="auto"/>
          <w:kern w:val="0"/>
          <w:szCs w:val="21"/>
        </w:rPr>
      </w:pPr>
    </w:p>
    <w:p>
      <w:pPr>
        <w:autoSpaceDE w:val="0"/>
        <w:autoSpaceDN w:val="0"/>
        <w:adjustRightInd w:val="0"/>
        <w:snapToGrid w:val="0"/>
        <w:spacing w:line="480" w:lineRule="auto"/>
        <w:rPr>
          <w:rFonts w:ascii="宋体" w:cs="MingLiU"/>
          <w:color w:val="auto"/>
          <w:kern w:val="0"/>
          <w:szCs w:val="21"/>
        </w:rPr>
      </w:pPr>
    </w:p>
    <w:p>
      <w:pPr>
        <w:pStyle w:val="2"/>
        <w:rPr>
          <w:rFonts w:ascii="宋体" w:cs="MingLiU"/>
          <w:color w:val="auto"/>
          <w:kern w:val="0"/>
          <w:szCs w:val="21"/>
        </w:rPr>
      </w:pPr>
    </w:p>
    <w:p>
      <w:pPr>
        <w:rPr>
          <w:rFonts w:ascii="宋体" w:cs="MingLiU"/>
          <w:color w:val="auto"/>
          <w:kern w:val="0"/>
          <w:szCs w:val="21"/>
        </w:rPr>
      </w:pPr>
    </w:p>
    <w:p>
      <w:pPr>
        <w:pStyle w:val="2"/>
        <w:rPr>
          <w:color w:val="auto"/>
        </w:rPr>
      </w:pPr>
    </w:p>
    <w:p>
      <w:pPr>
        <w:pStyle w:val="2"/>
        <w:rPr>
          <w:rFonts w:ascii="宋体" w:cs="MingLiU"/>
          <w:color w:val="auto"/>
          <w:kern w:val="0"/>
          <w:szCs w:val="21"/>
        </w:rPr>
      </w:pPr>
    </w:p>
    <w:p>
      <w:pPr>
        <w:rPr>
          <w:rFonts w:ascii="宋体" w:cs="MingLiU"/>
          <w:color w:val="auto"/>
          <w:kern w:val="0"/>
          <w:szCs w:val="21"/>
        </w:rPr>
      </w:pPr>
    </w:p>
    <w:p>
      <w:pPr>
        <w:pStyle w:val="2"/>
        <w:rPr>
          <w:color w:val="auto"/>
        </w:rPr>
      </w:pPr>
    </w:p>
    <w:p>
      <w:pPr>
        <w:rPr>
          <w:color w:val="auto"/>
        </w:rPr>
      </w:pPr>
    </w:p>
    <w:p>
      <w:pPr>
        <w:spacing w:line="400" w:lineRule="exact"/>
        <w:rPr>
          <w:rFonts w:hint="eastAsia"/>
          <w:color w:val="auto"/>
          <w:szCs w:val="20"/>
        </w:rPr>
      </w:pPr>
    </w:p>
    <w:p>
      <w:pPr>
        <w:pStyle w:val="4"/>
        <w:keepNext w:val="0"/>
        <w:keepLines w:val="0"/>
        <w:autoSpaceDE w:val="0"/>
        <w:autoSpaceDN w:val="0"/>
        <w:adjustRightInd w:val="0"/>
        <w:snapToGrid w:val="0"/>
        <w:spacing w:before="0" w:after="240" w:line="600" w:lineRule="exact"/>
        <w:jc w:val="center"/>
        <w:rPr>
          <w:rFonts w:hint="eastAsia" w:ascii="宋体" w:hAnsi="宋体" w:eastAsia="宋体"/>
          <w:color w:val="auto"/>
        </w:rPr>
      </w:pPr>
      <w:r>
        <w:rPr>
          <w:rFonts w:hint="eastAsia" w:ascii="宋体" w:hAnsi="宋体" w:eastAsia="宋体"/>
          <w:color w:val="auto"/>
        </w:rPr>
        <w:t>第二部分    通用合同条款</w:t>
      </w:r>
      <w:bookmarkEnd w:id="128"/>
      <w:bookmarkEnd w:id="129"/>
      <w:bookmarkEnd w:id="130"/>
      <w:bookmarkEnd w:id="131"/>
      <w:bookmarkEnd w:id="132"/>
      <w:bookmarkEnd w:id="133"/>
    </w:p>
    <w:p>
      <w:pPr>
        <w:pStyle w:val="224"/>
        <w:rPr>
          <w:rFonts w:hint="eastAsia"/>
          <w:color w:val="auto"/>
        </w:rPr>
      </w:pPr>
      <w:bookmarkStart w:id="146" w:name="_Toc144974579"/>
      <w:bookmarkStart w:id="147" w:name="_Toc152042389"/>
      <w:bookmarkStart w:id="148" w:name="_Toc179632629"/>
      <w:bookmarkStart w:id="149" w:name="_Toc152045611"/>
      <w:r>
        <w:rPr>
          <w:rFonts w:hint="eastAsia"/>
          <w:color w:val="auto"/>
        </w:rPr>
        <w:t>1. 一般约定</w:t>
      </w:r>
      <w:bookmarkEnd w:id="146"/>
      <w:bookmarkEnd w:id="147"/>
      <w:bookmarkEnd w:id="148"/>
      <w:bookmarkEnd w:id="149"/>
    </w:p>
    <w:p>
      <w:pPr>
        <w:pStyle w:val="231"/>
        <w:rPr>
          <w:rFonts w:hint="eastAsia"/>
          <w:color w:val="auto"/>
        </w:rPr>
      </w:pPr>
      <w:bookmarkStart w:id="150" w:name="_Toc144974580"/>
      <w:bookmarkStart w:id="151" w:name="_Toc152042390"/>
      <w:bookmarkStart w:id="152" w:name="_Toc179632630"/>
      <w:bookmarkStart w:id="153" w:name="_Toc152045612"/>
      <w:r>
        <w:rPr>
          <w:rFonts w:hint="eastAsia"/>
          <w:color w:val="auto"/>
        </w:rPr>
        <w:t>1.1 词语定义</w:t>
      </w:r>
      <w:bookmarkEnd w:id="150"/>
      <w:bookmarkEnd w:id="151"/>
      <w:bookmarkEnd w:id="152"/>
      <w:bookmarkEnd w:id="153"/>
    </w:p>
    <w:p>
      <w:pPr>
        <w:spacing w:line="400" w:lineRule="exact"/>
        <w:ind w:firstLine="420" w:firstLineChars="200"/>
        <w:rPr>
          <w:rFonts w:hint="eastAsia"/>
          <w:color w:val="auto"/>
        </w:rPr>
      </w:pPr>
      <w:r>
        <w:rPr>
          <w:rFonts w:hint="eastAsia"/>
          <w:color w:val="auto"/>
        </w:rPr>
        <w:t>通用合同条款、专用合同条款中的下列词语应具有本款所赋予的含义。</w:t>
      </w:r>
    </w:p>
    <w:p>
      <w:pPr>
        <w:spacing w:line="400" w:lineRule="exact"/>
        <w:ind w:firstLine="420" w:firstLineChars="200"/>
        <w:rPr>
          <w:rFonts w:hint="eastAsia"/>
          <w:color w:val="auto"/>
        </w:rPr>
      </w:pPr>
      <w:r>
        <w:rPr>
          <w:rFonts w:hint="eastAsia"/>
          <w:color w:val="auto"/>
        </w:rPr>
        <w:t xml:space="preserve">1.1.1 </w:t>
      </w:r>
      <w:r>
        <w:rPr>
          <w:rFonts w:hint="eastAsia" w:ascii="黑体" w:eastAsia="黑体"/>
          <w:color w:val="auto"/>
        </w:rPr>
        <w:t>合同</w:t>
      </w:r>
    </w:p>
    <w:p>
      <w:pPr>
        <w:spacing w:line="400" w:lineRule="exact"/>
        <w:ind w:firstLine="718" w:firstLineChars="342"/>
        <w:rPr>
          <w:rFonts w:hint="eastAsia"/>
          <w:color w:val="auto"/>
        </w:rPr>
      </w:pPr>
      <w:r>
        <w:rPr>
          <w:rFonts w:hint="eastAsia"/>
          <w:color w:val="auto"/>
        </w:rPr>
        <w:t>1.1.1.1 合同文件（或称合同）：指合同协议书、中标通知书、投标函及投标函附录、专用合同条款、通用合同条款、技术标准和要求、图纸、已标价工程量清单，以及其他合同文件。</w:t>
      </w:r>
    </w:p>
    <w:p>
      <w:pPr>
        <w:spacing w:line="400" w:lineRule="exact"/>
        <w:ind w:firstLine="718" w:firstLineChars="342"/>
        <w:rPr>
          <w:rFonts w:hint="eastAsia"/>
          <w:color w:val="auto"/>
        </w:rPr>
      </w:pPr>
      <w:r>
        <w:rPr>
          <w:rFonts w:hint="eastAsia"/>
          <w:color w:val="auto"/>
        </w:rPr>
        <w:t>1.1.1.2 合同协议书：指第1.5款所指的合同协议书。</w:t>
      </w:r>
    </w:p>
    <w:p>
      <w:pPr>
        <w:spacing w:line="400" w:lineRule="exact"/>
        <w:ind w:firstLine="718" w:firstLineChars="342"/>
        <w:rPr>
          <w:rFonts w:hint="eastAsia"/>
          <w:color w:val="auto"/>
        </w:rPr>
      </w:pPr>
      <w:r>
        <w:rPr>
          <w:rFonts w:hint="eastAsia"/>
          <w:color w:val="auto"/>
        </w:rPr>
        <w:t>1.1.1.3 中标通知书：指发包人通知承包人中标的函件。</w:t>
      </w:r>
    </w:p>
    <w:p>
      <w:pPr>
        <w:spacing w:line="400" w:lineRule="exact"/>
        <w:ind w:firstLine="718" w:firstLineChars="342"/>
        <w:rPr>
          <w:rFonts w:hint="eastAsia"/>
          <w:dstrike/>
          <w:color w:val="auto"/>
          <w:szCs w:val="21"/>
        </w:rPr>
      </w:pPr>
      <w:r>
        <w:rPr>
          <w:rFonts w:hint="eastAsia"/>
          <w:color w:val="auto"/>
        </w:rPr>
        <w:t>1.1.1.4 投标函：指构成合同文件组成部分的由承包人填写并签署的投标函。</w:t>
      </w:r>
    </w:p>
    <w:p>
      <w:pPr>
        <w:spacing w:line="400" w:lineRule="exact"/>
        <w:ind w:firstLine="718" w:firstLineChars="342"/>
        <w:rPr>
          <w:rFonts w:hint="eastAsia"/>
          <w:color w:val="auto"/>
        </w:rPr>
      </w:pPr>
      <w:r>
        <w:rPr>
          <w:rFonts w:hint="eastAsia"/>
          <w:color w:val="auto"/>
        </w:rPr>
        <w:t>1.1.1.5 投标函附录：指附在投标函后构成合同文件的投标函附录。</w:t>
      </w:r>
    </w:p>
    <w:p>
      <w:pPr>
        <w:spacing w:line="400" w:lineRule="exact"/>
        <w:ind w:firstLine="718" w:firstLineChars="342"/>
        <w:rPr>
          <w:rFonts w:hint="eastAsia"/>
          <w:color w:val="auto"/>
        </w:rPr>
      </w:pPr>
      <w:r>
        <w:rPr>
          <w:rFonts w:hint="eastAsia"/>
          <w:color w:val="auto"/>
        </w:rPr>
        <w:t>1.1.1.6 技术标准和要求：指构成合同文件组成部分的名为技术标准和要求的文件，包括合同双方当事人约定对其所作的修改或补充。</w:t>
      </w:r>
    </w:p>
    <w:p>
      <w:pPr>
        <w:spacing w:line="400" w:lineRule="exact"/>
        <w:ind w:firstLine="718" w:firstLineChars="342"/>
        <w:rPr>
          <w:rFonts w:hint="eastAsia"/>
          <w:color w:val="auto"/>
        </w:rPr>
      </w:pPr>
      <w:r>
        <w:rPr>
          <w:rFonts w:hint="eastAsia"/>
          <w:color w:val="auto"/>
        </w:rPr>
        <w:t>1.1.1.7图纸：指包含在合同中的工程图纸，以及由发包人按合同约定提供的任何补充和修改的图纸，包括配套的说明。</w:t>
      </w:r>
    </w:p>
    <w:p>
      <w:pPr>
        <w:spacing w:line="400" w:lineRule="exact"/>
        <w:ind w:firstLine="718" w:firstLineChars="342"/>
        <w:rPr>
          <w:rFonts w:hint="eastAsia"/>
          <w:color w:val="auto"/>
        </w:rPr>
      </w:pPr>
      <w:r>
        <w:rPr>
          <w:rFonts w:hint="eastAsia"/>
          <w:color w:val="auto"/>
        </w:rPr>
        <w:t>1.1.1.8 已标价工程量清单：指构成合同文件组成部分的由承包人按照规定的格式和要求填写并标明价格的工程量清单。</w:t>
      </w:r>
    </w:p>
    <w:p>
      <w:pPr>
        <w:spacing w:line="400" w:lineRule="exact"/>
        <w:ind w:firstLine="718" w:firstLineChars="342"/>
        <w:rPr>
          <w:rFonts w:hint="eastAsia"/>
          <w:color w:val="auto"/>
        </w:rPr>
      </w:pPr>
      <w:r>
        <w:rPr>
          <w:rFonts w:hint="eastAsia"/>
          <w:color w:val="auto"/>
        </w:rPr>
        <w:t>1.1.1.9 其他合同文件：指经合同双方当事人确认构成合同文件的其他文件。</w:t>
      </w:r>
    </w:p>
    <w:p>
      <w:pPr>
        <w:spacing w:line="400" w:lineRule="exact"/>
        <w:ind w:firstLine="420" w:firstLineChars="200"/>
        <w:rPr>
          <w:rFonts w:hint="eastAsia"/>
          <w:color w:val="auto"/>
        </w:rPr>
      </w:pPr>
      <w:r>
        <w:rPr>
          <w:rFonts w:hint="eastAsia"/>
          <w:color w:val="auto"/>
        </w:rPr>
        <w:t xml:space="preserve">1.1.2 </w:t>
      </w:r>
      <w:r>
        <w:rPr>
          <w:rFonts w:hint="eastAsia" w:ascii="黑体" w:eastAsia="黑体"/>
          <w:color w:val="auto"/>
        </w:rPr>
        <w:t>合同当事人和人员</w:t>
      </w:r>
    </w:p>
    <w:p>
      <w:pPr>
        <w:spacing w:line="400" w:lineRule="exact"/>
        <w:ind w:firstLine="718" w:firstLineChars="342"/>
        <w:rPr>
          <w:rFonts w:hint="eastAsia"/>
          <w:color w:val="auto"/>
        </w:rPr>
      </w:pPr>
      <w:r>
        <w:rPr>
          <w:rFonts w:hint="eastAsia"/>
          <w:color w:val="auto"/>
        </w:rPr>
        <w:t>1.1.2.1 合同当事人：指发包人和（或）承包人。</w:t>
      </w:r>
    </w:p>
    <w:p>
      <w:pPr>
        <w:spacing w:line="400" w:lineRule="exact"/>
        <w:ind w:firstLine="718" w:firstLineChars="342"/>
        <w:rPr>
          <w:rFonts w:hint="eastAsia"/>
          <w:color w:val="auto"/>
        </w:rPr>
      </w:pPr>
      <w:r>
        <w:rPr>
          <w:rFonts w:hint="eastAsia"/>
          <w:color w:val="auto"/>
        </w:rPr>
        <w:t>1.1.2.2 发包人：指专用合同条款中指明并与承包人在合同协议书中签字的当事人。</w:t>
      </w:r>
    </w:p>
    <w:p>
      <w:pPr>
        <w:spacing w:line="400" w:lineRule="exact"/>
        <w:ind w:firstLine="718" w:firstLineChars="342"/>
        <w:rPr>
          <w:rFonts w:hint="eastAsia"/>
          <w:color w:val="auto"/>
        </w:rPr>
      </w:pPr>
      <w:r>
        <w:rPr>
          <w:rFonts w:hint="eastAsia"/>
          <w:color w:val="auto"/>
        </w:rPr>
        <w:t>1.1.2.3 承包人：指与发包人签订合同协议书的当事人。</w:t>
      </w:r>
    </w:p>
    <w:p>
      <w:pPr>
        <w:spacing w:line="400" w:lineRule="exact"/>
        <w:ind w:firstLine="718" w:firstLineChars="342"/>
        <w:rPr>
          <w:rFonts w:hint="eastAsia"/>
          <w:color w:val="auto"/>
        </w:rPr>
      </w:pPr>
      <w:r>
        <w:rPr>
          <w:rFonts w:hint="eastAsia"/>
          <w:color w:val="auto"/>
        </w:rPr>
        <w:t>1.1.2.4 承包人项目经理：指承包人派驻施工场地的全权负责人。</w:t>
      </w:r>
    </w:p>
    <w:p>
      <w:pPr>
        <w:spacing w:line="400" w:lineRule="exact"/>
        <w:ind w:firstLine="718" w:firstLineChars="342"/>
        <w:rPr>
          <w:rFonts w:hint="eastAsia"/>
          <w:color w:val="auto"/>
        </w:rPr>
      </w:pPr>
      <w:r>
        <w:rPr>
          <w:rFonts w:hint="eastAsia"/>
          <w:color w:val="auto"/>
        </w:rPr>
        <w:t>1.1.2.5 分包人：指从承包人处分包合同中某一部分工程，并与其签订分包合同的分包人。</w:t>
      </w:r>
    </w:p>
    <w:p>
      <w:pPr>
        <w:spacing w:line="400" w:lineRule="exact"/>
        <w:ind w:firstLine="718" w:firstLineChars="342"/>
        <w:rPr>
          <w:rFonts w:hint="eastAsia"/>
          <w:color w:val="auto"/>
        </w:rPr>
      </w:pPr>
      <w:r>
        <w:rPr>
          <w:rFonts w:hint="eastAsia"/>
          <w:color w:val="auto"/>
        </w:rPr>
        <w:t>1.1.2.6 监理人：指在专用合同条款中指明的，受发包人委托对合同履行实施管理的法人或其他组织。</w:t>
      </w:r>
    </w:p>
    <w:p>
      <w:pPr>
        <w:spacing w:line="400" w:lineRule="exact"/>
        <w:ind w:firstLine="718" w:firstLineChars="342"/>
        <w:rPr>
          <w:rFonts w:hint="eastAsia"/>
          <w:color w:val="auto"/>
        </w:rPr>
      </w:pPr>
      <w:r>
        <w:rPr>
          <w:rFonts w:hint="eastAsia"/>
          <w:color w:val="auto"/>
        </w:rPr>
        <w:t>1.1.2.7 总监理工程师（总监）：指由监理人委派常驻施工场地对合同履行实施管理的全权负责人。</w:t>
      </w:r>
    </w:p>
    <w:p>
      <w:pPr>
        <w:spacing w:line="400" w:lineRule="exact"/>
        <w:ind w:firstLine="420" w:firstLineChars="200"/>
        <w:rPr>
          <w:rFonts w:hint="eastAsia"/>
          <w:color w:val="auto"/>
        </w:rPr>
      </w:pPr>
      <w:r>
        <w:rPr>
          <w:rFonts w:hint="eastAsia"/>
          <w:color w:val="auto"/>
        </w:rPr>
        <w:t xml:space="preserve">1.1.3 </w:t>
      </w:r>
      <w:r>
        <w:rPr>
          <w:rFonts w:hint="eastAsia" w:ascii="黑体" w:eastAsia="黑体"/>
          <w:color w:val="auto"/>
        </w:rPr>
        <w:t>工程和设备</w:t>
      </w:r>
    </w:p>
    <w:p>
      <w:pPr>
        <w:spacing w:line="400" w:lineRule="exact"/>
        <w:ind w:firstLine="718" w:firstLineChars="342"/>
        <w:rPr>
          <w:rFonts w:hint="eastAsia"/>
          <w:color w:val="auto"/>
        </w:rPr>
      </w:pPr>
      <w:r>
        <w:rPr>
          <w:rFonts w:hint="eastAsia"/>
          <w:color w:val="auto"/>
        </w:rPr>
        <w:t>1.1.3.1 工程：指永久工程和（或）临时工程。</w:t>
      </w:r>
    </w:p>
    <w:p>
      <w:pPr>
        <w:spacing w:line="400" w:lineRule="exact"/>
        <w:ind w:firstLine="718" w:firstLineChars="342"/>
        <w:rPr>
          <w:rFonts w:hint="eastAsia"/>
          <w:color w:val="auto"/>
        </w:rPr>
      </w:pPr>
      <w:r>
        <w:rPr>
          <w:rFonts w:hint="eastAsia"/>
          <w:color w:val="auto"/>
        </w:rPr>
        <w:t>1.1.3.2 永久工程：指按合同约定建造并移交给发包人的工程，包括工程设备。</w:t>
      </w:r>
    </w:p>
    <w:p>
      <w:pPr>
        <w:spacing w:line="400" w:lineRule="exact"/>
        <w:ind w:firstLine="718" w:firstLineChars="342"/>
        <w:rPr>
          <w:rFonts w:hint="eastAsia"/>
          <w:color w:val="auto"/>
        </w:rPr>
      </w:pPr>
      <w:r>
        <w:rPr>
          <w:rFonts w:hint="eastAsia"/>
          <w:color w:val="auto"/>
        </w:rPr>
        <w:t>1.1.3.3 临时工程：指为完成合同约定的永久工程所修建的各类临时性工程，不包括施工设备。</w:t>
      </w:r>
    </w:p>
    <w:p>
      <w:pPr>
        <w:spacing w:line="400" w:lineRule="exact"/>
        <w:ind w:firstLine="718" w:firstLineChars="342"/>
        <w:rPr>
          <w:rFonts w:hint="eastAsia"/>
          <w:color w:val="auto"/>
        </w:rPr>
      </w:pPr>
      <w:r>
        <w:rPr>
          <w:rFonts w:hint="eastAsia"/>
          <w:color w:val="auto"/>
        </w:rPr>
        <w:t>1.1.3.4 单位工程：指专用合同条款中指明特定范围的永久工程。</w:t>
      </w:r>
    </w:p>
    <w:p>
      <w:pPr>
        <w:spacing w:line="400" w:lineRule="exact"/>
        <w:ind w:firstLine="718" w:firstLineChars="342"/>
        <w:rPr>
          <w:rFonts w:hint="eastAsia"/>
          <w:color w:val="auto"/>
        </w:rPr>
      </w:pPr>
      <w:r>
        <w:rPr>
          <w:rFonts w:hint="eastAsia"/>
          <w:color w:val="auto"/>
        </w:rPr>
        <w:t>1.1.3.5 工程设备：指构成或计划构成永久工程一部分的机电设备、金属结构设备、仪器装置及其他类似的设备和装置。</w:t>
      </w:r>
    </w:p>
    <w:p>
      <w:pPr>
        <w:spacing w:line="400" w:lineRule="exact"/>
        <w:ind w:firstLine="718" w:firstLineChars="342"/>
        <w:rPr>
          <w:rFonts w:hint="eastAsia"/>
          <w:color w:val="auto"/>
        </w:rPr>
      </w:pPr>
      <w:r>
        <w:rPr>
          <w:rFonts w:hint="eastAsia"/>
          <w:color w:val="auto"/>
        </w:rPr>
        <w:t>1.1.3.6 施工设备：指为完成合同约定的各项工作所需的设备、器具和其他物品，不包括临时工程和材料。</w:t>
      </w:r>
    </w:p>
    <w:p>
      <w:pPr>
        <w:spacing w:line="400" w:lineRule="exact"/>
        <w:ind w:firstLine="718" w:firstLineChars="342"/>
        <w:rPr>
          <w:rFonts w:hint="eastAsia"/>
          <w:color w:val="auto"/>
        </w:rPr>
      </w:pPr>
      <w:r>
        <w:rPr>
          <w:rFonts w:hint="eastAsia"/>
          <w:color w:val="auto"/>
        </w:rPr>
        <w:t>1.1.3.7 临时设施：指为完成合同约定的各项工作所服务的临时性生产和生活设施。</w:t>
      </w:r>
    </w:p>
    <w:p>
      <w:pPr>
        <w:spacing w:line="400" w:lineRule="exact"/>
        <w:ind w:firstLine="718" w:firstLineChars="342"/>
        <w:rPr>
          <w:rFonts w:hint="eastAsia"/>
          <w:color w:val="auto"/>
        </w:rPr>
      </w:pPr>
      <w:r>
        <w:rPr>
          <w:rFonts w:hint="eastAsia"/>
          <w:color w:val="auto"/>
        </w:rPr>
        <w:t>1.1.3.8 承包人设备：指承包人自带的施工设备。</w:t>
      </w:r>
    </w:p>
    <w:p>
      <w:pPr>
        <w:spacing w:line="400" w:lineRule="exact"/>
        <w:ind w:firstLine="718" w:firstLineChars="342"/>
        <w:rPr>
          <w:rFonts w:hint="eastAsia"/>
          <w:color w:val="auto"/>
        </w:rPr>
      </w:pPr>
      <w:r>
        <w:rPr>
          <w:rFonts w:hint="eastAsia"/>
          <w:color w:val="auto"/>
        </w:rPr>
        <w:t>1.1.3.9 施工场地（或称工地、现场）：指用于合同工程施工的场所，以及在合同中指定作为施工场地组成部分的其他场所，包括永久占地和临时占地。</w:t>
      </w:r>
    </w:p>
    <w:p>
      <w:pPr>
        <w:spacing w:line="400" w:lineRule="exact"/>
        <w:ind w:firstLine="718" w:firstLineChars="342"/>
        <w:rPr>
          <w:rFonts w:hint="eastAsia"/>
          <w:color w:val="auto"/>
        </w:rPr>
      </w:pPr>
      <w:r>
        <w:rPr>
          <w:rFonts w:hint="eastAsia"/>
          <w:color w:val="auto"/>
        </w:rPr>
        <w:t>1.1.3.10 永久占地：指专用合同条款中指明为实施合同工程需永久占用的土地。</w:t>
      </w:r>
    </w:p>
    <w:p>
      <w:pPr>
        <w:spacing w:line="400" w:lineRule="exact"/>
        <w:ind w:firstLine="718" w:firstLineChars="342"/>
        <w:rPr>
          <w:rFonts w:hint="eastAsia"/>
          <w:color w:val="auto"/>
        </w:rPr>
      </w:pPr>
      <w:r>
        <w:rPr>
          <w:rFonts w:hint="eastAsia"/>
          <w:color w:val="auto"/>
        </w:rPr>
        <w:t>1.1.3.11 临时占地：指专用合同条款中指明为实施合同工程需临时占用的土地。</w:t>
      </w:r>
    </w:p>
    <w:p>
      <w:pPr>
        <w:spacing w:line="400" w:lineRule="exact"/>
        <w:ind w:firstLine="420" w:firstLineChars="200"/>
        <w:rPr>
          <w:rFonts w:hint="eastAsia"/>
          <w:color w:val="auto"/>
        </w:rPr>
      </w:pPr>
      <w:r>
        <w:rPr>
          <w:rFonts w:hint="eastAsia"/>
          <w:color w:val="auto"/>
        </w:rPr>
        <w:t xml:space="preserve">1.1.4 </w:t>
      </w:r>
      <w:r>
        <w:rPr>
          <w:rFonts w:hint="eastAsia" w:ascii="黑体" w:eastAsia="黑体"/>
          <w:color w:val="auto"/>
        </w:rPr>
        <w:t>日期</w:t>
      </w:r>
    </w:p>
    <w:p>
      <w:pPr>
        <w:spacing w:line="400" w:lineRule="exact"/>
        <w:ind w:firstLine="718" w:firstLineChars="342"/>
        <w:rPr>
          <w:rFonts w:hint="eastAsia"/>
          <w:color w:val="auto"/>
        </w:rPr>
      </w:pPr>
      <w:r>
        <w:rPr>
          <w:rFonts w:hint="eastAsia"/>
          <w:color w:val="auto"/>
        </w:rPr>
        <w:t>1.1.4.1 开工通知：指监理人按第11.1款通知承包人开工的函件。</w:t>
      </w:r>
    </w:p>
    <w:p>
      <w:pPr>
        <w:spacing w:line="400" w:lineRule="exact"/>
        <w:ind w:firstLine="718" w:firstLineChars="342"/>
        <w:rPr>
          <w:rFonts w:hint="eastAsia"/>
          <w:color w:val="auto"/>
        </w:rPr>
      </w:pPr>
      <w:r>
        <w:rPr>
          <w:rFonts w:hint="eastAsia"/>
          <w:color w:val="auto"/>
        </w:rPr>
        <w:t>1.1.4.2 开工日期：指监理人按第11.1款发出的开工通知中写明的开工日期。</w:t>
      </w:r>
    </w:p>
    <w:p>
      <w:pPr>
        <w:spacing w:line="400" w:lineRule="exact"/>
        <w:ind w:firstLine="718" w:firstLineChars="342"/>
        <w:rPr>
          <w:rFonts w:hint="eastAsia"/>
          <w:color w:val="auto"/>
        </w:rPr>
      </w:pPr>
      <w:r>
        <w:rPr>
          <w:rFonts w:hint="eastAsia"/>
          <w:color w:val="auto"/>
        </w:rPr>
        <w:t>1.1.4.3工期：指承包人在投标函中承诺的完成合同工程所需的期限，包括按第11.3款、第11.4款和第11.6款约定所作的变更。</w:t>
      </w:r>
    </w:p>
    <w:p>
      <w:pPr>
        <w:spacing w:line="400" w:lineRule="exact"/>
        <w:ind w:firstLine="718" w:firstLineChars="342"/>
        <w:rPr>
          <w:rFonts w:hint="eastAsia"/>
          <w:color w:val="auto"/>
        </w:rPr>
      </w:pPr>
      <w:r>
        <w:rPr>
          <w:rFonts w:hint="eastAsia"/>
          <w:color w:val="auto"/>
        </w:rPr>
        <w:t>1.1.4.4 竣工日期：指第1.1.4.3目约定工期届满时的日期。实际竣工日期以</w:t>
      </w:r>
      <w:r>
        <w:rPr>
          <w:rFonts w:hint="eastAsia"/>
          <w:color w:val="auto"/>
          <w:lang w:eastAsia="zh-CN"/>
        </w:rPr>
        <w:t>工程验收</w:t>
      </w:r>
      <w:r>
        <w:rPr>
          <w:rFonts w:hint="eastAsia"/>
          <w:color w:val="auto"/>
        </w:rPr>
        <w:t>证书中写明的日期为准。</w:t>
      </w:r>
    </w:p>
    <w:p>
      <w:pPr>
        <w:spacing w:line="400" w:lineRule="exact"/>
        <w:ind w:firstLine="718" w:firstLineChars="342"/>
        <w:rPr>
          <w:rFonts w:hint="eastAsia"/>
          <w:color w:val="auto"/>
        </w:rPr>
      </w:pPr>
      <w:r>
        <w:rPr>
          <w:rFonts w:hint="eastAsia"/>
          <w:color w:val="auto"/>
        </w:rPr>
        <w:t>1.1.4.5 缺陷责任期：指履行第19.2款约定的缺陷责任的期限，具体期限由专用合同条款约定，包括根据第19.3款约定所作的延长。</w:t>
      </w:r>
    </w:p>
    <w:p>
      <w:pPr>
        <w:spacing w:line="400" w:lineRule="exact"/>
        <w:ind w:firstLine="718" w:firstLineChars="342"/>
        <w:rPr>
          <w:rFonts w:hint="eastAsia"/>
          <w:color w:val="auto"/>
        </w:rPr>
      </w:pPr>
      <w:r>
        <w:rPr>
          <w:rFonts w:hint="eastAsia"/>
          <w:color w:val="auto"/>
        </w:rPr>
        <w:t>1.1.4.6 基准日期：指投标截止时间前28天的日期。</w:t>
      </w:r>
    </w:p>
    <w:p>
      <w:pPr>
        <w:spacing w:line="400" w:lineRule="exact"/>
        <w:ind w:firstLine="718" w:firstLineChars="342"/>
        <w:rPr>
          <w:rFonts w:hint="eastAsia"/>
          <w:color w:val="auto"/>
        </w:rPr>
      </w:pPr>
      <w:r>
        <w:rPr>
          <w:rFonts w:hint="eastAsia"/>
          <w:color w:val="auto"/>
        </w:rPr>
        <w:t>1.1.4.7 天：除特别指明外，指日历天。合同中按天计算时间的，开始当天不计入，从次日开始计算。期限最后一天的截止时间为当天24:00。</w:t>
      </w:r>
    </w:p>
    <w:p>
      <w:pPr>
        <w:spacing w:line="400" w:lineRule="exact"/>
        <w:ind w:firstLine="420" w:firstLineChars="200"/>
        <w:rPr>
          <w:rFonts w:hint="eastAsia"/>
          <w:color w:val="auto"/>
        </w:rPr>
      </w:pPr>
      <w:r>
        <w:rPr>
          <w:rFonts w:hint="eastAsia"/>
          <w:color w:val="auto"/>
        </w:rPr>
        <w:t xml:space="preserve">1.1.5 </w:t>
      </w:r>
      <w:r>
        <w:rPr>
          <w:rFonts w:hint="eastAsia" w:ascii="黑体" w:eastAsia="黑体"/>
          <w:color w:val="auto"/>
        </w:rPr>
        <w:t>合同价格和费用</w:t>
      </w:r>
    </w:p>
    <w:p>
      <w:pPr>
        <w:spacing w:line="400" w:lineRule="exact"/>
        <w:ind w:firstLine="718" w:firstLineChars="342"/>
        <w:rPr>
          <w:rFonts w:hint="eastAsia"/>
          <w:color w:val="auto"/>
        </w:rPr>
      </w:pPr>
      <w:r>
        <w:rPr>
          <w:rFonts w:hint="eastAsia"/>
          <w:color w:val="auto"/>
        </w:rPr>
        <w:t>1.1.5.1 签约合同价：指签订合同时合同协议书中写明的，包括了暂列金额、暂估价的合同总金额。</w:t>
      </w:r>
    </w:p>
    <w:p>
      <w:pPr>
        <w:spacing w:line="400" w:lineRule="exact"/>
        <w:ind w:firstLine="718" w:firstLineChars="342"/>
        <w:rPr>
          <w:rFonts w:hint="eastAsia"/>
          <w:color w:val="auto"/>
        </w:rPr>
      </w:pPr>
      <w:r>
        <w:rPr>
          <w:rFonts w:hint="eastAsia"/>
          <w:color w:val="auto"/>
        </w:rPr>
        <w:t>1.1.5.2 合同价格：指承包人按合同约定完成了包括缺陷责任期内的全部承包工作后，发包人应付给承包人的金额，包括在履行合同过程中按合同约定进行的变更和调整。</w:t>
      </w:r>
    </w:p>
    <w:p>
      <w:pPr>
        <w:spacing w:line="400" w:lineRule="exact"/>
        <w:ind w:firstLine="718" w:firstLineChars="342"/>
        <w:rPr>
          <w:rFonts w:hint="eastAsia"/>
          <w:color w:val="auto"/>
        </w:rPr>
      </w:pPr>
      <w:r>
        <w:rPr>
          <w:rFonts w:hint="eastAsia"/>
          <w:color w:val="auto"/>
        </w:rPr>
        <w:t>1.1.5.3 费用：指为履行合同所发生的或将要发生的所有合理开支，包括管理费和应分摊的其他费用，但不包括利润。</w:t>
      </w:r>
    </w:p>
    <w:p>
      <w:pPr>
        <w:spacing w:line="400" w:lineRule="exact"/>
        <w:ind w:firstLine="718" w:firstLineChars="342"/>
        <w:rPr>
          <w:rFonts w:hint="eastAsia"/>
          <w:color w:val="auto"/>
        </w:rPr>
      </w:pPr>
      <w:r>
        <w:rPr>
          <w:rFonts w:hint="eastAsia"/>
          <w:color w:val="auto"/>
        </w:rPr>
        <w:t>1.1.5.4 暂列金额：指已标价工程量清单中所列的暂列金额，用于在签订协议书时尚未确定或不可预见变更的施工及其所需材料、工程设备、服务等的金额，包括以计日工方式支付的金额。</w:t>
      </w:r>
    </w:p>
    <w:p>
      <w:pPr>
        <w:spacing w:line="400" w:lineRule="exact"/>
        <w:ind w:firstLine="718" w:firstLineChars="342"/>
        <w:rPr>
          <w:rFonts w:hint="eastAsia"/>
          <w:color w:val="auto"/>
        </w:rPr>
      </w:pPr>
      <w:r>
        <w:rPr>
          <w:rFonts w:hint="eastAsia"/>
          <w:color w:val="auto"/>
        </w:rPr>
        <w:t>1.1.5.5暂估价：指发包人在工程量清单中给定的用于支付必然发生但暂时不能确定价格的材料、设备以及专业工程的金额。</w:t>
      </w:r>
    </w:p>
    <w:p>
      <w:pPr>
        <w:spacing w:line="400" w:lineRule="exact"/>
        <w:ind w:firstLine="718" w:firstLineChars="342"/>
        <w:rPr>
          <w:rFonts w:hint="eastAsia"/>
          <w:color w:val="auto"/>
        </w:rPr>
      </w:pPr>
      <w:r>
        <w:rPr>
          <w:rFonts w:hint="eastAsia"/>
          <w:color w:val="auto"/>
        </w:rPr>
        <w:t>1.1.5.6 计日工：指对零星工作采取的一种计价方式，按合同中的计日工子目及其单价计价付款。</w:t>
      </w:r>
    </w:p>
    <w:p>
      <w:pPr>
        <w:spacing w:line="400" w:lineRule="exact"/>
        <w:ind w:firstLine="718" w:firstLineChars="342"/>
        <w:rPr>
          <w:rFonts w:hint="eastAsia"/>
          <w:color w:val="auto"/>
        </w:rPr>
      </w:pPr>
      <w:r>
        <w:rPr>
          <w:rFonts w:hint="eastAsia"/>
          <w:color w:val="auto"/>
        </w:rPr>
        <w:t>1.1.5.7 质量保证金（或称保留金）：指按第17.4.1项约定用于保证在缺陷责任期内履行缺陷修复义务的金额。</w:t>
      </w:r>
    </w:p>
    <w:p>
      <w:pPr>
        <w:spacing w:line="400" w:lineRule="exact"/>
        <w:ind w:firstLine="420" w:firstLineChars="200"/>
        <w:rPr>
          <w:rFonts w:hint="eastAsia"/>
          <w:color w:val="auto"/>
        </w:rPr>
      </w:pPr>
      <w:r>
        <w:rPr>
          <w:rFonts w:hint="eastAsia"/>
          <w:color w:val="auto"/>
        </w:rPr>
        <w:t xml:space="preserve">1.1.6 </w:t>
      </w:r>
      <w:r>
        <w:rPr>
          <w:rFonts w:hint="eastAsia" w:ascii="黑体" w:eastAsia="黑体"/>
          <w:color w:val="auto"/>
        </w:rPr>
        <w:t>其他</w:t>
      </w:r>
    </w:p>
    <w:p>
      <w:pPr>
        <w:spacing w:line="400" w:lineRule="exact"/>
        <w:ind w:firstLine="718" w:firstLineChars="342"/>
        <w:rPr>
          <w:rFonts w:hint="eastAsia"/>
          <w:color w:val="auto"/>
        </w:rPr>
      </w:pPr>
      <w:r>
        <w:rPr>
          <w:rFonts w:hint="eastAsia"/>
          <w:color w:val="auto"/>
        </w:rPr>
        <w:t>1.1.6.1 书面形式：指合同文件、信函、电报、传真等可以有形地表现所载内容的形式。</w:t>
      </w:r>
    </w:p>
    <w:p>
      <w:pPr>
        <w:pStyle w:val="231"/>
        <w:rPr>
          <w:rFonts w:hint="eastAsia"/>
          <w:color w:val="auto"/>
        </w:rPr>
      </w:pPr>
      <w:bookmarkStart w:id="154" w:name="_Toc152045613"/>
      <w:bookmarkStart w:id="155" w:name="_Toc152042391"/>
      <w:bookmarkStart w:id="156" w:name="_Toc144974581"/>
      <w:bookmarkStart w:id="157" w:name="_Toc179632631"/>
      <w:r>
        <w:rPr>
          <w:rFonts w:hint="eastAsia"/>
          <w:color w:val="auto"/>
        </w:rPr>
        <w:t>1.2 语言文字</w:t>
      </w:r>
      <w:bookmarkEnd w:id="154"/>
      <w:bookmarkEnd w:id="155"/>
      <w:bookmarkEnd w:id="156"/>
      <w:bookmarkEnd w:id="157"/>
    </w:p>
    <w:p>
      <w:pPr>
        <w:spacing w:line="400" w:lineRule="exact"/>
        <w:ind w:firstLine="420" w:firstLineChars="200"/>
        <w:rPr>
          <w:rFonts w:hint="eastAsia"/>
          <w:color w:val="auto"/>
        </w:rPr>
      </w:pPr>
      <w:r>
        <w:rPr>
          <w:rFonts w:hint="eastAsia"/>
          <w:color w:val="auto"/>
        </w:rPr>
        <w:t>除专用术语外，合同使用的语言文字为中文。必要时专用术语应附有中文注释。</w:t>
      </w:r>
    </w:p>
    <w:p>
      <w:pPr>
        <w:pStyle w:val="231"/>
        <w:rPr>
          <w:rFonts w:hint="eastAsia"/>
          <w:color w:val="auto"/>
        </w:rPr>
      </w:pPr>
      <w:bookmarkStart w:id="158" w:name="_Toc179632632"/>
      <w:bookmarkStart w:id="159" w:name="_Toc144974582"/>
      <w:bookmarkStart w:id="160" w:name="_Toc152045614"/>
      <w:bookmarkStart w:id="161" w:name="_Toc152042392"/>
      <w:r>
        <w:rPr>
          <w:rFonts w:hint="eastAsia"/>
          <w:color w:val="auto"/>
        </w:rPr>
        <w:t>1.3 法律</w:t>
      </w:r>
      <w:bookmarkEnd w:id="158"/>
      <w:bookmarkEnd w:id="159"/>
      <w:bookmarkEnd w:id="160"/>
      <w:bookmarkEnd w:id="161"/>
    </w:p>
    <w:p>
      <w:pPr>
        <w:spacing w:line="400" w:lineRule="exact"/>
        <w:ind w:firstLine="420" w:firstLineChars="200"/>
        <w:rPr>
          <w:rFonts w:hint="eastAsia"/>
          <w:color w:val="auto"/>
        </w:rPr>
      </w:pPr>
      <w:r>
        <w:rPr>
          <w:rFonts w:hint="eastAsia"/>
          <w:color w:val="auto"/>
        </w:rPr>
        <w:t>适用于合同的法律包括中华人民共和国法律、行政法规、部门规章，以及工程所在地的地方性法规、自治条例、单行条例和地方政府规章。</w:t>
      </w:r>
    </w:p>
    <w:p>
      <w:pPr>
        <w:pStyle w:val="231"/>
        <w:rPr>
          <w:rFonts w:hint="eastAsia"/>
          <w:color w:val="auto"/>
        </w:rPr>
      </w:pPr>
      <w:bookmarkStart w:id="162" w:name="_Toc152042393"/>
      <w:bookmarkStart w:id="163" w:name="_Toc152045615"/>
      <w:bookmarkStart w:id="164" w:name="_Toc179632633"/>
      <w:bookmarkStart w:id="165" w:name="_Toc144974583"/>
      <w:r>
        <w:rPr>
          <w:rFonts w:hint="eastAsia"/>
          <w:color w:val="auto"/>
        </w:rPr>
        <w:t>1.4 合同文件的优先顺序</w:t>
      </w:r>
      <w:bookmarkEnd w:id="162"/>
      <w:bookmarkEnd w:id="163"/>
      <w:bookmarkEnd w:id="164"/>
      <w:bookmarkEnd w:id="165"/>
    </w:p>
    <w:p>
      <w:pPr>
        <w:spacing w:line="400" w:lineRule="exact"/>
        <w:ind w:firstLine="420" w:firstLineChars="200"/>
        <w:rPr>
          <w:rFonts w:hint="eastAsia"/>
          <w:color w:val="auto"/>
        </w:rPr>
      </w:pPr>
      <w:r>
        <w:rPr>
          <w:rFonts w:hint="eastAsia"/>
          <w:color w:val="auto"/>
        </w:rPr>
        <w:t>组成合同的各项文件应互相解释，互为说明。除专用合同条款另有约定外，解释合同文件的优先顺序如下：</w:t>
      </w:r>
    </w:p>
    <w:p>
      <w:pPr>
        <w:spacing w:line="400" w:lineRule="exact"/>
        <w:ind w:firstLine="359" w:firstLineChars="171"/>
        <w:rPr>
          <w:rFonts w:hint="eastAsia"/>
          <w:color w:val="auto"/>
        </w:rPr>
      </w:pPr>
      <w:r>
        <w:rPr>
          <w:rFonts w:hint="eastAsia"/>
          <w:color w:val="auto"/>
        </w:rPr>
        <w:t>（1）合同协议书；</w:t>
      </w:r>
    </w:p>
    <w:p>
      <w:pPr>
        <w:spacing w:line="400" w:lineRule="exact"/>
        <w:ind w:firstLine="359" w:firstLineChars="171"/>
        <w:rPr>
          <w:rFonts w:hint="eastAsia"/>
          <w:color w:val="auto"/>
        </w:rPr>
      </w:pPr>
      <w:r>
        <w:rPr>
          <w:rFonts w:hint="eastAsia"/>
          <w:color w:val="auto"/>
        </w:rPr>
        <w:t>（2）中标通知书；</w:t>
      </w:r>
    </w:p>
    <w:p>
      <w:pPr>
        <w:spacing w:line="400" w:lineRule="exact"/>
        <w:ind w:firstLine="359" w:firstLineChars="171"/>
        <w:rPr>
          <w:rFonts w:hint="eastAsia"/>
          <w:color w:val="auto"/>
        </w:rPr>
      </w:pPr>
      <w:r>
        <w:rPr>
          <w:rFonts w:hint="eastAsia"/>
          <w:color w:val="auto"/>
        </w:rPr>
        <w:t>（3）投标函及投标函附录；</w:t>
      </w:r>
    </w:p>
    <w:p>
      <w:pPr>
        <w:spacing w:line="400" w:lineRule="exact"/>
        <w:ind w:firstLine="359" w:firstLineChars="171"/>
        <w:rPr>
          <w:rFonts w:hint="eastAsia"/>
          <w:color w:val="auto"/>
        </w:rPr>
      </w:pPr>
      <w:r>
        <w:rPr>
          <w:rFonts w:hint="eastAsia"/>
          <w:color w:val="auto"/>
        </w:rPr>
        <w:t>（4）专用合同条款；</w:t>
      </w:r>
    </w:p>
    <w:p>
      <w:pPr>
        <w:spacing w:line="400" w:lineRule="exact"/>
        <w:ind w:firstLine="359" w:firstLineChars="171"/>
        <w:rPr>
          <w:rFonts w:hint="eastAsia"/>
          <w:color w:val="auto"/>
        </w:rPr>
      </w:pPr>
      <w:r>
        <w:rPr>
          <w:rFonts w:hint="eastAsia"/>
          <w:color w:val="auto"/>
        </w:rPr>
        <w:t>（5）通用合同条款；</w:t>
      </w:r>
    </w:p>
    <w:p>
      <w:pPr>
        <w:spacing w:line="400" w:lineRule="exact"/>
        <w:ind w:firstLine="359" w:firstLineChars="171"/>
        <w:rPr>
          <w:rFonts w:hint="eastAsia"/>
          <w:color w:val="auto"/>
        </w:rPr>
      </w:pPr>
      <w:r>
        <w:rPr>
          <w:rFonts w:hint="eastAsia"/>
          <w:color w:val="auto"/>
        </w:rPr>
        <w:t>（6）技术标准和要求；</w:t>
      </w:r>
    </w:p>
    <w:p>
      <w:pPr>
        <w:spacing w:line="400" w:lineRule="exact"/>
        <w:ind w:firstLine="359" w:firstLineChars="171"/>
        <w:rPr>
          <w:rFonts w:hint="eastAsia"/>
          <w:color w:val="auto"/>
        </w:rPr>
      </w:pPr>
      <w:r>
        <w:rPr>
          <w:rFonts w:hint="eastAsia"/>
          <w:color w:val="auto"/>
        </w:rPr>
        <w:t>（7）图纸；</w:t>
      </w:r>
    </w:p>
    <w:p>
      <w:pPr>
        <w:spacing w:line="400" w:lineRule="exact"/>
        <w:ind w:firstLine="359" w:firstLineChars="171"/>
        <w:rPr>
          <w:rFonts w:hint="eastAsia"/>
          <w:color w:val="auto"/>
        </w:rPr>
      </w:pPr>
      <w:r>
        <w:rPr>
          <w:rFonts w:hint="eastAsia"/>
          <w:color w:val="auto"/>
        </w:rPr>
        <w:t>（8）已标价工程量清单；</w:t>
      </w:r>
    </w:p>
    <w:p>
      <w:pPr>
        <w:spacing w:line="400" w:lineRule="exact"/>
        <w:ind w:firstLine="359" w:firstLineChars="171"/>
        <w:rPr>
          <w:rFonts w:hint="eastAsia"/>
          <w:color w:val="auto"/>
        </w:rPr>
      </w:pPr>
      <w:r>
        <w:rPr>
          <w:rFonts w:hint="eastAsia"/>
          <w:color w:val="auto"/>
        </w:rPr>
        <w:t>（9）其他合同文件。</w:t>
      </w:r>
    </w:p>
    <w:p>
      <w:pPr>
        <w:pStyle w:val="231"/>
        <w:rPr>
          <w:rFonts w:hint="eastAsia"/>
          <w:color w:val="auto"/>
        </w:rPr>
      </w:pPr>
      <w:bookmarkStart w:id="166" w:name="_Toc152045616"/>
      <w:bookmarkStart w:id="167" w:name="_Toc152042394"/>
      <w:bookmarkStart w:id="168" w:name="_Toc144974584"/>
      <w:bookmarkStart w:id="169" w:name="_Toc179632634"/>
      <w:r>
        <w:rPr>
          <w:rFonts w:hint="eastAsia"/>
          <w:color w:val="auto"/>
        </w:rPr>
        <w:t>1.5 合同协议书</w:t>
      </w:r>
      <w:bookmarkEnd w:id="166"/>
      <w:bookmarkEnd w:id="167"/>
      <w:bookmarkEnd w:id="168"/>
      <w:bookmarkEnd w:id="169"/>
    </w:p>
    <w:p>
      <w:pPr>
        <w:spacing w:line="400" w:lineRule="exact"/>
        <w:ind w:firstLine="420" w:firstLineChars="200"/>
        <w:rPr>
          <w:rFonts w:hint="eastAsia"/>
          <w:color w:val="auto"/>
        </w:rPr>
      </w:pPr>
      <w:r>
        <w:rPr>
          <w:rFonts w:hint="eastAsia"/>
          <w:color w:val="auto"/>
        </w:rPr>
        <w:t>承包人按中标通知书规定的时间与发包人签订合同协议书。除法律另有规定或合同另有约定外，发包人和承包人的法定代表人或其委托代理人在合同协议书上签字并盖单位章后，合同生效。</w:t>
      </w:r>
    </w:p>
    <w:p>
      <w:pPr>
        <w:pStyle w:val="231"/>
        <w:rPr>
          <w:rFonts w:hint="eastAsia"/>
          <w:color w:val="auto"/>
        </w:rPr>
      </w:pPr>
      <w:bookmarkStart w:id="170" w:name="_Toc144974585"/>
      <w:bookmarkStart w:id="171" w:name="_Toc152042395"/>
      <w:bookmarkStart w:id="172" w:name="_Toc152045617"/>
      <w:bookmarkStart w:id="173" w:name="_Toc179632635"/>
      <w:r>
        <w:rPr>
          <w:rFonts w:hint="eastAsia"/>
          <w:color w:val="auto"/>
        </w:rPr>
        <w:t>1.6 图纸和承包人文件</w:t>
      </w:r>
      <w:bookmarkEnd w:id="170"/>
      <w:bookmarkEnd w:id="171"/>
      <w:bookmarkEnd w:id="172"/>
      <w:bookmarkEnd w:id="173"/>
    </w:p>
    <w:p>
      <w:pPr>
        <w:spacing w:line="400" w:lineRule="exact"/>
        <w:ind w:firstLine="420" w:firstLineChars="200"/>
        <w:rPr>
          <w:rFonts w:hint="eastAsia"/>
          <w:color w:val="auto"/>
        </w:rPr>
      </w:pPr>
      <w:r>
        <w:rPr>
          <w:rFonts w:hint="eastAsia"/>
          <w:color w:val="auto"/>
        </w:rPr>
        <w:t>1.6.1</w:t>
      </w:r>
      <w:r>
        <w:rPr>
          <w:rFonts w:hint="eastAsia" w:ascii="黑体" w:eastAsia="黑体"/>
          <w:color w:val="auto"/>
        </w:rPr>
        <w:t>图纸的提供</w:t>
      </w:r>
    </w:p>
    <w:p>
      <w:pPr>
        <w:spacing w:line="400" w:lineRule="exact"/>
        <w:ind w:firstLine="420" w:firstLineChars="200"/>
        <w:rPr>
          <w:rFonts w:hint="eastAsia"/>
          <w:color w:val="auto"/>
        </w:rPr>
      </w:pPr>
      <w:r>
        <w:rPr>
          <w:rFonts w:hint="eastAsia"/>
          <w:color w:val="auto"/>
        </w:rPr>
        <w:t>除专用合同条款另有约定外，图纸应在合理的期限内按照合同约定的数量提供给承包人。由于发包人未按时提供图纸造成工期延误的，按第11.3款的约定办理。</w:t>
      </w:r>
    </w:p>
    <w:p>
      <w:pPr>
        <w:spacing w:line="400" w:lineRule="exact"/>
        <w:ind w:firstLine="420" w:firstLineChars="200"/>
        <w:rPr>
          <w:rFonts w:hint="eastAsia"/>
          <w:color w:val="auto"/>
        </w:rPr>
      </w:pPr>
      <w:r>
        <w:rPr>
          <w:rFonts w:hint="eastAsia"/>
          <w:color w:val="auto"/>
        </w:rPr>
        <w:t xml:space="preserve">1.6.2 </w:t>
      </w:r>
      <w:r>
        <w:rPr>
          <w:rFonts w:hint="eastAsia" w:ascii="黑体" w:eastAsia="黑体"/>
          <w:color w:val="auto"/>
        </w:rPr>
        <w:t>承包人提供的文件</w:t>
      </w:r>
    </w:p>
    <w:p>
      <w:pPr>
        <w:spacing w:line="400" w:lineRule="exact"/>
        <w:rPr>
          <w:rFonts w:hint="eastAsia"/>
          <w:color w:val="auto"/>
        </w:rPr>
      </w:pPr>
      <w:r>
        <w:rPr>
          <w:rFonts w:hint="eastAsia"/>
          <w:color w:val="auto"/>
        </w:rPr>
        <w:t>　　按专用合同条款约定由承包人提供的文件，包括部分工程的大样图、加工图等，承包人应按约定的数量和期限报送监理人。监理人应在专用合同条款约定的期限内批复。</w:t>
      </w:r>
    </w:p>
    <w:p>
      <w:pPr>
        <w:spacing w:line="400" w:lineRule="exact"/>
        <w:ind w:firstLine="420" w:firstLineChars="200"/>
        <w:rPr>
          <w:rFonts w:hint="eastAsia"/>
          <w:color w:val="auto"/>
        </w:rPr>
      </w:pPr>
      <w:r>
        <w:rPr>
          <w:rFonts w:hint="eastAsia"/>
          <w:color w:val="auto"/>
        </w:rPr>
        <w:t xml:space="preserve">1.6.3 </w:t>
      </w:r>
      <w:r>
        <w:rPr>
          <w:rFonts w:hint="eastAsia" w:ascii="黑体" w:eastAsia="黑体"/>
          <w:color w:val="auto"/>
        </w:rPr>
        <w:t>图纸的修改</w:t>
      </w:r>
    </w:p>
    <w:p>
      <w:pPr>
        <w:spacing w:line="400" w:lineRule="exact"/>
        <w:ind w:firstLine="420" w:firstLineChars="200"/>
        <w:rPr>
          <w:rFonts w:hint="eastAsia"/>
          <w:color w:val="auto"/>
        </w:rPr>
      </w:pPr>
      <w:r>
        <w:rPr>
          <w:rFonts w:hint="eastAsia"/>
          <w:color w:val="auto"/>
        </w:rPr>
        <w:t xml:space="preserve">图纸需要修改和补充的，应由监理人取得发包人同意后，在该工程或工程相应部位施工前的合理期限内签发图纸修改图给承包人，具体签发期限在专用合同条款中约定。承包人应按修改后的图纸施工。 </w:t>
      </w:r>
    </w:p>
    <w:p>
      <w:pPr>
        <w:spacing w:line="400" w:lineRule="exact"/>
        <w:ind w:firstLine="420" w:firstLineChars="200"/>
        <w:rPr>
          <w:rFonts w:hint="eastAsia"/>
          <w:color w:val="auto"/>
        </w:rPr>
      </w:pPr>
      <w:r>
        <w:rPr>
          <w:rFonts w:hint="eastAsia"/>
          <w:color w:val="auto"/>
        </w:rPr>
        <w:t xml:space="preserve">1.6.4 </w:t>
      </w:r>
      <w:r>
        <w:rPr>
          <w:rFonts w:hint="eastAsia" w:ascii="黑体" w:eastAsia="黑体"/>
          <w:color w:val="auto"/>
        </w:rPr>
        <w:t>图纸的错误</w:t>
      </w:r>
    </w:p>
    <w:p>
      <w:pPr>
        <w:spacing w:line="400" w:lineRule="exact"/>
        <w:ind w:firstLine="420" w:firstLineChars="200"/>
        <w:rPr>
          <w:rFonts w:hint="eastAsia"/>
          <w:color w:val="auto"/>
        </w:rPr>
      </w:pPr>
      <w:r>
        <w:rPr>
          <w:rFonts w:hint="eastAsia"/>
          <w:color w:val="auto"/>
        </w:rPr>
        <w:t>承包人发现发包人提供的图纸存在明显错误或疏忽，应及时通知监理人。</w:t>
      </w:r>
    </w:p>
    <w:p>
      <w:pPr>
        <w:spacing w:line="400" w:lineRule="exact"/>
        <w:ind w:firstLine="420" w:firstLineChars="200"/>
        <w:rPr>
          <w:rFonts w:hint="eastAsia"/>
          <w:color w:val="auto"/>
        </w:rPr>
      </w:pPr>
      <w:r>
        <w:rPr>
          <w:rFonts w:hint="eastAsia"/>
          <w:color w:val="auto"/>
        </w:rPr>
        <w:t xml:space="preserve">1.6.5 </w:t>
      </w:r>
      <w:r>
        <w:rPr>
          <w:rFonts w:hint="eastAsia" w:ascii="黑体" w:eastAsia="黑体"/>
          <w:color w:val="auto"/>
        </w:rPr>
        <w:t>图纸和承包人文件的保管</w:t>
      </w:r>
    </w:p>
    <w:p>
      <w:pPr>
        <w:spacing w:line="400" w:lineRule="exact"/>
        <w:ind w:firstLine="420" w:firstLineChars="200"/>
        <w:rPr>
          <w:rFonts w:hint="eastAsia"/>
          <w:color w:val="auto"/>
        </w:rPr>
      </w:pPr>
      <w:r>
        <w:rPr>
          <w:rFonts w:hint="eastAsia"/>
          <w:color w:val="auto"/>
        </w:rPr>
        <w:t>监理人和承包人均应在施工场地各保存一套完整的包含第1.6.1项、第1.6.2项、第1.6.3项约定内容的图纸和承包人文件。</w:t>
      </w:r>
    </w:p>
    <w:p>
      <w:pPr>
        <w:pStyle w:val="231"/>
        <w:rPr>
          <w:rFonts w:hint="eastAsia"/>
          <w:color w:val="auto"/>
        </w:rPr>
      </w:pPr>
      <w:bookmarkStart w:id="174" w:name="_Toc152042396"/>
      <w:bookmarkStart w:id="175" w:name="_Toc152045618"/>
      <w:bookmarkStart w:id="176" w:name="_Toc144974586"/>
      <w:bookmarkStart w:id="177" w:name="_Toc179632636"/>
      <w:r>
        <w:rPr>
          <w:rFonts w:hint="eastAsia"/>
          <w:color w:val="auto"/>
        </w:rPr>
        <w:t>1.7 联络</w:t>
      </w:r>
      <w:bookmarkEnd w:id="174"/>
      <w:bookmarkEnd w:id="175"/>
      <w:bookmarkEnd w:id="176"/>
      <w:bookmarkEnd w:id="177"/>
    </w:p>
    <w:p>
      <w:pPr>
        <w:spacing w:line="400" w:lineRule="exact"/>
        <w:ind w:firstLine="420" w:firstLineChars="200"/>
        <w:rPr>
          <w:rFonts w:hint="eastAsia"/>
          <w:color w:val="auto"/>
        </w:rPr>
      </w:pPr>
      <w:r>
        <w:rPr>
          <w:rFonts w:hint="eastAsia"/>
          <w:color w:val="auto"/>
        </w:rPr>
        <w:t>1.7.1 与合同有关的通知、批准、证明、证书、指示、要求、请求、同意、意见、确定和决定等，均应采用书面形式。</w:t>
      </w:r>
    </w:p>
    <w:p>
      <w:pPr>
        <w:spacing w:line="400" w:lineRule="exact"/>
        <w:ind w:firstLine="420" w:firstLineChars="200"/>
        <w:rPr>
          <w:rFonts w:hint="eastAsia"/>
          <w:color w:val="auto"/>
        </w:rPr>
      </w:pPr>
      <w:r>
        <w:rPr>
          <w:rFonts w:hint="eastAsia"/>
          <w:color w:val="auto"/>
        </w:rPr>
        <w:t>1.7.2 第1.7.1项中的通知、批准、证明、证书、指示、要求、请求、同意、意见、确定和决定等来往函件，均应在合同约定的期限内送达指定地点和接收人，并办理签收手续。</w:t>
      </w:r>
    </w:p>
    <w:p>
      <w:pPr>
        <w:pStyle w:val="231"/>
        <w:rPr>
          <w:rFonts w:hint="eastAsia"/>
          <w:color w:val="auto"/>
        </w:rPr>
      </w:pPr>
      <w:bookmarkStart w:id="178" w:name="_Toc144974587"/>
      <w:bookmarkStart w:id="179" w:name="_Toc152045619"/>
      <w:bookmarkStart w:id="180" w:name="_Toc179632637"/>
      <w:bookmarkStart w:id="181" w:name="_Toc152042397"/>
      <w:r>
        <w:rPr>
          <w:rFonts w:hint="eastAsia"/>
          <w:color w:val="auto"/>
        </w:rPr>
        <w:t>1.8 转让</w:t>
      </w:r>
      <w:bookmarkEnd w:id="178"/>
      <w:bookmarkEnd w:id="179"/>
      <w:bookmarkEnd w:id="180"/>
      <w:bookmarkEnd w:id="181"/>
    </w:p>
    <w:p>
      <w:pPr>
        <w:spacing w:line="400" w:lineRule="exact"/>
        <w:ind w:firstLine="420" w:firstLineChars="200"/>
        <w:rPr>
          <w:rFonts w:hint="eastAsia"/>
          <w:color w:val="auto"/>
        </w:rPr>
      </w:pPr>
      <w:r>
        <w:rPr>
          <w:rFonts w:hint="eastAsia"/>
          <w:color w:val="auto"/>
        </w:rPr>
        <w:t>除合同另有约定外，未经对方当事人同意，一方当事人不得将合同权利全部或部分转让给第三人，也不得全部或部分转移合同义务。</w:t>
      </w:r>
    </w:p>
    <w:p>
      <w:pPr>
        <w:pStyle w:val="231"/>
        <w:rPr>
          <w:rFonts w:hint="eastAsia"/>
          <w:color w:val="auto"/>
        </w:rPr>
      </w:pPr>
      <w:bookmarkStart w:id="182" w:name="_Toc179632638"/>
      <w:bookmarkStart w:id="183" w:name="_Toc152045620"/>
      <w:bookmarkStart w:id="184" w:name="_Toc152042398"/>
      <w:bookmarkStart w:id="185" w:name="_Toc144974588"/>
      <w:r>
        <w:rPr>
          <w:rFonts w:hint="eastAsia"/>
          <w:color w:val="auto"/>
        </w:rPr>
        <w:t>1.9 严禁贿赂</w:t>
      </w:r>
      <w:bookmarkEnd w:id="182"/>
      <w:bookmarkEnd w:id="183"/>
      <w:bookmarkEnd w:id="184"/>
      <w:bookmarkEnd w:id="185"/>
    </w:p>
    <w:p>
      <w:pPr>
        <w:spacing w:line="400" w:lineRule="exact"/>
        <w:ind w:firstLine="420" w:firstLineChars="200"/>
        <w:rPr>
          <w:rFonts w:hint="eastAsia"/>
          <w:color w:val="auto"/>
        </w:rPr>
      </w:pPr>
      <w:r>
        <w:rPr>
          <w:rFonts w:hint="eastAsia"/>
          <w:color w:val="auto"/>
        </w:rPr>
        <w:t>合同双方当事人不得以贿赂或变相贿赂的方式，谋取不当利益或损害对方权益。因贿赂造成对方损失的，行为人应赔偿损失，并承担相应的法律责任。</w:t>
      </w:r>
    </w:p>
    <w:p>
      <w:pPr>
        <w:pStyle w:val="231"/>
        <w:rPr>
          <w:rFonts w:hint="eastAsia"/>
          <w:color w:val="auto"/>
        </w:rPr>
      </w:pPr>
      <w:bookmarkStart w:id="186" w:name="_Toc144974589"/>
      <w:bookmarkStart w:id="187" w:name="_Toc152042399"/>
      <w:bookmarkStart w:id="188" w:name="_Toc179632639"/>
      <w:bookmarkStart w:id="189" w:name="_Toc152045621"/>
      <w:r>
        <w:rPr>
          <w:rFonts w:hint="eastAsia"/>
          <w:color w:val="auto"/>
        </w:rPr>
        <w:t>1.10 化石、文物</w:t>
      </w:r>
      <w:bookmarkEnd w:id="186"/>
      <w:bookmarkEnd w:id="187"/>
      <w:bookmarkEnd w:id="188"/>
      <w:bookmarkEnd w:id="189"/>
    </w:p>
    <w:p>
      <w:pPr>
        <w:spacing w:line="400" w:lineRule="exact"/>
        <w:ind w:firstLine="420" w:firstLineChars="200"/>
        <w:rPr>
          <w:rFonts w:hint="eastAsia"/>
          <w:color w:val="auto"/>
        </w:rPr>
      </w:pPr>
      <w:r>
        <w:rPr>
          <w:rFonts w:hint="eastAsia"/>
          <w:color w:val="auto"/>
        </w:rPr>
        <w:t>1.10.1 在施工场地发掘的所有文物、古迹以及具有地质研究或考古价值的其他遗迹、化石、钱币或物品属于国家所有。一旦发现上述文物，承包人应采取有效合理的保护措施，防止任何人员移动或损坏上述物品，并立即报告当地文物行政部门，同时通知监理人。发包人、监理人和承包人应按文物行政部门要求采取妥善保护措施，由此导致费用增加和（或）工期延误由发包人承担。</w:t>
      </w:r>
    </w:p>
    <w:p>
      <w:pPr>
        <w:spacing w:line="400" w:lineRule="exact"/>
        <w:ind w:firstLine="420" w:firstLineChars="200"/>
        <w:rPr>
          <w:rFonts w:hint="eastAsia"/>
          <w:color w:val="auto"/>
        </w:rPr>
      </w:pPr>
      <w:r>
        <w:rPr>
          <w:rFonts w:hint="eastAsia"/>
          <w:color w:val="auto"/>
        </w:rPr>
        <w:t>1.10.2 承包人发现文物后不及时报告或隐瞒不报，致使文物丢失或损坏的，应赔偿损失，并承担相应的法律责任。</w:t>
      </w:r>
    </w:p>
    <w:p>
      <w:pPr>
        <w:pStyle w:val="231"/>
        <w:rPr>
          <w:rFonts w:hint="eastAsia"/>
          <w:color w:val="auto"/>
        </w:rPr>
      </w:pPr>
      <w:bookmarkStart w:id="190" w:name="_Toc144974590"/>
      <w:bookmarkStart w:id="191" w:name="_Toc152045622"/>
      <w:bookmarkStart w:id="192" w:name="_Toc152042400"/>
      <w:bookmarkStart w:id="193" w:name="_Toc179632640"/>
      <w:r>
        <w:rPr>
          <w:rFonts w:hint="eastAsia"/>
          <w:color w:val="auto"/>
        </w:rPr>
        <w:t>1.11 专利技术</w:t>
      </w:r>
      <w:bookmarkEnd w:id="190"/>
      <w:bookmarkEnd w:id="191"/>
      <w:bookmarkEnd w:id="192"/>
      <w:bookmarkEnd w:id="193"/>
    </w:p>
    <w:p>
      <w:pPr>
        <w:spacing w:line="400" w:lineRule="exact"/>
        <w:ind w:firstLine="420" w:firstLineChars="200"/>
        <w:rPr>
          <w:rFonts w:hint="eastAsia"/>
          <w:color w:val="auto"/>
        </w:rPr>
      </w:pPr>
      <w:r>
        <w:rPr>
          <w:rFonts w:hint="eastAsia"/>
          <w:color w:val="auto"/>
        </w:rPr>
        <w:t>1.11.1 承包人在使用任何材料、承包人设备、工程设备或采用施工工艺时，因侵犯专利权或其他知识产权所引起的责任，由承包人承担，但由于遵照发包人提供的设计或技术标准和要求引起的除外。</w:t>
      </w:r>
    </w:p>
    <w:p>
      <w:pPr>
        <w:spacing w:line="400" w:lineRule="exact"/>
        <w:ind w:firstLine="420" w:firstLineChars="200"/>
        <w:rPr>
          <w:rFonts w:hint="eastAsia"/>
          <w:color w:val="auto"/>
        </w:rPr>
      </w:pPr>
      <w:r>
        <w:rPr>
          <w:rFonts w:hint="eastAsia"/>
          <w:color w:val="auto"/>
        </w:rPr>
        <w:t>1.11.2 承包人在投标文件中采用专利技术的，专利技术的使用费包含在投标报价内。</w:t>
      </w:r>
    </w:p>
    <w:p>
      <w:pPr>
        <w:spacing w:line="400" w:lineRule="exact"/>
        <w:ind w:firstLine="420" w:firstLineChars="200"/>
        <w:rPr>
          <w:rFonts w:hint="eastAsia"/>
          <w:color w:val="auto"/>
        </w:rPr>
      </w:pPr>
      <w:r>
        <w:rPr>
          <w:rFonts w:hint="eastAsia"/>
          <w:color w:val="auto"/>
        </w:rPr>
        <w:t>1.11.3 承包人的技术秘密和声明需要保密的资料和信息，发包人和监理人不得为合同以外的目的泄露给他人。</w:t>
      </w:r>
    </w:p>
    <w:p>
      <w:pPr>
        <w:pStyle w:val="231"/>
        <w:rPr>
          <w:rFonts w:hint="eastAsia"/>
          <w:color w:val="auto"/>
        </w:rPr>
      </w:pPr>
      <w:bookmarkStart w:id="194" w:name="_Toc152042401"/>
      <w:bookmarkStart w:id="195" w:name="_Toc152045623"/>
      <w:bookmarkStart w:id="196" w:name="_Toc179632641"/>
      <w:bookmarkStart w:id="197" w:name="_Toc144974591"/>
      <w:r>
        <w:rPr>
          <w:rFonts w:hint="eastAsia"/>
          <w:color w:val="auto"/>
        </w:rPr>
        <w:t>1.12 图纸和文件的保密</w:t>
      </w:r>
      <w:bookmarkEnd w:id="194"/>
      <w:bookmarkEnd w:id="195"/>
      <w:bookmarkEnd w:id="196"/>
      <w:bookmarkEnd w:id="197"/>
    </w:p>
    <w:p>
      <w:pPr>
        <w:spacing w:line="400" w:lineRule="exact"/>
        <w:ind w:firstLine="420" w:firstLineChars="200"/>
        <w:rPr>
          <w:rFonts w:hint="eastAsia"/>
          <w:color w:val="auto"/>
        </w:rPr>
      </w:pPr>
      <w:r>
        <w:rPr>
          <w:rFonts w:hint="eastAsia"/>
          <w:color w:val="auto"/>
        </w:rPr>
        <w:t>1.12.1 发包人提供的图纸和文件，未经发包人同意，承包人不得为合同以外的目的泄露给他人或公开发表与引用。</w:t>
      </w:r>
    </w:p>
    <w:p>
      <w:pPr>
        <w:spacing w:line="400" w:lineRule="exact"/>
        <w:ind w:firstLine="420" w:firstLineChars="200"/>
        <w:rPr>
          <w:rFonts w:hint="eastAsia"/>
          <w:color w:val="auto"/>
        </w:rPr>
      </w:pPr>
      <w:r>
        <w:rPr>
          <w:rFonts w:hint="eastAsia"/>
          <w:color w:val="auto"/>
        </w:rPr>
        <w:t>1.12.2 承包人提供的文件，未经承包人同意，发包人和监理人不得为合同以外的目的泄露给他人或公开发表与引用。</w:t>
      </w:r>
    </w:p>
    <w:p>
      <w:pPr>
        <w:pStyle w:val="224"/>
        <w:rPr>
          <w:rFonts w:hint="eastAsia"/>
          <w:color w:val="auto"/>
        </w:rPr>
      </w:pPr>
      <w:bookmarkStart w:id="198" w:name="_Toc144974592"/>
      <w:bookmarkStart w:id="199" w:name="_Toc152042402"/>
      <w:bookmarkStart w:id="200" w:name="_Toc152045624"/>
      <w:bookmarkStart w:id="201" w:name="_Toc179632642"/>
      <w:r>
        <w:rPr>
          <w:rFonts w:hint="eastAsia"/>
          <w:color w:val="auto"/>
        </w:rPr>
        <w:t>2. 发包人义务</w:t>
      </w:r>
      <w:bookmarkEnd w:id="198"/>
      <w:bookmarkEnd w:id="199"/>
      <w:bookmarkEnd w:id="200"/>
      <w:bookmarkEnd w:id="201"/>
    </w:p>
    <w:p>
      <w:pPr>
        <w:pStyle w:val="231"/>
        <w:rPr>
          <w:rFonts w:hint="eastAsia"/>
          <w:color w:val="auto"/>
        </w:rPr>
      </w:pPr>
      <w:bookmarkStart w:id="202" w:name="_Toc152045625"/>
      <w:bookmarkStart w:id="203" w:name="_Toc144974593"/>
      <w:bookmarkStart w:id="204" w:name="_Toc179632643"/>
      <w:bookmarkStart w:id="205" w:name="_Toc152042403"/>
      <w:r>
        <w:rPr>
          <w:rFonts w:hint="eastAsia"/>
          <w:color w:val="auto"/>
        </w:rPr>
        <w:t>2.1 遵守法律</w:t>
      </w:r>
      <w:bookmarkEnd w:id="202"/>
      <w:bookmarkEnd w:id="203"/>
      <w:bookmarkEnd w:id="204"/>
      <w:bookmarkEnd w:id="205"/>
    </w:p>
    <w:p>
      <w:pPr>
        <w:spacing w:line="400" w:lineRule="exact"/>
        <w:ind w:firstLine="420" w:firstLineChars="200"/>
        <w:rPr>
          <w:rFonts w:hint="eastAsia"/>
          <w:color w:val="auto"/>
        </w:rPr>
      </w:pPr>
      <w:r>
        <w:rPr>
          <w:rFonts w:hint="eastAsia"/>
          <w:color w:val="auto"/>
        </w:rPr>
        <w:t>发包人在履行合同过程中应遵守法律，并保证承包人免于承担因发包人违反法律而引起的任何责任。</w:t>
      </w:r>
    </w:p>
    <w:p>
      <w:pPr>
        <w:pStyle w:val="231"/>
        <w:rPr>
          <w:rFonts w:hint="eastAsia"/>
          <w:color w:val="auto"/>
        </w:rPr>
      </w:pPr>
      <w:bookmarkStart w:id="206" w:name="_Toc152042404"/>
      <w:bookmarkStart w:id="207" w:name="_Toc144974594"/>
      <w:bookmarkStart w:id="208" w:name="_Toc152045626"/>
      <w:bookmarkStart w:id="209" w:name="_Toc179632644"/>
      <w:r>
        <w:rPr>
          <w:rFonts w:hint="eastAsia"/>
          <w:color w:val="auto"/>
        </w:rPr>
        <w:t>2.2 发出开工通知</w:t>
      </w:r>
      <w:bookmarkEnd w:id="206"/>
      <w:bookmarkEnd w:id="207"/>
      <w:bookmarkEnd w:id="208"/>
      <w:bookmarkEnd w:id="209"/>
    </w:p>
    <w:p>
      <w:pPr>
        <w:spacing w:line="400" w:lineRule="exact"/>
        <w:ind w:firstLine="420" w:firstLineChars="200"/>
        <w:rPr>
          <w:rFonts w:hint="eastAsia"/>
          <w:color w:val="auto"/>
        </w:rPr>
      </w:pPr>
      <w:r>
        <w:rPr>
          <w:rFonts w:hint="eastAsia"/>
          <w:color w:val="auto"/>
        </w:rPr>
        <w:t>发包人应委托监理人按第11.1款的约定向承包人发出开工通知。</w:t>
      </w:r>
    </w:p>
    <w:p>
      <w:pPr>
        <w:pStyle w:val="231"/>
        <w:rPr>
          <w:rFonts w:hint="eastAsia"/>
          <w:color w:val="auto"/>
        </w:rPr>
      </w:pPr>
      <w:bookmarkStart w:id="210" w:name="_Toc179632645"/>
      <w:bookmarkStart w:id="211" w:name="_Toc144974595"/>
      <w:bookmarkStart w:id="212" w:name="_Toc152042405"/>
      <w:bookmarkStart w:id="213" w:name="_Toc152045627"/>
      <w:r>
        <w:rPr>
          <w:rFonts w:hint="eastAsia"/>
          <w:color w:val="auto"/>
        </w:rPr>
        <w:t>2.3 提供施工场地</w:t>
      </w:r>
      <w:bookmarkEnd w:id="210"/>
      <w:bookmarkEnd w:id="211"/>
      <w:bookmarkEnd w:id="212"/>
      <w:bookmarkEnd w:id="213"/>
    </w:p>
    <w:p>
      <w:pPr>
        <w:spacing w:line="400" w:lineRule="exact"/>
        <w:ind w:firstLine="420" w:firstLineChars="200"/>
        <w:rPr>
          <w:rFonts w:hint="eastAsia"/>
          <w:color w:val="auto"/>
        </w:rPr>
      </w:pPr>
      <w:r>
        <w:rPr>
          <w:rFonts w:hint="eastAsia"/>
          <w:color w:val="auto"/>
        </w:rPr>
        <w:t>发包人应按专用合同条款约定向承包人提供施工场地，以及施工场地内地下管线和地下设施等有关资料，并保证资料的真实、准确、完整。</w:t>
      </w:r>
    </w:p>
    <w:p>
      <w:pPr>
        <w:pStyle w:val="231"/>
        <w:rPr>
          <w:rFonts w:hint="eastAsia"/>
          <w:color w:val="auto"/>
        </w:rPr>
      </w:pPr>
      <w:bookmarkStart w:id="214" w:name="_Toc144974596"/>
      <w:bookmarkStart w:id="215" w:name="_Toc152042406"/>
      <w:bookmarkStart w:id="216" w:name="_Toc179632646"/>
      <w:bookmarkStart w:id="217" w:name="_Toc152045628"/>
      <w:r>
        <w:rPr>
          <w:rFonts w:hint="eastAsia"/>
          <w:color w:val="auto"/>
        </w:rPr>
        <w:t>2.4 协助承包人办理证件和批件</w:t>
      </w:r>
      <w:bookmarkEnd w:id="214"/>
      <w:bookmarkEnd w:id="215"/>
      <w:bookmarkEnd w:id="216"/>
      <w:bookmarkEnd w:id="217"/>
    </w:p>
    <w:p>
      <w:pPr>
        <w:spacing w:line="400" w:lineRule="exact"/>
        <w:ind w:firstLine="420" w:firstLineChars="200"/>
        <w:rPr>
          <w:rFonts w:hint="eastAsia"/>
          <w:color w:val="auto"/>
        </w:rPr>
      </w:pPr>
      <w:r>
        <w:rPr>
          <w:rFonts w:hint="eastAsia"/>
          <w:color w:val="auto"/>
        </w:rPr>
        <w:t>发包人应协助承包人办理法律规定的有关施工证件和批件。</w:t>
      </w:r>
    </w:p>
    <w:p>
      <w:pPr>
        <w:pStyle w:val="231"/>
        <w:rPr>
          <w:rFonts w:hint="eastAsia"/>
          <w:color w:val="auto"/>
        </w:rPr>
      </w:pPr>
      <w:bookmarkStart w:id="218" w:name="_Toc152042407"/>
      <w:bookmarkStart w:id="219" w:name="_Toc144974597"/>
      <w:bookmarkStart w:id="220" w:name="_Toc152045629"/>
      <w:bookmarkStart w:id="221" w:name="_Toc179632647"/>
      <w:r>
        <w:rPr>
          <w:rFonts w:hint="eastAsia"/>
          <w:color w:val="auto"/>
        </w:rPr>
        <w:t>2.5 组织设计交底</w:t>
      </w:r>
      <w:bookmarkEnd w:id="218"/>
      <w:bookmarkEnd w:id="219"/>
      <w:bookmarkEnd w:id="220"/>
      <w:bookmarkEnd w:id="221"/>
    </w:p>
    <w:p>
      <w:pPr>
        <w:spacing w:line="400" w:lineRule="exact"/>
        <w:ind w:firstLine="420" w:firstLineChars="200"/>
        <w:rPr>
          <w:rFonts w:hint="eastAsia"/>
          <w:color w:val="auto"/>
        </w:rPr>
      </w:pPr>
      <w:r>
        <w:rPr>
          <w:rFonts w:hint="eastAsia"/>
          <w:color w:val="auto"/>
        </w:rPr>
        <w:t>发包人应根据合同进度计划，组织设计单位向承包人进行设计交底。</w:t>
      </w:r>
    </w:p>
    <w:p>
      <w:pPr>
        <w:pStyle w:val="231"/>
        <w:rPr>
          <w:rFonts w:hint="eastAsia"/>
          <w:color w:val="auto"/>
        </w:rPr>
      </w:pPr>
      <w:bookmarkStart w:id="222" w:name="_Toc144974598"/>
      <w:bookmarkStart w:id="223" w:name="_Toc179632648"/>
      <w:bookmarkStart w:id="224" w:name="_Toc152045630"/>
      <w:bookmarkStart w:id="225" w:name="_Toc152042408"/>
      <w:r>
        <w:rPr>
          <w:rFonts w:hint="eastAsia"/>
          <w:color w:val="auto"/>
        </w:rPr>
        <w:t>2.6 支付合同价款</w:t>
      </w:r>
      <w:bookmarkEnd w:id="222"/>
      <w:bookmarkEnd w:id="223"/>
      <w:bookmarkEnd w:id="224"/>
      <w:bookmarkEnd w:id="225"/>
    </w:p>
    <w:p>
      <w:pPr>
        <w:spacing w:line="400" w:lineRule="exact"/>
        <w:ind w:firstLine="420" w:firstLineChars="200"/>
        <w:rPr>
          <w:rFonts w:hint="eastAsia"/>
          <w:color w:val="auto"/>
        </w:rPr>
      </w:pPr>
      <w:r>
        <w:rPr>
          <w:rFonts w:hint="eastAsia"/>
          <w:color w:val="auto"/>
        </w:rPr>
        <w:t>发包人应按合同约定向承包人及时支付合同价款。</w:t>
      </w:r>
    </w:p>
    <w:p>
      <w:pPr>
        <w:pStyle w:val="231"/>
        <w:rPr>
          <w:rFonts w:hint="eastAsia"/>
          <w:color w:val="auto"/>
        </w:rPr>
      </w:pPr>
      <w:bookmarkStart w:id="226" w:name="_Toc152045631"/>
      <w:bookmarkStart w:id="227" w:name="_Toc152042409"/>
      <w:bookmarkStart w:id="228" w:name="_Toc144974599"/>
      <w:bookmarkStart w:id="229" w:name="_Toc179632649"/>
      <w:r>
        <w:rPr>
          <w:rFonts w:hint="eastAsia"/>
          <w:color w:val="auto"/>
        </w:rPr>
        <w:t>2.7 组织竣工验收</w:t>
      </w:r>
      <w:bookmarkEnd w:id="226"/>
      <w:bookmarkEnd w:id="227"/>
      <w:bookmarkEnd w:id="228"/>
      <w:bookmarkEnd w:id="229"/>
    </w:p>
    <w:p>
      <w:pPr>
        <w:spacing w:line="400" w:lineRule="exact"/>
        <w:ind w:firstLine="420" w:firstLineChars="200"/>
        <w:rPr>
          <w:rFonts w:hint="eastAsia"/>
          <w:color w:val="auto"/>
        </w:rPr>
      </w:pPr>
      <w:r>
        <w:rPr>
          <w:rFonts w:hint="eastAsia"/>
          <w:color w:val="auto"/>
        </w:rPr>
        <w:t>发包人应按合同约定及时组织竣工验收。</w:t>
      </w:r>
    </w:p>
    <w:p>
      <w:pPr>
        <w:pStyle w:val="231"/>
        <w:rPr>
          <w:rFonts w:hint="eastAsia"/>
          <w:color w:val="auto"/>
        </w:rPr>
      </w:pPr>
      <w:bookmarkStart w:id="230" w:name="_Toc152045632"/>
      <w:bookmarkStart w:id="231" w:name="_Toc179632650"/>
      <w:bookmarkStart w:id="232" w:name="_Toc152042410"/>
      <w:bookmarkStart w:id="233" w:name="_Toc144974600"/>
      <w:r>
        <w:rPr>
          <w:rFonts w:hint="eastAsia"/>
          <w:color w:val="auto"/>
        </w:rPr>
        <w:t>2.8 其他义务</w:t>
      </w:r>
      <w:bookmarkEnd w:id="230"/>
      <w:bookmarkEnd w:id="231"/>
      <w:bookmarkEnd w:id="232"/>
      <w:bookmarkEnd w:id="233"/>
    </w:p>
    <w:p>
      <w:pPr>
        <w:spacing w:line="400" w:lineRule="exact"/>
        <w:ind w:firstLine="420" w:firstLineChars="200"/>
        <w:rPr>
          <w:rFonts w:hint="eastAsia"/>
          <w:color w:val="auto"/>
        </w:rPr>
      </w:pPr>
      <w:r>
        <w:rPr>
          <w:rFonts w:hint="eastAsia"/>
          <w:color w:val="auto"/>
        </w:rPr>
        <w:t>发包人应履行合同约定的其他义务。</w:t>
      </w:r>
    </w:p>
    <w:p>
      <w:pPr>
        <w:pStyle w:val="224"/>
        <w:rPr>
          <w:rFonts w:hint="eastAsia"/>
          <w:color w:val="auto"/>
        </w:rPr>
      </w:pPr>
      <w:bookmarkStart w:id="234" w:name="_Toc179632651"/>
      <w:bookmarkStart w:id="235" w:name="_Toc152042411"/>
      <w:bookmarkStart w:id="236" w:name="_Toc152045633"/>
      <w:bookmarkStart w:id="237" w:name="_Toc144974601"/>
      <w:r>
        <w:rPr>
          <w:rFonts w:hint="eastAsia"/>
          <w:color w:val="auto"/>
        </w:rPr>
        <w:t>3. 监理人</w:t>
      </w:r>
      <w:bookmarkEnd w:id="234"/>
      <w:bookmarkEnd w:id="235"/>
      <w:bookmarkEnd w:id="236"/>
      <w:bookmarkEnd w:id="237"/>
    </w:p>
    <w:p>
      <w:pPr>
        <w:pStyle w:val="231"/>
        <w:rPr>
          <w:rFonts w:hint="eastAsia"/>
          <w:color w:val="auto"/>
        </w:rPr>
      </w:pPr>
      <w:bookmarkStart w:id="238" w:name="_Toc152045634"/>
      <w:bookmarkStart w:id="239" w:name="_Toc152042412"/>
      <w:bookmarkStart w:id="240" w:name="_Toc144974602"/>
      <w:bookmarkStart w:id="241" w:name="_Toc179632652"/>
      <w:r>
        <w:rPr>
          <w:rFonts w:hint="eastAsia"/>
          <w:color w:val="auto"/>
        </w:rPr>
        <w:t>3.1 监理人的职责和权力</w:t>
      </w:r>
      <w:bookmarkEnd w:id="238"/>
      <w:bookmarkEnd w:id="239"/>
      <w:bookmarkEnd w:id="240"/>
      <w:bookmarkEnd w:id="241"/>
    </w:p>
    <w:p>
      <w:pPr>
        <w:spacing w:line="400" w:lineRule="exact"/>
        <w:ind w:firstLine="420" w:firstLineChars="200"/>
        <w:rPr>
          <w:rFonts w:hint="eastAsia"/>
          <w:color w:val="auto"/>
        </w:rPr>
      </w:pPr>
      <w:r>
        <w:rPr>
          <w:rFonts w:hint="eastAsia"/>
          <w:color w:val="auto"/>
        </w:rPr>
        <w:t>3.1.1 监理人受发包人委托，享有合同约定的权力。监理人在行使某项权力前需要经发包人事先批准而通用合同条款没有指明的，应在专用合同条款中指明。</w:t>
      </w:r>
    </w:p>
    <w:p>
      <w:pPr>
        <w:spacing w:line="400" w:lineRule="exact"/>
        <w:ind w:firstLine="420" w:firstLineChars="200"/>
        <w:rPr>
          <w:rFonts w:hint="eastAsia"/>
          <w:color w:val="auto"/>
        </w:rPr>
      </w:pPr>
      <w:r>
        <w:rPr>
          <w:rFonts w:hint="eastAsia"/>
          <w:color w:val="auto"/>
        </w:rPr>
        <w:t>3.1.2 监理人发出的任何指示应视为已得到发包人的批准，但监理人无权免除或变更合同约定的发包人和承包人的权利、义务和责任。</w:t>
      </w:r>
    </w:p>
    <w:p>
      <w:pPr>
        <w:spacing w:line="400" w:lineRule="exact"/>
        <w:ind w:firstLine="420" w:firstLineChars="200"/>
        <w:rPr>
          <w:rFonts w:hint="eastAsia"/>
          <w:color w:val="auto"/>
        </w:rPr>
      </w:pPr>
      <w:r>
        <w:rPr>
          <w:rFonts w:hint="eastAsia"/>
          <w:color w:val="auto"/>
        </w:rPr>
        <w:t>3.1.3 合同约定应由承包人承担的义务和责任，不因监理人对承包人提交文件的审查或批准，对工程、材料和设备的检查和检验，以及为实施监理作出的指示等职务行为而减轻或解除。</w:t>
      </w:r>
    </w:p>
    <w:p>
      <w:pPr>
        <w:pStyle w:val="231"/>
        <w:rPr>
          <w:rFonts w:hint="eastAsia"/>
          <w:color w:val="auto"/>
        </w:rPr>
      </w:pPr>
      <w:bookmarkStart w:id="242" w:name="_Toc144974603"/>
      <w:bookmarkStart w:id="243" w:name="_Toc152042413"/>
      <w:bookmarkStart w:id="244" w:name="_Toc179632653"/>
      <w:bookmarkStart w:id="245" w:name="_Toc152045635"/>
      <w:r>
        <w:rPr>
          <w:rFonts w:hint="eastAsia"/>
          <w:color w:val="auto"/>
        </w:rPr>
        <w:t>3.2 总监理工程师</w:t>
      </w:r>
      <w:bookmarkEnd w:id="242"/>
      <w:bookmarkEnd w:id="243"/>
      <w:bookmarkEnd w:id="244"/>
      <w:bookmarkEnd w:id="245"/>
    </w:p>
    <w:p>
      <w:pPr>
        <w:spacing w:line="400" w:lineRule="exact"/>
        <w:ind w:firstLine="420" w:firstLineChars="200"/>
        <w:rPr>
          <w:rFonts w:hint="eastAsia"/>
          <w:color w:val="auto"/>
        </w:rPr>
      </w:pPr>
      <w:r>
        <w:rPr>
          <w:rFonts w:hint="eastAsia"/>
          <w:color w:val="auto"/>
        </w:rPr>
        <w:t>发包人应在发出开工通知前将总监理工程师的任命通知承包人。总监理工程师更换时，应在调离14天前通知承包人。总监理工程师短期离开施工场地的，应委派代表代行其职责，并通知承包人。</w:t>
      </w:r>
    </w:p>
    <w:p>
      <w:pPr>
        <w:pStyle w:val="231"/>
        <w:rPr>
          <w:rFonts w:hint="eastAsia"/>
          <w:color w:val="auto"/>
        </w:rPr>
      </w:pPr>
      <w:bookmarkStart w:id="246" w:name="_Toc152045636"/>
      <w:bookmarkStart w:id="247" w:name="_Toc152042414"/>
      <w:bookmarkStart w:id="248" w:name="_Toc144974604"/>
      <w:bookmarkStart w:id="249" w:name="_Toc179632654"/>
      <w:r>
        <w:rPr>
          <w:rFonts w:hint="eastAsia"/>
          <w:color w:val="auto"/>
        </w:rPr>
        <w:t>3.3 监理人员</w:t>
      </w:r>
      <w:bookmarkEnd w:id="246"/>
      <w:bookmarkEnd w:id="247"/>
      <w:bookmarkEnd w:id="248"/>
      <w:bookmarkEnd w:id="249"/>
    </w:p>
    <w:p>
      <w:pPr>
        <w:spacing w:line="400" w:lineRule="exact"/>
        <w:ind w:firstLine="420" w:firstLineChars="200"/>
        <w:rPr>
          <w:rFonts w:hint="eastAsia"/>
          <w:color w:val="auto"/>
        </w:rPr>
      </w:pPr>
      <w:r>
        <w:rPr>
          <w:rFonts w:hint="eastAsia"/>
          <w:color w:val="auto"/>
        </w:rPr>
        <w:t>3.3.1 总监理工程师可以授权其他监理人员负责执行其指派的一项或多项监理工作。总监理工程师应将被授权监理人员的姓名及其授权范围通知承包人。被授权的监理人员在授权范围内发出的指示视为已得到总监理工程师的同意，与总监理工程师发出的指示具有同等效力。总监理工程师撤销某项授权时，应将撤销授权的决定及时通知承包人。</w:t>
      </w:r>
    </w:p>
    <w:p>
      <w:pPr>
        <w:spacing w:line="400" w:lineRule="exact"/>
        <w:ind w:firstLine="420" w:firstLineChars="200"/>
        <w:rPr>
          <w:rFonts w:hint="eastAsia"/>
          <w:color w:val="auto"/>
        </w:rPr>
      </w:pPr>
      <w:r>
        <w:rPr>
          <w:rFonts w:hint="eastAsia"/>
          <w:color w:val="auto"/>
        </w:rPr>
        <w:t>3.3.2 监理人员对承包人的任何工作、工程或其采用的材料和工程设备未在约定的或合理的期限内提出否定意见的，视为已获批准，但不影响监理人在以后拒绝该项工作、工程、材料或工程设备的权利。</w:t>
      </w:r>
    </w:p>
    <w:p>
      <w:pPr>
        <w:spacing w:line="400" w:lineRule="exact"/>
        <w:ind w:firstLine="420" w:firstLineChars="200"/>
        <w:rPr>
          <w:rFonts w:hint="eastAsia"/>
          <w:color w:val="auto"/>
        </w:rPr>
      </w:pPr>
      <w:r>
        <w:rPr>
          <w:rFonts w:hint="eastAsia"/>
          <w:color w:val="auto"/>
        </w:rPr>
        <w:t>3.3.3 承包人对总监理工程师授权的监理人员发出的指示有疑问的，可向总监理工程师提出书面异议，总监理工程师应在48小时内对该指示予以确认、更改或撤销。</w:t>
      </w:r>
    </w:p>
    <w:p>
      <w:pPr>
        <w:spacing w:line="400" w:lineRule="exact"/>
        <w:ind w:firstLine="420" w:firstLineChars="200"/>
        <w:rPr>
          <w:rFonts w:hint="eastAsia"/>
          <w:color w:val="auto"/>
        </w:rPr>
      </w:pPr>
      <w:r>
        <w:rPr>
          <w:rFonts w:hint="eastAsia"/>
          <w:color w:val="auto"/>
        </w:rPr>
        <w:t>3.3.4 除专用合同条款另有约定外，总监理工程师不应将第3.5款约定应由总监理工程师作出确定的权力授权或委托给其他监理人员。</w:t>
      </w:r>
    </w:p>
    <w:p>
      <w:pPr>
        <w:pStyle w:val="231"/>
        <w:rPr>
          <w:rFonts w:hint="eastAsia"/>
          <w:color w:val="auto"/>
        </w:rPr>
      </w:pPr>
      <w:bookmarkStart w:id="250" w:name="_Toc152042415"/>
      <w:bookmarkStart w:id="251" w:name="_Toc144974605"/>
      <w:bookmarkStart w:id="252" w:name="_Toc152045637"/>
      <w:bookmarkStart w:id="253" w:name="_Toc179632655"/>
      <w:r>
        <w:rPr>
          <w:rFonts w:hint="eastAsia"/>
          <w:color w:val="auto"/>
        </w:rPr>
        <w:t>3.4 监理人的指示</w:t>
      </w:r>
      <w:bookmarkEnd w:id="250"/>
      <w:bookmarkEnd w:id="251"/>
      <w:bookmarkEnd w:id="252"/>
      <w:bookmarkEnd w:id="253"/>
    </w:p>
    <w:p>
      <w:pPr>
        <w:spacing w:line="400" w:lineRule="exact"/>
        <w:ind w:firstLine="420" w:firstLineChars="200"/>
        <w:rPr>
          <w:rFonts w:hint="eastAsia"/>
          <w:color w:val="auto"/>
        </w:rPr>
      </w:pPr>
      <w:r>
        <w:rPr>
          <w:rFonts w:hint="eastAsia"/>
          <w:color w:val="auto"/>
        </w:rPr>
        <w:t>3.4.1 监理人应按第3.1款的约定向承包人发出指示，监理人的指示应盖有监理人授权的施工场地机构章，并由总监理工程师或总监理工程师按第3.3.1项约定授权的监理人员签字。</w:t>
      </w:r>
    </w:p>
    <w:p>
      <w:pPr>
        <w:spacing w:line="400" w:lineRule="exact"/>
        <w:ind w:firstLine="420" w:firstLineChars="200"/>
        <w:rPr>
          <w:rFonts w:hint="eastAsia"/>
          <w:color w:val="auto"/>
        </w:rPr>
      </w:pPr>
      <w:r>
        <w:rPr>
          <w:rFonts w:hint="eastAsia"/>
          <w:color w:val="auto"/>
        </w:rPr>
        <w:t>3.4.2 承包人收到监理人按第3.4.1项作出的指示后应遵照执行。指示构成变更的，应按第15条处理。</w:t>
      </w:r>
    </w:p>
    <w:p>
      <w:pPr>
        <w:spacing w:line="400" w:lineRule="exact"/>
        <w:ind w:firstLine="420" w:firstLineChars="200"/>
        <w:rPr>
          <w:rFonts w:hint="eastAsia"/>
          <w:color w:val="auto"/>
        </w:rPr>
      </w:pPr>
      <w:r>
        <w:rPr>
          <w:rFonts w:hint="eastAsia"/>
          <w:color w:val="auto"/>
        </w:rPr>
        <w:t>3.4.3 在紧急情况下，总监理工程师或被授权的监理人员可以当场签发临时书面指示，承包人应遵照执行。承包人应在收到上述临时书面指示后24小时内，向监理人发出书面确认函。监理人在收到书面确认函后24小时内未予答复的，该书面确认函应被视为监理人的正式指示。</w:t>
      </w:r>
    </w:p>
    <w:p>
      <w:pPr>
        <w:spacing w:line="400" w:lineRule="exact"/>
        <w:ind w:firstLine="420" w:firstLineChars="200"/>
        <w:rPr>
          <w:rFonts w:hint="eastAsia"/>
          <w:color w:val="auto"/>
        </w:rPr>
      </w:pPr>
      <w:r>
        <w:rPr>
          <w:rFonts w:hint="eastAsia"/>
          <w:color w:val="auto"/>
        </w:rPr>
        <w:t>3.4.4 除合同另有约定外，承包人只从总监理工程师或按第3.3.1项被授权的监理人员处取得指示。</w:t>
      </w:r>
    </w:p>
    <w:p>
      <w:pPr>
        <w:spacing w:line="400" w:lineRule="exact"/>
        <w:ind w:firstLine="420" w:firstLineChars="200"/>
        <w:rPr>
          <w:rFonts w:hint="eastAsia"/>
          <w:color w:val="auto"/>
        </w:rPr>
      </w:pPr>
      <w:r>
        <w:rPr>
          <w:rFonts w:hint="eastAsia"/>
          <w:color w:val="auto"/>
        </w:rPr>
        <w:t xml:space="preserve">3.4.5 由于监理人未能按合同约定发出指示、指示延误或指示错误而导致承包人费用增加和（或）工期延误的，由发包人承担赔偿责任。 </w:t>
      </w:r>
    </w:p>
    <w:p>
      <w:pPr>
        <w:pStyle w:val="231"/>
        <w:rPr>
          <w:rFonts w:hint="eastAsia"/>
          <w:color w:val="auto"/>
        </w:rPr>
      </w:pPr>
      <w:bookmarkStart w:id="254" w:name="_Toc144974606"/>
      <w:bookmarkStart w:id="255" w:name="_Toc179632656"/>
      <w:bookmarkStart w:id="256" w:name="_Toc152045638"/>
      <w:bookmarkStart w:id="257" w:name="_Toc152042416"/>
      <w:r>
        <w:rPr>
          <w:rFonts w:hint="eastAsia"/>
          <w:color w:val="auto"/>
        </w:rPr>
        <w:t>3.5 商定或确定</w:t>
      </w:r>
      <w:bookmarkEnd w:id="254"/>
      <w:bookmarkEnd w:id="255"/>
      <w:bookmarkEnd w:id="256"/>
      <w:bookmarkEnd w:id="257"/>
    </w:p>
    <w:p>
      <w:pPr>
        <w:spacing w:line="400" w:lineRule="exact"/>
        <w:ind w:firstLine="420" w:firstLineChars="200"/>
        <w:rPr>
          <w:rFonts w:hint="eastAsia"/>
          <w:color w:val="auto"/>
        </w:rPr>
      </w:pPr>
      <w:r>
        <w:rPr>
          <w:rFonts w:hint="eastAsia"/>
          <w:color w:val="auto"/>
        </w:rPr>
        <w:t>3.5.1合同约定总监理工程师应按照本款对任何事项进行商定或确定时，总监理工程师应与合同当事人协商，尽量达成一致。不能达成一致的，总监理工程师应认真研究后审慎确定。</w:t>
      </w:r>
    </w:p>
    <w:p>
      <w:pPr>
        <w:spacing w:line="400" w:lineRule="exact"/>
        <w:ind w:firstLine="420" w:firstLineChars="200"/>
        <w:rPr>
          <w:rFonts w:hint="eastAsia"/>
          <w:color w:val="auto"/>
        </w:rPr>
      </w:pPr>
      <w:r>
        <w:rPr>
          <w:rFonts w:hint="eastAsia"/>
          <w:color w:val="auto"/>
        </w:rPr>
        <w:t>3.5.2 总监理工程师应将商定或确定的事项通知合同当事人，并附详细依据。对总监理工程师的确定有异议的，构成争议，按照第24条的约定处理。在争议解决前，双方应暂按总监理工程师的确定执行，按照第24条的约定对总监理工程师的确定作出修改的，按修改后的结果执行。</w:t>
      </w:r>
    </w:p>
    <w:p>
      <w:pPr>
        <w:pStyle w:val="224"/>
        <w:rPr>
          <w:rFonts w:hint="eastAsia"/>
          <w:color w:val="auto"/>
        </w:rPr>
      </w:pPr>
      <w:bookmarkStart w:id="258" w:name="_Toc144974607"/>
      <w:bookmarkStart w:id="259" w:name="_Toc152045639"/>
      <w:bookmarkStart w:id="260" w:name="_Toc179632657"/>
      <w:bookmarkStart w:id="261" w:name="_Toc152042417"/>
      <w:r>
        <w:rPr>
          <w:rFonts w:hint="eastAsia"/>
          <w:color w:val="auto"/>
        </w:rPr>
        <w:t>4. 承包人</w:t>
      </w:r>
      <w:bookmarkEnd w:id="258"/>
      <w:bookmarkEnd w:id="259"/>
      <w:bookmarkEnd w:id="260"/>
      <w:bookmarkEnd w:id="261"/>
    </w:p>
    <w:p>
      <w:pPr>
        <w:pStyle w:val="231"/>
        <w:rPr>
          <w:rFonts w:hint="eastAsia"/>
          <w:color w:val="auto"/>
        </w:rPr>
      </w:pPr>
      <w:bookmarkStart w:id="262" w:name="_Toc179632658"/>
      <w:bookmarkStart w:id="263" w:name="_Toc152045640"/>
      <w:bookmarkStart w:id="264" w:name="_Toc152042418"/>
      <w:bookmarkStart w:id="265" w:name="_Toc144974608"/>
      <w:r>
        <w:rPr>
          <w:rFonts w:hint="eastAsia"/>
          <w:color w:val="auto"/>
        </w:rPr>
        <w:t>4.1 承包人的一般义务</w:t>
      </w:r>
      <w:bookmarkEnd w:id="262"/>
      <w:bookmarkEnd w:id="263"/>
      <w:bookmarkEnd w:id="264"/>
      <w:bookmarkEnd w:id="265"/>
    </w:p>
    <w:p>
      <w:pPr>
        <w:spacing w:line="400" w:lineRule="exact"/>
        <w:ind w:firstLine="420" w:firstLineChars="200"/>
        <w:rPr>
          <w:rFonts w:hint="eastAsia"/>
          <w:color w:val="auto"/>
        </w:rPr>
      </w:pPr>
      <w:r>
        <w:rPr>
          <w:rFonts w:hint="eastAsia"/>
          <w:color w:val="auto"/>
        </w:rPr>
        <w:t xml:space="preserve">4.1.1 </w:t>
      </w:r>
      <w:r>
        <w:rPr>
          <w:rFonts w:hint="eastAsia" w:ascii="黑体" w:eastAsia="黑体"/>
          <w:color w:val="auto"/>
        </w:rPr>
        <w:t>遵守法律</w:t>
      </w:r>
    </w:p>
    <w:p>
      <w:pPr>
        <w:spacing w:line="400" w:lineRule="exact"/>
        <w:ind w:firstLine="420" w:firstLineChars="200"/>
        <w:rPr>
          <w:rFonts w:hint="eastAsia"/>
          <w:color w:val="auto"/>
        </w:rPr>
      </w:pPr>
      <w:r>
        <w:rPr>
          <w:rFonts w:hint="eastAsia"/>
          <w:color w:val="auto"/>
        </w:rPr>
        <w:t>承包人在履行合同过程中应遵守法律，并保证发包人免于承担因承包人违反法律而引起的任何责任。</w:t>
      </w:r>
    </w:p>
    <w:p>
      <w:pPr>
        <w:spacing w:line="400" w:lineRule="exact"/>
        <w:ind w:firstLine="420" w:firstLineChars="200"/>
        <w:rPr>
          <w:rFonts w:hint="eastAsia"/>
          <w:color w:val="auto"/>
        </w:rPr>
      </w:pPr>
      <w:r>
        <w:rPr>
          <w:rFonts w:hint="eastAsia"/>
          <w:color w:val="auto"/>
        </w:rPr>
        <w:t xml:space="preserve">4.1.2 </w:t>
      </w:r>
      <w:r>
        <w:rPr>
          <w:rFonts w:hint="eastAsia" w:ascii="黑体" w:eastAsia="黑体"/>
          <w:color w:val="auto"/>
        </w:rPr>
        <w:t>依法纳税</w:t>
      </w:r>
    </w:p>
    <w:p>
      <w:pPr>
        <w:spacing w:line="400" w:lineRule="exact"/>
        <w:ind w:firstLine="420" w:firstLineChars="200"/>
        <w:rPr>
          <w:rFonts w:hint="eastAsia"/>
          <w:color w:val="auto"/>
        </w:rPr>
      </w:pPr>
      <w:r>
        <w:rPr>
          <w:rFonts w:hint="eastAsia"/>
          <w:color w:val="auto"/>
        </w:rPr>
        <w:t>承包人应按有关法律规定纳税，应缴纳的税金包括在合同价格内。</w:t>
      </w:r>
    </w:p>
    <w:p>
      <w:pPr>
        <w:spacing w:line="400" w:lineRule="exact"/>
        <w:ind w:firstLine="420" w:firstLineChars="200"/>
        <w:rPr>
          <w:rFonts w:hint="eastAsia"/>
          <w:color w:val="auto"/>
        </w:rPr>
      </w:pPr>
      <w:r>
        <w:rPr>
          <w:rFonts w:hint="eastAsia"/>
          <w:color w:val="auto"/>
        </w:rPr>
        <w:t xml:space="preserve">4.1.3 </w:t>
      </w:r>
      <w:r>
        <w:rPr>
          <w:rFonts w:hint="eastAsia" w:ascii="黑体" w:eastAsia="黑体"/>
          <w:color w:val="auto"/>
        </w:rPr>
        <w:t>完成各项承包工作</w:t>
      </w:r>
    </w:p>
    <w:p>
      <w:pPr>
        <w:spacing w:line="400" w:lineRule="exact"/>
        <w:ind w:firstLine="420" w:firstLineChars="200"/>
        <w:rPr>
          <w:rFonts w:hint="eastAsia"/>
          <w:color w:val="auto"/>
        </w:rPr>
      </w:pPr>
      <w:r>
        <w:rPr>
          <w:rFonts w:hint="eastAsia"/>
          <w:color w:val="auto"/>
        </w:rPr>
        <w:t>承包人应按合同约定以及监理人根据第3.4款作出的指示，实施、完成全部工程，并修补工程中的任何缺陷。除专用合同条款另有约定外，承包人应提供为完成合同工作所需的劳务、材料、施工设备、工程设备和其他物品，并按合同约定负责临时设施的设计、建造、运行、维护、管理和拆除。</w:t>
      </w:r>
    </w:p>
    <w:p>
      <w:pPr>
        <w:spacing w:line="400" w:lineRule="exact"/>
        <w:ind w:firstLine="420" w:firstLineChars="200"/>
        <w:rPr>
          <w:rFonts w:hint="eastAsia"/>
          <w:color w:val="auto"/>
        </w:rPr>
      </w:pPr>
      <w:r>
        <w:rPr>
          <w:rFonts w:hint="eastAsia"/>
          <w:color w:val="auto"/>
        </w:rPr>
        <w:t xml:space="preserve">4.1.4 </w:t>
      </w:r>
      <w:r>
        <w:rPr>
          <w:rFonts w:hint="eastAsia" w:ascii="黑体" w:eastAsia="黑体"/>
          <w:color w:val="auto"/>
        </w:rPr>
        <w:t>对施工作业和施工方法的完备性负责</w:t>
      </w:r>
    </w:p>
    <w:p>
      <w:pPr>
        <w:spacing w:line="400" w:lineRule="exact"/>
        <w:ind w:firstLine="420" w:firstLineChars="200"/>
        <w:rPr>
          <w:rFonts w:hint="eastAsia"/>
          <w:color w:val="auto"/>
        </w:rPr>
      </w:pPr>
      <w:r>
        <w:rPr>
          <w:rFonts w:hint="eastAsia"/>
          <w:color w:val="auto"/>
        </w:rPr>
        <w:t>承包人应按合同约定的工作内容和施工进度要求，编制施工组织设计和施工措施计划，并对所有施工作业和施工方法的完备性和安全可靠性负责。</w:t>
      </w:r>
    </w:p>
    <w:p>
      <w:pPr>
        <w:spacing w:line="400" w:lineRule="exact"/>
        <w:ind w:firstLine="420" w:firstLineChars="200"/>
        <w:rPr>
          <w:rFonts w:hint="eastAsia"/>
          <w:color w:val="auto"/>
        </w:rPr>
      </w:pPr>
      <w:r>
        <w:rPr>
          <w:rFonts w:hint="eastAsia"/>
          <w:color w:val="auto"/>
        </w:rPr>
        <w:t xml:space="preserve">4.1.5 </w:t>
      </w:r>
      <w:r>
        <w:rPr>
          <w:rFonts w:hint="eastAsia" w:ascii="黑体" w:eastAsia="黑体"/>
          <w:color w:val="auto"/>
        </w:rPr>
        <w:t>保证工程施工和人员的安全</w:t>
      </w:r>
    </w:p>
    <w:p>
      <w:pPr>
        <w:spacing w:line="400" w:lineRule="exact"/>
        <w:ind w:firstLine="420" w:firstLineChars="200"/>
        <w:rPr>
          <w:rFonts w:hint="eastAsia"/>
          <w:color w:val="auto"/>
        </w:rPr>
      </w:pPr>
      <w:r>
        <w:rPr>
          <w:rFonts w:hint="eastAsia"/>
          <w:color w:val="auto"/>
        </w:rPr>
        <w:t>承包人应按第9.2款约定采取施工安全措施，确保工程及其人员、材料、设备和设施的安全，防止因工程施工造成的人身伤害和财产损失。</w:t>
      </w:r>
    </w:p>
    <w:p>
      <w:pPr>
        <w:spacing w:line="400" w:lineRule="exact"/>
        <w:ind w:firstLine="420" w:firstLineChars="200"/>
        <w:rPr>
          <w:rFonts w:hint="eastAsia"/>
          <w:color w:val="auto"/>
        </w:rPr>
      </w:pPr>
      <w:r>
        <w:rPr>
          <w:rFonts w:hint="eastAsia"/>
          <w:color w:val="auto"/>
        </w:rPr>
        <w:t xml:space="preserve">4.1.6 </w:t>
      </w:r>
      <w:r>
        <w:rPr>
          <w:rFonts w:hint="eastAsia" w:ascii="黑体" w:eastAsia="黑体"/>
          <w:color w:val="auto"/>
        </w:rPr>
        <w:t>负责施工场地及其周边环境与生态的保护工作</w:t>
      </w:r>
    </w:p>
    <w:p>
      <w:pPr>
        <w:spacing w:line="400" w:lineRule="exact"/>
        <w:ind w:firstLine="420" w:firstLineChars="200"/>
        <w:rPr>
          <w:rFonts w:hint="eastAsia"/>
          <w:color w:val="auto"/>
        </w:rPr>
      </w:pPr>
      <w:r>
        <w:rPr>
          <w:rFonts w:hint="eastAsia"/>
          <w:color w:val="auto"/>
        </w:rPr>
        <w:t>承包人应按照第9.4款约定负责施工场地及其周边环境与生态的保护工作。</w:t>
      </w:r>
    </w:p>
    <w:p>
      <w:pPr>
        <w:spacing w:line="400" w:lineRule="exact"/>
        <w:ind w:firstLine="420" w:firstLineChars="200"/>
        <w:rPr>
          <w:rFonts w:hint="eastAsia"/>
          <w:color w:val="auto"/>
        </w:rPr>
      </w:pPr>
      <w:r>
        <w:rPr>
          <w:rFonts w:hint="eastAsia"/>
          <w:color w:val="auto"/>
        </w:rPr>
        <w:t xml:space="preserve">4.1.7 </w:t>
      </w:r>
      <w:r>
        <w:rPr>
          <w:rFonts w:hint="eastAsia" w:ascii="黑体" w:eastAsia="黑体"/>
          <w:color w:val="auto"/>
        </w:rPr>
        <w:t>避免施工对公众与他人的利益造成损害</w:t>
      </w:r>
    </w:p>
    <w:p>
      <w:pPr>
        <w:spacing w:line="400" w:lineRule="exact"/>
        <w:ind w:firstLine="420" w:firstLineChars="200"/>
        <w:rPr>
          <w:rFonts w:hint="eastAsia"/>
          <w:color w:val="auto"/>
        </w:rPr>
      </w:pPr>
      <w:r>
        <w:rPr>
          <w:rFonts w:hint="eastAsia"/>
          <w:color w:val="auto"/>
        </w:rPr>
        <w:t>承包人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pPr>
        <w:spacing w:line="400" w:lineRule="exact"/>
        <w:ind w:firstLine="420" w:firstLineChars="200"/>
        <w:rPr>
          <w:rFonts w:hint="eastAsia"/>
          <w:color w:val="auto"/>
        </w:rPr>
      </w:pPr>
      <w:r>
        <w:rPr>
          <w:rFonts w:hint="eastAsia"/>
          <w:color w:val="auto"/>
        </w:rPr>
        <w:t xml:space="preserve">4.1.8 </w:t>
      </w:r>
      <w:r>
        <w:rPr>
          <w:rFonts w:hint="eastAsia" w:ascii="黑体" w:eastAsia="黑体"/>
          <w:color w:val="auto"/>
        </w:rPr>
        <w:t>为他人提供方便</w:t>
      </w:r>
    </w:p>
    <w:p>
      <w:pPr>
        <w:spacing w:line="400" w:lineRule="exact"/>
        <w:ind w:firstLine="420" w:firstLineChars="200"/>
        <w:rPr>
          <w:rFonts w:hint="eastAsia"/>
          <w:color w:val="auto"/>
        </w:rPr>
      </w:pPr>
      <w:r>
        <w:rPr>
          <w:rFonts w:hint="eastAsia"/>
          <w:color w:val="auto"/>
        </w:rPr>
        <w:t>承包人应按监理人的指示为他人在施工场地或附近实施与工程有关的其他各项工作提供可能的条件。除合同另有约定外，提供有关条件的内容和可能发生的费用，由监理人按第3.5款商定或确定。</w:t>
      </w:r>
    </w:p>
    <w:p>
      <w:pPr>
        <w:spacing w:line="400" w:lineRule="exact"/>
        <w:ind w:firstLine="420" w:firstLineChars="200"/>
        <w:rPr>
          <w:rFonts w:hint="eastAsia"/>
          <w:color w:val="auto"/>
        </w:rPr>
      </w:pPr>
      <w:r>
        <w:rPr>
          <w:rFonts w:hint="eastAsia"/>
          <w:color w:val="auto"/>
        </w:rPr>
        <w:t xml:space="preserve">4.1.9 </w:t>
      </w:r>
      <w:r>
        <w:rPr>
          <w:rFonts w:hint="eastAsia" w:ascii="黑体" w:eastAsia="黑体"/>
          <w:color w:val="auto"/>
        </w:rPr>
        <w:t>工程的维护和照管</w:t>
      </w:r>
    </w:p>
    <w:p>
      <w:pPr>
        <w:spacing w:line="400" w:lineRule="exact"/>
        <w:ind w:firstLine="420" w:firstLineChars="200"/>
        <w:rPr>
          <w:rFonts w:hint="eastAsia"/>
          <w:color w:val="auto"/>
        </w:rPr>
      </w:pPr>
      <w:r>
        <w:rPr>
          <w:rFonts w:hint="eastAsia"/>
          <w:color w:val="auto"/>
        </w:rPr>
        <w:t>工程接收证书颁发前，承包人应负责照管和维护工程。工程接收证书颁发时尚有部分未竣工工程的，承包人还应负责该未竣工工程的照管和维护工作，直至竣工后移交给发包人为止。</w:t>
      </w:r>
    </w:p>
    <w:p>
      <w:pPr>
        <w:spacing w:line="400" w:lineRule="exact"/>
        <w:ind w:firstLine="420" w:firstLineChars="200"/>
        <w:rPr>
          <w:rFonts w:hint="eastAsia"/>
          <w:color w:val="auto"/>
        </w:rPr>
      </w:pPr>
      <w:r>
        <w:rPr>
          <w:rFonts w:hint="eastAsia"/>
          <w:color w:val="auto"/>
        </w:rPr>
        <w:t xml:space="preserve">4.1.10 </w:t>
      </w:r>
      <w:r>
        <w:rPr>
          <w:rFonts w:hint="eastAsia" w:ascii="黑体" w:eastAsia="黑体"/>
          <w:color w:val="auto"/>
        </w:rPr>
        <w:t>其他义务</w:t>
      </w:r>
    </w:p>
    <w:p>
      <w:pPr>
        <w:spacing w:line="400" w:lineRule="exact"/>
        <w:ind w:firstLine="420" w:firstLineChars="200"/>
        <w:rPr>
          <w:rFonts w:hint="eastAsia"/>
          <w:color w:val="auto"/>
        </w:rPr>
      </w:pPr>
      <w:r>
        <w:rPr>
          <w:rFonts w:hint="eastAsia"/>
          <w:color w:val="auto"/>
        </w:rPr>
        <w:t>承包人应履行合同约定的其他义务。</w:t>
      </w:r>
    </w:p>
    <w:p>
      <w:pPr>
        <w:pStyle w:val="231"/>
        <w:rPr>
          <w:rFonts w:hint="eastAsia"/>
          <w:color w:val="auto"/>
        </w:rPr>
      </w:pPr>
      <w:bookmarkStart w:id="266" w:name="_Toc152045641"/>
      <w:bookmarkStart w:id="267" w:name="_Toc152042419"/>
      <w:bookmarkStart w:id="268" w:name="_Toc179632659"/>
      <w:bookmarkStart w:id="269" w:name="_Toc144974609"/>
      <w:r>
        <w:rPr>
          <w:rFonts w:hint="eastAsia"/>
          <w:color w:val="auto"/>
        </w:rPr>
        <w:t>4.2 履约担保</w:t>
      </w:r>
      <w:bookmarkEnd w:id="266"/>
      <w:bookmarkEnd w:id="267"/>
      <w:bookmarkEnd w:id="268"/>
      <w:bookmarkEnd w:id="269"/>
    </w:p>
    <w:p>
      <w:pPr>
        <w:spacing w:line="400" w:lineRule="exact"/>
        <w:ind w:firstLine="420" w:firstLineChars="200"/>
        <w:rPr>
          <w:rFonts w:hint="eastAsia"/>
          <w:color w:val="auto"/>
        </w:rPr>
      </w:pPr>
      <w:r>
        <w:rPr>
          <w:rFonts w:hint="eastAsia"/>
          <w:color w:val="auto"/>
        </w:rPr>
        <w:t>承包人应保证其履约担保在发包人颁发工程接收证书前一直有效。发包人应在工程接收证书颁发后28天内把履约担保退还给承包人。</w:t>
      </w:r>
    </w:p>
    <w:p>
      <w:pPr>
        <w:pStyle w:val="231"/>
        <w:rPr>
          <w:rFonts w:hint="eastAsia"/>
          <w:color w:val="auto"/>
        </w:rPr>
      </w:pPr>
      <w:bookmarkStart w:id="270" w:name="_Toc152045642"/>
      <w:bookmarkStart w:id="271" w:name="_Toc152042420"/>
      <w:bookmarkStart w:id="272" w:name="_Toc179632660"/>
      <w:bookmarkStart w:id="273" w:name="_Toc144974610"/>
      <w:r>
        <w:rPr>
          <w:rFonts w:hint="eastAsia"/>
          <w:color w:val="auto"/>
        </w:rPr>
        <w:t>4.3 分包</w:t>
      </w:r>
      <w:bookmarkEnd w:id="270"/>
      <w:bookmarkEnd w:id="271"/>
      <w:bookmarkEnd w:id="272"/>
      <w:bookmarkEnd w:id="273"/>
    </w:p>
    <w:p>
      <w:pPr>
        <w:spacing w:line="400" w:lineRule="exact"/>
        <w:ind w:firstLine="420" w:firstLineChars="200"/>
        <w:rPr>
          <w:rFonts w:hint="eastAsia"/>
          <w:color w:val="auto"/>
        </w:rPr>
      </w:pPr>
      <w:r>
        <w:rPr>
          <w:rFonts w:hint="eastAsia"/>
          <w:color w:val="auto"/>
        </w:rPr>
        <w:t>4.3.1 承包人不得将其承包的全部工程转包给第三人，或将其承包的全部工程肢解后以分包的名义转包给第三人。</w:t>
      </w:r>
    </w:p>
    <w:p>
      <w:pPr>
        <w:spacing w:line="400" w:lineRule="exact"/>
        <w:ind w:firstLine="420" w:firstLineChars="200"/>
        <w:rPr>
          <w:rFonts w:hint="eastAsia"/>
          <w:color w:val="auto"/>
        </w:rPr>
      </w:pPr>
      <w:r>
        <w:rPr>
          <w:rFonts w:hint="eastAsia"/>
          <w:color w:val="auto"/>
        </w:rPr>
        <w:t>4.3.2 承包人不得将工程主体、关键性工作分包给第三人。除专用合同条款另有约定外，未经发包人同意，承包人不得将工程的其他部分或工作分包给第三人。</w:t>
      </w:r>
    </w:p>
    <w:p>
      <w:pPr>
        <w:spacing w:line="400" w:lineRule="exact"/>
        <w:ind w:firstLine="420" w:firstLineChars="200"/>
        <w:rPr>
          <w:rFonts w:hint="eastAsia"/>
          <w:color w:val="auto"/>
        </w:rPr>
      </w:pPr>
      <w:r>
        <w:rPr>
          <w:rFonts w:hint="eastAsia"/>
          <w:color w:val="auto"/>
        </w:rPr>
        <w:t>4.3.3 分包人的资格能力应与其分包工程的标准和规模相适应。</w:t>
      </w:r>
    </w:p>
    <w:p>
      <w:pPr>
        <w:spacing w:line="400" w:lineRule="exact"/>
        <w:ind w:firstLine="420" w:firstLineChars="200"/>
        <w:rPr>
          <w:rFonts w:hint="eastAsia"/>
          <w:color w:val="auto"/>
        </w:rPr>
      </w:pPr>
      <w:r>
        <w:rPr>
          <w:rFonts w:hint="eastAsia"/>
          <w:color w:val="auto"/>
        </w:rPr>
        <w:t>4.3.4 按投标函附录约定分包工程的，承包人应向发包人和监理人提交分包合同副本。</w:t>
      </w:r>
    </w:p>
    <w:p>
      <w:pPr>
        <w:spacing w:line="400" w:lineRule="exact"/>
        <w:ind w:firstLine="420" w:firstLineChars="200"/>
        <w:rPr>
          <w:rFonts w:hint="eastAsia"/>
          <w:color w:val="auto"/>
        </w:rPr>
      </w:pPr>
      <w:r>
        <w:rPr>
          <w:rFonts w:hint="eastAsia"/>
          <w:color w:val="auto"/>
        </w:rPr>
        <w:t>4.3.5 承包人应与分包人就分包工程向发包人承担连带责任。</w:t>
      </w:r>
    </w:p>
    <w:p>
      <w:pPr>
        <w:pStyle w:val="231"/>
        <w:rPr>
          <w:rFonts w:hint="eastAsia"/>
          <w:color w:val="auto"/>
        </w:rPr>
      </w:pPr>
      <w:bookmarkStart w:id="274" w:name="_Toc179632661"/>
      <w:bookmarkStart w:id="275" w:name="_Toc144974611"/>
      <w:bookmarkStart w:id="276" w:name="_Toc152045643"/>
      <w:bookmarkStart w:id="277" w:name="_Toc152042421"/>
      <w:r>
        <w:rPr>
          <w:rFonts w:hint="eastAsia"/>
          <w:color w:val="auto"/>
        </w:rPr>
        <w:t>4.4 联合体</w:t>
      </w:r>
      <w:bookmarkEnd w:id="274"/>
      <w:bookmarkEnd w:id="275"/>
      <w:bookmarkEnd w:id="276"/>
      <w:bookmarkEnd w:id="277"/>
    </w:p>
    <w:p>
      <w:pPr>
        <w:spacing w:line="400" w:lineRule="exact"/>
        <w:ind w:firstLine="420" w:firstLineChars="200"/>
        <w:rPr>
          <w:rFonts w:hint="eastAsia"/>
          <w:color w:val="auto"/>
        </w:rPr>
      </w:pPr>
      <w:r>
        <w:rPr>
          <w:rFonts w:hint="eastAsia"/>
          <w:color w:val="auto"/>
        </w:rPr>
        <w:t>4.4.1 联合体各方应共同与发包人签订合同协议书。联合体各方应为履行合同承担连带责任。</w:t>
      </w:r>
    </w:p>
    <w:p>
      <w:pPr>
        <w:spacing w:line="400" w:lineRule="exact"/>
        <w:ind w:firstLine="420" w:firstLineChars="200"/>
        <w:rPr>
          <w:rFonts w:hint="eastAsia"/>
          <w:color w:val="auto"/>
        </w:rPr>
      </w:pPr>
      <w:r>
        <w:rPr>
          <w:rFonts w:hint="eastAsia"/>
          <w:color w:val="auto"/>
        </w:rPr>
        <w:t>4.4.2 联合体协议经发包人确认后作为合同附件。在履行合同过程中，未经发包人同意，不得修改联合体协议。</w:t>
      </w:r>
    </w:p>
    <w:p>
      <w:pPr>
        <w:spacing w:line="400" w:lineRule="exact"/>
        <w:ind w:firstLine="420" w:firstLineChars="200"/>
        <w:rPr>
          <w:rFonts w:hint="eastAsia"/>
          <w:color w:val="auto"/>
        </w:rPr>
      </w:pPr>
      <w:r>
        <w:rPr>
          <w:rFonts w:hint="eastAsia"/>
          <w:color w:val="auto"/>
        </w:rPr>
        <w:t>4.4.3 联合体牵头人负责与发包人和监理人联系，并接受指示，负责组织联合体各成员全面履行合同。</w:t>
      </w:r>
    </w:p>
    <w:p>
      <w:pPr>
        <w:pStyle w:val="231"/>
        <w:rPr>
          <w:rFonts w:hint="eastAsia"/>
          <w:color w:val="auto"/>
        </w:rPr>
      </w:pPr>
      <w:bookmarkStart w:id="278" w:name="_Toc144974612"/>
      <w:bookmarkStart w:id="279" w:name="_Toc152045644"/>
      <w:bookmarkStart w:id="280" w:name="_Toc179632662"/>
      <w:bookmarkStart w:id="281" w:name="_Toc152042422"/>
      <w:r>
        <w:rPr>
          <w:rFonts w:hint="eastAsia"/>
          <w:color w:val="auto"/>
        </w:rPr>
        <w:t>4.5 承包人项目经理</w:t>
      </w:r>
      <w:bookmarkEnd w:id="278"/>
      <w:bookmarkEnd w:id="279"/>
      <w:bookmarkEnd w:id="280"/>
      <w:bookmarkEnd w:id="281"/>
    </w:p>
    <w:p>
      <w:pPr>
        <w:spacing w:line="400" w:lineRule="exact"/>
        <w:ind w:firstLine="420" w:firstLineChars="200"/>
        <w:rPr>
          <w:rFonts w:hint="eastAsia"/>
          <w:color w:val="auto"/>
        </w:rPr>
      </w:pPr>
      <w:r>
        <w:rPr>
          <w:rFonts w:hint="eastAsia"/>
          <w:color w:val="auto"/>
        </w:rPr>
        <w:t>4.5.1承包人应按合同约定指派项目经理，并在约定的期限内到职。承包人更换项目经理应事先征得发包人同意，并应在更换14天前通知发包人和监理人。承包人项目经理短期离开施工场地，应事先征得监理人同意，并委派代表代行其职责。</w:t>
      </w:r>
    </w:p>
    <w:p>
      <w:pPr>
        <w:spacing w:line="400" w:lineRule="exact"/>
        <w:ind w:firstLine="420" w:firstLineChars="200"/>
        <w:rPr>
          <w:rFonts w:hint="eastAsia"/>
          <w:color w:val="auto"/>
        </w:rPr>
      </w:pPr>
      <w:r>
        <w:rPr>
          <w:rFonts w:hint="eastAsia"/>
          <w:color w:val="auto"/>
        </w:rPr>
        <w:t>4.5.2 承包人项目经理应按合同约定以及监理人按第3.4款作出的指示，负责组织合同工程的实施。在情况紧急且无法与监理人取得联系时，可采取保证工程和人员生命财产安全的紧急措施，并在采取措施后24小时内向监理人提交书面报告。</w:t>
      </w:r>
    </w:p>
    <w:p>
      <w:pPr>
        <w:spacing w:line="400" w:lineRule="exact"/>
        <w:ind w:firstLine="420" w:firstLineChars="200"/>
        <w:rPr>
          <w:rFonts w:hint="eastAsia"/>
          <w:color w:val="auto"/>
        </w:rPr>
      </w:pPr>
      <w:r>
        <w:rPr>
          <w:rFonts w:hint="eastAsia"/>
          <w:color w:val="auto"/>
        </w:rPr>
        <w:t>4.5.3承包人为履行合同发出的一切函件均应盖有承包人授权的施工场地管理机构章，并由承包人项目经理或其授权代表签字。</w:t>
      </w:r>
    </w:p>
    <w:p>
      <w:pPr>
        <w:spacing w:line="400" w:lineRule="exact"/>
        <w:ind w:firstLine="420" w:firstLineChars="200"/>
        <w:rPr>
          <w:rFonts w:hint="eastAsia"/>
          <w:color w:val="auto"/>
        </w:rPr>
      </w:pPr>
      <w:r>
        <w:rPr>
          <w:rFonts w:hint="eastAsia"/>
          <w:color w:val="auto"/>
        </w:rPr>
        <w:t>4.5.4 承包人项目经理可以授权其下属人员履行其某项职责，但事先应将这些人员的姓名和授权范围通知监理人。</w:t>
      </w:r>
    </w:p>
    <w:p>
      <w:pPr>
        <w:pStyle w:val="231"/>
        <w:rPr>
          <w:rFonts w:hint="eastAsia"/>
          <w:color w:val="auto"/>
        </w:rPr>
      </w:pPr>
      <w:bookmarkStart w:id="282" w:name="_Toc144974613"/>
      <w:bookmarkStart w:id="283" w:name="_Toc179632663"/>
      <w:bookmarkStart w:id="284" w:name="_Toc152042423"/>
      <w:bookmarkStart w:id="285" w:name="_Toc152045645"/>
      <w:r>
        <w:rPr>
          <w:rFonts w:hint="eastAsia"/>
          <w:color w:val="auto"/>
        </w:rPr>
        <w:t>4.6 承包人人员的管理</w:t>
      </w:r>
      <w:bookmarkEnd w:id="282"/>
      <w:bookmarkEnd w:id="283"/>
      <w:bookmarkEnd w:id="284"/>
      <w:bookmarkEnd w:id="285"/>
    </w:p>
    <w:p>
      <w:pPr>
        <w:spacing w:line="400" w:lineRule="exact"/>
        <w:ind w:firstLine="420" w:firstLineChars="200"/>
        <w:rPr>
          <w:rFonts w:hint="eastAsia"/>
          <w:color w:val="auto"/>
        </w:rPr>
      </w:pPr>
      <w:r>
        <w:rPr>
          <w:rFonts w:hint="eastAsia"/>
          <w:color w:val="auto"/>
        </w:rPr>
        <w:t>4.6.1 承包人应在接到开工通知后28天内，向监理人提交承包人在施工场地的管理机构以及人员安排的报告，其内容应包括管理机构的设置、各主要岗位的技术和管理人员名单及其资格，以及各工种技术工人的安排状况。承包人应向监理人提交施工场地人员变动情况的报告。</w:t>
      </w:r>
    </w:p>
    <w:p>
      <w:pPr>
        <w:spacing w:line="400" w:lineRule="exact"/>
        <w:ind w:firstLine="420" w:firstLineChars="200"/>
        <w:rPr>
          <w:rFonts w:hint="eastAsia"/>
          <w:color w:val="auto"/>
        </w:rPr>
      </w:pPr>
      <w:r>
        <w:rPr>
          <w:rFonts w:hint="eastAsia"/>
          <w:color w:val="auto"/>
        </w:rPr>
        <w:t>4.6.2 为完成合同约定的各项工作，承包人应向施工场地派遣或雇佣足够数量的下列人员：</w:t>
      </w:r>
    </w:p>
    <w:p>
      <w:pPr>
        <w:spacing w:line="400" w:lineRule="exact"/>
        <w:ind w:firstLine="718" w:firstLineChars="342"/>
        <w:rPr>
          <w:rFonts w:hint="eastAsia"/>
          <w:color w:val="auto"/>
        </w:rPr>
      </w:pPr>
      <w:r>
        <w:rPr>
          <w:rFonts w:hint="eastAsia"/>
          <w:color w:val="auto"/>
        </w:rPr>
        <w:t>（1）具有相应资格的专业技工和合格的普工；</w:t>
      </w:r>
    </w:p>
    <w:p>
      <w:pPr>
        <w:spacing w:line="400" w:lineRule="exact"/>
        <w:ind w:firstLine="718" w:firstLineChars="342"/>
        <w:rPr>
          <w:rFonts w:hint="eastAsia"/>
          <w:color w:val="auto"/>
        </w:rPr>
      </w:pPr>
      <w:r>
        <w:rPr>
          <w:rFonts w:hint="eastAsia"/>
          <w:color w:val="auto"/>
        </w:rPr>
        <w:t>（2）具有相应施工经验的技术人员；</w:t>
      </w:r>
    </w:p>
    <w:p>
      <w:pPr>
        <w:spacing w:line="400" w:lineRule="exact"/>
        <w:ind w:firstLine="718" w:firstLineChars="342"/>
        <w:rPr>
          <w:rFonts w:hint="eastAsia"/>
          <w:color w:val="auto"/>
        </w:rPr>
      </w:pPr>
      <w:r>
        <w:rPr>
          <w:rFonts w:hint="eastAsia"/>
          <w:color w:val="auto"/>
        </w:rPr>
        <w:t>（3）具有相应岗位资格的各级管理人员。</w:t>
      </w:r>
    </w:p>
    <w:p>
      <w:pPr>
        <w:spacing w:line="400" w:lineRule="exact"/>
        <w:ind w:firstLine="420" w:firstLineChars="200"/>
        <w:rPr>
          <w:rFonts w:hint="eastAsia"/>
          <w:color w:val="auto"/>
        </w:rPr>
      </w:pPr>
      <w:r>
        <w:rPr>
          <w:rFonts w:hint="eastAsia"/>
          <w:color w:val="auto"/>
        </w:rPr>
        <w:t>4.6.3 承包人安排在施工场地的主要管理人员和技术骨干应相对稳定。承包人更换主要管理人员和技术骨干时，应取得监理人的同意。</w:t>
      </w:r>
    </w:p>
    <w:p>
      <w:pPr>
        <w:spacing w:line="400" w:lineRule="exact"/>
        <w:ind w:firstLine="420" w:firstLineChars="200"/>
        <w:rPr>
          <w:rFonts w:hint="eastAsia"/>
          <w:color w:val="auto"/>
        </w:rPr>
      </w:pPr>
      <w:r>
        <w:rPr>
          <w:rFonts w:hint="eastAsia"/>
          <w:color w:val="auto"/>
        </w:rPr>
        <w:t>4.6.4 特殊岗位的工作人员均应持有相应的资格证明，监理人有权随时检查。监理人认为有必要时，可进行现场考核。</w:t>
      </w:r>
    </w:p>
    <w:p>
      <w:pPr>
        <w:pStyle w:val="231"/>
        <w:rPr>
          <w:rFonts w:hint="eastAsia"/>
          <w:color w:val="auto"/>
        </w:rPr>
      </w:pPr>
      <w:bookmarkStart w:id="286" w:name="_Toc179632664"/>
      <w:bookmarkStart w:id="287" w:name="_Toc152045646"/>
      <w:bookmarkStart w:id="288" w:name="_Toc152042424"/>
      <w:bookmarkStart w:id="289" w:name="_Toc144974614"/>
      <w:r>
        <w:rPr>
          <w:rFonts w:hint="eastAsia"/>
          <w:color w:val="auto"/>
        </w:rPr>
        <w:t>4.7 撤换承包人项目经理和其他人员</w:t>
      </w:r>
      <w:bookmarkEnd w:id="286"/>
      <w:bookmarkEnd w:id="287"/>
      <w:bookmarkEnd w:id="288"/>
      <w:bookmarkEnd w:id="289"/>
    </w:p>
    <w:p>
      <w:pPr>
        <w:spacing w:line="400" w:lineRule="exact"/>
        <w:ind w:firstLine="420" w:firstLineChars="200"/>
        <w:rPr>
          <w:rFonts w:hint="eastAsia"/>
          <w:color w:val="auto"/>
        </w:rPr>
      </w:pPr>
      <w:r>
        <w:rPr>
          <w:rFonts w:hint="eastAsia"/>
          <w:color w:val="auto"/>
        </w:rPr>
        <w:t>承包人应对其项目经理和其他人员进行有效管理。监理人要求撤换不能胜任本职工作、行为不端或玩忽职守的承包人项目经理和其他人员的，承包人应予以撤换。</w:t>
      </w:r>
    </w:p>
    <w:p>
      <w:pPr>
        <w:pStyle w:val="231"/>
        <w:rPr>
          <w:rFonts w:hint="eastAsia"/>
          <w:color w:val="auto"/>
        </w:rPr>
      </w:pPr>
      <w:bookmarkStart w:id="290" w:name="_Toc144974615"/>
      <w:bookmarkStart w:id="291" w:name="_Toc152042425"/>
      <w:bookmarkStart w:id="292" w:name="_Toc179632665"/>
      <w:bookmarkStart w:id="293" w:name="_Toc152045647"/>
      <w:r>
        <w:rPr>
          <w:rFonts w:hint="eastAsia"/>
          <w:color w:val="auto"/>
        </w:rPr>
        <w:t>4.8 保障承包人人员的合法权益</w:t>
      </w:r>
      <w:bookmarkEnd w:id="290"/>
      <w:bookmarkEnd w:id="291"/>
      <w:bookmarkEnd w:id="292"/>
      <w:bookmarkEnd w:id="293"/>
    </w:p>
    <w:p>
      <w:pPr>
        <w:spacing w:line="400" w:lineRule="exact"/>
        <w:ind w:firstLine="420" w:firstLineChars="200"/>
        <w:rPr>
          <w:rFonts w:hint="eastAsia"/>
          <w:color w:val="auto"/>
        </w:rPr>
      </w:pPr>
      <w:r>
        <w:rPr>
          <w:rFonts w:hint="eastAsia"/>
          <w:color w:val="auto"/>
        </w:rPr>
        <w:t>4.8.1 承包人应与其雇佣的人员签订劳动合同，并按时发放工资。</w:t>
      </w:r>
    </w:p>
    <w:p>
      <w:pPr>
        <w:spacing w:line="400" w:lineRule="exact"/>
        <w:ind w:firstLine="420" w:firstLineChars="200"/>
        <w:rPr>
          <w:rFonts w:hint="eastAsia"/>
          <w:color w:val="auto"/>
        </w:rPr>
      </w:pPr>
      <w:r>
        <w:rPr>
          <w:rFonts w:hint="eastAsia"/>
          <w:color w:val="auto"/>
        </w:rPr>
        <w:t>4.8.2 承包人应按劳动法的规定安排工作时间，保证其雇佣人员享有休息和休假的权利。因工程施工的特殊需要占用休假日或延长工作时间的，应不超过法律规定的限度，并按法律规定给予补休或付酬。</w:t>
      </w:r>
    </w:p>
    <w:p>
      <w:pPr>
        <w:spacing w:line="400" w:lineRule="exact"/>
        <w:ind w:firstLine="420" w:firstLineChars="200"/>
        <w:rPr>
          <w:rFonts w:hint="eastAsia"/>
          <w:color w:val="auto"/>
        </w:rPr>
      </w:pPr>
      <w:r>
        <w:rPr>
          <w:rFonts w:hint="eastAsia"/>
          <w:color w:val="auto"/>
        </w:rPr>
        <w:t>4.8.3 承包人应为其雇佣人员提供必要的食宿条件，以及符合环境保护和卫生要求的生活环境，在远离城镇的施工场地，还应配备必要的伤病防治和急救的医务人员与医疗设施。</w:t>
      </w:r>
    </w:p>
    <w:p>
      <w:pPr>
        <w:spacing w:line="400" w:lineRule="exact"/>
        <w:ind w:firstLine="420" w:firstLineChars="200"/>
        <w:rPr>
          <w:rFonts w:hint="eastAsia"/>
          <w:color w:val="auto"/>
        </w:rPr>
      </w:pPr>
      <w:r>
        <w:rPr>
          <w:rFonts w:hint="eastAsia"/>
          <w:color w:val="auto"/>
        </w:rPr>
        <w:t>4.8.4 承包人应按国家有关劳动保护的规定，采取有效的防止粉尘、降低噪声、控制有害气体和保障高温、高寒、高空作业安全等劳动保护措施。其雇佣人员在施工中受到伤害的，承包人应立即采取有效措施进行抢救和治疗。</w:t>
      </w:r>
    </w:p>
    <w:p>
      <w:pPr>
        <w:spacing w:line="400" w:lineRule="exact"/>
        <w:ind w:firstLine="420" w:firstLineChars="200"/>
        <w:rPr>
          <w:rFonts w:hint="eastAsia"/>
          <w:color w:val="auto"/>
        </w:rPr>
      </w:pPr>
      <w:r>
        <w:rPr>
          <w:rFonts w:hint="eastAsia"/>
          <w:color w:val="auto"/>
        </w:rPr>
        <w:t>4.8.5 承包人应按有关法律规定和合同约定，为其雇佣人员办理保险。</w:t>
      </w:r>
    </w:p>
    <w:p>
      <w:pPr>
        <w:spacing w:line="400" w:lineRule="exact"/>
        <w:ind w:firstLine="420" w:firstLineChars="200"/>
        <w:rPr>
          <w:rFonts w:hint="eastAsia"/>
          <w:color w:val="auto"/>
        </w:rPr>
      </w:pPr>
      <w:r>
        <w:rPr>
          <w:rFonts w:hint="eastAsia"/>
          <w:color w:val="auto"/>
        </w:rPr>
        <w:t>4.8.6 承包人应负责处理其雇佣人员因工伤亡事故的善后事宜。</w:t>
      </w:r>
    </w:p>
    <w:p>
      <w:pPr>
        <w:pStyle w:val="231"/>
        <w:rPr>
          <w:rFonts w:hint="eastAsia"/>
          <w:color w:val="auto"/>
        </w:rPr>
      </w:pPr>
      <w:bookmarkStart w:id="294" w:name="_Toc152042426"/>
      <w:bookmarkStart w:id="295" w:name="_Toc179632666"/>
      <w:bookmarkStart w:id="296" w:name="_Toc152045648"/>
      <w:bookmarkStart w:id="297" w:name="_Toc144974616"/>
      <w:r>
        <w:rPr>
          <w:rFonts w:hint="eastAsia"/>
          <w:color w:val="auto"/>
        </w:rPr>
        <w:t>4.9 工程价款应专款专用</w:t>
      </w:r>
      <w:bookmarkEnd w:id="294"/>
      <w:bookmarkEnd w:id="295"/>
      <w:bookmarkEnd w:id="296"/>
      <w:bookmarkEnd w:id="297"/>
    </w:p>
    <w:p>
      <w:pPr>
        <w:spacing w:line="400" w:lineRule="exact"/>
        <w:ind w:firstLine="420" w:firstLineChars="200"/>
        <w:rPr>
          <w:rFonts w:hint="eastAsia"/>
          <w:color w:val="auto"/>
        </w:rPr>
      </w:pPr>
      <w:r>
        <w:rPr>
          <w:rFonts w:hint="eastAsia"/>
          <w:color w:val="auto"/>
        </w:rPr>
        <w:t>发包人按合同约定支付给承包人的各项价款应专用于合同工程。</w:t>
      </w:r>
    </w:p>
    <w:p>
      <w:pPr>
        <w:pStyle w:val="231"/>
        <w:rPr>
          <w:rFonts w:hint="eastAsia"/>
          <w:color w:val="auto"/>
        </w:rPr>
      </w:pPr>
      <w:bookmarkStart w:id="298" w:name="_Toc179632667"/>
      <w:bookmarkStart w:id="299" w:name="_Toc152045649"/>
      <w:bookmarkStart w:id="300" w:name="_Toc144974617"/>
      <w:bookmarkStart w:id="301" w:name="_Toc152042427"/>
      <w:r>
        <w:rPr>
          <w:rFonts w:hint="eastAsia"/>
          <w:color w:val="auto"/>
        </w:rPr>
        <w:t>4.10 承包人现场查勘</w:t>
      </w:r>
      <w:bookmarkEnd w:id="298"/>
      <w:bookmarkEnd w:id="299"/>
      <w:bookmarkEnd w:id="300"/>
      <w:bookmarkEnd w:id="301"/>
      <w:r>
        <w:rPr>
          <w:rFonts w:hint="eastAsia"/>
          <w:color w:val="auto"/>
        </w:rPr>
        <w:t xml:space="preserve">                                                                                                           </w:t>
      </w:r>
    </w:p>
    <w:p>
      <w:pPr>
        <w:spacing w:line="400" w:lineRule="exact"/>
        <w:ind w:firstLine="420" w:firstLineChars="200"/>
        <w:rPr>
          <w:rFonts w:hint="eastAsia"/>
          <w:color w:val="auto"/>
        </w:rPr>
      </w:pPr>
      <w:r>
        <w:rPr>
          <w:rFonts w:hint="eastAsia"/>
          <w:color w:val="auto"/>
        </w:rPr>
        <w:t>4.10.1 发包人应将其持有的现场地质勘探资料、水文气象资料提供给承包人，并对其准确性负责。但承包人应对其阅读上述有关资料后所作出的解释和推断负责。</w:t>
      </w:r>
    </w:p>
    <w:p>
      <w:pPr>
        <w:spacing w:line="400" w:lineRule="exact"/>
        <w:ind w:firstLine="420" w:firstLineChars="200"/>
        <w:rPr>
          <w:rFonts w:hint="eastAsia"/>
          <w:color w:val="auto"/>
        </w:rPr>
      </w:pPr>
      <w:r>
        <w:rPr>
          <w:rFonts w:hint="eastAsia"/>
          <w:color w:val="auto"/>
        </w:rPr>
        <w:t>4.10.2 承包人应对施工场地和周围环境进行查勘，并收集有关地质、水文、气象条件、交通条件、风俗习惯以及其他为完成合同工作有关的当地资料。在全部合同工作中，应视为承包人已充分估计了应承担的责任和风险。</w:t>
      </w:r>
    </w:p>
    <w:p>
      <w:pPr>
        <w:pStyle w:val="231"/>
        <w:rPr>
          <w:rFonts w:hint="eastAsia"/>
          <w:color w:val="auto"/>
        </w:rPr>
      </w:pPr>
      <w:bookmarkStart w:id="302" w:name="_Toc152045650"/>
      <w:bookmarkStart w:id="303" w:name="_Toc179632668"/>
      <w:bookmarkStart w:id="304" w:name="_Toc152042428"/>
      <w:bookmarkStart w:id="305" w:name="_Toc144974618"/>
      <w:r>
        <w:rPr>
          <w:rFonts w:hint="eastAsia"/>
          <w:color w:val="auto"/>
        </w:rPr>
        <w:t>4.11 不利物质条件</w:t>
      </w:r>
      <w:bookmarkEnd w:id="302"/>
      <w:bookmarkEnd w:id="303"/>
      <w:bookmarkEnd w:id="304"/>
      <w:bookmarkEnd w:id="305"/>
    </w:p>
    <w:p>
      <w:pPr>
        <w:spacing w:line="400" w:lineRule="exact"/>
        <w:ind w:firstLine="420" w:firstLineChars="200"/>
        <w:rPr>
          <w:rFonts w:hint="eastAsia"/>
          <w:color w:val="auto"/>
        </w:rPr>
      </w:pPr>
      <w:r>
        <w:rPr>
          <w:rFonts w:hint="eastAsia"/>
          <w:color w:val="auto"/>
        </w:rPr>
        <w:t>4.11.1 不利物质条件，除专用合同条款另有约定外，是指承包人在施工场地遇到的不可预见的自然物质条件、非自然的物质障碍和污染物，包括地下和水文条件，但不包括气候条件。</w:t>
      </w:r>
    </w:p>
    <w:p>
      <w:pPr>
        <w:spacing w:line="400" w:lineRule="exact"/>
        <w:ind w:firstLine="420" w:firstLineChars="200"/>
        <w:rPr>
          <w:rFonts w:hint="eastAsia"/>
          <w:color w:val="auto"/>
        </w:rPr>
      </w:pPr>
      <w:r>
        <w:rPr>
          <w:rFonts w:hint="eastAsia"/>
          <w:color w:val="auto"/>
        </w:rPr>
        <w:t>4.11.2 承包人遇到不利物质条件时，应采取适应不利物质条件的合理措施继续施工，并及时通知监理人。监理人应当及时发出指示，指示构成变更的，按第15</w:t>
      </w:r>
      <w:r>
        <w:rPr>
          <w:rFonts w:hint="eastAsia"/>
          <w:color w:val="auto"/>
          <w:lang w:eastAsia="zh-CN"/>
        </w:rPr>
        <w:t>条</w:t>
      </w:r>
      <w:r>
        <w:rPr>
          <w:rFonts w:hint="eastAsia"/>
          <w:color w:val="auto"/>
        </w:rPr>
        <w:t>规定办理。监理人没有发出指示的，承包人因采取合理措施而增加的费用和（或）工期延误，由发包人承担。</w:t>
      </w:r>
    </w:p>
    <w:p>
      <w:pPr>
        <w:pStyle w:val="224"/>
        <w:rPr>
          <w:rFonts w:hint="eastAsia"/>
          <w:color w:val="auto"/>
        </w:rPr>
      </w:pPr>
      <w:bookmarkStart w:id="306" w:name="_Toc152045651"/>
      <w:bookmarkStart w:id="307" w:name="_Toc179632669"/>
      <w:bookmarkStart w:id="308" w:name="_Toc152042429"/>
      <w:bookmarkStart w:id="309" w:name="_Toc144974619"/>
      <w:r>
        <w:rPr>
          <w:rFonts w:hint="eastAsia"/>
          <w:color w:val="auto"/>
        </w:rPr>
        <w:t>5. 材料和工程设备</w:t>
      </w:r>
      <w:bookmarkEnd w:id="306"/>
      <w:bookmarkEnd w:id="307"/>
      <w:bookmarkEnd w:id="308"/>
      <w:bookmarkEnd w:id="309"/>
    </w:p>
    <w:p>
      <w:pPr>
        <w:pStyle w:val="231"/>
        <w:rPr>
          <w:rFonts w:hint="eastAsia"/>
          <w:color w:val="auto"/>
        </w:rPr>
      </w:pPr>
      <w:r>
        <w:rPr>
          <w:rFonts w:hint="eastAsia"/>
          <w:color w:val="auto"/>
        </w:rPr>
        <w:t>5.1 承包人提供的材料和工程设备</w:t>
      </w:r>
    </w:p>
    <w:p>
      <w:pPr>
        <w:spacing w:line="400" w:lineRule="exact"/>
        <w:ind w:firstLine="420" w:firstLineChars="200"/>
        <w:rPr>
          <w:rFonts w:hint="eastAsia"/>
          <w:color w:val="auto"/>
        </w:rPr>
      </w:pPr>
      <w:r>
        <w:rPr>
          <w:rFonts w:hint="eastAsia"/>
          <w:color w:val="auto"/>
        </w:rPr>
        <w:t>5.1.1 除专用合同条款另有约定外，承包人提供的材料和工程设备均由承包人负责采购、运输和保管。承包人应对其采购的材料和工程设备负责。</w:t>
      </w:r>
    </w:p>
    <w:p>
      <w:pPr>
        <w:spacing w:line="400" w:lineRule="exact"/>
        <w:ind w:firstLine="420" w:firstLineChars="200"/>
        <w:rPr>
          <w:rFonts w:hint="eastAsia"/>
          <w:color w:val="auto"/>
        </w:rPr>
      </w:pPr>
      <w:r>
        <w:rPr>
          <w:rFonts w:hint="eastAsia"/>
          <w:color w:val="auto"/>
        </w:rPr>
        <w:t>5.1.2 承包人应按专用合同条款的约定，将各项材料和工程设备的供货人及品种、规格、数量和供货时间等报送监理人审批。承包人应向监理人提交其负责提供的材料和工程设备的质量证明文件，并满足合同约定的质量标准。</w:t>
      </w:r>
    </w:p>
    <w:p>
      <w:pPr>
        <w:spacing w:line="400" w:lineRule="exact"/>
        <w:ind w:firstLine="420" w:firstLineChars="200"/>
        <w:rPr>
          <w:rFonts w:hint="eastAsia"/>
          <w:color w:val="auto"/>
        </w:rPr>
      </w:pPr>
      <w:r>
        <w:rPr>
          <w:rFonts w:hint="eastAsia"/>
          <w:color w:val="auto"/>
        </w:rPr>
        <w:t>5.1.3对承包人提供的材料和工程设备，承包人应会同监理人进行检验和交货验收，查验材料合格证明和产品合格证书，并按合同约定和监理人指示，进行材料的抽样检验和工程设备的检验测试，检验和测试结果应提交监理人，所需费用由承包人承担。</w:t>
      </w:r>
    </w:p>
    <w:p>
      <w:pPr>
        <w:pStyle w:val="231"/>
        <w:rPr>
          <w:rFonts w:hint="eastAsia"/>
          <w:color w:val="auto"/>
        </w:rPr>
      </w:pPr>
      <w:bookmarkStart w:id="310" w:name="_Toc152042431"/>
      <w:bookmarkStart w:id="311" w:name="_Toc179632671"/>
      <w:bookmarkStart w:id="312" w:name="_Toc144974621"/>
      <w:bookmarkStart w:id="313" w:name="_Toc152045653"/>
      <w:r>
        <w:rPr>
          <w:rFonts w:hint="eastAsia"/>
          <w:color w:val="auto"/>
        </w:rPr>
        <w:t>5.2 发包人提供的材料和工程设备</w:t>
      </w:r>
      <w:bookmarkEnd w:id="310"/>
      <w:bookmarkEnd w:id="311"/>
      <w:bookmarkEnd w:id="312"/>
      <w:bookmarkEnd w:id="313"/>
    </w:p>
    <w:p>
      <w:pPr>
        <w:spacing w:line="400" w:lineRule="exact"/>
        <w:ind w:firstLine="420" w:firstLineChars="200"/>
        <w:rPr>
          <w:rFonts w:hint="eastAsia"/>
          <w:color w:val="auto"/>
        </w:rPr>
      </w:pPr>
      <w:r>
        <w:rPr>
          <w:rFonts w:hint="eastAsia"/>
          <w:color w:val="auto"/>
        </w:rPr>
        <w:t>5.2.1 发包人提供的材料和工程设备，应在专用合同条款中写明材料和工程设备的名称、规格、数量、价格、交货方式、交货地点和计划交货日期等。</w:t>
      </w:r>
    </w:p>
    <w:p>
      <w:pPr>
        <w:spacing w:line="400" w:lineRule="exact"/>
        <w:ind w:firstLine="420" w:firstLineChars="200"/>
        <w:rPr>
          <w:rFonts w:hint="eastAsia"/>
          <w:color w:val="auto"/>
        </w:rPr>
      </w:pPr>
      <w:r>
        <w:rPr>
          <w:rFonts w:hint="eastAsia"/>
          <w:color w:val="auto"/>
        </w:rPr>
        <w:t>5.2.2 承包人应根据合同进度计划的安排，向监理人报送要求发包人交货的日期计划。发包人应按照监理人与合同双方当事人商定的交货日期，向承包人提交材料和工程设备。</w:t>
      </w:r>
    </w:p>
    <w:p>
      <w:pPr>
        <w:spacing w:line="400" w:lineRule="exact"/>
        <w:ind w:firstLine="420" w:firstLineChars="200"/>
        <w:rPr>
          <w:rFonts w:hint="eastAsia"/>
          <w:color w:val="auto"/>
        </w:rPr>
      </w:pPr>
      <w:r>
        <w:rPr>
          <w:rFonts w:hint="eastAsia"/>
          <w:color w:val="auto"/>
        </w:rPr>
        <w:t>5.2.3 发包人应在材料和工程设备到货7天前通知承包人，承包人应会同监理人在约定的时间内，赴交货地点共同进行验收。除专用合同条款另有约定外，发包人提供的材料和工程设备验收后，由承包人负责接收、运输和保管。</w:t>
      </w:r>
    </w:p>
    <w:p>
      <w:pPr>
        <w:spacing w:line="400" w:lineRule="exact"/>
        <w:ind w:firstLine="420" w:firstLineChars="200"/>
        <w:rPr>
          <w:rFonts w:hint="eastAsia"/>
          <w:color w:val="auto"/>
        </w:rPr>
      </w:pPr>
      <w:r>
        <w:rPr>
          <w:rFonts w:hint="eastAsia"/>
          <w:color w:val="auto"/>
        </w:rPr>
        <w:t xml:space="preserve">5.2.4 发包人要求向承包人提前交货的，承包人不得拒绝，但发包人应承担承包人由此增加的费用。 </w:t>
      </w:r>
    </w:p>
    <w:p>
      <w:pPr>
        <w:spacing w:line="400" w:lineRule="exact"/>
        <w:ind w:firstLine="420" w:firstLineChars="200"/>
        <w:rPr>
          <w:rFonts w:hint="eastAsia"/>
          <w:color w:val="auto"/>
        </w:rPr>
      </w:pPr>
      <w:r>
        <w:rPr>
          <w:rFonts w:hint="eastAsia"/>
          <w:color w:val="auto"/>
        </w:rPr>
        <w:t xml:space="preserve">5.2.5 承包人要求更改交货日期或地点的，应事先报请监理人批准。由于承包人要求更改交货时间或地点所增加的费用和（或）工期延误由承包人承担。 </w:t>
      </w:r>
    </w:p>
    <w:p>
      <w:pPr>
        <w:spacing w:line="400" w:lineRule="exact"/>
        <w:ind w:firstLine="420" w:firstLineChars="200"/>
        <w:rPr>
          <w:rFonts w:hint="eastAsia"/>
          <w:color w:val="auto"/>
        </w:rPr>
      </w:pPr>
      <w:r>
        <w:rPr>
          <w:rFonts w:hint="eastAsia"/>
          <w:color w:val="auto"/>
        </w:rPr>
        <w:t>5.2.6 发包人提供的材料和工程设备的规格、数量或质量不符合合同要求，或由于发包人原因发生交货日期延误及交货地点变更等情况的，发包人应承担由此增加的费用和（或）工期延误，并向承包人支付合理利润。</w:t>
      </w:r>
    </w:p>
    <w:p>
      <w:pPr>
        <w:pStyle w:val="231"/>
        <w:rPr>
          <w:rFonts w:hint="eastAsia"/>
          <w:color w:val="auto"/>
        </w:rPr>
      </w:pPr>
      <w:bookmarkStart w:id="314" w:name="_Toc144974622"/>
      <w:bookmarkStart w:id="315" w:name="_Toc152045654"/>
      <w:bookmarkStart w:id="316" w:name="_Toc179632672"/>
      <w:bookmarkStart w:id="317" w:name="_Toc152042432"/>
      <w:r>
        <w:rPr>
          <w:rFonts w:hint="eastAsia"/>
          <w:color w:val="auto"/>
        </w:rPr>
        <w:t>5.3 材料和工程设备专用于合同工程</w:t>
      </w:r>
      <w:bookmarkEnd w:id="314"/>
      <w:bookmarkEnd w:id="315"/>
      <w:bookmarkEnd w:id="316"/>
      <w:bookmarkEnd w:id="317"/>
    </w:p>
    <w:p>
      <w:pPr>
        <w:spacing w:line="400" w:lineRule="exact"/>
        <w:ind w:firstLine="420" w:firstLineChars="200"/>
        <w:rPr>
          <w:rFonts w:hint="eastAsia"/>
          <w:color w:val="auto"/>
        </w:rPr>
      </w:pPr>
      <w:r>
        <w:rPr>
          <w:rFonts w:hint="eastAsia"/>
          <w:color w:val="auto"/>
        </w:rPr>
        <w:t>5.3.1运入施工场地的材料、工程设备，包括备品备件、安装专用工器具与随机资料，必须专用于合同工程，未经监理人同意，承包人不得运出施工场地或挪作他用。</w:t>
      </w:r>
    </w:p>
    <w:p>
      <w:pPr>
        <w:spacing w:line="400" w:lineRule="exact"/>
        <w:ind w:firstLine="420" w:firstLineChars="200"/>
        <w:rPr>
          <w:rFonts w:hint="eastAsia"/>
          <w:color w:val="auto"/>
        </w:rPr>
      </w:pPr>
      <w:r>
        <w:rPr>
          <w:rFonts w:hint="eastAsia"/>
          <w:color w:val="auto"/>
        </w:rPr>
        <w:t>5.3.2 随同工程设备运入施工场地的备品备件、专用工器具与随机资料，应由承包人会同监理人按供货人的装箱单清点后共同封存，未经监理人同意不得启用。承包人因合同工作需要使用上述物品时，应向监理人提出申请。</w:t>
      </w:r>
    </w:p>
    <w:p>
      <w:pPr>
        <w:pStyle w:val="231"/>
        <w:rPr>
          <w:rFonts w:hint="eastAsia"/>
          <w:color w:val="auto"/>
        </w:rPr>
      </w:pPr>
      <w:bookmarkStart w:id="318" w:name="_Toc152045655"/>
      <w:bookmarkStart w:id="319" w:name="_Toc179632673"/>
      <w:bookmarkStart w:id="320" w:name="_Toc152042433"/>
      <w:bookmarkStart w:id="321" w:name="_Toc144974623"/>
      <w:r>
        <w:rPr>
          <w:rFonts w:hint="eastAsia"/>
          <w:color w:val="auto"/>
        </w:rPr>
        <w:t>5.4 禁止使用不合格的材料和工程设备</w:t>
      </w:r>
      <w:bookmarkEnd w:id="318"/>
      <w:bookmarkEnd w:id="319"/>
      <w:bookmarkEnd w:id="320"/>
      <w:bookmarkEnd w:id="321"/>
    </w:p>
    <w:p>
      <w:pPr>
        <w:spacing w:line="400" w:lineRule="exact"/>
        <w:ind w:firstLine="420" w:firstLineChars="200"/>
        <w:rPr>
          <w:rFonts w:hint="eastAsia"/>
          <w:color w:val="auto"/>
        </w:rPr>
      </w:pPr>
      <w:r>
        <w:rPr>
          <w:rFonts w:hint="eastAsia"/>
          <w:color w:val="auto"/>
        </w:rPr>
        <w:t>5.4.1 监理人有权拒绝承包人提供的不合格材料或工程设备，并要求承包人立即进行更换。监理人应在更换后再次进行检查和检验，由此增加的费用和（或）工期延误由承包人承担。</w:t>
      </w:r>
    </w:p>
    <w:p>
      <w:pPr>
        <w:spacing w:line="400" w:lineRule="exact"/>
        <w:ind w:firstLine="420" w:firstLineChars="200"/>
        <w:rPr>
          <w:rFonts w:hint="eastAsia"/>
          <w:color w:val="auto"/>
        </w:rPr>
      </w:pPr>
      <w:r>
        <w:rPr>
          <w:rFonts w:hint="eastAsia"/>
          <w:color w:val="auto"/>
        </w:rPr>
        <w:t>5.4.2 监理人发现承包人使用了不合格的材料和工程设备，应及时发出指示要求承包人立即改正，并禁止在工程中继续使用不合格的材料和工程设备。</w:t>
      </w:r>
    </w:p>
    <w:p>
      <w:pPr>
        <w:spacing w:line="400" w:lineRule="exact"/>
        <w:ind w:firstLine="420" w:firstLineChars="200"/>
        <w:rPr>
          <w:rFonts w:hint="eastAsia"/>
          <w:color w:val="auto"/>
        </w:rPr>
      </w:pPr>
      <w:r>
        <w:rPr>
          <w:rFonts w:hint="eastAsia"/>
          <w:color w:val="auto"/>
        </w:rPr>
        <w:t>5.4.3 发包人提供的材料或工程设备不符合合同要求的，承包人有权拒绝，并可要求发包人更换，由此增加的费用和（或）工期延误由发包人承担。</w:t>
      </w:r>
    </w:p>
    <w:p>
      <w:pPr>
        <w:pStyle w:val="224"/>
        <w:rPr>
          <w:rFonts w:hint="eastAsia"/>
          <w:color w:val="auto"/>
        </w:rPr>
      </w:pPr>
      <w:bookmarkStart w:id="322" w:name="_Toc152042434"/>
      <w:bookmarkStart w:id="323" w:name="_Toc152045656"/>
      <w:bookmarkStart w:id="324" w:name="_Toc144974624"/>
      <w:bookmarkStart w:id="325" w:name="_Toc179632674"/>
      <w:r>
        <w:rPr>
          <w:rFonts w:hint="eastAsia"/>
          <w:color w:val="auto"/>
        </w:rPr>
        <w:t>6. 施工设备和临时设施</w:t>
      </w:r>
      <w:bookmarkEnd w:id="322"/>
      <w:bookmarkEnd w:id="323"/>
      <w:bookmarkEnd w:id="324"/>
      <w:bookmarkEnd w:id="325"/>
    </w:p>
    <w:p>
      <w:pPr>
        <w:pStyle w:val="231"/>
        <w:rPr>
          <w:rFonts w:hint="eastAsia"/>
          <w:color w:val="auto"/>
        </w:rPr>
      </w:pPr>
      <w:bookmarkStart w:id="326" w:name="_Toc144974625"/>
      <w:bookmarkStart w:id="327" w:name="_Toc179632675"/>
      <w:bookmarkStart w:id="328" w:name="_Toc152045657"/>
      <w:bookmarkStart w:id="329" w:name="_Toc152042435"/>
      <w:r>
        <w:rPr>
          <w:rFonts w:hint="eastAsia"/>
          <w:color w:val="auto"/>
        </w:rPr>
        <w:t>6.1 承包人提供的施工设备和临时设施</w:t>
      </w:r>
      <w:bookmarkEnd w:id="326"/>
      <w:bookmarkEnd w:id="327"/>
      <w:bookmarkEnd w:id="328"/>
      <w:bookmarkEnd w:id="329"/>
    </w:p>
    <w:p>
      <w:pPr>
        <w:spacing w:line="400" w:lineRule="exact"/>
        <w:ind w:firstLine="420" w:firstLineChars="200"/>
        <w:rPr>
          <w:rFonts w:hint="eastAsia"/>
          <w:color w:val="auto"/>
        </w:rPr>
      </w:pPr>
      <w:r>
        <w:rPr>
          <w:rFonts w:hint="eastAsia"/>
          <w:color w:val="auto"/>
        </w:rPr>
        <w:t>6.1.1 承包人应按合同进度计划的要求，及时配置施工设备和修建临时设施。进入施工场地的承包人设备需经监理人核查后才能投入使用。承包人更换合同约定的承包人设备的，应报监理人批准。</w:t>
      </w:r>
    </w:p>
    <w:p>
      <w:pPr>
        <w:spacing w:line="400" w:lineRule="exact"/>
        <w:ind w:firstLine="420" w:firstLineChars="200"/>
        <w:rPr>
          <w:rFonts w:hint="eastAsia"/>
          <w:color w:val="auto"/>
        </w:rPr>
      </w:pPr>
      <w:r>
        <w:rPr>
          <w:rFonts w:hint="eastAsia"/>
          <w:color w:val="auto"/>
        </w:rPr>
        <w:t>6.1.2除专用合同条款另有约定外，承包人应自行承担修建临时设施的费用，需要临时占地的，应由发包人办理申请手续并承担相应费用。</w:t>
      </w:r>
    </w:p>
    <w:p>
      <w:pPr>
        <w:pStyle w:val="231"/>
        <w:rPr>
          <w:rFonts w:hint="eastAsia"/>
          <w:color w:val="auto"/>
        </w:rPr>
      </w:pPr>
      <w:bookmarkStart w:id="330" w:name="_Toc152045658"/>
      <w:bookmarkStart w:id="331" w:name="_Toc152042436"/>
      <w:bookmarkStart w:id="332" w:name="_Toc144974626"/>
      <w:bookmarkStart w:id="333" w:name="_Toc179632676"/>
      <w:r>
        <w:rPr>
          <w:rFonts w:hint="eastAsia"/>
          <w:color w:val="auto"/>
        </w:rPr>
        <w:t>6.2 发包人提供的施工设备和临时设施</w:t>
      </w:r>
      <w:bookmarkEnd w:id="330"/>
      <w:bookmarkEnd w:id="331"/>
      <w:bookmarkEnd w:id="332"/>
      <w:bookmarkEnd w:id="333"/>
    </w:p>
    <w:p>
      <w:pPr>
        <w:spacing w:line="400" w:lineRule="exact"/>
        <w:ind w:firstLine="420" w:firstLineChars="200"/>
        <w:rPr>
          <w:rFonts w:hint="eastAsia"/>
          <w:color w:val="auto"/>
        </w:rPr>
      </w:pPr>
      <w:r>
        <w:rPr>
          <w:rFonts w:hint="eastAsia"/>
          <w:color w:val="auto"/>
        </w:rPr>
        <w:t>发包人提供的施工设备或临时设施在专用合同条款中约定。</w:t>
      </w:r>
    </w:p>
    <w:p>
      <w:pPr>
        <w:pStyle w:val="231"/>
        <w:rPr>
          <w:rFonts w:hint="eastAsia"/>
          <w:color w:val="auto"/>
        </w:rPr>
      </w:pPr>
      <w:bookmarkStart w:id="334" w:name="_Toc144974627"/>
      <w:bookmarkStart w:id="335" w:name="_Toc179632677"/>
      <w:bookmarkStart w:id="336" w:name="_Toc152042437"/>
      <w:bookmarkStart w:id="337" w:name="_Toc152045659"/>
      <w:r>
        <w:rPr>
          <w:rFonts w:hint="eastAsia"/>
          <w:color w:val="auto"/>
        </w:rPr>
        <w:t>6.3 要求承包人增加或更换施工设备</w:t>
      </w:r>
      <w:bookmarkEnd w:id="334"/>
      <w:bookmarkEnd w:id="335"/>
      <w:bookmarkEnd w:id="336"/>
      <w:bookmarkEnd w:id="337"/>
    </w:p>
    <w:p>
      <w:pPr>
        <w:spacing w:line="400" w:lineRule="exact"/>
        <w:ind w:firstLine="420" w:firstLineChars="200"/>
        <w:rPr>
          <w:rFonts w:hint="eastAsia"/>
          <w:color w:val="auto"/>
        </w:rPr>
      </w:pPr>
      <w:r>
        <w:rPr>
          <w:rFonts w:hint="eastAsia"/>
          <w:color w:val="auto"/>
        </w:rPr>
        <w:t>承包人使用的施工设备不能满足合同进度计划和（或）质量要求时，监理人有权要求承包人增加或更换施工设备，承包人应及时增加或更换，由此增加的费用和（或）工期延误由承包人承担。</w:t>
      </w:r>
    </w:p>
    <w:p>
      <w:pPr>
        <w:pStyle w:val="231"/>
        <w:rPr>
          <w:rFonts w:hint="eastAsia"/>
          <w:color w:val="auto"/>
        </w:rPr>
      </w:pPr>
      <w:bookmarkStart w:id="338" w:name="_Toc179632678"/>
      <w:bookmarkStart w:id="339" w:name="_Toc152045660"/>
      <w:bookmarkStart w:id="340" w:name="_Toc144974628"/>
      <w:bookmarkStart w:id="341" w:name="_Toc152042438"/>
      <w:r>
        <w:rPr>
          <w:rFonts w:hint="eastAsia"/>
          <w:color w:val="auto"/>
        </w:rPr>
        <w:t>6.4 施工设备和临时设施专用于合同工程</w:t>
      </w:r>
      <w:bookmarkEnd w:id="338"/>
      <w:bookmarkEnd w:id="339"/>
      <w:bookmarkEnd w:id="340"/>
      <w:bookmarkEnd w:id="341"/>
    </w:p>
    <w:p>
      <w:pPr>
        <w:spacing w:line="400" w:lineRule="exact"/>
        <w:ind w:firstLine="420" w:firstLineChars="200"/>
        <w:rPr>
          <w:rFonts w:hint="eastAsia"/>
          <w:color w:val="auto"/>
        </w:rPr>
      </w:pPr>
      <w:r>
        <w:rPr>
          <w:rFonts w:hint="eastAsia"/>
          <w:color w:val="auto"/>
        </w:rPr>
        <w:t>6.4.1除合同另有约定外，运入施工场地的所有施工设备以及在施工场地建设的临时设施应专用于合同工程。未经监理人同意，不得将上述施工设备和临时设施中的任何部分运出施工场地或挪作他用。</w:t>
      </w:r>
    </w:p>
    <w:p>
      <w:pPr>
        <w:spacing w:line="400" w:lineRule="exact"/>
        <w:ind w:firstLine="420" w:firstLineChars="200"/>
        <w:rPr>
          <w:rFonts w:hint="eastAsia"/>
          <w:color w:val="auto"/>
        </w:rPr>
      </w:pPr>
      <w:r>
        <w:rPr>
          <w:rFonts w:hint="eastAsia"/>
          <w:color w:val="auto"/>
        </w:rPr>
        <w:t>6.4.2 经监理人同意，承包人可根据合同进度计划撤走闲置的施工设备。</w:t>
      </w:r>
    </w:p>
    <w:p>
      <w:pPr>
        <w:pStyle w:val="224"/>
        <w:rPr>
          <w:rFonts w:hint="eastAsia"/>
          <w:color w:val="auto"/>
        </w:rPr>
      </w:pPr>
      <w:bookmarkStart w:id="342" w:name="_Toc152042439"/>
      <w:bookmarkStart w:id="343" w:name="_Toc179632679"/>
      <w:bookmarkStart w:id="344" w:name="_Toc152045661"/>
      <w:bookmarkStart w:id="345" w:name="_Toc144974629"/>
      <w:r>
        <w:rPr>
          <w:rFonts w:hint="eastAsia"/>
          <w:color w:val="auto"/>
        </w:rPr>
        <w:t>7. 交通运输</w:t>
      </w:r>
      <w:bookmarkEnd w:id="342"/>
      <w:bookmarkEnd w:id="343"/>
      <w:bookmarkEnd w:id="344"/>
      <w:bookmarkEnd w:id="345"/>
    </w:p>
    <w:p>
      <w:pPr>
        <w:pStyle w:val="231"/>
        <w:rPr>
          <w:rFonts w:hint="eastAsia"/>
          <w:color w:val="auto"/>
        </w:rPr>
      </w:pPr>
      <w:bookmarkStart w:id="346" w:name="_Toc144974630"/>
      <w:bookmarkStart w:id="347" w:name="_Toc152042440"/>
      <w:bookmarkStart w:id="348" w:name="_Toc152045662"/>
      <w:bookmarkStart w:id="349" w:name="_Toc179632680"/>
      <w:r>
        <w:rPr>
          <w:rFonts w:hint="eastAsia"/>
          <w:color w:val="auto"/>
        </w:rPr>
        <w:t>7.1 道路通行权和场外设施</w:t>
      </w:r>
      <w:bookmarkEnd w:id="346"/>
      <w:bookmarkEnd w:id="347"/>
      <w:bookmarkEnd w:id="348"/>
      <w:bookmarkEnd w:id="349"/>
    </w:p>
    <w:p>
      <w:pPr>
        <w:spacing w:line="400" w:lineRule="exact"/>
        <w:ind w:firstLine="420" w:firstLineChars="200"/>
        <w:rPr>
          <w:rFonts w:hint="eastAsia"/>
          <w:color w:val="auto"/>
        </w:rPr>
      </w:pPr>
      <w:r>
        <w:rPr>
          <w:rFonts w:hint="eastAsia"/>
          <w:color w:val="auto"/>
        </w:rPr>
        <w:t>除专用合同条款另有约定外，发包人应根据合同工程的施工需要，负责办理取得出入施工场地的专用和临时道路的通行权，以及取得为工程建设所需修建场外设施的权利，并承担有关费用。承包人应协助发包人办理上述手续。</w:t>
      </w:r>
    </w:p>
    <w:p>
      <w:pPr>
        <w:pStyle w:val="231"/>
        <w:rPr>
          <w:rFonts w:hint="eastAsia"/>
          <w:color w:val="auto"/>
        </w:rPr>
      </w:pPr>
      <w:bookmarkStart w:id="350" w:name="_Toc152045663"/>
      <w:bookmarkStart w:id="351" w:name="_Toc179632681"/>
      <w:bookmarkStart w:id="352" w:name="_Toc144974631"/>
      <w:bookmarkStart w:id="353" w:name="_Toc152042441"/>
      <w:r>
        <w:rPr>
          <w:rFonts w:hint="eastAsia"/>
          <w:color w:val="auto"/>
        </w:rPr>
        <w:t>7.2 场内施工道路</w:t>
      </w:r>
      <w:bookmarkEnd w:id="350"/>
      <w:bookmarkEnd w:id="351"/>
      <w:bookmarkEnd w:id="352"/>
      <w:bookmarkEnd w:id="353"/>
    </w:p>
    <w:p>
      <w:pPr>
        <w:spacing w:line="400" w:lineRule="exact"/>
        <w:ind w:firstLine="420" w:firstLineChars="200"/>
        <w:rPr>
          <w:rFonts w:hint="eastAsia"/>
          <w:color w:val="auto"/>
        </w:rPr>
      </w:pPr>
      <w:r>
        <w:rPr>
          <w:rFonts w:hint="eastAsia"/>
          <w:color w:val="auto"/>
        </w:rPr>
        <w:t>7.2.1 除专用合同条款另有约定外，承包人应负责修建、维修、养护和管理施工所需的临时道路和交通设施，包括维修、养护和管理发包人提供的道路和交通设施，并承担相应费用。</w:t>
      </w:r>
    </w:p>
    <w:p>
      <w:pPr>
        <w:spacing w:line="400" w:lineRule="exact"/>
        <w:ind w:firstLine="420" w:firstLineChars="200"/>
        <w:rPr>
          <w:rFonts w:hint="eastAsia"/>
          <w:color w:val="auto"/>
        </w:rPr>
      </w:pPr>
      <w:r>
        <w:rPr>
          <w:rFonts w:hint="eastAsia"/>
          <w:color w:val="auto"/>
        </w:rPr>
        <w:t>7.2.2 除专用合同条款另有约定外，承包人修建的临时道路和交通设施应免费提供发包人和监理人使用。</w:t>
      </w:r>
    </w:p>
    <w:p>
      <w:pPr>
        <w:pStyle w:val="231"/>
        <w:rPr>
          <w:rFonts w:hint="eastAsia"/>
          <w:color w:val="auto"/>
        </w:rPr>
      </w:pPr>
      <w:bookmarkStart w:id="354" w:name="_Toc152045664"/>
      <w:bookmarkStart w:id="355" w:name="_Toc179632682"/>
      <w:bookmarkStart w:id="356" w:name="_Toc144974632"/>
      <w:bookmarkStart w:id="357" w:name="_Toc152042442"/>
      <w:r>
        <w:rPr>
          <w:rFonts w:hint="eastAsia"/>
          <w:color w:val="auto"/>
        </w:rPr>
        <w:t>7.3 场外交通</w:t>
      </w:r>
      <w:bookmarkEnd w:id="354"/>
      <w:bookmarkEnd w:id="355"/>
      <w:bookmarkEnd w:id="356"/>
      <w:bookmarkEnd w:id="357"/>
    </w:p>
    <w:p>
      <w:pPr>
        <w:spacing w:line="400" w:lineRule="exact"/>
        <w:ind w:firstLine="420" w:firstLineChars="200"/>
        <w:rPr>
          <w:rFonts w:hint="eastAsia"/>
          <w:color w:val="auto"/>
        </w:rPr>
      </w:pPr>
      <w:r>
        <w:rPr>
          <w:rFonts w:hint="eastAsia"/>
          <w:color w:val="auto"/>
        </w:rPr>
        <w:t>7.3.1 承包人车辆外出行驶所需的场外公共道路的通行费、养路费和税款等由承包人承担。</w:t>
      </w:r>
    </w:p>
    <w:p>
      <w:pPr>
        <w:spacing w:line="400" w:lineRule="exact"/>
        <w:ind w:firstLine="420" w:firstLineChars="200"/>
        <w:rPr>
          <w:rFonts w:hint="eastAsia"/>
          <w:color w:val="auto"/>
        </w:rPr>
      </w:pPr>
      <w:r>
        <w:rPr>
          <w:rFonts w:hint="eastAsia"/>
          <w:color w:val="auto"/>
        </w:rPr>
        <w:t>7.3.2 承包人应遵守有关交通法规，严格按照道路和桥梁的限制荷重安全行驶，并服从交通管理部门的检查和监督。</w:t>
      </w:r>
    </w:p>
    <w:p>
      <w:pPr>
        <w:pStyle w:val="231"/>
        <w:rPr>
          <w:rFonts w:hint="eastAsia"/>
          <w:color w:val="auto"/>
        </w:rPr>
      </w:pPr>
      <w:bookmarkStart w:id="358" w:name="_Toc179632683"/>
      <w:bookmarkStart w:id="359" w:name="_Toc144974633"/>
      <w:bookmarkStart w:id="360" w:name="_Toc152045665"/>
      <w:bookmarkStart w:id="361" w:name="_Toc152042443"/>
      <w:r>
        <w:rPr>
          <w:rFonts w:hint="eastAsia"/>
          <w:color w:val="auto"/>
        </w:rPr>
        <w:t>7.4 超大件和超重件的运输</w:t>
      </w:r>
      <w:bookmarkEnd w:id="358"/>
      <w:bookmarkEnd w:id="359"/>
      <w:bookmarkEnd w:id="360"/>
      <w:bookmarkEnd w:id="361"/>
    </w:p>
    <w:p>
      <w:pPr>
        <w:spacing w:line="400" w:lineRule="exact"/>
        <w:ind w:firstLine="420" w:firstLineChars="200"/>
        <w:rPr>
          <w:rFonts w:hint="eastAsia"/>
          <w:color w:val="auto"/>
        </w:rPr>
      </w:pPr>
      <w:r>
        <w:rPr>
          <w:rFonts w:hint="eastAsia"/>
          <w:color w:val="auto"/>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pPr>
        <w:pStyle w:val="231"/>
        <w:rPr>
          <w:rFonts w:hint="eastAsia"/>
          <w:color w:val="auto"/>
        </w:rPr>
      </w:pPr>
      <w:bookmarkStart w:id="362" w:name="_Toc179632684"/>
      <w:bookmarkStart w:id="363" w:name="_Toc152042444"/>
      <w:bookmarkStart w:id="364" w:name="_Toc152045666"/>
      <w:bookmarkStart w:id="365" w:name="_Toc144974634"/>
      <w:r>
        <w:rPr>
          <w:rFonts w:hint="eastAsia"/>
          <w:color w:val="auto"/>
        </w:rPr>
        <w:t>7.5 道路和桥梁的损坏责任</w:t>
      </w:r>
      <w:bookmarkEnd w:id="362"/>
      <w:bookmarkEnd w:id="363"/>
      <w:bookmarkEnd w:id="364"/>
      <w:bookmarkEnd w:id="365"/>
    </w:p>
    <w:p>
      <w:pPr>
        <w:spacing w:line="400" w:lineRule="exact"/>
        <w:ind w:firstLine="420" w:firstLineChars="200"/>
        <w:rPr>
          <w:rFonts w:hint="eastAsia"/>
          <w:color w:val="auto"/>
        </w:rPr>
      </w:pPr>
      <w:r>
        <w:rPr>
          <w:rFonts w:hint="eastAsia"/>
          <w:color w:val="auto"/>
        </w:rPr>
        <w:t>因承包人运输造成施工场地内外公共道路和桥梁损坏的，由承包人承担修复损坏的全部费用和可能引起的赔偿。</w:t>
      </w:r>
    </w:p>
    <w:p>
      <w:pPr>
        <w:pStyle w:val="231"/>
        <w:rPr>
          <w:rFonts w:hint="eastAsia"/>
          <w:color w:val="auto"/>
        </w:rPr>
      </w:pPr>
      <w:bookmarkStart w:id="366" w:name="_Toc144974635"/>
      <w:bookmarkStart w:id="367" w:name="_Toc179632685"/>
      <w:bookmarkStart w:id="368" w:name="_Toc152042445"/>
      <w:bookmarkStart w:id="369" w:name="_Toc152045667"/>
      <w:r>
        <w:rPr>
          <w:rFonts w:hint="eastAsia"/>
          <w:color w:val="auto"/>
        </w:rPr>
        <w:t>7.6 水路和航空运输</w:t>
      </w:r>
      <w:bookmarkEnd w:id="366"/>
      <w:bookmarkEnd w:id="367"/>
      <w:bookmarkEnd w:id="368"/>
      <w:bookmarkEnd w:id="369"/>
    </w:p>
    <w:p>
      <w:pPr>
        <w:spacing w:line="400" w:lineRule="exact"/>
        <w:ind w:firstLine="420" w:firstLineChars="200"/>
        <w:rPr>
          <w:rFonts w:hint="eastAsia"/>
          <w:color w:val="auto"/>
        </w:rPr>
      </w:pPr>
      <w:r>
        <w:rPr>
          <w:rFonts w:hint="eastAsia"/>
          <w:color w:val="auto"/>
        </w:rPr>
        <w:t xml:space="preserve">本条上述各款的内容适用于水路运输和航空运输，其中“道路”一词的含义包括河道、航线、船闸、机场、码头、堤防以及水路或航空运输中其他相似结构物；“车辆”一词的含义包括船舶和飞机等。 </w:t>
      </w:r>
    </w:p>
    <w:p>
      <w:pPr>
        <w:pStyle w:val="224"/>
        <w:rPr>
          <w:rFonts w:hint="eastAsia"/>
          <w:color w:val="auto"/>
        </w:rPr>
      </w:pPr>
      <w:bookmarkStart w:id="370" w:name="_Toc179632686"/>
      <w:bookmarkStart w:id="371" w:name="_Toc152042446"/>
      <w:bookmarkStart w:id="372" w:name="_Toc152045668"/>
      <w:bookmarkStart w:id="373" w:name="_Toc144974636"/>
      <w:r>
        <w:rPr>
          <w:rFonts w:hint="eastAsia"/>
          <w:color w:val="auto"/>
        </w:rPr>
        <w:t>8. 测量放线</w:t>
      </w:r>
      <w:bookmarkEnd w:id="370"/>
      <w:bookmarkEnd w:id="371"/>
      <w:bookmarkEnd w:id="372"/>
      <w:bookmarkEnd w:id="373"/>
    </w:p>
    <w:p>
      <w:pPr>
        <w:pStyle w:val="231"/>
        <w:rPr>
          <w:rFonts w:hint="eastAsia"/>
          <w:color w:val="auto"/>
        </w:rPr>
      </w:pPr>
      <w:bookmarkStart w:id="374" w:name="_Toc144974637"/>
      <w:bookmarkStart w:id="375" w:name="_Toc152045669"/>
      <w:bookmarkStart w:id="376" w:name="_Toc152042447"/>
      <w:bookmarkStart w:id="377" w:name="_Toc179632687"/>
      <w:r>
        <w:rPr>
          <w:rFonts w:hint="eastAsia"/>
          <w:color w:val="auto"/>
        </w:rPr>
        <w:t>8.1 施工控制网</w:t>
      </w:r>
      <w:bookmarkEnd w:id="374"/>
      <w:bookmarkEnd w:id="375"/>
      <w:bookmarkEnd w:id="376"/>
      <w:bookmarkEnd w:id="377"/>
    </w:p>
    <w:p>
      <w:pPr>
        <w:spacing w:line="400" w:lineRule="exact"/>
        <w:ind w:firstLine="420" w:firstLineChars="200"/>
        <w:rPr>
          <w:rFonts w:hint="eastAsia"/>
          <w:color w:val="auto"/>
        </w:rPr>
      </w:pPr>
      <w:r>
        <w:rPr>
          <w:rFonts w:hint="eastAsia"/>
          <w:color w:val="auto"/>
        </w:rPr>
        <w:t>8.1.1发包人应在专用合同条款约定的期限内，通过监理人向承包人提供测量基准点、基准线和水准点及其书面资料。除专用合同条款另有约定外，承包人应根据国家测绘基准、测绘系统和工程测量技术规范，按上述基准点（线）以及合同工程精度要求，测设施工控制网，并在专用合同条款约定的期限内，将施工控制网资料报送监理人审批。</w:t>
      </w:r>
    </w:p>
    <w:p>
      <w:pPr>
        <w:spacing w:line="400" w:lineRule="exact"/>
        <w:ind w:firstLine="420" w:firstLineChars="200"/>
        <w:rPr>
          <w:rFonts w:hint="eastAsia"/>
          <w:color w:val="auto"/>
        </w:rPr>
      </w:pPr>
      <w:r>
        <w:rPr>
          <w:rFonts w:hint="eastAsia"/>
          <w:color w:val="auto"/>
        </w:rPr>
        <w:t>8.1.2承包人应负责管理施工控制网点。施工控制网点丢失或损坏的，承包人应及时修复。承包人应承担施工控制网点的管理与修复费用，并在工程竣工后将施工控制网点移交发包人。</w:t>
      </w:r>
    </w:p>
    <w:p>
      <w:pPr>
        <w:pStyle w:val="231"/>
        <w:rPr>
          <w:rFonts w:hint="eastAsia"/>
          <w:color w:val="auto"/>
        </w:rPr>
      </w:pPr>
      <w:bookmarkStart w:id="378" w:name="_Toc152042448"/>
      <w:bookmarkStart w:id="379" w:name="_Toc152045670"/>
      <w:bookmarkStart w:id="380" w:name="_Toc179632688"/>
      <w:bookmarkStart w:id="381" w:name="_Toc144974638"/>
      <w:r>
        <w:rPr>
          <w:rFonts w:hint="eastAsia"/>
          <w:color w:val="auto"/>
        </w:rPr>
        <w:t>8.2 施工测量</w:t>
      </w:r>
      <w:bookmarkEnd w:id="378"/>
      <w:bookmarkEnd w:id="379"/>
      <w:bookmarkEnd w:id="380"/>
      <w:bookmarkEnd w:id="381"/>
    </w:p>
    <w:p>
      <w:pPr>
        <w:spacing w:line="400" w:lineRule="exact"/>
        <w:ind w:firstLine="420" w:firstLineChars="200"/>
        <w:rPr>
          <w:rFonts w:hint="eastAsia"/>
          <w:color w:val="auto"/>
        </w:rPr>
      </w:pPr>
      <w:r>
        <w:rPr>
          <w:rFonts w:hint="eastAsia"/>
          <w:color w:val="auto"/>
        </w:rPr>
        <w:t>8.2.1承包人应负责施工过程中的全部施工测量放线工作，并配置合格的人员、仪器、设备和其他物品。</w:t>
      </w:r>
    </w:p>
    <w:p>
      <w:pPr>
        <w:spacing w:line="400" w:lineRule="exact"/>
        <w:ind w:firstLine="420" w:firstLineChars="200"/>
        <w:rPr>
          <w:rFonts w:hint="eastAsia"/>
          <w:color w:val="auto"/>
        </w:rPr>
      </w:pPr>
      <w:r>
        <w:rPr>
          <w:rFonts w:hint="eastAsia"/>
          <w:color w:val="auto"/>
        </w:rPr>
        <w:t>8.2.2监理人可以指示承包人进行抽样复测，当复测中发现错误或出现超过合同约定的误差时，承包人应按监理人指示进行修正或补测，并承担相应的复测费用。</w:t>
      </w:r>
    </w:p>
    <w:p>
      <w:pPr>
        <w:pStyle w:val="231"/>
        <w:rPr>
          <w:rFonts w:hint="eastAsia"/>
          <w:color w:val="auto"/>
        </w:rPr>
      </w:pPr>
      <w:bookmarkStart w:id="382" w:name="_Toc144974639"/>
      <w:bookmarkStart w:id="383" w:name="_Toc179632689"/>
      <w:bookmarkStart w:id="384" w:name="_Toc152045671"/>
      <w:bookmarkStart w:id="385" w:name="_Toc152042449"/>
      <w:r>
        <w:rPr>
          <w:rFonts w:hint="eastAsia"/>
          <w:color w:val="auto"/>
        </w:rPr>
        <w:t>8.3 基准资料错误的责任</w:t>
      </w:r>
      <w:bookmarkEnd w:id="382"/>
      <w:bookmarkEnd w:id="383"/>
      <w:bookmarkEnd w:id="384"/>
      <w:bookmarkEnd w:id="385"/>
    </w:p>
    <w:p>
      <w:pPr>
        <w:spacing w:line="400" w:lineRule="exact"/>
        <w:ind w:firstLine="420" w:firstLineChars="200"/>
        <w:rPr>
          <w:rFonts w:hint="eastAsia"/>
          <w:color w:val="auto"/>
        </w:rPr>
      </w:pPr>
      <w:r>
        <w:rPr>
          <w:rFonts w:hint="eastAsia"/>
          <w:color w:val="auto"/>
        </w:rPr>
        <w:t>发包人应对其提供的测量基准点、基准线和水准点及其书面资料的真实性、准确性和完整性负责。发包人提供上述基准资料错误导致承包人测量放线工作的返工或造成工程损失的，发包人应当承担由此增加的费用和（或）工期延误，并向承包人支付合理利润。承包人发现发包人提供的上述基准资料存在明显错误或疏忽的，应及时通知监理人。</w:t>
      </w:r>
    </w:p>
    <w:p>
      <w:pPr>
        <w:pStyle w:val="231"/>
        <w:rPr>
          <w:rFonts w:hint="eastAsia"/>
          <w:color w:val="auto"/>
        </w:rPr>
      </w:pPr>
      <w:bookmarkStart w:id="386" w:name="_Toc144974640"/>
      <w:bookmarkStart w:id="387" w:name="_Toc152045672"/>
      <w:bookmarkStart w:id="388" w:name="_Toc152042450"/>
      <w:bookmarkStart w:id="389" w:name="_Toc179632690"/>
      <w:r>
        <w:rPr>
          <w:rFonts w:hint="eastAsia"/>
          <w:color w:val="auto"/>
        </w:rPr>
        <w:t>8.4 监理人使用施工控制网</w:t>
      </w:r>
      <w:bookmarkEnd w:id="386"/>
      <w:bookmarkEnd w:id="387"/>
      <w:bookmarkEnd w:id="388"/>
      <w:bookmarkEnd w:id="389"/>
    </w:p>
    <w:p>
      <w:pPr>
        <w:spacing w:line="400" w:lineRule="exact"/>
        <w:ind w:firstLine="420" w:firstLineChars="200"/>
        <w:rPr>
          <w:rFonts w:hint="eastAsia"/>
          <w:dstrike/>
          <w:color w:val="auto"/>
          <w:szCs w:val="21"/>
        </w:rPr>
      </w:pPr>
      <w:r>
        <w:rPr>
          <w:rFonts w:hint="eastAsia"/>
          <w:color w:val="auto"/>
        </w:rPr>
        <w:t>监理人需要使用施工控制网的，承包人应提供必要的协助，发包人不再为此支付费用。</w:t>
      </w:r>
    </w:p>
    <w:p>
      <w:pPr>
        <w:pStyle w:val="224"/>
        <w:rPr>
          <w:rFonts w:hint="eastAsia"/>
          <w:color w:val="auto"/>
        </w:rPr>
      </w:pPr>
      <w:bookmarkStart w:id="390" w:name="_Toc144974641"/>
      <w:bookmarkStart w:id="391" w:name="_Toc152045673"/>
      <w:bookmarkStart w:id="392" w:name="_Toc152042451"/>
      <w:bookmarkStart w:id="393" w:name="_Toc179632691"/>
      <w:r>
        <w:rPr>
          <w:rFonts w:hint="eastAsia"/>
          <w:color w:val="auto"/>
        </w:rPr>
        <w:t>9. 施工安全、治安保卫和环境保护</w:t>
      </w:r>
      <w:bookmarkEnd w:id="390"/>
      <w:bookmarkEnd w:id="391"/>
      <w:bookmarkEnd w:id="392"/>
      <w:bookmarkEnd w:id="393"/>
    </w:p>
    <w:p>
      <w:pPr>
        <w:pStyle w:val="231"/>
        <w:rPr>
          <w:rFonts w:hint="eastAsia"/>
          <w:color w:val="auto"/>
        </w:rPr>
      </w:pPr>
      <w:bookmarkStart w:id="394" w:name="_Toc152045674"/>
      <w:bookmarkStart w:id="395" w:name="_Toc179632692"/>
      <w:bookmarkStart w:id="396" w:name="_Toc152042452"/>
      <w:bookmarkStart w:id="397" w:name="_Toc144974642"/>
      <w:r>
        <w:rPr>
          <w:rFonts w:hint="eastAsia"/>
          <w:color w:val="auto"/>
        </w:rPr>
        <w:t>9.1 发包人的施工安全责任</w:t>
      </w:r>
      <w:bookmarkEnd w:id="394"/>
      <w:bookmarkEnd w:id="395"/>
      <w:bookmarkEnd w:id="396"/>
      <w:bookmarkEnd w:id="397"/>
    </w:p>
    <w:p>
      <w:pPr>
        <w:spacing w:line="400" w:lineRule="exact"/>
        <w:ind w:firstLine="420" w:firstLineChars="200"/>
        <w:rPr>
          <w:rFonts w:hint="eastAsia"/>
          <w:color w:val="auto"/>
        </w:rPr>
      </w:pPr>
      <w:r>
        <w:rPr>
          <w:rFonts w:hint="eastAsia"/>
          <w:color w:val="auto"/>
        </w:rPr>
        <w:t>9.1.1 发包人应按合同约定履行安全职责，授权监理人按合同约定的安全工作内容监督、检查承包人安全工作的实施，组织承包人和有关单位进行安全检查。</w:t>
      </w:r>
    </w:p>
    <w:p>
      <w:pPr>
        <w:spacing w:line="400" w:lineRule="exact"/>
        <w:ind w:firstLine="420" w:firstLineChars="200"/>
        <w:rPr>
          <w:rFonts w:hint="eastAsia"/>
          <w:color w:val="auto"/>
        </w:rPr>
      </w:pPr>
      <w:r>
        <w:rPr>
          <w:rFonts w:hint="eastAsia"/>
          <w:color w:val="auto"/>
        </w:rPr>
        <w:t>9.1.2 发包人应对其现场机构雇佣的全部人员的工伤事故承担责任，但由于承包人原因造成发包人人员工伤的，应由承包人承担责任。</w:t>
      </w:r>
    </w:p>
    <w:p>
      <w:pPr>
        <w:spacing w:line="400" w:lineRule="exact"/>
        <w:ind w:firstLine="420" w:firstLineChars="200"/>
        <w:rPr>
          <w:rFonts w:hint="eastAsia"/>
          <w:color w:val="auto"/>
        </w:rPr>
      </w:pPr>
      <w:r>
        <w:rPr>
          <w:rFonts w:hint="eastAsia"/>
          <w:color w:val="auto"/>
        </w:rPr>
        <w:t>9.1.3 发包人应负责赔偿以下各种情况造成的第三者人身伤亡和财产损失：</w:t>
      </w:r>
    </w:p>
    <w:p>
      <w:pPr>
        <w:spacing w:line="400" w:lineRule="exact"/>
        <w:ind w:firstLine="420" w:firstLineChars="200"/>
        <w:rPr>
          <w:rFonts w:hint="eastAsia"/>
          <w:color w:val="auto"/>
        </w:rPr>
      </w:pPr>
      <w:r>
        <w:rPr>
          <w:rFonts w:hint="eastAsia"/>
          <w:color w:val="auto"/>
        </w:rPr>
        <w:t>（1） 工程或工程的任何部分对土地的占用所造成的第三者财产损失；</w:t>
      </w:r>
    </w:p>
    <w:p>
      <w:pPr>
        <w:spacing w:line="400" w:lineRule="exact"/>
        <w:ind w:firstLine="420" w:firstLineChars="200"/>
        <w:rPr>
          <w:rFonts w:hint="eastAsia"/>
          <w:color w:val="auto"/>
        </w:rPr>
      </w:pPr>
      <w:r>
        <w:rPr>
          <w:rFonts w:hint="eastAsia"/>
          <w:color w:val="auto"/>
        </w:rPr>
        <w:t>（2） 由于发包人原因在施工场地及其毗邻地带造成的第三者人身伤亡和财产损失。</w:t>
      </w:r>
    </w:p>
    <w:p>
      <w:pPr>
        <w:pStyle w:val="231"/>
        <w:rPr>
          <w:rFonts w:hint="eastAsia"/>
          <w:color w:val="auto"/>
        </w:rPr>
      </w:pPr>
      <w:bookmarkStart w:id="398" w:name="_Toc179632693"/>
      <w:bookmarkStart w:id="399" w:name="_Toc144974643"/>
      <w:bookmarkStart w:id="400" w:name="_Toc152042453"/>
      <w:bookmarkStart w:id="401" w:name="_Toc152045675"/>
      <w:r>
        <w:rPr>
          <w:rFonts w:hint="eastAsia"/>
          <w:color w:val="auto"/>
        </w:rPr>
        <w:t>9.2 承包人的施工安全责任</w:t>
      </w:r>
      <w:bookmarkEnd w:id="398"/>
      <w:bookmarkEnd w:id="399"/>
      <w:bookmarkEnd w:id="400"/>
      <w:bookmarkEnd w:id="401"/>
    </w:p>
    <w:p>
      <w:pPr>
        <w:spacing w:line="400" w:lineRule="exact"/>
        <w:ind w:firstLine="420" w:firstLineChars="200"/>
        <w:rPr>
          <w:rFonts w:hint="eastAsia"/>
          <w:color w:val="auto"/>
        </w:rPr>
      </w:pPr>
      <w:r>
        <w:rPr>
          <w:rFonts w:hint="eastAsia"/>
          <w:color w:val="auto"/>
        </w:rPr>
        <w:t>9.2.1 承包人应按合同约定履行安全职责，执行监理人有关安全工作的指示，并在专用合同条款约定的期限内，按合同约定的安全工作内容，编制施工安全措施计划报送监理人审批。</w:t>
      </w:r>
    </w:p>
    <w:p>
      <w:pPr>
        <w:spacing w:line="400" w:lineRule="exact"/>
        <w:ind w:firstLine="420" w:firstLineChars="200"/>
        <w:rPr>
          <w:rFonts w:hint="eastAsia"/>
          <w:color w:val="auto"/>
        </w:rPr>
      </w:pPr>
      <w:r>
        <w:rPr>
          <w:rFonts w:hint="eastAsia"/>
          <w:color w:val="auto"/>
        </w:rPr>
        <w:t>9.2.2 承包人应加强施工作业安全管理，特别应加强易燃、易爆材料、火工器材、有毒与腐蚀性材料和其他危险品的管理，以及对爆破作业和地下工程施工等危险作业的管理。</w:t>
      </w:r>
    </w:p>
    <w:p>
      <w:pPr>
        <w:spacing w:line="400" w:lineRule="exact"/>
        <w:ind w:firstLine="420" w:firstLineChars="200"/>
        <w:rPr>
          <w:rFonts w:hint="eastAsia"/>
          <w:color w:val="auto"/>
        </w:rPr>
      </w:pPr>
      <w:r>
        <w:rPr>
          <w:rFonts w:hint="eastAsia"/>
          <w:color w:val="auto"/>
        </w:rPr>
        <w:t>9.2.3 承包人应严格按照国家安全标准制定施工安全操作规程，配备必要的安全生产和劳动保护设施，加强对承包人人员的安全教育，并发放安全工作手册和劳动保护用具。</w:t>
      </w:r>
    </w:p>
    <w:p>
      <w:pPr>
        <w:spacing w:line="400" w:lineRule="exact"/>
        <w:ind w:firstLine="420" w:firstLineChars="200"/>
        <w:rPr>
          <w:rFonts w:hint="eastAsia"/>
          <w:color w:val="auto"/>
        </w:rPr>
      </w:pPr>
      <w:r>
        <w:rPr>
          <w:rFonts w:hint="eastAsia"/>
          <w:color w:val="auto"/>
        </w:rPr>
        <w:t>9.2.4 承包人应按监理人的指示制定应对灾害的紧急预案，报送监理人审批。承包人还应按预案做好安全检查，配置必要的救助物资和器材，切实保护好有关人员的人身和财产安全。</w:t>
      </w:r>
    </w:p>
    <w:p>
      <w:pPr>
        <w:spacing w:line="400" w:lineRule="exact"/>
        <w:ind w:firstLine="420" w:firstLineChars="200"/>
        <w:rPr>
          <w:rFonts w:hint="eastAsia"/>
          <w:color w:val="auto"/>
        </w:rPr>
      </w:pPr>
      <w:r>
        <w:rPr>
          <w:rFonts w:hint="eastAsia"/>
          <w:color w:val="auto"/>
        </w:rPr>
        <w:t>9.2.5 合同约定的安全作业环境及安全施工措施所需费用应遵守有关规定，并包括在相关工作的合同价格中。因采取合同未约定的安全作业环境及安全施工措施增加的费用，由监理人按第3.5款商定或确定。</w:t>
      </w:r>
    </w:p>
    <w:p>
      <w:pPr>
        <w:spacing w:line="400" w:lineRule="exact"/>
        <w:ind w:firstLine="420" w:firstLineChars="200"/>
        <w:rPr>
          <w:rFonts w:hint="eastAsia"/>
          <w:color w:val="auto"/>
        </w:rPr>
      </w:pPr>
      <w:r>
        <w:rPr>
          <w:rFonts w:hint="eastAsia"/>
          <w:color w:val="auto"/>
        </w:rPr>
        <w:t>9.2.6 承包人应对其履行合同所雇佣的全部人员，包括分包人人员的工伤事故承担责任，但由于发包人原因造成承包人人员工伤事故的，应由发包人承担责任。</w:t>
      </w:r>
    </w:p>
    <w:p>
      <w:pPr>
        <w:spacing w:line="400" w:lineRule="exact"/>
        <w:ind w:firstLine="420" w:firstLineChars="200"/>
        <w:rPr>
          <w:rFonts w:hint="eastAsia"/>
          <w:color w:val="auto"/>
        </w:rPr>
      </w:pPr>
      <w:r>
        <w:rPr>
          <w:rFonts w:hint="eastAsia"/>
          <w:color w:val="auto"/>
        </w:rPr>
        <w:t>9.2.7 由于承包人原因在施工场地内及其毗邻地带造成的第三者人员伤亡和财产损失，由承包人负责赔偿。</w:t>
      </w:r>
    </w:p>
    <w:p>
      <w:pPr>
        <w:pStyle w:val="231"/>
        <w:rPr>
          <w:rFonts w:hint="eastAsia"/>
          <w:color w:val="auto"/>
        </w:rPr>
      </w:pPr>
      <w:bookmarkStart w:id="402" w:name="_Toc152042454"/>
      <w:bookmarkStart w:id="403" w:name="_Toc152045676"/>
      <w:bookmarkStart w:id="404" w:name="_Toc179632694"/>
      <w:bookmarkStart w:id="405" w:name="_Toc144974644"/>
      <w:r>
        <w:rPr>
          <w:rFonts w:hint="eastAsia"/>
          <w:color w:val="auto"/>
        </w:rPr>
        <w:t>9.3 治安保卫</w:t>
      </w:r>
      <w:bookmarkEnd w:id="402"/>
      <w:bookmarkEnd w:id="403"/>
      <w:bookmarkEnd w:id="404"/>
      <w:bookmarkEnd w:id="405"/>
    </w:p>
    <w:p>
      <w:pPr>
        <w:spacing w:line="400" w:lineRule="exact"/>
        <w:ind w:firstLine="420" w:firstLineChars="200"/>
        <w:rPr>
          <w:rFonts w:hint="eastAsia"/>
          <w:color w:val="auto"/>
        </w:rPr>
      </w:pPr>
      <w:r>
        <w:rPr>
          <w:rFonts w:hint="eastAsia"/>
          <w:color w:val="auto"/>
        </w:rPr>
        <w:t>9.3.1 除合同另有约定外，发包人应与当地公安部门协商，在现场建立治安管理机构或联防组织，统一管理施工场地的治安保卫事项，履行合同工程的治安保卫职责。</w:t>
      </w:r>
    </w:p>
    <w:p>
      <w:pPr>
        <w:spacing w:line="400" w:lineRule="exact"/>
        <w:ind w:firstLine="420" w:firstLineChars="200"/>
        <w:rPr>
          <w:rFonts w:hint="eastAsia"/>
          <w:color w:val="auto"/>
        </w:rPr>
      </w:pPr>
      <w:r>
        <w:rPr>
          <w:rFonts w:hint="eastAsia"/>
          <w:color w:val="auto"/>
        </w:rPr>
        <w:t>9.3.2 发包人和承包人除应协助现场治安管理机构或联防组织维护施工场地的社会治安外，还应做好包括生活区在内的各自管辖区的治安保卫工作。</w:t>
      </w:r>
    </w:p>
    <w:p>
      <w:pPr>
        <w:spacing w:line="400" w:lineRule="exact"/>
        <w:ind w:firstLine="420" w:firstLineChars="200"/>
        <w:rPr>
          <w:rFonts w:hint="eastAsia"/>
          <w:color w:val="auto"/>
        </w:rPr>
      </w:pPr>
      <w:r>
        <w:rPr>
          <w:rFonts w:hint="eastAsia"/>
          <w:color w:val="auto"/>
        </w:rPr>
        <w:t>9.3.3 除合同另有约定外，发包人和承包人应在工程开工后，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减少财产损失和避免人员伤亡。</w:t>
      </w:r>
    </w:p>
    <w:p>
      <w:pPr>
        <w:pStyle w:val="231"/>
        <w:rPr>
          <w:rFonts w:hint="eastAsia"/>
          <w:color w:val="auto"/>
        </w:rPr>
      </w:pPr>
      <w:bookmarkStart w:id="406" w:name="_Toc152045677"/>
      <w:bookmarkStart w:id="407" w:name="_Toc179632695"/>
      <w:bookmarkStart w:id="408" w:name="_Toc152042455"/>
      <w:bookmarkStart w:id="409" w:name="_Toc144974645"/>
      <w:r>
        <w:rPr>
          <w:rFonts w:hint="eastAsia"/>
          <w:color w:val="auto"/>
        </w:rPr>
        <w:t>9.4 环境保护</w:t>
      </w:r>
      <w:bookmarkEnd w:id="406"/>
      <w:bookmarkEnd w:id="407"/>
      <w:bookmarkEnd w:id="408"/>
      <w:bookmarkEnd w:id="409"/>
    </w:p>
    <w:p>
      <w:pPr>
        <w:spacing w:line="400" w:lineRule="exact"/>
        <w:ind w:firstLine="420" w:firstLineChars="200"/>
        <w:rPr>
          <w:rFonts w:hint="eastAsia"/>
          <w:color w:val="auto"/>
        </w:rPr>
      </w:pPr>
      <w:r>
        <w:rPr>
          <w:rFonts w:hint="eastAsia"/>
          <w:color w:val="auto"/>
        </w:rPr>
        <w:t>9.4.1 承包人在施工过程中，应遵守有关环境保护的法律，履行合同约定的环境保护义务，并对违反法律和合同约定义务所造成的环境破坏、人身伤害和财产损失负责。</w:t>
      </w:r>
    </w:p>
    <w:p>
      <w:pPr>
        <w:spacing w:line="400" w:lineRule="exact"/>
        <w:ind w:firstLine="420" w:firstLineChars="200"/>
        <w:rPr>
          <w:rFonts w:hint="eastAsia"/>
          <w:color w:val="auto"/>
        </w:rPr>
      </w:pPr>
      <w:r>
        <w:rPr>
          <w:rFonts w:hint="eastAsia"/>
          <w:color w:val="auto"/>
        </w:rPr>
        <w:t>9.4.2 承包人应按合同约定的环保工作内容，编制施工环保措施计划，报送监理人审批。</w:t>
      </w:r>
    </w:p>
    <w:p>
      <w:pPr>
        <w:spacing w:line="400" w:lineRule="exact"/>
        <w:ind w:firstLine="420" w:firstLineChars="200"/>
        <w:rPr>
          <w:rFonts w:hint="eastAsia"/>
          <w:color w:val="auto"/>
        </w:rPr>
      </w:pPr>
      <w:r>
        <w:rPr>
          <w:rFonts w:hint="eastAsia"/>
          <w:color w:val="auto"/>
        </w:rPr>
        <w:t>9.4.3 承包人应按照批准的施工环保措施计划有序地堆放和处理施工废弃物，避免对环境造成破坏。因承包人任意堆放或弃置施工废弃物造成妨碍公共交通、影响城镇居民生活、降低河流行洪能力、危及居民安全、破坏周边环境，或者影响其他承包人施工等后果的，承包人应承担责任。</w:t>
      </w:r>
    </w:p>
    <w:p>
      <w:pPr>
        <w:spacing w:line="400" w:lineRule="exact"/>
        <w:ind w:firstLine="420" w:firstLineChars="200"/>
        <w:rPr>
          <w:rFonts w:hint="eastAsia"/>
          <w:color w:val="auto"/>
        </w:rPr>
      </w:pPr>
      <w:r>
        <w:rPr>
          <w:rFonts w:hint="eastAsia"/>
          <w:color w:val="auto"/>
        </w:rPr>
        <w:t>9.4.4 承包人应按合同约定采取有效措施，对施工开挖的边坡及时进行支护，维护排水设施，并进行水土保护，避免因施工造成的地质灾害。</w:t>
      </w:r>
    </w:p>
    <w:p>
      <w:pPr>
        <w:spacing w:line="400" w:lineRule="exact"/>
        <w:ind w:firstLine="420" w:firstLineChars="200"/>
        <w:rPr>
          <w:rFonts w:hint="eastAsia"/>
          <w:color w:val="auto"/>
        </w:rPr>
      </w:pPr>
      <w:r>
        <w:rPr>
          <w:rFonts w:hint="eastAsia"/>
          <w:color w:val="auto"/>
        </w:rPr>
        <w:t>9.4.5 承包人应按国家饮用水管理标准定期对饮用水源进行监测，防止施工活动污染饮用水源。</w:t>
      </w:r>
    </w:p>
    <w:p>
      <w:pPr>
        <w:spacing w:line="400" w:lineRule="exact"/>
        <w:ind w:firstLine="420" w:firstLineChars="200"/>
        <w:rPr>
          <w:rFonts w:hint="eastAsia"/>
          <w:color w:val="auto"/>
        </w:rPr>
      </w:pPr>
      <w:r>
        <w:rPr>
          <w:rFonts w:hint="eastAsia"/>
          <w:color w:val="auto"/>
        </w:rPr>
        <w:t>9.4.6 承包人应按合同约定，加强对噪声、粉尘、废气、废水和废油的控制，努力降低噪声，控制粉尘和废气浓度，做好废水和废油的治理和排放。</w:t>
      </w:r>
    </w:p>
    <w:p>
      <w:pPr>
        <w:pStyle w:val="231"/>
        <w:rPr>
          <w:rFonts w:hint="eastAsia"/>
          <w:color w:val="auto"/>
        </w:rPr>
      </w:pPr>
      <w:bookmarkStart w:id="410" w:name="_Toc152045678"/>
      <w:bookmarkStart w:id="411" w:name="_Toc179632696"/>
      <w:bookmarkStart w:id="412" w:name="_Toc152042456"/>
      <w:bookmarkStart w:id="413" w:name="_Toc144974646"/>
      <w:r>
        <w:rPr>
          <w:rFonts w:hint="eastAsia"/>
          <w:color w:val="auto"/>
        </w:rPr>
        <w:t>9.5 事故处理</w:t>
      </w:r>
      <w:bookmarkEnd w:id="410"/>
      <w:bookmarkEnd w:id="411"/>
      <w:bookmarkEnd w:id="412"/>
      <w:bookmarkEnd w:id="413"/>
    </w:p>
    <w:p>
      <w:pPr>
        <w:spacing w:line="400" w:lineRule="exact"/>
        <w:ind w:firstLine="420" w:firstLineChars="200"/>
        <w:rPr>
          <w:rFonts w:hint="eastAsia"/>
          <w:color w:val="auto"/>
        </w:rPr>
      </w:pPr>
      <w:r>
        <w:rPr>
          <w:rFonts w:hint="eastAsia"/>
          <w:color w:val="auto"/>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做出标记和书面记录，妥善保管有关证据。发包人和承包人应按国家有关规定，及时如实地向有关部门报告事故发生的情况，以及正在采取的紧急措施等。</w:t>
      </w:r>
    </w:p>
    <w:p>
      <w:pPr>
        <w:pStyle w:val="224"/>
        <w:rPr>
          <w:rFonts w:hint="eastAsia"/>
          <w:color w:val="auto"/>
        </w:rPr>
      </w:pPr>
      <w:bookmarkStart w:id="414" w:name="_Toc179632697"/>
      <w:bookmarkStart w:id="415" w:name="_Toc152045679"/>
      <w:bookmarkStart w:id="416" w:name="_Toc152042457"/>
      <w:bookmarkStart w:id="417" w:name="_Toc144974647"/>
      <w:r>
        <w:rPr>
          <w:rFonts w:hint="eastAsia"/>
          <w:color w:val="auto"/>
        </w:rPr>
        <w:t>10. 进度计划</w:t>
      </w:r>
      <w:bookmarkEnd w:id="414"/>
      <w:bookmarkEnd w:id="415"/>
      <w:bookmarkEnd w:id="416"/>
      <w:bookmarkEnd w:id="417"/>
    </w:p>
    <w:p>
      <w:pPr>
        <w:pStyle w:val="231"/>
        <w:rPr>
          <w:rFonts w:hint="eastAsia"/>
          <w:color w:val="auto"/>
        </w:rPr>
      </w:pPr>
      <w:bookmarkStart w:id="418" w:name="_Toc152045680"/>
      <w:bookmarkStart w:id="419" w:name="_Toc179632698"/>
      <w:bookmarkStart w:id="420" w:name="_Toc144974648"/>
      <w:bookmarkStart w:id="421" w:name="_Toc152042458"/>
      <w:r>
        <w:rPr>
          <w:rFonts w:hint="eastAsia"/>
          <w:color w:val="auto"/>
        </w:rPr>
        <w:t>10.1 合同进度计划</w:t>
      </w:r>
      <w:bookmarkEnd w:id="418"/>
      <w:bookmarkEnd w:id="419"/>
      <w:bookmarkEnd w:id="420"/>
      <w:bookmarkEnd w:id="421"/>
    </w:p>
    <w:p>
      <w:pPr>
        <w:spacing w:line="400" w:lineRule="exact"/>
        <w:ind w:firstLine="420" w:firstLineChars="200"/>
        <w:rPr>
          <w:rFonts w:hint="eastAsia"/>
          <w:color w:val="auto"/>
        </w:rPr>
      </w:pPr>
      <w:r>
        <w:rPr>
          <w:rFonts w:hint="eastAsia"/>
          <w:color w:val="auto"/>
        </w:rPr>
        <w:t>承包人应按专用合同条款约定的内容和期限，编制详细的施工进度计划和施工方案说明报送监理人。监理人应在专用合同条款约定的期限内批复或提出修改意见，否则该进度计划视为已得到批准。经监理人批准的施工进度计划称合同进度计划，是控制合同工程进度的依据。承包人还应根据合同进度计划，编制更为详细的分阶段或分项进度计划，报监理人审批。</w:t>
      </w:r>
    </w:p>
    <w:p>
      <w:pPr>
        <w:pStyle w:val="231"/>
        <w:rPr>
          <w:rFonts w:hint="eastAsia"/>
          <w:color w:val="auto"/>
        </w:rPr>
      </w:pPr>
      <w:bookmarkStart w:id="422" w:name="_Toc152045681"/>
      <w:bookmarkStart w:id="423" w:name="_Toc144974649"/>
      <w:bookmarkStart w:id="424" w:name="_Toc179632699"/>
      <w:bookmarkStart w:id="425" w:name="_Toc152042459"/>
      <w:r>
        <w:rPr>
          <w:rFonts w:hint="eastAsia"/>
          <w:color w:val="auto"/>
        </w:rPr>
        <w:t>10.2 合同进度计划的修订</w:t>
      </w:r>
      <w:bookmarkEnd w:id="422"/>
      <w:bookmarkEnd w:id="423"/>
      <w:bookmarkEnd w:id="424"/>
      <w:bookmarkEnd w:id="425"/>
    </w:p>
    <w:p>
      <w:pPr>
        <w:spacing w:line="400" w:lineRule="exact"/>
        <w:ind w:firstLine="420" w:firstLineChars="200"/>
        <w:rPr>
          <w:rFonts w:hint="eastAsia"/>
          <w:color w:val="auto"/>
        </w:rPr>
      </w:pPr>
      <w:r>
        <w:rPr>
          <w:rFonts w:hint="eastAsia"/>
          <w:color w:val="auto"/>
        </w:rPr>
        <w:t>不论何种原因造成工程的实际进度与第10.1款的合同进度计划不符时，承包人可以在专用合同条款约定的期限内向监理人提交修订合同进度计划的申请报告，并附有关措施和相关资料，报监理人审批；监理人也可以直接向承包人作出修订合同进度计划的指示，承包人应按该指示修订合同进度计划，报监理人审批。监理人应在专用合同条款约定的期限内批复。监理人在批复前应获得发包人同意。</w:t>
      </w:r>
    </w:p>
    <w:p>
      <w:pPr>
        <w:pStyle w:val="224"/>
        <w:rPr>
          <w:rFonts w:hint="eastAsia"/>
          <w:color w:val="auto"/>
        </w:rPr>
      </w:pPr>
      <w:bookmarkStart w:id="426" w:name="_Toc179632700"/>
      <w:bookmarkStart w:id="427" w:name="_Toc144974650"/>
      <w:bookmarkStart w:id="428" w:name="_Toc152042460"/>
      <w:bookmarkStart w:id="429" w:name="_Toc152045682"/>
      <w:r>
        <w:rPr>
          <w:rFonts w:hint="eastAsia"/>
          <w:color w:val="auto"/>
        </w:rPr>
        <w:t>11. 开工和竣工</w:t>
      </w:r>
      <w:bookmarkEnd w:id="426"/>
      <w:bookmarkEnd w:id="427"/>
      <w:bookmarkEnd w:id="428"/>
      <w:bookmarkEnd w:id="429"/>
    </w:p>
    <w:p>
      <w:pPr>
        <w:pStyle w:val="231"/>
        <w:rPr>
          <w:rFonts w:hint="eastAsia"/>
          <w:color w:val="auto"/>
        </w:rPr>
      </w:pPr>
      <w:bookmarkStart w:id="430" w:name="_Toc144974651"/>
      <w:bookmarkStart w:id="431" w:name="_Toc152045683"/>
      <w:bookmarkStart w:id="432" w:name="_Toc179632701"/>
      <w:bookmarkStart w:id="433" w:name="_Toc152042461"/>
      <w:r>
        <w:rPr>
          <w:rFonts w:hint="eastAsia"/>
          <w:color w:val="auto"/>
        </w:rPr>
        <w:t>11.1 开工</w:t>
      </w:r>
      <w:bookmarkEnd w:id="430"/>
      <w:bookmarkEnd w:id="431"/>
      <w:bookmarkEnd w:id="432"/>
      <w:bookmarkEnd w:id="433"/>
    </w:p>
    <w:p>
      <w:pPr>
        <w:spacing w:line="400" w:lineRule="exact"/>
        <w:ind w:firstLine="420" w:firstLineChars="200"/>
        <w:rPr>
          <w:rFonts w:hint="eastAsia"/>
          <w:color w:val="auto"/>
        </w:rPr>
      </w:pPr>
      <w:r>
        <w:rPr>
          <w:rFonts w:hint="eastAsia"/>
          <w:color w:val="auto"/>
        </w:rPr>
        <w:t>11.1.1 监理人应在开工日期7天前向承包人发出开工通知。监理人在发出开工通知前应获得发包人同意。工期自监理人发出的开工通知中载明的开工日期起计算。承包人应在开工日期后尽快施工。</w:t>
      </w:r>
    </w:p>
    <w:p>
      <w:pPr>
        <w:spacing w:line="400" w:lineRule="exact"/>
        <w:ind w:firstLine="420" w:firstLineChars="200"/>
        <w:rPr>
          <w:rFonts w:hint="eastAsia"/>
          <w:color w:val="auto"/>
          <w:shd w:val="pct10" w:color="auto" w:fill="FFFFFF"/>
        </w:rPr>
      </w:pPr>
      <w:r>
        <w:rPr>
          <w:rFonts w:hint="eastAsia"/>
          <w:color w:val="auto"/>
        </w:rPr>
        <w:t>11.1.2 承包人应按第10.1款约定的合同进度计划，向监理人提交工程开工报审表，经监理人审批后执行。开工报审表应详细说明按合同进度计划正常施工所需的施工道路、临时设施、材料设备、施工人员等施工组织措施的落实情况以及工程的进度安排。</w:t>
      </w:r>
    </w:p>
    <w:p>
      <w:pPr>
        <w:pStyle w:val="231"/>
        <w:rPr>
          <w:rFonts w:hint="eastAsia"/>
          <w:color w:val="auto"/>
        </w:rPr>
      </w:pPr>
      <w:bookmarkStart w:id="434" w:name="_Toc152042462"/>
      <w:bookmarkStart w:id="435" w:name="_Toc179632702"/>
      <w:bookmarkStart w:id="436" w:name="_Toc144974652"/>
      <w:bookmarkStart w:id="437" w:name="_Toc152045684"/>
      <w:r>
        <w:rPr>
          <w:rFonts w:hint="eastAsia"/>
          <w:color w:val="auto"/>
        </w:rPr>
        <w:t>11.2 竣工</w:t>
      </w:r>
      <w:bookmarkEnd w:id="434"/>
      <w:bookmarkEnd w:id="435"/>
      <w:bookmarkEnd w:id="436"/>
      <w:bookmarkEnd w:id="437"/>
    </w:p>
    <w:p>
      <w:pPr>
        <w:spacing w:line="400" w:lineRule="exact"/>
        <w:ind w:firstLine="420" w:firstLineChars="200"/>
        <w:rPr>
          <w:rFonts w:hint="eastAsia"/>
          <w:color w:val="auto"/>
        </w:rPr>
      </w:pPr>
      <w:r>
        <w:rPr>
          <w:rFonts w:hint="eastAsia"/>
          <w:color w:val="auto"/>
        </w:rPr>
        <w:t>承包人应在第1.1.4.3目约定的期限内完成合同工程。实际竣工日期在接收证书中写明。</w:t>
      </w:r>
    </w:p>
    <w:p>
      <w:pPr>
        <w:pStyle w:val="231"/>
        <w:rPr>
          <w:rFonts w:hint="eastAsia"/>
          <w:color w:val="auto"/>
        </w:rPr>
      </w:pPr>
      <w:bookmarkStart w:id="438" w:name="_Toc179632703"/>
      <w:bookmarkStart w:id="439" w:name="_Toc152042463"/>
      <w:bookmarkStart w:id="440" w:name="_Toc144974653"/>
      <w:bookmarkStart w:id="441" w:name="_Toc152045685"/>
      <w:r>
        <w:rPr>
          <w:rFonts w:hint="eastAsia"/>
          <w:color w:val="auto"/>
        </w:rPr>
        <w:t>11.3 发包人的工期延误</w:t>
      </w:r>
      <w:bookmarkEnd w:id="438"/>
      <w:bookmarkEnd w:id="439"/>
      <w:bookmarkEnd w:id="440"/>
      <w:bookmarkEnd w:id="441"/>
    </w:p>
    <w:p>
      <w:pPr>
        <w:spacing w:line="400" w:lineRule="exact"/>
        <w:ind w:firstLine="420" w:firstLineChars="200"/>
        <w:rPr>
          <w:rFonts w:hint="eastAsia"/>
          <w:color w:val="auto"/>
        </w:rPr>
      </w:pPr>
      <w:r>
        <w:rPr>
          <w:rFonts w:hint="eastAsia"/>
          <w:color w:val="auto"/>
        </w:rPr>
        <w:t>在履行合同过程中，由于发包人的下列原因造成工期延误的，承包人有权要求发包人延长工期和（或）增加费用，并支付合理利润。需要修订合同进度计划的，按照第10.2款的约定办理。</w:t>
      </w:r>
    </w:p>
    <w:p>
      <w:pPr>
        <w:spacing w:line="400" w:lineRule="exact"/>
        <w:ind w:firstLine="359" w:firstLineChars="171"/>
        <w:rPr>
          <w:rFonts w:hint="eastAsia"/>
          <w:color w:val="auto"/>
        </w:rPr>
      </w:pPr>
      <w:r>
        <w:rPr>
          <w:rFonts w:hint="eastAsia"/>
          <w:color w:val="auto"/>
        </w:rPr>
        <w:t>（1）增加合同工作内容；</w:t>
      </w:r>
    </w:p>
    <w:p>
      <w:pPr>
        <w:spacing w:line="400" w:lineRule="exact"/>
        <w:ind w:firstLine="359" w:firstLineChars="171"/>
        <w:rPr>
          <w:rFonts w:hint="eastAsia"/>
          <w:color w:val="auto"/>
        </w:rPr>
      </w:pPr>
      <w:r>
        <w:rPr>
          <w:rFonts w:hint="eastAsia"/>
          <w:color w:val="auto"/>
        </w:rPr>
        <w:t>（2）改变合同中任何一项工作的质量要求或其他特性；</w:t>
      </w:r>
    </w:p>
    <w:p>
      <w:pPr>
        <w:spacing w:line="400" w:lineRule="exact"/>
        <w:ind w:firstLine="359" w:firstLineChars="171"/>
        <w:rPr>
          <w:rFonts w:hint="eastAsia"/>
          <w:color w:val="auto"/>
        </w:rPr>
      </w:pPr>
      <w:r>
        <w:rPr>
          <w:rFonts w:hint="eastAsia"/>
          <w:color w:val="auto"/>
        </w:rPr>
        <w:t>（3）发包人迟延提供材料、工程设备或变更交货地点的；</w:t>
      </w:r>
    </w:p>
    <w:p>
      <w:pPr>
        <w:spacing w:line="400" w:lineRule="exact"/>
        <w:ind w:firstLine="359" w:firstLineChars="171"/>
        <w:rPr>
          <w:rFonts w:hint="eastAsia"/>
          <w:color w:val="auto"/>
        </w:rPr>
      </w:pPr>
      <w:r>
        <w:rPr>
          <w:rFonts w:hint="eastAsia"/>
          <w:color w:val="auto"/>
        </w:rPr>
        <w:t>（4）因发包人原因导致的暂停施工；</w:t>
      </w:r>
    </w:p>
    <w:p>
      <w:pPr>
        <w:spacing w:line="400" w:lineRule="exact"/>
        <w:ind w:firstLine="359" w:firstLineChars="171"/>
        <w:rPr>
          <w:rFonts w:hint="eastAsia"/>
          <w:color w:val="auto"/>
        </w:rPr>
      </w:pPr>
      <w:r>
        <w:rPr>
          <w:rFonts w:hint="eastAsia"/>
          <w:color w:val="auto"/>
        </w:rPr>
        <w:t>（5）提供图纸延误；</w:t>
      </w:r>
    </w:p>
    <w:p>
      <w:pPr>
        <w:spacing w:line="400" w:lineRule="exact"/>
        <w:ind w:firstLine="359" w:firstLineChars="171"/>
        <w:rPr>
          <w:rFonts w:hint="eastAsia"/>
          <w:color w:val="auto"/>
        </w:rPr>
      </w:pPr>
      <w:r>
        <w:rPr>
          <w:rFonts w:hint="eastAsia"/>
          <w:color w:val="auto"/>
        </w:rPr>
        <w:t>（6）未按合同约定及时支付预付款、进度款；</w:t>
      </w:r>
    </w:p>
    <w:p>
      <w:pPr>
        <w:spacing w:line="400" w:lineRule="exact"/>
        <w:ind w:firstLine="359" w:firstLineChars="171"/>
        <w:rPr>
          <w:rFonts w:hint="eastAsia"/>
          <w:color w:val="auto"/>
        </w:rPr>
      </w:pPr>
      <w:r>
        <w:rPr>
          <w:rFonts w:hint="eastAsia"/>
          <w:color w:val="auto"/>
        </w:rPr>
        <w:t>（7）发包人造成工期延误的其他原因。</w:t>
      </w:r>
    </w:p>
    <w:p>
      <w:pPr>
        <w:pStyle w:val="231"/>
        <w:rPr>
          <w:rFonts w:hint="eastAsia"/>
          <w:color w:val="auto"/>
        </w:rPr>
      </w:pPr>
      <w:bookmarkStart w:id="442" w:name="_Toc152042464"/>
      <w:bookmarkStart w:id="443" w:name="_Toc144974654"/>
      <w:bookmarkStart w:id="444" w:name="_Toc152045686"/>
      <w:bookmarkStart w:id="445" w:name="_Toc179632704"/>
      <w:r>
        <w:rPr>
          <w:rFonts w:hint="eastAsia"/>
          <w:color w:val="auto"/>
        </w:rPr>
        <w:t>11.4 异常恶劣的气候条件</w:t>
      </w:r>
      <w:bookmarkEnd w:id="442"/>
      <w:bookmarkEnd w:id="443"/>
      <w:bookmarkEnd w:id="444"/>
      <w:bookmarkEnd w:id="445"/>
    </w:p>
    <w:p>
      <w:pPr>
        <w:spacing w:line="400" w:lineRule="exact"/>
        <w:ind w:firstLine="359" w:firstLineChars="171"/>
        <w:rPr>
          <w:rFonts w:hint="eastAsia"/>
          <w:color w:val="auto"/>
        </w:rPr>
      </w:pPr>
      <w:r>
        <w:rPr>
          <w:rFonts w:hint="eastAsia"/>
          <w:color w:val="auto"/>
        </w:rPr>
        <w:t>由于出现专用合同条款规定的异常恶劣气候的条件导致工期延误的，承包人有权要求发包人延长工期。</w:t>
      </w:r>
    </w:p>
    <w:p>
      <w:pPr>
        <w:pStyle w:val="231"/>
        <w:rPr>
          <w:rFonts w:hint="eastAsia"/>
          <w:color w:val="auto"/>
        </w:rPr>
      </w:pPr>
      <w:bookmarkStart w:id="446" w:name="_Toc179632705"/>
      <w:bookmarkStart w:id="447" w:name="_Toc152042465"/>
      <w:bookmarkStart w:id="448" w:name="_Toc152045687"/>
      <w:bookmarkStart w:id="449" w:name="_Toc144974655"/>
      <w:r>
        <w:rPr>
          <w:rFonts w:hint="eastAsia"/>
          <w:color w:val="auto"/>
        </w:rPr>
        <w:t>11.5 承包人的工期延误</w:t>
      </w:r>
      <w:bookmarkEnd w:id="446"/>
      <w:bookmarkEnd w:id="447"/>
      <w:bookmarkEnd w:id="448"/>
      <w:bookmarkEnd w:id="449"/>
    </w:p>
    <w:p>
      <w:pPr>
        <w:spacing w:line="400" w:lineRule="exact"/>
        <w:ind w:firstLine="420" w:firstLineChars="200"/>
        <w:rPr>
          <w:rFonts w:hint="eastAsia"/>
          <w:color w:val="auto"/>
        </w:rPr>
      </w:pPr>
      <w:r>
        <w:rPr>
          <w:rFonts w:hint="eastAsia"/>
          <w:color w:val="auto"/>
        </w:rPr>
        <w:t>由于承包人原因，未能按合同进度计划完成工作，或监理人认为承包人施工进度不能满足合同工期要求的，承包人应采取措施加快进度，并承担加快进度所增加的费用。由于承包人原因造成工期延误，承包人应支付逾期竣工违约金。逾期竣工违约金的计算方法在专用合同条款中约定。承包人支付逾期竣工违约金，不免除承包人完成工程及修补缺陷的义务。</w:t>
      </w:r>
    </w:p>
    <w:p>
      <w:pPr>
        <w:pStyle w:val="231"/>
        <w:rPr>
          <w:rFonts w:hint="eastAsia"/>
          <w:color w:val="auto"/>
        </w:rPr>
      </w:pPr>
      <w:bookmarkStart w:id="450" w:name="_Toc144974656"/>
      <w:bookmarkStart w:id="451" w:name="_Toc152045688"/>
      <w:bookmarkStart w:id="452" w:name="_Toc179632706"/>
      <w:bookmarkStart w:id="453" w:name="_Toc152042466"/>
      <w:r>
        <w:rPr>
          <w:rFonts w:hint="eastAsia"/>
          <w:color w:val="auto"/>
        </w:rPr>
        <w:t>11.6</w:t>
      </w:r>
      <w:bookmarkEnd w:id="450"/>
      <w:bookmarkStart w:id="454" w:name="_Toc144974657"/>
      <w:r>
        <w:rPr>
          <w:rFonts w:hint="eastAsia"/>
          <w:color w:val="auto"/>
        </w:rPr>
        <w:t xml:space="preserve"> 工期提前</w:t>
      </w:r>
      <w:bookmarkEnd w:id="451"/>
      <w:bookmarkEnd w:id="452"/>
      <w:bookmarkEnd w:id="453"/>
      <w:bookmarkEnd w:id="454"/>
    </w:p>
    <w:p>
      <w:pPr>
        <w:spacing w:line="400" w:lineRule="exact"/>
        <w:ind w:firstLine="420" w:firstLineChars="200"/>
        <w:rPr>
          <w:rFonts w:hint="eastAsia"/>
          <w:color w:val="auto"/>
        </w:rPr>
      </w:pPr>
      <w:r>
        <w:rPr>
          <w:rFonts w:hint="eastAsia"/>
          <w:color w:val="auto"/>
        </w:rPr>
        <w:t xml:space="preserve">发包人要求承包人提前竣工，或承包人提出提前竣工的建议能够给发包人带来效益的，应由监理人与承包人共同协商采取加快工程进度的措施和修订合同进度计划。发包人应承担承包人由此增加的费用，并向承包人支付专用合同条款约定的相应奖金。 </w:t>
      </w:r>
    </w:p>
    <w:p>
      <w:pPr>
        <w:pStyle w:val="224"/>
        <w:rPr>
          <w:rFonts w:hint="eastAsia"/>
          <w:color w:val="auto"/>
        </w:rPr>
      </w:pPr>
      <w:bookmarkStart w:id="455" w:name="_Toc152042467"/>
      <w:bookmarkStart w:id="456" w:name="_Toc144974658"/>
      <w:bookmarkStart w:id="457" w:name="_Toc152045689"/>
      <w:bookmarkStart w:id="458" w:name="_Toc179632707"/>
      <w:r>
        <w:rPr>
          <w:rFonts w:hint="eastAsia"/>
          <w:color w:val="auto"/>
        </w:rPr>
        <w:t>12. 暂停施工</w:t>
      </w:r>
      <w:bookmarkEnd w:id="455"/>
      <w:bookmarkEnd w:id="456"/>
      <w:bookmarkEnd w:id="457"/>
      <w:bookmarkEnd w:id="458"/>
    </w:p>
    <w:p>
      <w:pPr>
        <w:pStyle w:val="231"/>
        <w:rPr>
          <w:rFonts w:hint="eastAsia"/>
          <w:color w:val="auto"/>
        </w:rPr>
      </w:pPr>
      <w:bookmarkStart w:id="459" w:name="_Toc152045690"/>
      <w:bookmarkStart w:id="460" w:name="_Toc152042468"/>
      <w:bookmarkStart w:id="461" w:name="_Toc144974659"/>
      <w:bookmarkStart w:id="462" w:name="_Toc179632708"/>
      <w:r>
        <w:rPr>
          <w:rFonts w:hint="eastAsia"/>
          <w:color w:val="auto"/>
        </w:rPr>
        <w:t>12.1 承包人暂停施工的责任</w:t>
      </w:r>
      <w:bookmarkEnd w:id="459"/>
      <w:bookmarkEnd w:id="460"/>
      <w:bookmarkEnd w:id="461"/>
      <w:bookmarkEnd w:id="462"/>
    </w:p>
    <w:p>
      <w:pPr>
        <w:spacing w:line="400" w:lineRule="exact"/>
        <w:ind w:firstLine="420" w:firstLineChars="200"/>
        <w:rPr>
          <w:rFonts w:hint="eastAsia"/>
          <w:color w:val="auto"/>
        </w:rPr>
      </w:pPr>
      <w:r>
        <w:rPr>
          <w:rFonts w:hint="eastAsia"/>
          <w:color w:val="auto"/>
        </w:rPr>
        <w:t>因下列暂停施工增加的费用和（或）工期延误由承包人承担：</w:t>
      </w:r>
    </w:p>
    <w:p>
      <w:pPr>
        <w:spacing w:line="400" w:lineRule="exact"/>
        <w:ind w:firstLine="359" w:firstLineChars="171"/>
        <w:rPr>
          <w:rFonts w:hint="eastAsia"/>
          <w:color w:val="auto"/>
        </w:rPr>
      </w:pPr>
      <w:r>
        <w:rPr>
          <w:rFonts w:hint="eastAsia"/>
          <w:color w:val="auto"/>
        </w:rPr>
        <w:t>（1）承包人违约引起的暂停施工；</w:t>
      </w:r>
    </w:p>
    <w:p>
      <w:pPr>
        <w:spacing w:line="400" w:lineRule="exact"/>
        <w:ind w:firstLine="359" w:firstLineChars="171"/>
        <w:rPr>
          <w:rFonts w:hint="eastAsia"/>
          <w:color w:val="auto"/>
        </w:rPr>
      </w:pPr>
      <w:r>
        <w:rPr>
          <w:rFonts w:hint="eastAsia"/>
          <w:color w:val="auto"/>
        </w:rPr>
        <w:t>（2）由于承包人原因为工程合理施工和安全保障所必需的暂停施工；</w:t>
      </w:r>
    </w:p>
    <w:p>
      <w:pPr>
        <w:spacing w:line="400" w:lineRule="exact"/>
        <w:ind w:firstLine="359" w:firstLineChars="171"/>
        <w:rPr>
          <w:rFonts w:hint="eastAsia"/>
          <w:color w:val="auto"/>
        </w:rPr>
      </w:pPr>
      <w:r>
        <w:rPr>
          <w:rFonts w:hint="eastAsia"/>
          <w:color w:val="auto"/>
        </w:rPr>
        <w:t>（3）承包人擅自暂停施工；</w:t>
      </w:r>
    </w:p>
    <w:p>
      <w:pPr>
        <w:spacing w:line="400" w:lineRule="exact"/>
        <w:ind w:firstLine="359" w:firstLineChars="171"/>
        <w:rPr>
          <w:rFonts w:hint="eastAsia"/>
          <w:color w:val="auto"/>
        </w:rPr>
      </w:pPr>
      <w:r>
        <w:rPr>
          <w:rFonts w:hint="eastAsia"/>
          <w:color w:val="auto"/>
        </w:rPr>
        <w:t>（4）承包人其他原因引起的暂停施工；</w:t>
      </w:r>
    </w:p>
    <w:p>
      <w:pPr>
        <w:spacing w:line="400" w:lineRule="exact"/>
        <w:ind w:firstLine="359" w:firstLineChars="171"/>
        <w:rPr>
          <w:rFonts w:hint="eastAsia"/>
          <w:color w:val="auto"/>
        </w:rPr>
      </w:pPr>
      <w:r>
        <w:rPr>
          <w:rFonts w:hint="eastAsia"/>
          <w:color w:val="auto"/>
        </w:rPr>
        <w:t>（5）专用合同条款约定由承包人承担的其他暂停施工。</w:t>
      </w:r>
    </w:p>
    <w:p>
      <w:pPr>
        <w:pStyle w:val="231"/>
        <w:rPr>
          <w:rFonts w:hint="eastAsia"/>
          <w:color w:val="auto"/>
        </w:rPr>
      </w:pPr>
      <w:bookmarkStart w:id="463" w:name="_Toc144974660"/>
      <w:bookmarkStart w:id="464" w:name="_Toc152045691"/>
      <w:bookmarkStart w:id="465" w:name="_Toc152042469"/>
      <w:bookmarkStart w:id="466" w:name="_Toc179632709"/>
      <w:r>
        <w:rPr>
          <w:rFonts w:hint="eastAsia"/>
          <w:color w:val="auto"/>
        </w:rPr>
        <w:t>12.2 发包人暂停施工的责任</w:t>
      </w:r>
      <w:bookmarkEnd w:id="463"/>
      <w:bookmarkEnd w:id="464"/>
      <w:bookmarkEnd w:id="465"/>
      <w:bookmarkEnd w:id="466"/>
    </w:p>
    <w:p>
      <w:pPr>
        <w:spacing w:line="400" w:lineRule="exact"/>
        <w:ind w:firstLine="420" w:firstLineChars="200"/>
        <w:rPr>
          <w:rFonts w:hint="eastAsia"/>
          <w:color w:val="auto"/>
        </w:rPr>
      </w:pPr>
      <w:r>
        <w:rPr>
          <w:rFonts w:hint="eastAsia"/>
          <w:color w:val="auto"/>
        </w:rPr>
        <w:t>由于发包人原因引起的暂停施工造成工期延误的，承包人有权要求发包人延长工期和（或）增加费用，并支付合理利润。</w:t>
      </w:r>
    </w:p>
    <w:p>
      <w:pPr>
        <w:pStyle w:val="231"/>
        <w:rPr>
          <w:rFonts w:hint="eastAsia"/>
          <w:color w:val="auto"/>
        </w:rPr>
      </w:pPr>
      <w:bookmarkStart w:id="467" w:name="_Toc152042470"/>
      <w:bookmarkStart w:id="468" w:name="_Toc152045692"/>
      <w:bookmarkStart w:id="469" w:name="_Toc144974661"/>
      <w:bookmarkStart w:id="470" w:name="_Toc179632710"/>
      <w:r>
        <w:rPr>
          <w:rFonts w:hint="eastAsia"/>
          <w:color w:val="auto"/>
        </w:rPr>
        <w:t>12.3 监理人暂停施工指示</w:t>
      </w:r>
      <w:bookmarkEnd w:id="467"/>
      <w:bookmarkEnd w:id="468"/>
      <w:bookmarkEnd w:id="469"/>
      <w:bookmarkEnd w:id="470"/>
    </w:p>
    <w:p>
      <w:pPr>
        <w:spacing w:line="400" w:lineRule="exact"/>
        <w:ind w:firstLine="420" w:firstLineChars="200"/>
        <w:rPr>
          <w:rFonts w:hint="eastAsia"/>
          <w:color w:val="auto"/>
        </w:rPr>
      </w:pPr>
      <w:r>
        <w:rPr>
          <w:rFonts w:hint="eastAsia"/>
          <w:color w:val="auto"/>
        </w:rPr>
        <w:t>12.3.1 监理人认为有必要时，可向承包人作出暂停施工的指示，承包人应按监理人指示暂停施工。不论由于何种原因引起的暂停施工，暂停施工期间承包人应负责妥善保护工程并提供安全保障。</w:t>
      </w:r>
    </w:p>
    <w:p>
      <w:pPr>
        <w:spacing w:line="400" w:lineRule="exact"/>
        <w:ind w:firstLine="420" w:firstLineChars="200"/>
        <w:rPr>
          <w:rFonts w:hint="eastAsia"/>
          <w:color w:val="auto"/>
        </w:rPr>
      </w:pPr>
      <w:r>
        <w:rPr>
          <w:rFonts w:hint="eastAsia"/>
          <w:color w:val="auto"/>
        </w:rPr>
        <w:t>12.3.2 由于发包人的原因发生暂停施工的紧急情况，且监理人未及时下达暂停施工指示的，承包人可先暂停施工，并及时向监理人提出暂停施工的书面请求。监理人应在接到书面请求后的24小时内予以答复，逾期未答复的，视为同意承包人的暂停施工请求。</w:t>
      </w:r>
    </w:p>
    <w:p>
      <w:pPr>
        <w:pStyle w:val="231"/>
        <w:rPr>
          <w:rFonts w:hint="eastAsia"/>
          <w:color w:val="auto"/>
        </w:rPr>
      </w:pPr>
      <w:bookmarkStart w:id="471" w:name="_Toc152045693"/>
      <w:bookmarkStart w:id="472" w:name="_Toc152042471"/>
      <w:bookmarkStart w:id="473" w:name="_Toc179632711"/>
      <w:bookmarkStart w:id="474" w:name="_Toc144974662"/>
      <w:r>
        <w:rPr>
          <w:rFonts w:hint="eastAsia"/>
          <w:color w:val="auto"/>
        </w:rPr>
        <w:t>12.4 暂停施工后的复工</w:t>
      </w:r>
      <w:bookmarkEnd w:id="471"/>
      <w:bookmarkEnd w:id="472"/>
      <w:bookmarkEnd w:id="473"/>
      <w:bookmarkEnd w:id="474"/>
    </w:p>
    <w:p>
      <w:pPr>
        <w:spacing w:line="400" w:lineRule="exact"/>
        <w:ind w:firstLine="420" w:firstLineChars="200"/>
        <w:rPr>
          <w:rFonts w:hint="eastAsia"/>
          <w:color w:val="auto"/>
        </w:rPr>
      </w:pPr>
      <w:r>
        <w:rPr>
          <w:rFonts w:hint="eastAsia"/>
          <w:color w:val="auto"/>
        </w:rPr>
        <w:t>12.4.1 暂停施工后，监理人应与发包人和承包人协商，采取有效措施积极消除暂停施工的影响。当工程具备复工条件时，监理人应立即向承包人发出复工通知。承包人收到复工通知后，应在监理人指定的期限内复工。</w:t>
      </w:r>
    </w:p>
    <w:p>
      <w:pPr>
        <w:spacing w:line="400" w:lineRule="exact"/>
        <w:ind w:firstLine="420" w:firstLineChars="200"/>
        <w:rPr>
          <w:rFonts w:hint="eastAsia"/>
          <w:color w:val="auto"/>
        </w:rPr>
      </w:pPr>
      <w:r>
        <w:rPr>
          <w:rFonts w:hint="eastAsia"/>
          <w:color w:val="auto"/>
        </w:rPr>
        <w:t>12.4.2 承包人无故拖延和拒绝复工的，由此增加的费用和工期延误由承包人承担；因发包人原因无法按时复工的，承包人有权要求发包人延长工期和（或）增加费用，并支付合理利润。</w:t>
      </w:r>
    </w:p>
    <w:p>
      <w:pPr>
        <w:pStyle w:val="231"/>
        <w:rPr>
          <w:rFonts w:hint="eastAsia"/>
          <w:color w:val="auto"/>
        </w:rPr>
      </w:pPr>
      <w:bookmarkStart w:id="475" w:name="_Toc144974663"/>
      <w:bookmarkStart w:id="476" w:name="_Toc152045694"/>
      <w:bookmarkStart w:id="477" w:name="_Toc179632712"/>
      <w:bookmarkStart w:id="478" w:name="_Toc152042472"/>
      <w:r>
        <w:rPr>
          <w:rFonts w:hint="eastAsia"/>
          <w:color w:val="auto"/>
        </w:rPr>
        <w:t xml:space="preserve">12.5 </w:t>
      </w:r>
      <w:r>
        <w:rPr>
          <w:color w:val="auto"/>
        </w:rPr>
        <w:t>暂停施工</w:t>
      </w:r>
      <w:r>
        <w:rPr>
          <w:rFonts w:hint="eastAsia"/>
          <w:color w:val="auto"/>
        </w:rPr>
        <w:t>持续56天以上</w:t>
      </w:r>
      <w:bookmarkEnd w:id="475"/>
      <w:bookmarkEnd w:id="476"/>
      <w:bookmarkEnd w:id="477"/>
      <w:bookmarkEnd w:id="478"/>
    </w:p>
    <w:p>
      <w:pPr>
        <w:spacing w:line="400" w:lineRule="exact"/>
        <w:ind w:firstLine="411" w:firstLineChars="196"/>
        <w:rPr>
          <w:rFonts w:hint="eastAsia"/>
          <w:color w:val="auto"/>
        </w:rPr>
      </w:pPr>
      <w:r>
        <w:rPr>
          <w:rFonts w:hint="eastAsia"/>
          <w:color w:val="auto"/>
        </w:rPr>
        <w:t xml:space="preserve">12.5.1 </w:t>
      </w:r>
      <w:r>
        <w:rPr>
          <w:color w:val="auto"/>
        </w:rPr>
        <w:t>监理人</w:t>
      </w:r>
      <w:r>
        <w:rPr>
          <w:rFonts w:hint="eastAsia"/>
          <w:color w:val="auto"/>
        </w:rPr>
        <w:t>发出</w:t>
      </w:r>
      <w:r>
        <w:rPr>
          <w:color w:val="auto"/>
        </w:rPr>
        <w:t>暂停施工指示</w:t>
      </w:r>
      <w:r>
        <w:rPr>
          <w:rFonts w:hint="eastAsia"/>
          <w:color w:val="auto"/>
        </w:rPr>
        <w:t>后56天内未向</w:t>
      </w:r>
      <w:r>
        <w:rPr>
          <w:color w:val="auto"/>
        </w:rPr>
        <w:t>承包人</w:t>
      </w:r>
      <w:r>
        <w:rPr>
          <w:rFonts w:hint="eastAsia"/>
          <w:color w:val="auto"/>
        </w:rPr>
        <w:t>发出复工通知，除了该项停工属于第12.1款的情况外，</w:t>
      </w:r>
      <w:r>
        <w:rPr>
          <w:color w:val="auto"/>
        </w:rPr>
        <w:t>承包人</w:t>
      </w:r>
      <w:r>
        <w:rPr>
          <w:rFonts w:hint="eastAsia"/>
          <w:color w:val="auto"/>
        </w:rPr>
        <w:t>可向</w:t>
      </w:r>
      <w:r>
        <w:rPr>
          <w:color w:val="auto"/>
        </w:rPr>
        <w:t>监理人</w:t>
      </w:r>
      <w:r>
        <w:rPr>
          <w:rFonts w:hint="eastAsia"/>
          <w:color w:val="auto"/>
        </w:rPr>
        <w:t>提交书面通知，要求</w:t>
      </w:r>
      <w:r>
        <w:rPr>
          <w:color w:val="auto"/>
        </w:rPr>
        <w:t>监理人</w:t>
      </w:r>
      <w:r>
        <w:rPr>
          <w:rFonts w:hint="eastAsia"/>
          <w:color w:val="auto"/>
        </w:rPr>
        <w:t>在收到书面通知后28天内准许已</w:t>
      </w:r>
      <w:r>
        <w:rPr>
          <w:color w:val="auto"/>
        </w:rPr>
        <w:t>暂停施工</w:t>
      </w:r>
      <w:r>
        <w:rPr>
          <w:rFonts w:hint="eastAsia"/>
          <w:color w:val="auto"/>
        </w:rPr>
        <w:t>的工程或其中一部分工程继续施工。如</w:t>
      </w:r>
      <w:r>
        <w:rPr>
          <w:color w:val="auto"/>
        </w:rPr>
        <w:t>监理人</w:t>
      </w:r>
      <w:r>
        <w:rPr>
          <w:rFonts w:hint="eastAsia"/>
          <w:color w:val="auto"/>
        </w:rPr>
        <w:t>逾期不予批准，则承包人可以通知</w:t>
      </w:r>
      <w:r>
        <w:rPr>
          <w:color w:val="auto"/>
        </w:rPr>
        <w:t>监理人</w:t>
      </w:r>
      <w:r>
        <w:rPr>
          <w:rFonts w:hint="eastAsia"/>
          <w:color w:val="auto"/>
        </w:rPr>
        <w:t>，将工程受影响的部分视为按第15.1（1）项的可取消工作。如</w:t>
      </w:r>
      <w:r>
        <w:rPr>
          <w:color w:val="auto"/>
        </w:rPr>
        <w:t>暂停施工</w:t>
      </w:r>
      <w:r>
        <w:rPr>
          <w:rFonts w:hint="eastAsia"/>
          <w:color w:val="auto"/>
        </w:rPr>
        <w:t>影响到整个工程，可视为发包人违约，应按第22.2款的规定办理。</w:t>
      </w:r>
    </w:p>
    <w:p>
      <w:pPr>
        <w:spacing w:line="400" w:lineRule="exact"/>
        <w:ind w:firstLine="420" w:firstLineChars="200"/>
        <w:rPr>
          <w:rFonts w:hint="eastAsia"/>
          <w:color w:val="auto"/>
        </w:rPr>
      </w:pPr>
      <w:r>
        <w:rPr>
          <w:rFonts w:hint="eastAsia"/>
          <w:color w:val="auto"/>
        </w:rPr>
        <w:t>12.5.2 由于</w:t>
      </w:r>
      <w:r>
        <w:rPr>
          <w:color w:val="auto"/>
        </w:rPr>
        <w:t>承包人</w:t>
      </w:r>
      <w:r>
        <w:rPr>
          <w:rFonts w:hint="eastAsia"/>
          <w:color w:val="auto"/>
        </w:rPr>
        <w:t>责任引起的</w:t>
      </w:r>
      <w:r>
        <w:rPr>
          <w:color w:val="auto"/>
        </w:rPr>
        <w:t>暂停施工</w:t>
      </w:r>
      <w:r>
        <w:rPr>
          <w:rFonts w:hint="eastAsia"/>
          <w:color w:val="auto"/>
        </w:rPr>
        <w:t>，如</w:t>
      </w:r>
      <w:r>
        <w:rPr>
          <w:color w:val="auto"/>
        </w:rPr>
        <w:t>承包人</w:t>
      </w:r>
      <w:r>
        <w:rPr>
          <w:rFonts w:hint="eastAsia"/>
          <w:color w:val="auto"/>
        </w:rPr>
        <w:t>在收到</w:t>
      </w:r>
      <w:r>
        <w:rPr>
          <w:color w:val="auto"/>
        </w:rPr>
        <w:t>监理人暂停施工指示</w:t>
      </w:r>
      <w:r>
        <w:rPr>
          <w:rFonts w:hint="eastAsia"/>
          <w:color w:val="auto"/>
        </w:rPr>
        <w:t>后56天内不认真采取有效的复工措施，造成工期延误，可视为</w:t>
      </w:r>
      <w:r>
        <w:rPr>
          <w:color w:val="auto"/>
        </w:rPr>
        <w:t>承包人</w:t>
      </w:r>
      <w:r>
        <w:rPr>
          <w:rFonts w:hint="eastAsia"/>
          <w:color w:val="auto"/>
        </w:rPr>
        <w:t>违约，应按第22.1款的规定办理。</w:t>
      </w:r>
    </w:p>
    <w:p>
      <w:pPr>
        <w:pStyle w:val="224"/>
        <w:rPr>
          <w:rFonts w:hint="eastAsia"/>
          <w:color w:val="auto"/>
        </w:rPr>
      </w:pPr>
      <w:bookmarkStart w:id="479" w:name="_Toc144974664"/>
      <w:bookmarkStart w:id="480" w:name="_Toc179632713"/>
      <w:bookmarkStart w:id="481" w:name="_Toc152042473"/>
      <w:bookmarkStart w:id="482" w:name="_Toc152045695"/>
      <w:r>
        <w:rPr>
          <w:rFonts w:hint="eastAsia"/>
          <w:color w:val="auto"/>
        </w:rPr>
        <w:t>13. 工程质量</w:t>
      </w:r>
      <w:bookmarkEnd w:id="479"/>
      <w:bookmarkEnd w:id="480"/>
      <w:bookmarkEnd w:id="481"/>
      <w:bookmarkEnd w:id="482"/>
    </w:p>
    <w:p>
      <w:pPr>
        <w:pStyle w:val="231"/>
        <w:rPr>
          <w:rFonts w:hint="eastAsia"/>
          <w:color w:val="auto"/>
        </w:rPr>
      </w:pPr>
      <w:bookmarkStart w:id="483" w:name="_Toc179632714"/>
      <w:bookmarkStart w:id="484" w:name="_Toc152045696"/>
      <w:bookmarkStart w:id="485" w:name="_Toc144974665"/>
      <w:bookmarkStart w:id="486" w:name="_Toc152042474"/>
      <w:r>
        <w:rPr>
          <w:rFonts w:hint="eastAsia"/>
          <w:color w:val="auto"/>
        </w:rPr>
        <w:t>13.1 工程质量要求</w:t>
      </w:r>
      <w:bookmarkEnd w:id="483"/>
      <w:bookmarkEnd w:id="484"/>
      <w:bookmarkEnd w:id="485"/>
      <w:bookmarkEnd w:id="486"/>
    </w:p>
    <w:p>
      <w:pPr>
        <w:spacing w:line="400" w:lineRule="exact"/>
        <w:ind w:firstLine="420" w:firstLineChars="200"/>
        <w:rPr>
          <w:rFonts w:hint="eastAsia"/>
          <w:color w:val="auto"/>
        </w:rPr>
      </w:pPr>
      <w:r>
        <w:rPr>
          <w:rFonts w:hint="eastAsia"/>
          <w:color w:val="auto"/>
        </w:rPr>
        <w:t>13.1.1 工程质量验收按合同约定验收标准执行。</w:t>
      </w:r>
    </w:p>
    <w:p>
      <w:pPr>
        <w:spacing w:line="400" w:lineRule="exact"/>
        <w:ind w:firstLine="420" w:firstLineChars="200"/>
        <w:rPr>
          <w:rFonts w:hint="eastAsia"/>
          <w:color w:val="auto"/>
        </w:rPr>
      </w:pPr>
      <w:r>
        <w:rPr>
          <w:rFonts w:hint="eastAsia"/>
          <w:color w:val="auto"/>
        </w:rPr>
        <w:t>13.1.2 因承包人原因造成工程质量达不到合同约定验收标准的，监理人有权要求承包人返工直至符合合同要求为止，由此造成的费用增加和（或）工期延误由承包人承担。</w:t>
      </w:r>
    </w:p>
    <w:p>
      <w:pPr>
        <w:spacing w:line="400" w:lineRule="exact"/>
        <w:ind w:firstLine="420" w:firstLineChars="200"/>
        <w:rPr>
          <w:rFonts w:hint="eastAsia"/>
          <w:color w:val="auto"/>
        </w:rPr>
      </w:pPr>
      <w:r>
        <w:rPr>
          <w:rFonts w:hint="eastAsia"/>
          <w:color w:val="auto"/>
        </w:rPr>
        <w:t>13.1.3 因发包人原因造成工程质量达不到合同约定验收标准的，发包人应承担由于承包人返工造成的费用增加和（或）工期延误，并支付承包人合理利润。</w:t>
      </w:r>
    </w:p>
    <w:p>
      <w:pPr>
        <w:pStyle w:val="231"/>
        <w:rPr>
          <w:rFonts w:hint="eastAsia"/>
          <w:color w:val="auto"/>
        </w:rPr>
      </w:pPr>
      <w:bookmarkStart w:id="487" w:name="_Toc152042475"/>
      <w:bookmarkStart w:id="488" w:name="_Toc144974666"/>
      <w:bookmarkStart w:id="489" w:name="_Toc152045697"/>
      <w:bookmarkStart w:id="490" w:name="_Toc179632715"/>
      <w:r>
        <w:rPr>
          <w:rFonts w:hint="eastAsia"/>
          <w:color w:val="auto"/>
        </w:rPr>
        <w:t>13.2 承包人的质量管理</w:t>
      </w:r>
      <w:bookmarkEnd w:id="487"/>
      <w:bookmarkEnd w:id="488"/>
      <w:bookmarkEnd w:id="489"/>
      <w:bookmarkEnd w:id="490"/>
    </w:p>
    <w:p>
      <w:pPr>
        <w:spacing w:line="400" w:lineRule="exact"/>
        <w:ind w:firstLine="420" w:firstLineChars="200"/>
        <w:rPr>
          <w:rFonts w:hint="eastAsia"/>
          <w:color w:val="auto"/>
        </w:rPr>
      </w:pPr>
      <w:r>
        <w:rPr>
          <w:rFonts w:hint="eastAsia"/>
          <w:color w:val="auto"/>
        </w:rPr>
        <w:t>13.2.1 承包人应在施工场地设置专门的质量检查机构，配备专职质量检查人员，建立完善的质量检查制度。承包人应在合同约定的期限内，提交工程质量保证措施文件，包括质量检查机构的组织和岗位责任、质检人员的组成、质量检查程序和实施细则等，报送监理人审批。</w:t>
      </w:r>
    </w:p>
    <w:p>
      <w:pPr>
        <w:spacing w:line="400" w:lineRule="exact"/>
        <w:ind w:firstLine="420" w:firstLineChars="200"/>
        <w:rPr>
          <w:rFonts w:hint="eastAsia"/>
          <w:color w:val="auto"/>
        </w:rPr>
      </w:pPr>
      <w:r>
        <w:rPr>
          <w:rFonts w:hint="eastAsia"/>
          <w:color w:val="auto"/>
        </w:rPr>
        <w:t>13.2.2 承包人应加强对施工人员的质量教育和技术培训，定期考核施工人员的劳动技能，严格执行规范和操作规程。</w:t>
      </w:r>
    </w:p>
    <w:p>
      <w:pPr>
        <w:pStyle w:val="231"/>
        <w:rPr>
          <w:rFonts w:hint="eastAsia"/>
          <w:color w:val="auto"/>
        </w:rPr>
      </w:pPr>
      <w:bookmarkStart w:id="491" w:name="_Toc152045698"/>
      <w:bookmarkStart w:id="492" w:name="_Toc179632716"/>
      <w:bookmarkStart w:id="493" w:name="_Toc152042476"/>
      <w:bookmarkStart w:id="494" w:name="_Toc144974667"/>
      <w:r>
        <w:rPr>
          <w:rFonts w:hint="eastAsia"/>
          <w:color w:val="auto"/>
        </w:rPr>
        <w:t>13.3 承包人的质量检查</w:t>
      </w:r>
      <w:bookmarkEnd w:id="491"/>
      <w:bookmarkEnd w:id="492"/>
      <w:bookmarkEnd w:id="493"/>
      <w:bookmarkEnd w:id="494"/>
    </w:p>
    <w:p>
      <w:pPr>
        <w:spacing w:line="400" w:lineRule="exact"/>
        <w:ind w:firstLine="420" w:firstLineChars="200"/>
        <w:rPr>
          <w:rFonts w:hint="eastAsia"/>
          <w:color w:val="auto"/>
        </w:rPr>
      </w:pPr>
      <w:r>
        <w:rPr>
          <w:rFonts w:hint="eastAsia"/>
          <w:color w:val="auto"/>
        </w:rPr>
        <w:t>承包人应按合同约定对材料、工程设备以及工程的所有部位及其施工工艺进行全过程的质量检查和检验，并作详细记录，编制工程质量报表，报送监理人审查。</w:t>
      </w:r>
    </w:p>
    <w:p>
      <w:pPr>
        <w:pStyle w:val="231"/>
        <w:rPr>
          <w:rFonts w:hint="eastAsia"/>
          <w:color w:val="auto"/>
        </w:rPr>
      </w:pPr>
      <w:bookmarkStart w:id="495" w:name="_Toc144974668"/>
      <w:bookmarkStart w:id="496" w:name="_Toc179632717"/>
      <w:bookmarkStart w:id="497" w:name="_Toc152042477"/>
      <w:bookmarkStart w:id="498" w:name="_Toc152045699"/>
      <w:r>
        <w:rPr>
          <w:rFonts w:hint="eastAsia"/>
          <w:color w:val="auto"/>
        </w:rPr>
        <w:t>13.4 监理人的质量检查</w:t>
      </w:r>
      <w:bookmarkEnd w:id="495"/>
      <w:bookmarkEnd w:id="496"/>
      <w:bookmarkEnd w:id="497"/>
      <w:bookmarkEnd w:id="498"/>
    </w:p>
    <w:p>
      <w:pPr>
        <w:spacing w:line="400" w:lineRule="exact"/>
        <w:ind w:firstLine="420" w:firstLineChars="200"/>
        <w:rPr>
          <w:rFonts w:hint="eastAsia"/>
          <w:color w:val="auto"/>
        </w:rPr>
      </w:pPr>
      <w:r>
        <w:rPr>
          <w:rFonts w:hint="eastAsia"/>
          <w:color w:val="auto"/>
        </w:rPr>
        <w:t>监理人有权对工程的所有部位及其施工工艺、材料和工程设备进行检查和检验。承包人应为监理人的检查和检验提供方便，包括监理人到施工场地，或制造、加工地点，或合同约定的其他地方进行查看和查阅施工原始记录。承包人还应按监理人指示，进行施工场地取样试验、工程复核测量和设备性能检测，提供试验样品、提交试验报告和测量成果以及监理人要求进行的其他工作。监理人的检查和检验，不免除承包人按合同约定应负的责任。</w:t>
      </w:r>
    </w:p>
    <w:p>
      <w:pPr>
        <w:pStyle w:val="231"/>
        <w:rPr>
          <w:rFonts w:hint="eastAsia"/>
          <w:color w:val="auto"/>
        </w:rPr>
      </w:pPr>
      <w:bookmarkStart w:id="499" w:name="_Toc144974669"/>
      <w:bookmarkStart w:id="500" w:name="_Toc179632718"/>
      <w:bookmarkStart w:id="501" w:name="_Toc152045700"/>
      <w:bookmarkStart w:id="502" w:name="_Toc152042478"/>
      <w:r>
        <w:rPr>
          <w:rFonts w:hint="eastAsia"/>
          <w:color w:val="auto"/>
        </w:rPr>
        <w:t>13.5 工程隐蔽部位覆盖前的检查</w:t>
      </w:r>
      <w:bookmarkEnd w:id="499"/>
      <w:bookmarkEnd w:id="500"/>
      <w:bookmarkEnd w:id="501"/>
      <w:bookmarkEnd w:id="502"/>
    </w:p>
    <w:p>
      <w:pPr>
        <w:spacing w:line="400" w:lineRule="exact"/>
        <w:ind w:firstLine="420" w:firstLineChars="200"/>
        <w:rPr>
          <w:rFonts w:hint="eastAsia"/>
          <w:color w:val="auto"/>
        </w:rPr>
      </w:pPr>
      <w:r>
        <w:rPr>
          <w:rFonts w:hint="eastAsia"/>
          <w:color w:val="auto"/>
        </w:rPr>
        <w:t xml:space="preserve">13.5.1 </w:t>
      </w:r>
      <w:r>
        <w:rPr>
          <w:rFonts w:hint="eastAsia" w:ascii="黑体" w:eastAsia="黑体"/>
          <w:color w:val="auto"/>
        </w:rPr>
        <w:t>通知监理人检查</w:t>
      </w:r>
    </w:p>
    <w:p>
      <w:pPr>
        <w:spacing w:line="400" w:lineRule="exact"/>
        <w:ind w:firstLine="420" w:firstLineChars="200"/>
        <w:rPr>
          <w:rFonts w:hint="eastAsia"/>
          <w:color w:val="auto"/>
        </w:rPr>
      </w:pPr>
      <w:r>
        <w:rPr>
          <w:rFonts w:hint="eastAsia"/>
          <w:color w:val="auto"/>
        </w:rPr>
        <w:t>经承包人自检确认的工程隐蔽部位具备覆盖条件后，承包人应通知监理人在约定的期限内检查。承包人的通知应附有自检记录和必要的检查资料。监理人应按时到场检查。经监理人检查确认质量符合隐蔽要求，并在检查记录上签字后，承包人才能进行覆盖。监理人检查确认质量不合格的，承包人应在监理人指示的时间内修整返工后，由监理人重新检查。</w:t>
      </w:r>
    </w:p>
    <w:p>
      <w:pPr>
        <w:spacing w:line="400" w:lineRule="exact"/>
        <w:ind w:firstLine="420" w:firstLineChars="200"/>
        <w:rPr>
          <w:rFonts w:hint="eastAsia"/>
          <w:color w:val="auto"/>
        </w:rPr>
      </w:pPr>
      <w:r>
        <w:rPr>
          <w:rFonts w:hint="eastAsia"/>
          <w:color w:val="auto"/>
        </w:rPr>
        <w:t xml:space="preserve">13.5.2 </w:t>
      </w:r>
      <w:r>
        <w:rPr>
          <w:rFonts w:hint="eastAsia" w:ascii="黑体" w:eastAsia="黑体"/>
          <w:color w:val="auto"/>
        </w:rPr>
        <w:t>监理人未到场检查</w:t>
      </w:r>
    </w:p>
    <w:p>
      <w:pPr>
        <w:spacing w:line="400" w:lineRule="exact"/>
        <w:ind w:firstLine="420" w:firstLineChars="200"/>
        <w:rPr>
          <w:rFonts w:hint="eastAsia"/>
          <w:color w:val="auto"/>
        </w:rPr>
      </w:pPr>
      <w:r>
        <w:rPr>
          <w:rFonts w:hint="eastAsia"/>
          <w:color w:val="auto"/>
        </w:rPr>
        <w:t>监理人未按第13.5.1项约定的时间进行检查的，除监理人另有指示外，承包人可自行完成覆盖工作，并作相应记录报送监理人，监理人应签字确认。监理人事后对检查记录有疑问的，可按第13.5.3项的约定重新检查。</w:t>
      </w:r>
    </w:p>
    <w:p>
      <w:pPr>
        <w:spacing w:line="400" w:lineRule="exact"/>
        <w:ind w:firstLine="420" w:firstLineChars="200"/>
        <w:rPr>
          <w:rFonts w:hint="eastAsia"/>
          <w:color w:val="auto"/>
        </w:rPr>
      </w:pPr>
      <w:r>
        <w:rPr>
          <w:rFonts w:hint="eastAsia"/>
          <w:color w:val="auto"/>
        </w:rPr>
        <w:t xml:space="preserve">13.5.3 </w:t>
      </w:r>
      <w:r>
        <w:rPr>
          <w:rFonts w:hint="eastAsia" w:ascii="黑体" w:eastAsia="黑体"/>
          <w:color w:val="auto"/>
        </w:rPr>
        <w:t>监理人重新检查</w:t>
      </w:r>
    </w:p>
    <w:p>
      <w:pPr>
        <w:spacing w:line="400" w:lineRule="exact"/>
        <w:ind w:firstLine="420" w:firstLineChars="200"/>
        <w:rPr>
          <w:rFonts w:hint="eastAsia"/>
          <w:color w:val="auto"/>
        </w:rPr>
      </w:pPr>
      <w:r>
        <w:rPr>
          <w:rFonts w:hint="eastAsia"/>
          <w:color w:val="auto"/>
        </w:rPr>
        <w:t>承包人按第13.5.1项或第13.5.2项覆盖工程隐蔽部位后，监理人对质量有疑问的，可要求承包人对已覆盖的部位进行钻孔探测或揭开重新检验，承包人应遵照执行，并在检验后重新覆盖恢复原状。经检验证明工程质量符合合同要求的，由发包人承担由此增加的费用和（或）工期延误，并支付承包人合理利润；经检验证明工程质量不符合合同要求的，由此增加的费用和（或）工期延误由承包人承担。</w:t>
      </w:r>
    </w:p>
    <w:p>
      <w:pPr>
        <w:spacing w:line="400" w:lineRule="exact"/>
        <w:ind w:firstLine="420" w:firstLineChars="200"/>
        <w:rPr>
          <w:rFonts w:hint="eastAsia"/>
          <w:color w:val="auto"/>
        </w:rPr>
      </w:pPr>
      <w:r>
        <w:rPr>
          <w:rFonts w:hint="eastAsia"/>
          <w:color w:val="auto"/>
        </w:rPr>
        <w:t xml:space="preserve">13.5.4 </w:t>
      </w:r>
      <w:r>
        <w:rPr>
          <w:rFonts w:hint="eastAsia" w:ascii="黑体" w:eastAsia="黑体"/>
          <w:color w:val="auto"/>
        </w:rPr>
        <w:t>承包人私自覆盖</w:t>
      </w:r>
    </w:p>
    <w:p>
      <w:pPr>
        <w:spacing w:line="400" w:lineRule="exact"/>
        <w:ind w:firstLine="420" w:firstLineChars="200"/>
        <w:rPr>
          <w:rFonts w:hint="eastAsia"/>
          <w:color w:val="auto"/>
        </w:rPr>
      </w:pPr>
      <w:r>
        <w:rPr>
          <w:rFonts w:hint="eastAsia"/>
          <w:color w:val="auto"/>
        </w:rPr>
        <w:t>承包人未通知监理人到场检查，私自将工程隐蔽部位覆盖的，监理人有权指示承包人钻孔探测或揭开检查，由此增加的费用和（或）工期延误由承包人承担。</w:t>
      </w:r>
    </w:p>
    <w:p>
      <w:pPr>
        <w:pStyle w:val="231"/>
        <w:rPr>
          <w:rFonts w:hint="eastAsia"/>
          <w:color w:val="auto"/>
        </w:rPr>
      </w:pPr>
      <w:bookmarkStart w:id="503" w:name="_Toc144974670"/>
      <w:bookmarkStart w:id="504" w:name="_Toc152045701"/>
      <w:bookmarkStart w:id="505" w:name="_Toc179632719"/>
      <w:bookmarkStart w:id="506" w:name="_Toc152042479"/>
      <w:r>
        <w:rPr>
          <w:rFonts w:hint="eastAsia"/>
          <w:color w:val="auto"/>
        </w:rPr>
        <w:t>13.6 清除不合格工程</w:t>
      </w:r>
      <w:bookmarkEnd w:id="503"/>
      <w:bookmarkEnd w:id="504"/>
      <w:bookmarkEnd w:id="505"/>
      <w:bookmarkEnd w:id="506"/>
    </w:p>
    <w:p>
      <w:pPr>
        <w:spacing w:line="400" w:lineRule="exact"/>
        <w:ind w:firstLine="420" w:firstLineChars="200"/>
        <w:rPr>
          <w:rFonts w:hint="eastAsia"/>
          <w:color w:val="auto"/>
        </w:rPr>
      </w:pPr>
      <w:r>
        <w:rPr>
          <w:rFonts w:hint="eastAsia"/>
          <w:color w:val="auto"/>
        </w:rPr>
        <w:t>13.6.1 承包人使用不合格材料、工程设备，或采用不适当的施工工艺，或施工不当，造成工程不合格的，监理人可以随时发出指示，要求承包人立即采取措施进行补救，直至达到合同要求的质量标准，由此增加的费用和（或）工期延误由承包人承担。</w:t>
      </w:r>
    </w:p>
    <w:p>
      <w:pPr>
        <w:spacing w:line="400" w:lineRule="exact"/>
        <w:ind w:firstLine="420" w:firstLineChars="200"/>
        <w:rPr>
          <w:rFonts w:hint="eastAsia"/>
          <w:color w:val="auto"/>
        </w:rPr>
      </w:pPr>
      <w:r>
        <w:rPr>
          <w:rFonts w:hint="eastAsia"/>
          <w:color w:val="auto"/>
        </w:rPr>
        <w:t>13.6.2 由于发包人提供的材料或工程设备不合格造成的工程不合格，需要承包人采取措施补救的，发包人应承担由此增加的费用和（或）工期延误，并支付承包人合理利润。</w:t>
      </w:r>
    </w:p>
    <w:p>
      <w:pPr>
        <w:pStyle w:val="224"/>
        <w:rPr>
          <w:rFonts w:hint="eastAsia"/>
          <w:color w:val="auto"/>
        </w:rPr>
      </w:pPr>
      <w:bookmarkStart w:id="507" w:name="_Toc152042480"/>
      <w:bookmarkStart w:id="508" w:name="_Toc152045702"/>
      <w:bookmarkStart w:id="509" w:name="_Toc144974671"/>
      <w:bookmarkStart w:id="510" w:name="_Toc179632720"/>
      <w:r>
        <w:rPr>
          <w:rFonts w:hint="eastAsia"/>
          <w:color w:val="auto"/>
        </w:rPr>
        <w:t>14. 试验和检验</w:t>
      </w:r>
      <w:bookmarkEnd w:id="507"/>
      <w:bookmarkEnd w:id="508"/>
      <w:bookmarkEnd w:id="509"/>
      <w:bookmarkEnd w:id="510"/>
    </w:p>
    <w:p>
      <w:pPr>
        <w:pStyle w:val="231"/>
        <w:rPr>
          <w:rFonts w:hint="eastAsia"/>
          <w:color w:val="auto"/>
        </w:rPr>
      </w:pPr>
      <w:bookmarkStart w:id="511" w:name="_Toc152042481"/>
      <w:bookmarkStart w:id="512" w:name="_Toc152045703"/>
      <w:bookmarkStart w:id="513" w:name="_Toc179632721"/>
      <w:bookmarkStart w:id="514" w:name="_Toc144974672"/>
      <w:r>
        <w:rPr>
          <w:rFonts w:hint="eastAsia"/>
          <w:color w:val="auto"/>
        </w:rPr>
        <w:t>14.1 材料、工程设备和工程的试验和检验</w:t>
      </w:r>
      <w:bookmarkEnd w:id="511"/>
      <w:bookmarkEnd w:id="512"/>
      <w:bookmarkEnd w:id="513"/>
      <w:bookmarkEnd w:id="514"/>
    </w:p>
    <w:p>
      <w:pPr>
        <w:spacing w:line="400" w:lineRule="exact"/>
        <w:ind w:firstLine="420" w:firstLineChars="200"/>
        <w:rPr>
          <w:rFonts w:hint="eastAsia"/>
          <w:color w:val="auto"/>
        </w:rPr>
      </w:pPr>
      <w:r>
        <w:rPr>
          <w:rFonts w:hint="eastAsia"/>
          <w:color w:val="auto"/>
        </w:rPr>
        <w:t>14.1.1 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pPr>
        <w:spacing w:line="400" w:lineRule="exact"/>
        <w:ind w:firstLine="420" w:firstLineChars="200"/>
        <w:rPr>
          <w:rFonts w:hint="eastAsia"/>
          <w:color w:val="auto"/>
        </w:rPr>
      </w:pPr>
      <w:r>
        <w:rPr>
          <w:rFonts w:hint="eastAsia"/>
          <w:color w:val="auto"/>
        </w:rPr>
        <w:t>14.1.2 监理人未按合同约定派员参加试验和检验的，除监理人另有指示外，承包人可自行试验和检验，并应立即将试验和检验结果报送监理人，监理人应签字确认。</w:t>
      </w:r>
    </w:p>
    <w:p>
      <w:pPr>
        <w:spacing w:line="400" w:lineRule="exact"/>
        <w:ind w:firstLine="420" w:firstLineChars="200"/>
        <w:rPr>
          <w:rFonts w:hint="eastAsia"/>
          <w:color w:val="auto"/>
        </w:rPr>
      </w:pPr>
      <w:r>
        <w:rPr>
          <w:rFonts w:hint="eastAsia"/>
          <w:color w:val="auto"/>
        </w:rPr>
        <w:t>14.1.3 监理人对承包人的试验和检验结果有疑问的，或为查清承包人试验和检验成果的可靠性要求承包人重新试验和检验的，可按合同约定由监理人与承包人共同进行。重新试验和检验的结果证明该项材料、工程设备或工程的质量不符合合同要求的，由此增加的费用和（或）工期延误由承包人承担；重新试验和检验结果证明该项材料、工程设备和工程符合合同要求，由发包人承担由此增加的费用和（或）工期延误，并支付承包人合理利润。</w:t>
      </w:r>
    </w:p>
    <w:p>
      <w:pPr>
        <w:pStyle w:val="231"/>
        <w:rPr>
          <w:rFonts w:hint="eastAsia"/>
          <w:color w:val="auto"/>
        </w:rPr>
      </w:pPr>
      <w:bookmarkStart w:id="515" w:name="_Toc144974673"/>
      <w:bookmarkStart w:id="516" w:name="_Toc152042482"/>
      <w:bookmarkStart w:id="517" w:name="_Toc179632722"/>
      <w:bookmarkStart w:id="518" w:name="_Toc152045704"/>
      <w:r>
        <w:rPr>
          <w:rFonts w:hint="eastAsia"/>
          <w:color w:val="auto"/>
        </w:rPr>
        <w:t>14.2 现场材料试验</w:t>
      </w:r>
      <w:bookmarkEnd w:id="515"/>
      <w:bookmarkEnd w:id="516"/>
      <w:bookmarkEnd w:id="517"/>
      <w:bookmarkEnd w:id="518"/>
    </w:p>
    <w:p>
      <w:pPr>
        <w:spacing w:line="400" w:lineRule="exact"/>
        <w:ind w:firstLine="420" w:firstLineChars="200"/>
        <w:rPr>
          <w:rFonts w:hint="eastAsia"/>
          <w:color w:val="auto"/>
        </w:rPr>
      </w:pPr>
      <w:r>
        <w:rPr>
          <w:rFonts w:hint="eastAsia"/>
          <w:color w:val="auto"/>
        </w:rPr>
        <w:t>14.2.1 承包人根据合同约定或监理人指示进行的现场材料试验，应由承包人提供试验场所、试验人员、试验设备器材以及其他必要的试验条件。</w:t>
      </w:r>
    </w:p>
    <w:p>
      <w:pPr>
        <w:spacing w:line="400" w:lineRule="exact"/>
        <w:ind w:firstLine="420" w:firstLineChars="200"/>
        <w:rPr>
          <w:rFonts w:hint="eastAsia"/>
          <w:color w:val="auto"/>
        </w:rPr>
      </w:pPr>
      <w:r>
        <w:rPr>
          <w:rFonts w:hint="eastAsia"/>
          <w:color w:val="auto"/>
        </w:rPr>
        <w:t>14.2.2 监理人在必要时可以使用承包人的试验场所、试验设备器材以及其他试验条件，进行以工程质量检查为目的的复核性材料试验，承包人应予以协助。</w:t>
      </w:r>
    </w:p>
    <w:p>
      <w:pPr>
        <w:pStyle w:val="231"/>
        <w:rPr>
          <w:rFonts w:hint="eastAsia"/>
          <w:color w:val="auto"/>
        </w:rPr>
      </w:pPr>
      <w:bookmarkStart w:id="519" w:name="_Toc152042483"/>
      <w:bookmarkStart w:id="520" w:name="_Toc144974674"/>
      <w:bookmarkStart w:id="521" w:name="_Toc152045705"/>
      <w:bookmarkStart w:id="522" w:name="_Toc179632723"/>
      <w:r>
        <w:rPr>
          <w:rFonts w:hint="eastAsia"/>
          <w:color w:val="auto"/>
        </w:rPr>
        <w:t>14.3 现场工艺试验</w:t>
      </w:r>
      <w:bookmarkEnd w:id="519"/>
      <w:bookmarkEnd w:id="520"/>
      <w:bookmarkEnd w:id="521"/>
      <w:bookmarkEnd w:id="522"/>
    </w:p>
    <w:p>
      <w:pPr>
        <w:spacing w:line="400" w:lineRule="exact"/>
        <w:ind w:firstLine="420" w:firstLineChars="200"/>
        <w:rPr>
          <w:rFonts w:hint="eastAsia"/>
          <w:color w:val="auto"/>
        </w:rPr>
      </w:pPr>
      <w:r>
        <w:rPr>
          <w:rFonts w:hint="eastAsia"/>
          <w:color w:val="auto"/>
        </w:rPr>
        <w:t>承包人应按合同约定或监理人指示进行现场工艺试验。对大型的现场工艺试验，监理人认为必要时，应由承包人根据监理人提出的工艺试验要求，编制工艺试验措施计划，报送监理人审批。</w:t>
      </w:r>
    </w:p>
    <w:p>
      <w:pPr>
        <w:pStyle w:val="224"/>
        <w:rPr>
          <w:rFonts w:hint="eastAsia"/>
          <w:color w:val="auto"/>
        </w:rPr>
      </w:pPr>
      <w:bookmarkStart w:id="523" w:name="_Toc144974675"/>
      <w:bookmarkStart w:id="524" w:name="_Toc179632724"/>
      <w:bookmarkStart w:id="525" w:name="_Toc152045706"/>
      <w:bookmarkStart w:id="526" w:name="_Toc152042484"/>
      <w:r>
        <w:rPr>
          <w:rFonts w:hint="eastAsia"/>
          <w:color w:val="auto"/>
        </w:rPr>
        <w:t>15. 变更</w:t>
      </w:r>
      <w:bookmarkEnd w:id="523"/>
      <w:bookmarkEnd w:id="524"/>
      <w:bookmarkEnd w:id="525"/>
      <w:bookmarkEnd w:id="526"/>
    </w:p>
    <w:p>
      <w:pPr>
        <w:pStyle w:val="231"/>
        <w:rPr>
          <w:rFonts w:hint="eastAsia"/>
          <w:color w:val="auto"/>
        </w:rPr>
      </w:pPr>
      <w:bookmarkStart w:id="527" w:name="_Toc152042485"/>
      <w:bookmarkStart w:id="528" w:name="_Toc179632725"/>
      <w:bookmarkStart w:id="529" w:name="_Toc144974676"/>
      <w:bookmarkStart w:id="530" w:name="_Toc152045707"/>
      <w:r>
        <w:rPr>
          <w:rFonts w:hint="eastAsia"/>
          <w:color w:val="auto"/>
        </w:rPr>
        <w:t>15.1 变更的范围和内容</w:t>
      </w:r>
      <w:bookmarkEnd w:id="527"/>
      <w:bookmarkEnd w:id="528"/>
      <w:bookmarkEnd w:id="529"/>
      <w:bookmarkEnd w:id="530"/>
    </w:p>
    <w:p>
      <w:pPr>
        <w:spacing w:line="400" w:lineRule="exact"/>
        <w:ind w:firstLine="420" w:firstLineChars="200"/>
        <w:rPr>
          <w:rFonts w:hint="eastAsia"/>
          <w:color w:val="auto"/>
        </w:rPr>
      </w:pPr>
      <w:r>
        <w:rPr>
          <w:rFonts w:hint="eastAsia"/>
          <w:color w:val="auto"/>
        </w:rPr>
        <w:t>除专用合同条款另有约定外，在履行合同中发生以下情形之一，应按照本条规定进行变更。</w:t>
      </w:r>
    </w:p>
    <w:p>
      <w:pPr>
        <w:spacing w:line="400" w:lineRule="exact"/>
        <w:ind w:firstLine="359" w:firstLineChars="171"/>
        <w:rPr>
          <w:rFonts w:hint="eastAsia"/>
          <w:color w:val="auto"/>
        </w:rPr>
      </w:pPr>
      <w:r>
        <w:rPr>
          <w:rFonts w:hint="eastAsia"/>
          <w:color w:val="auto"/>
        </w:rPr>
        <w:t>（1）取消合同中任何一项工作，但被取消的工作不能转由发包人或其他人实施；</w:t>
      </w:r>
    </w:p>
    <w:p>
      <w:pPr>
        <w:spacing w:line="400" w:lineRule="exact"/>
        <w:ind w:firstLine="359" w:firstLineChars="171"/>
        <w:rPr>
          <w:rFonts w:hint="eastAsia"/>
          <w:color w:val="auto"/>
        </w:rPr>
      </w:pPr>
      <w:r>
        <w:rPr>
          <w:rFonts w:hint="eastAsia"/>
          <w:color w:val="auto"/>
        </w:rPr>
        <w:t>（2）改变合同中任何一项工作的质量或其他特性；</w:t>
      </w:r>
    </w:p>
    <w:p>
      <w:pPr>
        <w:spacing w:line="400" w:lineRule="exact"/>
        <w:ind w:firstLine="359" w:firstLineChars="171"/>
        <w:rPr>
          <w:rFonts w:hint="eastAsia"/>
          <w:color w:val="auto"/>
        </w:rPr>
      </w:pPr>
      <w:r>
        <w:rPr>
          <w:rFonts w:hint="eastAsia"/>
          <w:color w:val="auto"/>
        </w:rPr>
        <w:t>（3）改变合同工程的基线、标高、位置或尺寸；</w:t>
      </w:r>
    </w:p>
    <w:p>
      <w:pPr>
        <w:spacing w:line="400" w:lineRule="exact"/>
        <w:ind w:firstLine="359" w:firstLineChars="171"/>
        <w:rPr>
          <w:rFonts w:hint="eastAsia"/>
          <w:color w:val="auto"/>
        </w:rPr>
      </w:pPr>
      <w:r>
        <w:rPr>
          <w:rFonts w:hint="eastAsia"/>
          <w:color w:val="auto"/>
        </w:rPr>
        <w:t>（4）改变合同中任何一项工作的施工时间或改变已批准的施工工艺或顺序；</w:t>
      </w:r>
    </w:p>
    <w:p>
      <w:pPr>
        <w:spacing w:line="400" w:lineRule="exact"/>
        <w:ind w:firstLine="359" w:firstLineChars="171"/>
        <w:rPr>
          <w:rFonts w:hint="eastAsia"/>
          <w:color w:val="auto"/>
        </w:rPr>
      </w:pPr>
      <w:r>
        <w:rPr>
          <w:rFonts w:hint="eastAsia"/>
          <w:color w:val="auto"/>
        </w:rPr>
        <w:t>（5）为完成工程需要追加的额外工作。</w:t>
      </w:r>
    </w:p>
    <w:p>
      <w:pPr>
        <w:pStyle w:val="231"/>
        <w:rPr>
          <w:rFonts w:hint="eastAsia"/>
          <w:color w:val="auto"/>
        </w:rPr>
      </w:pPr>
      <w:bookmarkStart w:id="531" w:name="_Toc152042486"/>
      <w:bookmarkStart w:id="532" w:name="_Toc144974677"/>
      <w:bookmarkStart w:id="533" w:name="_Toc179632726"/>
      <w:bookmarkStart w:id="534" w:name="_Toc152045708"/>
      <w:r>
        <w:rPr>
          <w:rFonts w:hint="eastAsia"/>
          <w:color w:val="auto"/>
        </w:rPr>
        <w:t>15.2 变更权</w:t>
      </w:r>
      <w:bookmarkEnd w:id="531"/>
      <w:bookmarkEnd w:id="532"/>
      <w:bookmarkEnd w:id="533"/>
      <w:bookmarkEnd w:id="534"/>
    </w:p>
    <w:p>
      <w:pPr>
        <w:spacing w:line="400" w:lineRule="exact"/>
        <w:ind w:firstLine="420" w:firstLineChars="200"/>
        <w:rPr>
          <w:rFonts w:hint="eastAsia"/>
          <w:color w:val="auto"/>
        </w:rPr>
      </w:pPr>
      <w:r>
        <w:rPr>
          <w:rFonts w:hint="eastAsia"/>
          <w:color w:val="auto"/>
        </w:rPr>
        <w:t>在履行合同过程中，经发包人同意，监理人可按第15.3款约定的变更程序向承包人作出变更指示，承包人应遵照执行。没有监理人的变更指示，承包人不得擅自变更。</w:t>
      </w:r>
    </w:p>
    <w:p>
      <w:pPr>
        <w:pStyle w:val="231"/>
        <w:rPr>
          <w:rFonts w:hint="eastAsia"/>
          <w:color w:val="auto"/>
        </w:rPr>
      </w:pPr>
      <w:bookmarkStart w:id="535" w:name="_Toc179632727"/>
      <w:bookmarkStart w:id="536" w:name="_Toc152045709"/>
      <w:bookmarkStart w:id="537" w:name="_Toc152042487"/>
      <w:bookmarkStart w:id="538" w:name="_Toc144974678"/>
      <w:r>
        <w:rPr>
          <w:rFonts w:hint="eastAsia"/>
          <w:color w:val="auto"/>
        </w:rPr>
        <w:t>15.3 变更程序</w:t>
      </w:r>
      <w:bookmarkEnd w:id="535"/>
      <w:bookmarkEnd w:id="536"/>
      <w:bookmarkEnd w:id="537"/>
      <w:bookmarkEnd w:id="538"/>
    </w:p>
    <w:p>
      <w:pPr>
        <w:spacing w:line="400" w:lineRule="exact"/>
        <w:ind w:firstLine="420" w:firstLineChars="200"/>
        <w:rPr>
          <w:rFonts w:hint="eastAsia"/>
          <w:color w:val="auto"/>
        </w:rPr>
      </w:pPr>
      <w:r>
        <w:rPr>
          <w:rFonts w:hint="eastAsia"/>
          <w:color w:val="auto"/>
        </w:rPr>
        <w:t xml:space="preserve">15.3.1 </w:t>
      </w:r>
      <w:r>
        <w:rPr>
          <w:rFonts w:hint="eastAsia" w:ascii="黑体" w:eastAsia="黑体"/>
          <w:color w:val="auto"/>
        </w:rPr>
        <w:t>变更的提出</w:t>
      </w:r>
    </w:p>
    <w:p>
      <w:pPr>
        <w:spacing w:line="400" w:lineRule="exact"/>
        <w:ind w:firstLine="420" w:firstLineChars="200"/>
        <w:rPr>
          <w:rFonts w:hint="eastAsia"/>
          <w:color w:val="auto"/>
        </w:rPr>
      </w:pPr>
      <w:r>
        <w:rPr>
          <w:rFonts w:hint="eastAsia"/>
          <w:color w:val="auto"/>
        </w:rPr>
        <w:t xml:space="preserve">（1）在合同履行过程中，可能发生第15.1款约定情形的，监理人可向承包人发出变更意向书。变更意向书应说明变更的具体内容和发包人对变更的时间要求，并附必要的图纸和相关资料。变更意向书应要求承包人提交包括拟实施变更工作的计划、措施和竣工时间等内容的实施方案。发包人同意承包人根据变更意向书要求提交的变更实施方案的，由监理人按第15.3.3项约定发出变更指示。 </w:t>
      </w:r>
    </w:p>
    <w:p>
      <w:pPr>
        <w:spacing w:line="400" w:lineRule="exact"/>
        <w:ind w:firstLine="420" w:firstLineChars="200"/>
        <w:rPr>
          <w:rFonts w:hint="eastAsia"/>
          <w:color w:val="auto"/>
        </w:rPr>
      </w:pPr>
      <w:r>
        <w:rPr>
          <w:rFonts w:hint="eastAsia"/>
          <w:color w:val="auto"/>
        </w:rPr>
        <w:t>（2）在合同履行过程中，发生第15.1款约定情形的，监理人应按照第15.3.3项约定向承包人发出变更指示。</w:t>
      </w:r>
    </w:p>
    <w:p>
      <w:pPr>
        <w:spacing w:line="400" w:lineRule="exact"/>
        <w:ind w:firstLine="420" w:firstLineChars="200"/>
        <w:rPr>
          <w:rFonts w:hint="eastAsia"/>
          <w:color w:val="auto"/>
        </w:rPr>
      </w:pPr>
      <w:r>
        <w:rPr>
          <w:rFonts w:hint="eastAsia"/>
          <w:color w:val="auto"/>
        </w:rPr>
        <w:t>（3）承包人收到监理人按合同约定发出的图纸和文件，经检查认为其中存在第15.1款约定情形的，可向监理人提出书面变更建议。变更建议应阐明要求变更的依据，并附必要的图纸和说明。监理人收到承包人书面建议后，应与发包人共同研究，确认存在变更的，应在收到承包人书面建议后的14天内作出变更指示。经研究后不同意作为变更的，应由监理人书面答复承包人。</w:t>
      </w:r>
    </w:p>
    <w:p>
      <w:pPr>
        <w:spacing w:line="400" w:lineRule="exact"/>
        <w:ind w:firstLine="420" w:firstLineChars="200"/>
        <w:rPr>
          <w:rFonts w:hint="eastAsia"/>
          <w:color w:val="auto"/>
        </w:rPr>
      </w:pPr>
      <w:r>
        <w:rPr>
          <w:rFonts w:hint="eastAsia"/>
          <w:color w:val="auto"/>
        </w:rPr>
        <w:t>（4）若承包人收到监理人的变更意向书后认为难以实施此项变更，应立即通知监理人，说明原因并附详细依据。监理人与承包人和发包人协商后确定撤销</w:t>
      </w:r>
      <w:r>
        <w:rPr>
          <w:rFonts w:hint="eastAsia" w:ascii="宋体" w:hAnsi="宋体"/>
          <w:color w:val="auto"/>
        </w:rPr>
        <w:t>、</w:t>
      </w:r>
      <w:r>
        <w:rPr>
          <w:rFonts w:hint="eastAsia"/>
          <w:color w:val="auto"/>
        </w:rPr>
        <w:t>改变或不改变原变更意向书。</w:t>
      </w:r>
    </w:p>
    <w:p>
      <w:pPr>
        <w:spacing w:line="400" w:lineRule="exact"/>
        <w:ind w:firstLine="420" w:firstLineChars="200"/>
        <w:rPr>
          <w:rFonts w:hint="eastAsia"/>
          <w:color w:val="auto"/>
        </w:rPr>
      </w:pPr>
      <w:r>
        <w:rPr>
          <w:rFonts w:hint="eastAsia"/>
          <w:color w:val="auto"/>
        </w:rPr>
        <w:t xml:space="preserve">15.3.2 </w:t>
      </w:r>
      <w:r>
        <w:rPr>
          <w:rFonts w:hint="eastAsia" w:ascii="黑体" w:eastAsia="黑体"/>
          <w:color w:val="auto"/>
        </w:rPr>
        <w:t>变更估价</w:t>
      </w:r>
    </w:p>
    <w:p>
      <w:pPr>
        <w:spacing w:line="400" w:lineRule="exact"/>
        <w:ind w:firstLine="420" w:firstLineChars="200"/>
        <w:rPr>
          <w:rFonts w:hint="eastAsia"/>
          <w:color w:val="auto"/>
        </w:rPr>
      </w:pPr>
      <w:r>
        <w:rPr>
          <w:rFonts w:hint="eastAsia"/>
          <w:color w:val="auto"/>
        </w:rPr>
        <w:t>（1）除专用合同条款对期限另有约定外，承包人应在收到变更指示或变更意向书后的14天内，向监理人提交变更报价书，报价内容应根据第15.4款约定的估价原则，详细开列变更工作的价格组成及其依据，并附必要的施工方法说明和有关图纸。</w:t>
      </w:r>
    </w:p>
    <w:p>
      <w:pPr>
        <w:spacing w:line="400" w:lineRule="exact"/>
        <w:ind w:firstLine="420" w:firstLineChars="200"/>
        <w:rPr>
          <w:rFonts w:hint="eastAsia"/>
          <w:color w:val="auto"/>
        </w:rPr>
      </w:pPr>
      <w:r>
        <w:rPr>
          <w:rFonts w:hint="eastAsia"/>
          <w:color w:val="auto"/>
        </w:rPr>
        <w:t>（2）变更工作影响工期的，承包人应提出调整工期的具体细节。监理人认为有必要时，可要求承包人提交要求提前或延长工期的施工进度计划及相应施工措施等详细资料。</w:t>
      </w:r>
    </w:p>
    <w:p>
      <w:pPr>
        <w:spacing w:line="400" w:lineRule="exact"/>
        <w:ind w:firstLine="420" w:firstLineChars="200"/>
        <w:rPr>
          <w:rFonts w:hint="eastAsia"/>
          <w:color w:val="auto"/>
        </w:rPr>
      </w:pPr>
      <w:r>
        <w:rPr>
          <w:rFonts w:hint="eastAsia"/>
          <w:color w:val="auto"/>
        </w:rPr>
        <w:t>（3）除专用合同条款对期限另有约定外，监理人收到承包人变更报价书后的14天内，根据第15.4款约定的估价原则，按照第3.5款商定或确定变更价格。</w:t>
      </w:r>
    </w:p>
    <w:p>
      <w:pPr>
        <w:spacing w:line="400" w:lineRule="exact"/>
        <w:ind w:firstLine="420" w:firstLineChars="200"/>
        <w:rPr>
          <w:rFonts w:hint="eastAsia"/>
          <w:color w:val="auto"/>
        </w:rPr>
      </w:pPr>
      <w:r>
        <w:rPr>
          <w:rFonts w:hint="eastAsia"/>
          <w:color w:val="auto"/>
        </w:rPr>
        <w:t xml:space="preserve">15.3.3 </w:t>
      </w:r>
      <w:r>
        <w:rPr>
          <w:rFonts w:hint="eastAsia" w:ascii="黑体" w:eastAsia="黑体"/>
          <w:color w:val="auto"/>
        </w:rPr>
        <w:t>变更指示</w:t>
      </w:r>
    </w:p>
    <w:p>
      <w:pPr>
        <w:spacing w:line="400" w:lineRule="exact"/>
        <w:ind w:firstLine="420" w:firstLineChars="200"/>
        <w:rPr>
          <w:rFonts w:hint="eastAsia"/>
          <w:color w:val="auto"/>
        </w:rPr>
      </w:pPr>
      <w:r>
        <w:rPr>
          <w:rFonts w:hint="eastAsia"/>
          <w:color w:val="auto"/>
        </w:rPr>
        <w:t>（1）变更指示只能由监理人发出。</w:t>
      </w:r>
    </w:p>
    <w:p>
      <w:pPr>
        <w:spacing w:line="400" w:lineRule="exact"/>
        <w:ind w:firstLine="420" w:firstLineChars="200"/>
        <w:rPr>
          <w:rFonts w:hint="eastAsia"/>
          <w:color w:val="auto"/>
        </w:rPr>
      </w:pPr>
      <w:r>
        <w:rPr>
          <w:rFonts w:hint="eastAsia"/>
          <w:color w:val="auto"/>
        </w:rPr>
        <w:t>（2）变更指示应说明变更的目的、范围、变更内容以及变更的工程量及其进度和技术要求，并附有关图纸和文件。承包人收到变更指示后，应按变更指示进行变更工作。</w:t>
      </w:r>
    </w:p>
    <w:p>
      <w:pPr>
        <w:pStyle w:val="231"/>
        <w:rPr>
          <w:rFonts w:hint="eastAsia"/>
          <w:color w:val="auto"/>
        </w:rPr>
      </w:pPr>
      <w:bookmarkStart w:id="539" w:name="_Toc152042488"/>
      <w:bookmarkStart w:id="540" w:name="_Toc144974679"/>
      <w:bookmarkStart w:id="541" w:name="_Toc179632728"/>
      <w:bookmarkStart w:id="542" w:name="_Toc152045710"/>
      <w:r>
        <w:rPr>
          <w:rFonts w:hint="eastAsia"/>
          <w:color w:val="auto"/>
        </w:rPr>
        <w:t>15.4 变更的估价原则</w:t>
      </w:r>
      <w:bookmarkEnd w:id="539"/>
      <w:bookmarkEnd w:id="540"/>
      <w:bookmarkEnd w:id="541"/>
      <w:bookmarkEnd w:id="542"/>
    </w:p>
    <w:p>
      <w:pPr>
        <w:spacing w:line="400" w:lineRule="exact"/>
        <w:ind w:firstLine="420" w:firstLineChars="200"/>
        <w:rPr>
          <w:rFonts w:hint="eastAsia"/>
          <w:color w:val="auto"/>
        </w:rPr>
      </w:pPr>
      <w:r>
        <w:rPr>
          <w:rFonts w:hint="eastAsia"/>
          <w:color w:val="auto"/>
        </w:rPr>
        <w:t>除专用合同条款另有约定外，因变更引起的价格调整按照本款约定处理。</w:t>
      </w:r>
    </w:p>
    <w:p>
      <w:pPr>
        <w:spacing w:line="400" w:lineRule="exact"/>
        <w:ind w:firstLine="420" w:firstLineChars="200"/>
        <w:rPr>
          <w:rFonts w:hint="eastAsia"/>
          <w:color w:val="auto"/>
        </w:rPr>
      </w:pPr>
      <w:r>
        <w:rPr>
          <w:rFonts w:hint="eastAsia"/>
          <w:color w:val="auto"/>
        </w:rPr>
        <w:t>15.4.1 已标价工程量清单中有适用于变更工作的子目的，采用该子目的单价。</w:t>
      </w:r>
    </w:p>
    <w:p>
      <w:pPr>
        <w:spacing w:line="400" w:lineRule="exact"/>
        <w:ind w:firstLine="420" w:firstLineChars="200"/>
        <w:rPr>
          <w:rFonts w:hint="eastAsia"/>
          <w:color w:val="auto"/>
        </w:rPr>
      </w:pPr>
      <w:r>
        <w:rPr>
          <w:rFonts w:hint="eastAsia"/>
          <w:color w:val="auto"/>
        </w:rPr>
        <w:t>15.4.2 已标价工程量清单中无适用于变更工作的子目，但有类似子目的，可在合理范围内参照类似子目的单价，由监理人按第3.5款商定或确定变更工作的单价。</w:t>
      </w:r>
    </w:p>
    <w:p>
      <w:pPr>
        <w:spacing w:line="400" w:lineRule="exact"/>
        <w:ind w:firstLine="420" w:firstLineChars="200"/>
        <w:rPr>
          <w:rFonts w:hint="eastAsia"/>
          <w:color w:val="auto"/>
        </w:rPr>
      </w:pPr>
      <w:r>
        <w:rPr>
          <w:rFonts w:hint="eastAsia"/>
          <w:color w:val="auto"/>
        </w:rPr>
        <w:t>15.4.3 已标价工程量清单中无适用或类似子目的单价，可按照成本加利润的原则，由监理人按第3.5款商定或确定变更工作的单价。</w:t>
      </w:r>
    </w:p>
    <w:p>
      <w:pPr>
        <w:pStyle w:val="231"/>
        <w:rPr>
          <w:rFonts w:hint="eastAsia"/>
          <w:color w:val="auto"/>
        </w:rPr>
      </w:pPr>
      <w:bookmarkStart w:id="543" w:name="_Toc179632729"/>
      <w:bookmarkStart w:id="544" w:name="_Toc152042489"/>
      <w:bookmarkStart w:id="545" w:name="_Toc152045711"/>
      <w:bookmarkStart w:id="546" w:name="_Toc144974680"/>
      <w:r>
        <w:rPr>
          <w:rFonts w:hint="eastAsia"/>
          <w:color w:val="auto"/>
        </w:rPr>
        <w:t>15.5 承包人的合理化建议</w:t>
      </w:r>
      <w:bookmarkEnd w:id="543"/>
      <w:bookmarkEnd w:id="544"/>
      <w:bookmarkEnd w:id="545"/>
      <w:bookmarkEnd w:id="546"/>
    </w:p>
    <w:p>
      <w:pPr>
        <w:spacing w:line="400" w:lineRule="exact"/>
        <w:ind w:firstLine="420" w:firstLineChars="200"/>
        <w:rPr>
          <w:rFonts w:hint="eastAsia"/>
          <w:color w:val="auto"/>
        </w:rPr>
      </w:pPr>
      <w:r>
        <w:rPr>
          <w:rFonts w:hint="eastAsia"/>
          <w:color w:val="auto"/>
        </w:rPr>
        <w:t>15.5.1 在履行合同过程中，承包人对发包人提供的图纸、技术要求以及其他方面提出的合理化建议，均应以书面形式提交监理人。合理化建议书的内容应包括建议工作的详细说明、进度计划和效益以及与其他工作的协调等，并附必要的设计文件。监理人应与发包人协商是否采纳建议。建议被采纳并构成变更的，应按第15.3.3项约定向承包人发出变更指示。</w:t>
      </w:r>
    </w:p>
    <w:p>
      <w:pPr>
        <w:spacing w:line="400" w:lineRule="exact"/>
        <w:ind w:firstLine="420" w:firstLineChars="200"/>
        <w:rPr>
          <w:rFonts w:hint="eastAsia"/>
          <w:color w:val="auto"/>
        </w:rPr>
      </w:pPr>
      <w:r>
        <w:rPr>
          <w:rFonts w:hint="eastAsia"/>
          <w:color w:val="auto"/>
        </w:rPr>
        <w:t>15.5.2 承包人提出的合理化建议降低了合同价格、缩短了工期或者提高了工程经济效益的，发包人可按国家有关规定在专用合同条款中约定给予奖励。</w:t>
      </w:r>
    </w:p>
    <w:p>
      <w:pPr>
        <w:pStyle w:val="231"/>
        <w:rPr>
          <w:rFonts w:hint="eastAsia"/>
          <w:color w:val="auto"/>
        </w:rPr>
      </w:pPr>
      <w:bookmarkStart w:id="547" w:name="_Toc179632730"/>
      <w:bookmarkStart w:id="548" w:name="_Toc152042490"/>
      <w:bookmarkStart w:id="549" w:name="_Toc144974681"/>
      <w:bookmarkStart w:id="550" w:name="_Toc152045712"/>
      <w:r>
        <w:rPr>
          <w:rFonts w:hint="eastAsia"/>
          <w:color w:val="auto"/>
        </w:rPr>
        <w:t>15.6 暂列金额</w:t>
      </w:r>
      <w:bookmarkEnd w:id="547"/>
      <w:bookmarkEnd w:id="548"/>
      <w:bookmarkEnd w:id="549"/>
      <w:bookmarkEnd w:id="550"/>
    </w:p>
    <w:p>
      <w:pPr>
        <w:spacing w:line="400" w:lineRule="exact"/>
        <w:ind w:firstLine="420" w:firstLineChars="200"/>
        <w:rPr>
          <w:rFonts w:hint="eastAsia"/>
          <w:color w:val="auto"/>
        </w:rPr>
      </w:pPr>
      <w:r>
        <w:rPr>
          <w:rFonts w:hint="eastAsia"/>
          <w:color w:val="auto"/>
        </w:rPr>
        <w:t>暂列金额只能按照监理人的指示使用，并对合同价格进行相应调整。</w:t>
      </w:r>
    </w:p>
    <w:p>
      <w:pPr>
        <w:pStyle w:val="231"/>
        <w:rPr>
          <w:rFonts w:hint="eastAsia"/>
          <w:color w:val="auto"/>
        </w:rPr>
      </w:pPr>
      <w:bookmarkStart w:id="551" w:name="_Toc152045713"/>
      <w:bookmarkStart w:id="552" w:name="_Toc144974682"/>
      <w:bookmarkStart w:id="553" w:name="_Toc152042491"/>
      <w:bookmarkStart w:id="554" w:name="_Toc179632731"/>
      <w:r>
        <w:rPr>
          <w:rFonts w:hint="eastAsia"/>
          <w:color w:val="auto"/>
        </w:rPr>
        <w:t>15.7 计日工</w:t>
      </w:r>
      <w:bookmarkEnd w:id="551"/>
      <w:bookmarkEnd w:id="552"/>
      <w:bookmarkEnd w:id="553"/>
      <w:bookmarkEnd w:id="554"/>
    </w:p>
    <w:p>
      <w:pPr>
        <w:spacing w:line="400" w:lineRule="exact"/>
        <w:ind w:firstLine="420" w:firstLineChars="200"/>
        <w:rPr>
          <w:rFonts w:hint="eastAsia"/>
          <w:color w:val="auto"/>
          <w:shd w:val="pct10" w:color="auto" w:fill="FFFFFF"/>
        </w:rPr>
      </w:pPr>
      <w:r>
        <w:rPr>
          <w:rFonts w:hint="eastAsia"/>
          <w:color w:val="auto"/>
        </w:rPr>
        <w:t>15.7.1 发包人认为有必要时，</w:t>
      </w:r>
      <w:r>
        <w:rPr>
          <w:rFonts w:hint="eastAsia"/>
          <w:color w:val="auto"/>
          <w:szCs w:val="21"/>
        </w:rPr>
        <w:t>由</w:t>
      </w:r>
      <w:r>
        <w:rPr>
          <w:rFonts w:hint="eastAsia"/>
          <w:color w:val="auto"/>
        </w:rPr>
        <w:t>监理人通知承包人以计日工方式实施变更的零星工作。其价款按列入已标价工程量清单中的计日工计价子目及其单价进行计算。</w:t>
      </w:r>
    </w:p>
    <w:p>
      <w:pPr>
        <w:spacing w:line="400" w:lineRule="exact"/>
        <w:ind w:firstLine="420" w:firstLineChars="200"/>
        <w:rPr>
          <w:rFonts w:hint="eastAsia"/>
          <w:color w:val="auto"/>
        </w:rPr>
      </w:pPr>
      <w:r>
        <w:rPr>
          <w:rFonts w:hint="eastAsia"/>
          <w:color w:val="auto"/>
        </w:rPr>
        <w:t>15.7.2 采用计日工计价的任何一项变更工作，应从暂列金额中支付，承包人应在该项变更的实施过程中，每天提交以下报表和有关凭证报送监理人审批：</w:t>
      </w:r>
    </w:p>
    <w:p>
      <w:pPr>
        <w:spacing w:line="400" w:lineRule="exact"/>
        <w:ind w:firstLine="718" w:firstLineChars="342"/>
        <w:rPr>
          <w:rFonts w:hint="eastAsia"/>
          <w:color w:val="auto"/>
        </w:rPr>
      </w:pPr>
      <w:r>
        <w:rPr>
          <w:rFonts w:hint="eastAsia"/>
          <w:color w:val="auto"/>
        </w:rPr>
        <w:t>（1）工作名称、内容和数量；</w:t>
      </w:r>
    </w:p>
    <w:p>
      <w:pPr>
        <w:spacing w:line="400" w:lineRule="exact"/>
        <w:ind w:firstLine="718" w:firstLineChars="342"/>
        <w:rPr>
          <w:rFonts w:hint="eastAsia"/>
          <w:color w:val="auto"/>
        </w:rPr>
      </w:pPr>
      <w:r>
        <w:rPr>
          <w:rFonts w:hint="eastAsia"/>
          <w:color w:val="auto"/>
        </w:rPr>
        <w:t>（2）投入该工作所有人员的姓名、工种、级别和耗用工时；</w:t>
      </w:r>
    </w:p>
    <w:p>
      <w:pPr>
        <w:spacing w:line="400" w:lineRule="exact"/>
        <w:ind w:firstLine="718" w:firstLineChars="342"/>
        <w:rPr>
          <w:rFonts w:hint="eastAsia"/>
          <w:color w:val="auto"/>
        </w:rPr>
      </w:pPr>
      <w:r>
        <w:rPr>
          <w:rFonts w:hint="eastAsia"/>
          <w:color w:val="auto"/>
        </w:rPr>
        <w:t>（3）投入该工作的材料类别和数量；</w:t>
      </w:r>
    </w:p>
    <w:p>
      <w:pPr>
        <w:spacing w:line="400" w:lineRule="exact"/>
        <w:ind w:firstLine="718" w:firstLineChars="342"/>
        <w:rPr>
          <w:rFonts w:hint="eastAsia"/>
          <w:color w:val="auto"/>
        </w:rPr>
      </w:pPr>
      <w:r>
        <w:rPr>
          <w:rFonts w:hint="eastAsia"/>
          <w:color w:val="auto"/>
        </w:rPr>
        <w:t>（4）投入该工作的施工设备型号、台数和耗用台时；</w:t>
      </w:r>
    </w:p>
    <w:p>
      <w:pPr>
        <w:spacing w:line="400" w:lineRule="exact"/>
        <w:ind w:firstLine="718" w:firstLineChars="342"/>
        <w:rPr>
          <w:rFonts w:hint="eastAsia"/>
          <w:color w:val="auto"/>
        </w:rPr>
      </w:pPr>
      <w:r>
        <w:rPr>
          <w:rFonts w:hint="eastAsia"/>
          <w:color w:val="auto"/>
        </w:rPr>
        <w:t>（5）监理人要求提交的其他资料和凭证。</w:t>
      </w:r>
    </w:p>
    <w:p>
      <w:pPr>
        <w:spacing w:line="400" w:lineRule="exact"/>
        <w:ind w:firstLine="420" w:firstLineChars="200"/>
        <w:rPr>
          <w:rFonts w:hint="eastAsia"/>
          <w:color w:val="auto"/>
        </w:rPr>
      </w:pPr>
      <w:r>
        <w:rPr>
          <w:rFonts w:hint="eastAsia"/>
          <w:color w:val="auto"/>
        </w:rPr>
        <w:t>15.7.3 计日工由承包人汇总后，按第17.3.2项的约定列入进度付款申请单，由监理人复核并经发包人同意后列入进度付款。</w:t>
      </w:r>
    </w:p>
    <w:p>
      <w:pPr>
        <w:pStyle w:val="231"/>
        <w:rPr>
          <w:rFonts w:hint="eastAsia"/>
          <w:color w:val="auto"/>
        </w:rPr>
      </w:pPr>
      <w:bookmarkStart w:id="555" w:name="_Toc152045714"/>
      <w:bookmarkStart w:id="556" w:name="_Toc144974683"/>
      <w:bookmarkStart w:id="557" w:name="_Toc152042492"/>
      <w:bookmarkStart w:id="558" w:name="_Toc179632732"/>
      <w:r>
        <w:rPr>
          <w:rFonts w:hint="eastAsia"/>
          <w:color w:val="auto"/>
        </w:rPr>
        <w:t>15.8 暂估价</w:t>
      </w:r>
      <w:bookmarkEnd w:id="555"/>
      <w:bookmarkEnd w:id="556"/>
      <w:bookmarkEnd w:id="557"/>
      <w:bookmarkEnd w:id="558"/>
    </w:p>
    <w:p>
      <w:pPr>
        <w:spacing w:line="400" w:lineRule="exact"/>
        <w:rPr>
          <w:rFonts w:hint="eastAsia"/>
          <w:color w:val="auto"/>
        </w:rPr>
      </w:pPr>
      <w:r>
        <w:rPr>
          <w:rFonts w:hint="eastAsia"/>
          <w:color w:val="auto"/>
        </w:rPr>
        <w:t xml:space="preserve">    15.8.1 发包人在工程量清单中给定暂估价的材料、工程设备和专业工程属于依法必须招标的范围并达到规定的规模标准的，由发包人和承包人以招标的方式选择供应商或分包人。发包人和承包人的权利义务关系在专用合同条款中约定。中标金额与工程量清单中所列的暂估价的金额差以及相应的税金等其他费用列入合同价格。</w:t>
      </w:r>
    </w:p>
    <w:p>
      <w:pPr>
        <w:spacing w:line="400" w:lineRule="exact"/>
        <w:ind w:firstLine="420" w:firstLineChars="200"/>
        <w:rPr>
          <w:rFonts w:hint="eastAsia"/>
          <w:color w:val="auto"/>
        </w:rPr>
      </w:pPr>
      <w:r>
        <w:rPr>
          <w:rFonts w:hint="eastAsia"/>
          <w:color w:val="auto"/>
        </w:rPr>
        <w:t>15.8.2 发包人在工程量清单中给定暂估价的材料和工程设备不属于依法必须招标的范围或未达到规定的规模标准的，应由承包人按第5.1款的约定提供。经监理人确认的材料、工程设备的价格与工程量清单中所列的暂估价的金额差以及相应的税金等其他费用列入合同价格。</w:t>
      </w:r>
    </w:p>
    <w:p>
      <w:pPr>
        <w:spacing w:line="400" w:lineRule="exact"/>
        <w:ind w:firstLine="420" w:firstLineChars="200"/>
        <w:rPr>
          <w:rFonts w:hint="eastAsia"/>
          <w:color w:val="auto"/>
        </w:rPr>
      </w:pPr>
      <w:r>
        <w:rPr>
          <w:rFonts w:hint="eastAsia"/>
          <w:color w:val="auto"/>
        </w:rPr>
        <w:t>15.8.3 发包人在工程量清单中给定暂估价的专业工程不属于依法必须招标的范围或未达到规定的规模标准的，由监理人按照第15.4款进行估价，但专用合同条款另有约定的除外。经估价的专业工程与工程量清单中所列的暂估价的金额差以及相应的税金等其他费用列入合同价格。</w:t>
      </w:r>
    </w:p>
    <w:p>
      <w:pPr>
        <w:pStyle w:val="224"/>
        <w:rPr>
          <w:rFonts w:hint="eastAsia"/>
          <w:color w:val="auto"/>
        </w:rPr>
      </w:pPr>
      <w:bookmarkStart w:id="559" w:name="_Toc144974684"/>
      <w:bookmarkStart w:id="560" w:name="_Toc152045715"/>
      <w:bookmarkStart w:id="561" w:name="_Toc179632733"/>
      <w:bookmarkStart w:id="562" w:name="_Toc152042493"/>
      <w:r>
        <w:rPr>
          <w:rFonts w:hint="eastAsia"/>
          <w:color w:val="auto"/>
        </w:rPr>
        <w:t>16. 价格调整</w:t>
      </w:r>
      <w:bookmarkEnd w:id="559"/>
      <w:bookmarkEnd w:id="560"/>
      <w:bookmarkEnd w:id="561"/>
      <w:bookmarkEnd w:id="562"/>
    </w:p>
    <w:p>
      <w:pPr>
        <w:pStyle w:val="231"/>
        <w:rPr>
          <w:rFonts w:hint="eastAsia"/>
          <w:color w:val="auto"/>
        </w:rPr>
      </w:pPr>
      <w:bookmarkStart w:id="563" w:name="_Toc152042494"/>
      <w:bookmarkStart w:id="564" w:name="_Toc152045716"/>
      <w:bookmarkStart w:id="565" w:name="_Toc179632734"/>
      <w:bookmarkStart w:id="566" w:name="_Toc144974685"/>
      <w:r>
        <w:rPr>
          <w:rFonts w:hint="eastAsia"/>
          <w:color w:val="auto"/>
        </w:rPr>
        <w:t>16.1 物价波动引起的价格调整</w:t>
      </w:r>
      <w:bookmarkEnd w:id="563"/>
      <w:bookmarkEnd w:id="564"/>
      <w:bookmarkEnd w:id="565"/>
      <w:bookmarkEnd w:id="566"/>
    </w:p>
    <w:p>
      <w:pPr>
        <w:spacing w:line="400" w:lineRule="exact"/>
        <w:ind w:firstLine="420" w:firstLineChars="200"/>
        <w:rPr>
          <w:rFonts w:hint="eastAsia"/>
          <w:color w:val="auto"/>
        </w:rPr>
      </w:pPr>
      <w:r>
        <w:rPr>
          <w:rFonts w:hint="eastAsia"/>
          <w:color w:val="auto"/>
        </w:rPr>
        <w:t>除专用合同条款另有约定外，因物价波动引起的价格调整按照本款约定处理。</w:t>
      </w:r>
    </w:p>
    <w:p>
      <w:pPr>
        <w:spacing w:line="400" w:lineRule="exact"/>
        <w:ind w:firstLine="420" w:firstLineChars="200"/>
        <w:rPr>
          <w:rFonts w:hint="eastAsia"/>
          <w:color w:val="auto"/>
        </w:rPr>
      </w:pPr>
      <w:r>
        <w:rPr>
          <w:rFonts w:hint="eastAsia"/>
          <w:color w:val="auto"/>
        </w:rPr>
        <w:t xml:space="preserve">16.1.1 </w:t>
      </w:r>
      <w:r>
        <w:rPr>
          <w:rFonts w:hint="eastAsia" w:ascii="黑体" w:eastAsia="黑体"/>
          <w:color w:val="auto"/>
        </w:rPr>
        <w:t>采用价格指数调整价格差额</w:t>
      </w:r>
    </w:p>
    <w:p>
      <w:pPr>
        <w:spacing w:line="400" w:lineRule="exact"/>
        <w:ind w:firstLine="420" w:firstLineChars="200"/>
        <w:rPr>
          <w:rFonts w:hint="eastAsia"/>
          <w:color w:val="auto"/>
        </w:rPr>
      </w:pPr>
      <w:r>
        <w:rPr>
          <w:rFonts w:hint="eastAsia"/>
          <w:color w:val="auto"/>
        </w:rPr>
        <w:t>16.1.1.1 价格调整公式</w:t>
      </w:r>
    </w:p>
    <w:p>
      <w:pPr>
        <w:spacing w:line="400" w:lineRule="exact"/>
        <w:ind w:firstLine="420" w:firstLineChars="200"/>
        <w:rPr>
          <w:rFonts w:hint="eastAsia"/>
          <w:color w:val="auto"/>
        </w:rPr>
      </w:pPr>
      <w:r>
        <w:rPr>
          <w:rFonts w:hint="eastAsia"/>
          <w:color w:val="auto"/>
        </w:rPr>
        <w:t>因人工、材料和设备等价格波动影响合同价格时，根据投标函附录中的价格指数和权重表约定的数据，按以下公式计算差额并调整合同价格。</w:t>
      </w:r>
    </w:p>
    <w:p>
      <w:pPr>
        <w:autoSpaceDE w:val="0"/>
        <w:autoSpaceDN w:val="0"/>
        <w:adjustRightInd w:val="0"/>
        <w:spacing w:line="1200" w:lineRule="exact"/>
        <w:ind w:right="248" w:firstLine="759" w:firstLineChars="398"/>
        <w:rPr>
          <w:rFonts w:hint="eastAsia"/>
          <w:color w:val="auto"/>
        </w:rPr>
      </w:pPr>
      <w:r>
        <w:rPr>
          <w:rFonts w:hint="eastAsia"/>
          <w:b/>
          <w:bCs/>
          <w:color w:val="auto"/>
          <w:kern w:val="0"/>
          <w:sz w:val="19"/>
          <w:szCs w:val="19"/>
          <w:lang w:val="zh-CN"/>
        </w:rPr>
        <w:t xml:space="preserve">        </w:t>
      </w:r>
      <w:r>
        <w:rPr>
          <w:color w:val="auto"/>
          <w:position w:val="-34"/>
        </w:rPr>
        <w:object>
          <v:shape id="_x0000_i1025" o:spt="75" type="#_x0000_t75" style="height:40pt;width:306pt;" o:ole="t" filled="f" o:preferrelative="t" stroked="f" coordsize="21600,21600">
            <v:path/>
            <v:fill on="f" alignshape="1" focussize="0,0"/>
            <v:stroke on="f"/>
            <v:imagedata r:id="rId14" o:title=""/>
            <o:lock v:ext="edit" aspectratio="t"/>
            <w10:wrap type="none"/>
            <w10:anchorlock/>
          </v:shape>
          <o:OLEObject Type="Embed" ProgID="Equation.3" ShapeID="_x0000_i1025" DrawAspect="Content" ObjectID="_1468075725" r:id="rId13">
            <o:LockedField>false</o:LockedField>
          </o:OLEObject>
        </w:object>
      </w:r>
    </w:p>
    <w:p>
      <w:pPr>
        <w:tabs>
          <w:tab w:val="left" w:pos="1260"/>
        </w:tabs>
        <w:spacing w:line="400" w:lineRule="exact"/>
        <w:ind w:firstLine="420" w:firstLineChars="200"/>
        <w:rPr>
          <w:rFonts w:hint="eastAsia"/>
          <w:color w:val="auto"/>
        </w:rPr>
      </w:pPr>
      <w:r>
        <w:rPr>
          <w:rFonts w:hint="eastAsia"/>
          <w:color w:val="auto"/>
        </w:rPr>
        <w:t xml:space="preserve"> </w:t>
      </w:r>
    </w:p>
    <w:p>
      <w:pPr>
        <w:tabs>
          <w:tab w:val="left" w:pos="1260"/>
        </w:tabs>
        <w:spacing w:line="400" w:lineRule="exact"/>
        <w:ind w:firstLine="420" w:firstLineChars="200"/>
        <w:rPr>
          <w:rFonts w:hint="eastAsia"/>
          <w:color w:val="auto"/>
        </w:rPr>
      </w:pPr>
      <w:r>
        <w:rPr>
          <w:rFonts w:hint="eastAsia"/>
          <w:color w:val="auto"/>
        </w:rPr>
        <w:t>式中： △P -- 需调整的价格差额；</w:t>
      </w:r>
    </w:p>
    <w:p>
      <w:pPr>
        <w:tabs>
          <w:tab w:val="left" w:pos="1260"/>
        </w:tabs>
        <w:spacing w:line="400" w:lineRule="exact"/>
        <w:rPr>
          <w:rFonts w:hint="eastAsia"/>
          <w:color w:val="auto"/>
        </w:rPr>
      </w:pPr>
      <w:r>
        <w:rPr>
          <w:rFonts w:hint="eastAsia"/>
          <w:color w:val="auto"/>
        </w:rPr>
        <w:tab/>
      </w:r>
      <w:r>
        <w:rPr>
          <w:rFonts w:hint="eastAsia"/>
          <w:color w:val="auto"/>
        </w:rPr>
        <w:t>P</w:t>
      </w:r>
      <w:r>
        <w:rPr>
          <w:rFonts w:hint="eastAsia"/>
          <w:color w:val="auto"/>
          <w:szCs w:val="21"/>
          <w:vertAlign w:val="subscript"/>
        </w:rPr>
        <w:t>0</w:t>
      </w:r>
      <w:r>
        <w:rPr>
          <w:rFonts w:hint="eastAsia"/>
          <w:color w:val="auto"/>
        </w:rPr>
        <w:t xml:space="preserve"> -- 第17.3.3项、第17.5.2项和第17.6.2项约定的付款证书中承包人应得到的已完成工程量的金额。此项金额应不包括价格调整、不计质量保证金的扣留和支付、预付款的支付和扣回。第15条约定的变更及其他金额已按现行价格计价的，也不计在内；</w:t>
      </w:r>
    </w:p>
    <w:p>
      <w:pPr>
        <w:tabs>
          <w:tab w:val="left" w:pos="1260"/>
        </w:tabs>
        <w:spacing w:line="400" w:lineRule="exact"/>
        <w:rPr>
          <w:rFonts w:hint="eastAsia"/>
          <w:color w:val="auto"/>
        </w:rPr>
      </w:pPr>
      <w:r>
        <w:rPr>
          <w:rFonts w:hint="eastAsia"/>
          <w:color w:val="auto"/>
        </w:rPr>
        <w:tab/>
      </w:r>
      <w:bookmarkStart w:id="567" w:name="_Toc152042495"/>
      <w:bookmarkStart w:id="568" w:name="_Toc144974686"/>
      <w:r>
        <w:rPr>
          <w:rFonts w:hint="eastAsia"/>
          <w:color w:val="auto"/>
        </w:rPr>
        <w:t>A -- 定值权重（即不调部分的权重）；</w:t>
      </w:r>
      <w:bookmarkEnd w:id="567"/>
      <w:bookmarkEnd w:id="568"/>
    </w:p>
    <w:p>
      <w:pPr>
        <w:tabs>
          <w:tab w:val="left" w:pos="1260"/>
        </w:tabs>
        <w:spacing w:line="400" w:lineRule="exact"/>
        <w:rPr>
          <w:rFonts w:hint="eastAsia"/>
          <w:color w:val="auto"/>
        </w:rPr>
      </w:pPr>
      <w:r>
        <w:rPr>
          <w:rFonts w:hint="eastAsia"/>
          <w:color w:val="auto"/>
        </w:rPr>
        <w:tab/>
      </w:r>
      <w:r>
        <w:rPr>
          <w:rFonts w:hint="eastAsia"/>
          <w:color w:val="auto"/>
        </w:rPr>
        <w:t>B</w:t>
      </w:r>
      <w:r>
        <w:rPr>
          <w:rFonts w:hint="eastAsia"/>
          <w:color w:val="auto"/>
          <w:szCs w:val="21"/>
          <w:vertAlign w:val="subscript"/>
        </w:rPr>
        <w:t>1</w:t>
      </w:r>
      <w:r>
        <w:rPr>
          <w:rFonts w:hint="eastAsia"/>
          <w:color w:val="auto"/>
          <w:sz w:val="15"/>
          <w:szCs w:val="15"/>
        </w:rPr>
        <w:t>;</w:t>
      </w:r>
      <w:r>
        <w:rPr>
          <w:rFonts w:hint="eastAsia"/>
          <w:color w:val="auto"/>
        </w:rPr>
        <w:t xml:space="preserve"> B</w:t>
      </w:r>
      <w:r>
        <w:rPr>
          <w:rFonts w:hint="eastAsia"/>
          <w:color w:val="auto"/>
          <w:szCs w:val="21"/>
          <w:vertAlign w:val="subscript"/>
        </w:rPr>
        <w:t>2</w:t>
      </w:r>
      <w:r>
        <w:rPr>
          <w:rFonts w:hint="eastAsia"/>
          <w:color w:val="auto"/>
        </w:rPr>
        <w:t xml:space="preserve"> ;B</w:t>
      </w:r>
      <w:r>
        <w:rPr>
          <w:rFonts w:hint="eastAsia"/>
          <w:color w:val="auto"/>
          <w:szCs w:val="21"/>
          <w:vertAlign w:val="subscript"/>
        </w:rPr>
        <w:t>3</w:t>
      </w:r>
      <w:r>
        <w:rPr>
          <w:rFonts w:hint="eastAsia" w:ascii="宋体" w:hAnsi="宋体"/>
          <w:color w:val="auto"/>
          <w:sz w:val="15"/>
          <w:szCs w:val="15"/>
        </w:rPr>
        <w:t>·····</w:t>
      </w:r>
      <w:r>
        <w:rPr>
          <w:rFonts w:hint="eastAsia"/>
          <w:color w:val="auto"/>
        </w:rPr>
        <w:t>B</w:t>
      </w:r>
      <w:r>
        <w:rPr>
          <w:rFonts w:hint="eastAsia"/>
          <w:color w:val="auto"/>
          <w:szCs w:val="21"/>
          <w:vertAlign w:val="subscript"/>
        </w:rPr>
        <w:t>n</w:t>
      </w:r>
      <w:r>
        <w:rPr>
          <w:rFonts w:hint="eastAsia"/>
          <w:color w:val="auto"/>
        </w:rPr>
        <w:t xml:space="preserve"> -- 各可调因子的变值权重（即可调部分的权重）为各可调因子在投标函投标总报价中所占的比例；</w:t>
      </w:r>
    </w:p>
    <w:p>
      <w:pPr>
        <w:tabs>
          <w:tab w:val="left" w:pos="1260"/>
        </w:tabs>
        <w:spacing w:line="400" w:lineRule="exact"/>
        <w:rPr>
          <w:rFonts w:hint="eastAsia"/>
          <w:color w:val="auto"/>
        </w:rPr>
      </w:pPr>
      <w:r>
        <w:rPr>
          <w:rFonts w:hint="eastAsia"/>
          <w:color w:val="auto"/>
        </w:rPr>
        <w:tab/>
      </w:r>
      <w:r>
        <w:rPr>
          <w:rFonts w:hint="eastAsia"/>
          <w:color w:val="auto"/>
        </w:rPr>
        <w:t>F</w:t>
      </w:r>
      <w:r>
        <w:rPr>
          <w:rFonts w:hint="eastAsia"/>
          <w:color w:val="auto"/>
          <w:szCs w:val="21"/>
          <w:vertAlign w:val="subscript"/>
        </w:rPr>
        <w:t>t1</w:t>
      </w:r>
      <w:r>
        <w:rPr>
          <w:rFonts w:hint="eastAsia"/>
          <w:color w:val="auto"/>
        </w:rPr>
        <w:t xml:space="preserve"> ;F</w:t>
      </w:r>
      <w:r>
        <w:rPr>
          <w:rFonts w:hint="eastAsia"/>
          <w:color w:val="auto"/>
          <w:szCs w:val="21"/>
          <w:vertAlign w:val="subscript"/>
        </w:rPr>
        <w:t>t2</w:t>
      </w:r>
      <w:r>
        <w:rPr>
          <w:rFonts w:hint="eastAsia"/>
          <w:color w:val="auto"/>
        </w:rPr>
        <w:t xml:space="preserve"> ;F</w:t>
      </w:r>
      <w:r>
        <w:rPr>
          <w:rFonts w:hint="eastAsia"/>
          <w:color w:val="auto"/>
          <w:szCs w:val="21"/>
          <w:vertAlign w:val="subscript"/>
        </w:rPr>
        <w:t>t3</w:t>
      </w:r>
      <w:r>
        <w:rPr>
          <w:rFonts w:hint="eastAsia" w:ascii="宋体" w:hAnsi="宋体"/>
          <w:color w:val="auto"/>
          <w:sz w:val="15"/>
          <w:szCs w:val="15"/>
        </w:rPr>
        <w:t>·····</w:t>
      </w:r>
      <w:r>
        <w:rPr>
          <w:rFonts w:hint="eastAsia"/>
          <w:color w:val="auto"/>
        </w:rPr>
        <w:t>F</w:t>
      </w:r>
      <w:r>
        <w:rPr>
          <w:rFonts w:hint="eastAsia"/>
          <w:color w:val="auto"/>
          <w:szCs w:val="21"/>
          <w:vertAlign w:val="subscript"/>
        </w:rPr>
        <w:t>tn</w:t>
      </w:r>
      <w:r>
        <w:rPr>
          <w:rFonts w:hint="eastAsia"/>
          <w:color w:val="auto"/>
        </w:rPr>
        <w:t xml:space="preserve"> -- 各可调因子的现行价格指数，指第17.3.3项、第17.5.2项和第17.6.2项约定的付款证书相关周期最后一天的前42天的各可调因子的价格指数；</w:t>
      </w:r>
    </w:p>
    <w:p>
      <w:pPr>
        <w:tabs>
          <w:tab w:val="left" w:pos="1260"/>
        </w:tabs>
        <w:spacing w:line="400" w:lineRule="exact"/>
        <w:rPr>
          <w:rFonts w:hint="eastAsia"/>
          <w:color w:val="auto"/>
        </w:rPr>
      </w:pPr>
      <w:r>
        <w:rPr>
          <w:rFonts w:hint="eastAsia"/>
          <w:color w:val="auto"/>
        </w:rPr>
        <w:tab/>
      </w:r>
      <w:r>
        <w:rPr>
          <w:rFonts w:hint="eastAsia"/>
          <w:color w:val="auto"/>
        </w:rPr>
        <w:t>F</w:t>
      </w:r>
      <w:r>
        <w:rPr>
          <w:rFonts w:hint="eastAsia"/>
          <w:color w:val="auto"/>
          <w:szCs w:val="21"/>
          <w:vertAlign w:val="subscript"/>
        </w:rPr>
        <w:t>o1</w:t>
      </w:r>
      <w:r>
        <w:rPr>
          <w:rFonts w:hint="eastAsia"/>
          <w:color w:val="auto"/>
        </w:rPr>
        <w:t>; F</w:t>
      </w:r>
      <w:r>
        <w:rPr>
          <w:rFonts w:hint="eastAsia"/>
          <w:color w:val="auto"/>
          <w:szCs w:val="21"/>
          <w:vertAlign w:val="subscript"/>
        </w:rPr>
        <w:t>o2</w:t>
      </w:r>
      <w:r>
        <w:rPr>
          <w:rFonts w:hint="eastAsia"/>
          <w:color w:val="auto"/>
          <w:sz w:val="15"/>
          <w:szCs w:val="15"/>
        </w:rPr>
        <w:t>;</w:t>
      </w:r>
      <w:r>
        <w:rPr>
          <w:rFonts w:hint="eastAsia"/>
          <w:color w:val="auto"/>
        </w:rPr>
        <w:t xml:space="preserve"> F</w:t>
      </w:r>
      <w:r>
        <w:rPr>
          <w:rFonts w:hint="eastAsia"/>
          <w:color w:val="auto"/>
          <w:szCs w:val="21"/>
          <w:vertAlign w:val="subscript"/>
        </w:rPr>
        <w:t>o3</w:t>
      </w:r>
      <w:r>
        <w:rPr>
          <w:rFonts w:hint="eastAsia" w:ascii="宋体" w:hAnsi="宋体"/>
          <w:color w:val="auto"/>
          <w:sz w:val="15"/>
          <w:szCs w:val="15"/>
        </w:rPr>
        <w:t>·····</w:t>
      </w:r>
      <w:r>
        <w:rPr>
          <w:rFonts w:hint="eastAsia"/>
          <w:color w:val="auto"/>
        </w:rPr>
        <w:t>F</w:t>
      </w:r>
      <w:r>
        <w:rPr>
          <w:rFonts w:hint="eastAsia"/>
          <w:color w:val="auto"/>
          <w:szCs w:val="21"/>
          <w:vertAlign w:val="subscript"/>
        </w:rPr>
        <w:t>on</w:t>
      </w:r>
      <w:r>
        <w:rPr>
          <w:rFonts w:hint="eastAsia"/>
          <w:color w:val="auto"/>
        </w:rPr>
        <w:t xml:space="preserve"> -- 各可调因子的基本价格指数，指基准日期的各可调因子的价格指数。</w:t>
      </w:r>
    </w:p>
    <w:p>
      <w:pPr>
        <w:spacing w:line="400" w:lineRule="exact"/>
        <w:ind w:firstLine="420" w:firstLineChars="200"/>
        <w:rPr>
          <w:rFonts w:hint="eastAsia"/>
          <w:color w:val="auto"/>
        </w:rPr>
      </w:pPr>
      <w:r>
        <w:rPr>
          <w:rFonts w:hint="eastAsia"/>
          <w:color w:val="auto"/>
        </w:rPr>
        <w:t>以上价格调整公式中的各可调因子、定值和变值权重，以及基本价格指数及其来源在投标函附录价格指数和权重表中约定。价格指数应首先采用有关部门提供的价格指数，缺乏上述价格指数时，可采用有关部门提供的价格代替。</w:t>
      </w:r>
    </w:p>
    <w:p>
      <w:pPr>
        <w:spacing w:line="400" w:lineRule="exact"/>
        <w:ind w:firstLine="420" w:firstLineChars="200"/>
        <w:rPr>
          <w:rFonts w:hint="eastAsia"/>
          <w:color w:val="auto"/>
        </w:rPr>
      </w:pPr>
      <w:r>
        <w:rPr>
          <w:rFonts w:hint="eastAsia"/>
          <w:color w:val="auto"/>
        </w:rPr>
        <w:t>16.1.1.2 暂时确定调整差额</w:t>
      </w:r>
    </w:p>
    <w:p>
      <w:pPr>
        <w:spacing w:line="400" w:lineRule="exact"/>
        <w:ind w:firstLine="420" w:firstLineChars="200"/>
        <w:rPr>
          <w:rFonts w:hint="eastAsia"/>
          <w:color w:val="auto"/>
        </w:rPr>
      </w:pPr>
      <w:r>
        <w:rPr>
          <w:rFonts w:hint="eastAsia"/>
          <w:color w:val="auto"/>
        </w:rPr>
        <w:t>在计算调整差额时得不到现行价格指数的，可暂用上一次价格指数计算，并在以后的付款中再按实际价格指数进行调整。</w:t>
      </w:r>
    </w:p>
    <w:p>
      <w:pPr>
        <w:spacing w:line="400" w:lineRule="exact"/>
        <w:ind w:firstLine="420" w:firstLineChars="200"/>
        <w:rPr>
          <w:rFonts w:hint="eastAsia"/>
          <w:color w:val="auto"/>
        </w:rPr>
      </w:pPr>
      <w:r>
        <w:rPr>
          <w:rFonts w:hint="eastAsia"/>
          <w:color w:val="auto"/>
        </w:rPr>
        <w:t>16.1.1.3 权重的调整</w:t>
      </w:r>
    </w:p>
    <w:p>
      <w:pPr>
        <w:spacing w:line="400" w:lineRule="exact"/>
        <w:ind w:firstLine="420" w:firstLineChars="200"/>
        <w:rPr>
          <w:rFonts w:hint="eastAsia"/>
          <w:color w:val="auto"/>
        </w:rPr>
      </w:pPr>
      <w:r>
        <w:rPr>
          <w:rFonts w:hint="eastAsia"/>
          <w:color w:val="auto"/>
        </w:rPr>
        <w:t>按第15.1款约定的变更导致原定合同中的权重不合理时，由监理人与承包人和发包人协商后进行调整。</w:t>
      </w:r>
    </w:p>
    <w:p>
      <w:pPr>
        <w:spacing w:line="400" w:lineRule="exact"/>
        <w:ind w:firstLine="420" w:firstLineChars="200"/>
        <w:rPr>
          <w:rFonts w:hint="eastAsia"/>
          <w:color w:val="auto"/>
        </w:rPr>
      </w:pPr>
      <w:r>
        <w:rPr>
          <w:rFonts w:hint="eastAsia"/>
          <w:color w:val="auto"/>
        </w:rPr>
        <w:t>16.1.1.4 承包人工期延误后的价格调整</w:t>
      </w:r>
    </w:p>
    <w:p>
      <w:pPr>
        <w:spacing w:line="400" w:lineRule="exact"/>
        <w:ind w:firstLine="420" w:firstLineChars="200"/>
        <w:rPr>
          <w:rFonts w:hint="eastAsia"/>
          <w:color w:val="auto"/>
        </w:rPr>
      </w:pPr>
      <w:r>
        <w:rPr>
          <w:rFonts w:hint="eastAsia"/>
          <w:color w:val="auto"/>
        </w:rPr>
        <w:t>由于承包人原因未在约定的工期内竣工的，则对原约定竣工日期后继续施工的工程，在使用第16.1.1.1目价格调整公式时，应采用原约定竣工日期与实际竣工日期的两个价格指数中较低的一个作为现行价格指数。</w:t>
      </w:r>
    </w:p>
    <w:p>
      <w:pPr>
        <w:spacing w:line="400" w:lineRule="exact"/>
        <w:ind w:firstLine="420" w:firstLineChars="200"/>
        <w:rPr>
          <w:rFonts w:hint="eastAsia" w:ascii="黑体" w:eastAsia="黑体"/>
          <w:color w:val="auto"/>
        </w:rPr>
      </w:pPr>
      <w:r>
        <w:rPr>
          <w:rFonts w:hint="eastAsia" w:ascii="黑体" w:eastAsia="黑体"/>
          <w:color w:val="auto"/>
        </w:rPr>
        <w:t>16.1.2 采用造价信息调整价格差额</w:t>
      </w:r>
    </w:p>
    <w:p>
      <w:pPr>
        <w:spacing w:line="400" w:lineRule="exact"/>
        <w:ind w:firstLine="420" w:firstLineChars="200"/>
        <w:rPr>
          <w:rFonts w:hint="eastAsia"/>
          <w:color w:val="auto"/>
        </w:rPr>
      </w:pPr>
      <w:r>
        <w:rPr>
          <w:rFonts w:hint="eastAsia"/>
          <w:color w:val="auto"/>
        </w:rPr>
        <w:t>施工期内，因人工、材料、设备和机械台班价格波动影响合同价格时，人工、机械使用费按照国家或省、自治区、直辖市建设行政管理部门、行业建设管理部门或其授权的工程造价管理机构发布的人工成本信息、机械台班单价或机械使用费系数进行调整；需要进行价格调整的材料，其单价和采购</w:t>
      </w:r>
      <w:r>
        <w:rPr>
          <w:rFonts w:hint="eastAsia"/>
          <w:color w:val="auto"/>
          <w:lang w:eastAsia="zh-CN"/>
        </w:rPr>
        <w:t>数量</w:t>
      </w:r>
      <w:r>
        <w:rPr>
          <w:rFonts w:hint="eastAsia"/>
          <w:color w:val="auto"/>
        </w:rPr>
        <w:t>应由监理人复核，监理人确认需调整的材料单价及数量，作为调整工程合同价格差额的依据。</w:t>
      </w:r>
    </w:p>
    <w:p>
      <w:pPr>
        <w:pStyle w:val="231"/>
        <w:rPr>
          <w:rFonts w:hint="eastAsia"/>
          <w:color w:val="auto"/>
        </w:rPr>
      </w:pPr>
      <w:bookmarkStart w:id="569" w:name="_Toc152045717"/>
      <w:bookmarkStart w:id="570" w:name="_Toc144974688"/>
      <w:bookmarkStart w:id="571" w:name="_Toc152042496"/>
      <w:bookmarkStart w:id="572" w:name="_Toc179632735"/>
      <w:r>
        <w:rPr>
          <w:rFonts w:hint="eastAsia"/>
          <w:color w:val="auto"/>
        </w:rPr>
        <w:t>16.2 法律变化引起的价格调整</w:t>
      </w:r>
      <w:bookmarkEnd w:id="569"/>
      <w:bookmarkEnd w:id="570"/>
      <w:bookmarkEnd w:id="571"/>
      <w:bookmarkEnd w:id="572"/>
    </w:p>
    <w:p>
      <w:pPr>
        <w:spacing w:line="400" w:lineRule="exact"/>
        <w:ind w:firstLine="420" w:firstLineChars="200"/>
        <w:rPr>
          <w:rFonts w:hint="eastAsia"/>
          <w:color w:val="auto"/>
        </w:rPr>
      </w:pPr>
      <w:r>
        <w:rPr>
          <w:rFonts w:hint="eastAsia"/>
          <w:color w:val="auto"/>
        </w:rPr>
        <w:t>在基准日后，因法律变化导致承包人在合同履行中所需要的工程费用发生除第16.1款约定以外的增减时，监理人应根据法律、国家或省、自治区、直辖市有关部门的规定，按第3.5款商定或确定需调整的合同价款。</w:t>
      </w:r>
    </w:p>
    <w:p>
      <w:pPr>
        <w:pStyle w:val="224"/>
        <w:rPr>
          <w:rFonts w:hint="eastAsia"/>
          <w:color w:val="auto"/>
        </w:rPr>
      </w:pPr>
      <w:bookmarkStart w:id="573" w:name="_Toc179632736"/>
      <w:bookmarkStart w:id="574" w:name="_Toc152045718"/>
      <w:bookmarkStart w:id="575" w:name="_Toc152042497"/>
      <w:bookmarkStart w:id="576" w:name="_Toc144974689"/>
      <w:r>
        <w:rPr>
          <w:rFonts w:hint="eastAsia"/>
          <w:color w:val="auto"/>
        </w:rPr>
        <w:t>17. 计量与支付</w:t>
      </w:r>
      <w:bookmarkEnd w:id="573"/>
      <w:bookmarkEnd w:id="574"/>
      <w:bookmarkEnd w:id="575"/>
      <w:bookmarkEnd w:id="576"/>
    </w:p>
    <w:p>
      <w:pPr>
        <w:pStyle w:val="231"/>
        <w:rPr>
          <w:rFonts w:hint="eastAsia"/>
          <w:color w:val="auto"/>
        </w:rPr>
      </w:pPr>
      <w:bookmarkStart w:id="577" w:name="_Toc152045719"/>
      <w:bookmarkStart w:id="578" w:name="_Toc179632737"/>
      <w:bookmarkStart w:id="579" w:name="_Toc152042498"/>
      <w:bookmarkStart w:id="580" w:name="_Toc144974690"/>
      <w:r>
        <w:rPr>
          <w:rFonts w:hint="eastAsia"/>
          <w:color w:val="auto"/>
        </w:rPr>
        <w:t>17.1 计量</w:t>
      </w:r>
      <w:bookmarkEnd w:id="577"/>
      <w:bookmarkEnd w:id="578"/>
      <w:bookmarkEnd w:id="579"/>
      <w:bookmarkEnd w:id="580"/>
    </w:p>
    <w:p>
      <w:pPr>
        <w:spacing w:line="400" w:lineRule="exact"/>
        <w:ind w:firstLine="420" w:firstLineChars="200"/>
        <w:rPr>
          <w:rFonts w:hint="eastAsia"/>
          <w:color w:val="auto"/>
        </w:rPr>
      </w:pPr>
      <w:r>
        <w:rPr>
          <w:rFonts w:hint="eastAsia"/>
          <w:color w:val="auto"/>
        </w:rPr>
        <w:t xml:space="preserve">17.1.1 </w:t>
      </w:r>
      <w:r>
        <w:rPr>
          <w:rFonts w:hint="eastAsia" w:ascii="黑体" w:eastAsia="黑体"/>
          <w:color w:val="auto"/>
        </w:rPr>
        <w:t>计量单位</w:t>
      </w:r>
    </w:p>
    <w:p>
      <w:pPr>
        <w:spacing w:line="400" w:lineRule="exact"/>
        <w:ind w:firstLine="420" w:firstLineChars="200"/>
        <w:rPr>
          <w:rFonts w:hint="eastAsia"/>
          <w:color w:val="auto"/>
        </w:rPr>
      </w:pPr>
      <w:r>
        <w:rPr>
          <w:rFonts w:hint="eastAsia"/>
          <w:color w:val="auto"/>
        </w:rPr>
        <w:t>计量采用国家法定的计量单位。</w:t>
      </w:r>
    </w:p>
    <w:p>
      <w:pPr>
        <w:spacing w:line="400" w:lineRule="exact"/>
        <w:ind w:firstLine="420" w:firstLineChars="200"/>
        <w:rPr>
          <w:rFonts w:hint="eastAsia"/>
          <w:color w:val="auto"/>
        </w:rPr>
      </w:pPr>
      <w:r>
        <w:rPr>
          <w:rFonts w:hint="eastAsia"/>
          <w:color w:val="auto"/>
        </w:rPr>
        <w:t xml:space="preserve">17.1.2 </w:t>
      </w:r>
      <w:r>
        <w:rPr>
          <w:rFonts w:hint="eastAsia" w:ascii="黑体" w:eastAsia="黑体"/>
          <w:color w:val="auto"/>
        </w:rPr>
        <w:t>计量方法</w:t>
      </w:r>
    </w:p>
    <w:p>
      <w:pPr>
        <w:spacing w:line="400" w:lineRule="exact"/>
        <w:ind w:firstLine="420" w:firstLineChars="200"/>
        <w:rPr>
          <w:rFonts w:hint="eastAsia"/>
          <w:color w:val="auto"/>
        </w:rPr>
      </w:pPr>
      <w:r>
        <w:rPr>
          <w:rFonts w:hint="eastAsia"/>
          <w:color w:val="auto"/>
        </w:rPr>
        <w:t>工程量清单中的工程量计算规则应按有关国家标准、行业标准的规定，并在合同中约定执行。</w:t>
      </w:r>
    </w:p>
    <w:p>
      <w:pPr>
        <w:spacing w:line="400" w:lineRule="exact"/>
        <w:ind w:firstLine="420" w:firstLineChars="200"/>
        <w:rPr>
          <w:rFonts w:hint="eastAsia"/>
          <w:color w:val="auto"/>
        </w:rPr>
      </w:pPr>
      <w:r>
        <w:rPr>
          <w:rFonts w:hint="eastAsia"/>
          <w:color w:val="auto"/>
        </w:rPr>
        <w:t xml:space="preserve">17.1.3 </w:t>
      </w:r>
      <w:r>
        <w:rPr>
          <w:rFonts w:hint="eastAsia" w:ascii="黑体" w:eastAsia="黑体"/>
          <w:color w:val="auto"/>
        </w:rPr>
        <w:t>计量周期</w:t>
      </w:r>
    </w:p>
    <w:p>
      <w:pPr>
        <w:spacing w:line="400" w:lineRule="exact"/>
        <w:ind w:firstLine="420" w:firstLineChars="200"/>
        <w:rPr>
          <w:rFonts w:hint="eastAsia"/>
          <w:color w:val="auto"/>
        </w:rPr>
      </w:pPr>
      <w:r>
        <w:rPr>
          <w:rFonts w:hint="eastAsia"/>
          <w:color w:val="auto"/>
        </w:rPr>
        <w:t>除专用合同条款另有约定外，单价子目已完成工程量按月计量，总价子目的计量周期按批准的支付分解报告确定。</w:t>
      </w:r>
    </w:p>
    <w:p>
      <w:pPr>
        <w:spacing w:line="400" w:lineRule="exact"/>
        <w:ind w:firstLine="420" w:firstLineChars="200"/>
        <w:rPr>
          <w:rFonts w:hint="eastAsia"/>
          <w:color w:val="auto"/>
        </w:rPr>
      </w:pPr>
      <w:r>
        <w:rPr>
          <w:rFonts w:hint="eastAsia"/>
          <w:color w:val="auto"/>
        </w:rPr>
        <w:t>17.1.4</w:t>
      </w:r>
      <w:r>
        <w:rPr>
          <w:rFonts w:hint="eastAsia" w:ascii="黑体" w:eastAsia="黑体"/>
          <w:color w:val="auto"/>
        </w:rPr>
        <w:t xml:space="preserve"> 单价子目的计量</w:t>
      </w:r>
    </w:p>
    <w:p>
      <w:pPr>
        <w:spacing w:line="400" w:lineRule="exact"/>
        <w:ind w:firstLine="718" w:firstLineChars="342"/>
        <w:rPr>
          <w:rFonts w:hint="eastAsia"/>
          <w:color w:val="auto"/>
        </w:rPr>
      </w:pPr>
      <w:r>
        <w:rPr>
          <w:rFonts w:hint="eastAsia"/>
          <w:color w:val="auto"/>
        </w:rPr>
        <w:t>（1）已标价工程量清单中的单价子目工程量为估算工程量。结算工程量是承包人实际完成的，并按合同约定的计量方法进行计量的工程量。</w:t>
      </w:r>
    </w:p>
    <w:p>
      <w:pPr>
        <w:spacing w:line="400" w:lineRule="exact"/>
        <w:ind w:firstLine="718" w:firstLineChars="342"/>
        <w:rPr>
          <w:rFonts w:hint="eastAsia"/>
          <w:color w:val="auto"/>
        </w:rPr>
      </w:pPr>
      <w:r>
        <w:rPr>
          <w:rFonts w:hint="eastAsia"/>
          <w:color w:val="auto"/>
        </w:rPr>
        <w:t>（2）承包人对已完成的工程进行计量，向监理人提交进度付款申请单、已完成工程量报表和有关计量资料。</w:t>
      </w:r>
    </w:p>
    <w:p>
      <w:pPr>
        <w:spacing w:line="400" w:lineRule="exact"/>
        <w:ind w:firstLine="718" w:firstLineChars="342"/>
        <w:rPr>
          <w:rFonts w:hint="eastAsia"/>
          <w:color w:val="auto"/>
        </w:rPr>
      </w:pPr>
      <w:r>
        <w:rPr>
          <w:rFonts w:hint="eastAsia"/>
          <w:color w:val="auto"/>
        </w:rPr>
        <w:t>（3）监理人对承包人提交的工程量报表进行复核，以确定实际完成的工程量。对数量有异议的，可要求承包人按第8.2款约定进行共同复核和抽样复测。承包人应协助监理人进行复核并按监理人要求提供补充计量资料。承包人未按监理人要求参加复核，监理人复核或修正的工程量视为承包人实际完成的工程量。</w:t>
      </w:r>
    </w:p>
    <w:p>
      <w:pPr>
        <w:spacing w:line="400" w:lineRule="exact"/>
        <w:ind w:firstLine="718" w:firstLineChars="342"/>
        <w:rPr>
          <w:rFonts w:hint="eastAsia"/>
          <w:color w:val="auto"/>
        </w:rPr>
      </w:pPr>
      <w:r>
        <w:rPr>
          <w:rFonts w:hint="eastAsia"/>
          <w:color w:val="auto"/>
        </w:rPr>
        <w:t>（4）监理人认为有必要时，可通知承包人共同进行联合测量、计量，承包人应遵照执行。</w:t>
      </w:r>
    </w:p>
    <w:p>
      <w:pPr>
        <w:spacing w:line="400" w:lineRule="exact"/>
        <w:ind w:firstLine="718" w:firstLineChars="342"/>
        <w:rPr>
          <w:rFonts w:hint="eastAsia"/>
          <w:color w:val="auto"/>
        </w:rPr>
      </w:pPr>
      <w:r>
        <w:rPr>
          <w:rFonts w:hint="eastAsia"/>
          <w:color w:val="auto"/>
        </w:rPr>
        <w:t>（5）承包人完成工程量清单中每个子目的工程量后，监理人应要求承包人派员共同对每个子目的历次计量报表进行汇总，以核实最终结算工程量。监理人可要求承包人提供补充计量资料，以确定最后一次进度付款的准确工程量。承包人未按监理人要求派员参加的，监理人最终核实的工程量视为承包人完成该子目的准确工程量。</w:t>
      </w:r>
    </w:p>
    <w:p>
      <w:pPr>
        <w:spacing w:line="400" w:lineRule="exact"/>
        <w:ind w:firstLine="718" w:firstLineChars="342"/>
        <w:rPr>
          <w:rFonts w:hint="eastAsia"/>
          <w:color w:val="auto"/>
        </w:rPr>
      </w:pPr>
      <w:r>
        <w:rPr>
          <w:rFonts w:hint="eastAsia"/>
          <w:color w:val="auto"/>
        </w:rPr>
        <w:t>（6）监理人应在收到承包人提交的工程量报表后的7天内进行复核，监理人未在约定时间内复核的，承包人提交的工程量报表中的工程量视为承包人实际完成的工程量，据此计算工程价款。</w:t>
      </w:r>
    </w:p>
    <w:p>
      <w:pPr>
        <w:spacing w:line="400" w:lineRule="exact"/>
        <w:ind w:firstLine="420" w:firstLineChars="200"/>
        <w:rPr>
          <w:rFonts w:hint="eastAsia" w:ascii="黑体" w:eastAsia="黑体"/>
          <w:color w:val="auto"/>
        </w:rPr>
      </w:pPr>
      <w:r>
        <w:rPr>
          <w:rFonts w:hint="eastAsia"/>
          <w:color w:val="auto"/>
        </w:rPr>
        <w:t xml:space="preserve">17.1.5 </w:t>
      </w:r>
      <w:r>
        <w:rPr>
          <w:rFonts w:hint="eastAsia" w:ascii="黑体" w:eastAsia="黑体"/>
          <w:color w:val="auto"/>
        </w:rPr>
        <w:t>总价子目的计量</w:t>
      </w:r>
    </w:p>
    <w:p>
      <w:pPr>
        <w:spacing w:line="400" w:lineRule="exact"/>
        <w:ind w:firstLine="630" w:firstLineChars="300"/>
        <w:rPr>
          <w:rFonts w:hint="eastAsia" w:ascii="宋体" w:hAnsi="宋体"/>
          <w:color w:val="auto"/>
        </w:rPr>
      </w:pPr>
      <w:r>
        <w:rPr>
          <w:rFonts w:hint="eastAsia" w:ascii="宋体" w:hAnsi="宋体"/>
          <w:color w:val="auto"/>
        </w:rPr>
        <w:t>除专用合同条款另有约定外，总价子目的分解和计量按照下述约定进行。</w:t>
      </w:r>
    </w:p>
    <w:p>
      <w:pPr>
        <w:spacing w:line="400" w:lineRule="exact"/>
        <w:ind w:firstLine="630" w:firstLineChars="300"/>
        <w:rPr>
          <w:rFonts w:hint="eastAsia" w:ascii="宋体" w:hAnsi="宋体"/>
          <w:color w:val="auto"/>
        </w:rPr>
      </w:pPr>
      <w:r>
        <w:rPr>
          <w:rFonts w:hint="eastAsia" w:ascii="宋体" w:hAnsi="宋体"/>
          <w:color w:val="auto"/>
        </w:rPr>
        <w:t>（1）总价子目的计量和支付应以总价为基础，不因第16.1款中的因素而进行调整。承包人实际完成的工程量，是进行工程目标管理和控制进度支付的依据。</w:t>
      </w:r>
    </w:p>
    <w:p>
      <w:pPr>
        <w:spacing w:line="400" w:lineRule="exact"/>
        <w:ind w:firstLine="630" w:firstLineChars="300"/>
        <w:rPr>
          <w:rFonts w:hint="eastAsia" w:ascii="宋体" w:hAnsi="宋体"/>
          <w:color w:val="auto"/>
        </w:rPr>
      </w:pPr>
      <w:r>
        <w:rPr>
          <w:rFonts w:hint="eastAsia" w:ascii="宋体" w:hAnsi="宋体"/>
          <w:color w:val="auto"/>
        </w:rPr>
        <w:t>（2）承包人在合同约定的每个计量周期内，对已完成的工程进行计量，并向监理人提交进度付款申请单、专用合同条款约定的合同总价支付分解表所表示的阶段性或分项计量的支持性资料，以及所达到工程形象目标或分阶段需完成的工程量和有关计量资料。</w:t>
      </w:r>
    </w:p>
    <w:p>
      <w:pPr>
        <w:spacing w:line="400" w:lineRule="exact"/>
        <w:ind w:firstLine="630" w:firstLineChars="300"/>
        <w:rPr>
          <w:rFonts w:hint="eastAsia" w:ascii="宋体" w:hAnsi="宋体"/>
          <w:color w:val="auto"/>
        </w:rPr>
      </w:pPr>
      <w:r>
        <w:rPr>
          <w:rFonts w:hint="eastAsia" w:ascii="宋体" w:hAnsi="宋体"/>
          <w:color w:val="auto"/>
        </w:rPr>
        <w:t>（3）监理人对承包人提交的上述资料进行复核，以确定分阶段实际完成的工程量和工程形象目标。对其有异议的，可要求承包人按第8.2款约定进行共同复核和抽样复测。</w:t>
      </w:r>
    </w:p>
    <w:p>
      <w:pPr>
        <w:spacing w:line="400" w:lineRule="exact"/>
        <w:ind w:firstLine="630" w:firstLineChars="300"/>
        <w:rPr>
          <w:rFonts w:ascii="宋体" w:hAnsi="宋体"/>
          <w:color w:val="auto"/>
        </w:rPr>
      </w:pPr>
      <w:r>
        <w:rPr>
          <w:rFonts w:hint="eastAsia" w:ascii="宋体" w:hAnsi="宋体"/>
          <w:color w:val="auto"/>
        </w:rPr>
        <w:t xml:space="preserve">（4）除按照第15条约定的变更外，总价子目的工程量是承包人用于结算的最终工程量。 </w:t>
      </w:r>
    </w:p>
    <w:p>
      <w:pPr>
        <w:pStyle w:val="231"/>
        <w:rPr>
          <w:rFonts w:hint="eastAsia"/>
          <w:color w:val="auto"/>
        </w:rPr>
      </w:pPr>
      <w:bookmarkStart w:id="581" w:name="_Toc144974691"/>
      <w:bookmarkStart w:id="582" w:name="_Toc152045720"/>
      <w:bookmarkStart w:id="583" w:name="_Toc179632738"/>
      <w:bookmarkStart w:id="584" w:name="_Toc152042499"/>
      <w:r>
        <w:rPr>
          <w:rFonts w:hint="eastAsia"/>
          <w:color w:val="auto"/>
        </w:rPr>
        <w:t>17.2 预付款</w:t>
      </w:r>
      <w:bookmarkEnd w:id="581"/>
      <w:bookmarkEnd w:id="582"/>
      <w:bookmarkEnd w:id="583"/>
      <w:bookmarkEnd w:id="584"/>
    </w:p>
    <w:p>
      <w:pPr>
        <w:spacing w:line="400" w:lineRule="exact"/>
        <w:ind w:firstLine="420" w:firstLineChars="200"/>
        <w:rPr>
          <w:rFonts w:hint="eastAsia"/>
          <w:color w:val="auto"/>
        </w:rPr>
      </w:pPr>
      <w:r>
        <w:rPr>
          <w:rFonts w:hint="eastAsia"/>
          <w:color w:val="auto"/>
        </w:rPr>
        <w:t xml:space="preserve">17.2.1 </w:t>
      </w:r>
      <w:r>
        <w:rPr>
          <w:rFonts w:hint="eastAsia" w:ascii="黑体" w:eastAsia="黑体"/>
          <w:color w:val="auto"/>
        </w:rPr>
        <w:t>预付款</w:t>
      </w:r>
    </w:p>
    <w:p>
      <w:pPr>
        <w:spacing w:line="400" w:lineRule="exact"/>
        <w:ind w:firstLine="420" w:firstLineChars="200"/>
        <w:rPr>
          <w:rFonts w:hint="eastAsia"/>
          <w:color w:val="auto"/>
        </w:rPr>
      </w:pPr>
      <w:r>
        <w:rPr>
          <w:rFonts w:hint="eastAsia"/>
          <w:color w:val="auto"/>
        </w:rPr>
        <w:t>预付款用于承包人为合同工程施工购置材料、工程设备、施工设备、修建临时设施以及组织施工队伍进场等。预付款的额度和预付办法在专用合同条款中约定。预付款必须专用于合同工程。</w:t>
      </w:r>
    </w:p>
    <w:p>
      <w:pPr>
        <w:spacing w:line="400" w:lineRule="exact"/>
        <w:ind w:firstLine="420" w:firstLineChars="200"/>
        <w:rPr>
          <w:rFonts w:hint="eastAsia"/>
          <w:color w:val="auto"/>
        </w:rPr>
      </w:pPr>
      <w:r>
        <w:rPr>
          <w:rFonts w:hint="eastAsia"/>
          <w:color w:val="auto"/>
        </w:rPr>
        <w:t xml:space="preserve">17.2.2 </w:t>
      </w:r>
      <w:r>
        <w:rPr>
          <w:rFonts w:hint="eastAsia" w:ascii="黑体" w:eastAsia="黑体"/>
          <w:color w:val="auto"/>
        </w:rPr>
        <w:t>预付款保函</w:t>
      </w:r>
    </w:p>
    <w:p>
      <w:pPr>
        <w:spacing w:line="400" w:lineRule="exact"/>
        <w:ind w:firstLine="420" w:firstLineChars="200"/>
        <w:rPr>
          <w:rFonts w:hint="eastAsia"/>
          <w:color w:val="auto"/>
        </w:rPr>
      </w:pPr>
      <w:r>
        <w:rPr>
          <w:rFonts w:hint="eastAsia"/>
          <w:color w:val="auto"/>
        </w:rPr>
        <w:t>除专用合同条款另有约定外，承包人应在收到预付款的同时向发包人提交预付款保函，预付款保函的担保金额应与预付款金额相同。保函的担保金额可根据预付款扣回的金额相应递减。</w:t>
      </w:r>
    </w:p>
    <w:p>
      <w:pPr>
        <w:spacing w:line="400" w:lineRule="exact"/>
        <w:ind w:firstLine="420" w:firstLineChars="200"/>
        <w:rPr>
          <w:rFonts w:hint="eastAsia"/>
          <w:color w:val="auto"/>
        </w:rPr>
      </w:pPr>
      <w:r>
        <w:rPr>
          <w:rFonts w:hint="eastAsia"/>
          <w:color w:val="auto"/>
        </w:rPr>
        <w:t xml:space="preserve">17.2.3 </w:t>
      </w:r>
      <w:r>
        <w:rPr>
          <w:rFonts w:hint="eastAsia" w:ascii="黑体" w:eastAsia="黑体"/>
          <w:color w:val="auto"/>
        </w:rPr>
        <w:t>预付款的扣回与还清</w:t>
      </w:r>
    </w:p>
    <w:p>
      <w:pPr>
        <w:spacing w:line="400" w:lineRule="exact"/>
        <w:ind w:firstLine="420" w:firstLineChars="200"/>
        <w:rPr>
          <w:rFonts w:hint="eastAsia"/>
          <w:color w:val="auto"/>
        </w:rPr>
      </w:pPr>
      <w:r>
        <w:rPr>
          <w:rFonts w:hint="eastAsia"/>
          <w:color w:val="auto"/>
        </w:rPr>
        <w:t>预付款在进度付款中扣回，扣回办法在专用合同条款中约定。在颁发工程接收证书前，由于不可抗力或其他原因解除合同时，预付款尚未扣清的，尚未扣清的预付款余额应作为承包人的到期应付款。</w:t>
      </w:r>
    </w:p>
    <w:p>
      <w:pPr>
        <w:pStyle w:val="231"/>
        <w:rPr>
          <w:rFonts w:hint="eastAsia"/>
          <w:color w:val="auto"/>
        </w:rPr>
      </w:pPr>
      <w:bookmarkStart w:id="585" w:name="_Toc152045721"/>
      <w:bookmarkStart w:id="586" w:name="_Toc144974692"/>
      <w:bookmarkStart w:id="587" w:name="_Toc152042500"/>
      <w:bookmarkStart w:id="588" w:name="_Toc179632739"/>
      <w:r>
        <w:rPr>
          <w:rFonts w:hint="eastAsia"/>
          <w:color w:val="auto"/>
        </w:rPr>
        <w:t>17.3 工程进度付款</w:t>
      </w:r>
      <w:bookmarkEnd w:id="585"/>
      <w:bookmarkEnd w:id="586"/>
      <w:bookmarkEnd w:id="587"/>
      <w:bookmarkEnd w:id="588"/>
    </w:p>
    <w:p>
      <w:pPr>
        <w:spacing w:line="400" w:lineRule="exact"/>
        <w:ind w:firstLine="420" w:firstLineChars="200"/>
        <w:rPr>
          <w:rFonts w:hint="eastAsia"/>
          <w:color w:val="auto"/>
        </w:rPr>
      </w:pPr>
      <w:r>
        <w:rPr>
          <w:rFonts w:hint="eastAsia"/>
          <w:color w:val="auto"/>
        </w:rPr>
        <w:t xml:space="preserve">17.3.1 </w:t>
      </w:r>
      <w:r>
        <w:rPr>
          <w:rFonts w:hint="eastAsia" w:ascii="黑体" w:eastAsia="黑体"/>
          <w:color w:val="auto"/>
        </w:rPr>
        <w:t>付款周期</w:t>
      </w:r>
    </w:p>
    <w:p>
      <w:pPr>
        <w:spacing w:line="400" w:lineRule="exact"/>
        <w:ind w:firstLine="420" w:firstLineChars="200"/>
        <w:rPr>
          <w:rFonts w:hint="eastAsia"/>
          <w:color w:val="auto"/>
        </w:rPr>
      </w:pPr>
      <w:r>
        <w:rPr>
          <w:rFonts w:hint="eastAsia"/>
          <w:color w:val="auto"/>
        </w:rPr>
        <w:t>付款周期同计量周期。</w:t>
      </w:r>
    </w:p>
    <w:p>
      <w:pPr>
        <w:spacing w:line="400" w:lineRule="exact"/>
        <w:ind w:firstLine="420" w:firstLineChars="200"/>
        <w:rPr>
          <w:rFonts w:hint="eastAsia"/>
          <w:color w:val="auto"/>
        </w:rPr>
      </w:pPr>
      <w:r>
        <w:rPr>
          <w:rFonts w:hint="eastAsia"/>
          <w:color w:val="auto"/>
        </w:rPr>
        <w:t xml:space="preserve">17.3.2 </w:t>
      </w:r>
      <w:r>
        <w:rPr>
          <w:rFonts w:hint="eastAsia" w:ascii="黑体" w:eastAsia="黑体"/>
          <w:color w:val="auto"/>
        </w:rPr>
        <w:t>进度付款申请单</w:t>
      </w:r>
    </w:p>
    <w:p>
      <w:pPr>
        <w:spacing w:line="400" w:lineRule="exact"/>
        <w:ind w:firstLine="420" w:firstLineChars="200"/>
        <w:rPr>
          <w:rFonts w:hint="eastAsia"/>
          <w:dstrike/>
          <w:color w:val="auto"/>
          <w:szCs w:val="21"/>
        </w:rPr>
      </w:pPr>
      <w:r>
        <w:rPr>
          <w:rFonts w:hint="eastAsia"/>
          <w:color w:val="auto"/>
        </w:rPr>
        <w:t>承包人应在每个付款周期末，按监理人批准的格式和专用合同条款约定的份数，向监理人提交进度付款申请单，并附相应的支持性证明文件。除专用合同条款另有约定外，进度付款申请单应包括下列内容：</w:t>
      </w:r>
    </w:p>
    <w:p>
      <w:pPr>
        <w:spacing w:line="400" w:lineRule="exact"/>
        <w:ind w:firstLine="420" w:firstLineChars="200"/>
        <w:rPr>
          <w:rFonts w:hint="eastAsia"/>
          <w:color w:val="auto"/>
        </w:rPr>
      </w:pPr>
      <w:r>
        <w:rPr>
          <w:rFonts w:hint="eastAsia"/>
          <w:color w:val="auto"/>
        </w:rPr>
        <w:t>（1）截至本次付款周期末已实施工程的价款；</w:t>
      </w:r>
    </w:p>
    <w:p>
      <w:pPr>
        <w:spacing w:line="400" w:lineRule="exact"/>
        <w:ind w:firstLine="420" w:firstLineChars="200"/>
        <w:rPr>
          <w:rFonts w:hint="eastAsia"/>
          <w:color w:val="auto"/>
        </w:rPr>
      </w:pPr>
      <w:r>
        <w:rPr>
          <w:rFonts w:hint="eastAsia"/>
          <w:color w:val="auto"/>
        </w:rPr>
        <w:t>（2）根据第15条应增加和扣减的变更金额；</w:t>
      </w:r>
    </w:p>
    <w:p>
      <w:pPr>
        <w:spacing w:line="400" w:lineRule="exact"/>
        <w:ind w:firstLine="420" w:firstLineChars="200"/>
        <w:rPr>
          <w:rFonts w:hint="eastAsia"/>
          <w:color w:val="auto"/>
        </w:rPr>
      </w:pPr>
      <w:r>
        <w:rPr>
          <w:rFonts w:hint="eastAsia"/>
          <w:color w:val="auto"/>
        </w:rPr>
        <w:t>（3）根据第23条应增加和扣减的索赔金额；</w:t>
      </w:r>
    </w:p>
    <w:p>
      <w:pPr>
        <w:spacing w:line="400" w:lineRule="exact"/>
        <w:ind w:firstLine="420" w:firstLineChars="200"/>
        <w:rPr>
          <w:rFonts w:hint="eastAsia"/>
          <w:color w:val="auto"/>
        </w:rPr>
      </w:pPr>
      <w:r>
        <w:rPr>
          <w:rFonts w:hint="eastAsia"/>
          <w:color w:val="auto"/>
        </w:rPr>
        <w:t>（4）根据第17.2款约定应支付的预付款和扣减的返还预付款；</w:t>
      </w:r>
    </w:p>
    <w:p>
      <w:pPr>
        <w:spacing w:line="400" w:lineRule="exact"/>
        <w:ind w:firstLine="420" w:firstLineChars="200"/>
        <w:rPr>
          <w:rFonts w:hint="eastAsia"/>
          <w:color w:val="auto"/>
        </w:rPr>
      </w:pPr>
      <w:r>
        <w:rPr>
          <w:rFonts w:hint="eastAsia"/>
          <w:color w:val="auto"/>
        </w:rPr>
        <w:t>（5）根据第17.4.1项约定应扣减的质量保证金；</w:t>
      </w:r>
    </w:p>
    <w:p>
      <w:pPr>
        <w:spacing w:line="400" w:lineRule="exact"/>
        <w:ind w:firstLine="420" w:firstLineChars="200"/>
        <w:rPr>
          <w:rFonts w:hint="eastAsia"/>
          <w:color w:val="auto"/>
        </w:rPr>
      </w:pPr>
      <w:r>
        <w:rPr>
          <w:rFonts w:hint="eastAsia"/>
          <w:color w:val="auto"/>
        </w:rPr>
        <w:t>（6）根据合同应增加和扣减的其他金额。</w:t>
      </w:r>
    </w:p>
    <w:p>
      <w:pPr>
        <w:spacing w:line="400" w:lineRule="exact"/>
        <w:ind w:firstLine="420" w:firstLineChars="200"/>
        <w:rPr>
          <w:rFonts w:hint="eastAsia"/>
          <w:color w:val="auto"/>
        </w:rPr>
      </w:pPr>
      <w:r>
        <w:rPr>
          <w:rFonts w:hint="eastAsia"/>
          <w:color w:val="auto"/>
        </w:rPr>
        <w:t xml:space="preserve">17.3.3 </w:t>
      </w:r>
      <w:r>
        <w:rPr>
          <w:rFonts w:hint="eastAsia" w:ascii="黑体" w:eastAsia="黑体"/>
          <w:color w:val="auto"/>
        </w:rPr>
        <w:t>进度付款证书和支付时间</w:t>
      </w:r>
    </w:p>
    <w:p>
      <w:pPr>
        <w:spacing w:line="400" w:lineRule="exact"/>
        <w:ind w:firstLine="630" w:firstLineChars="300"/>
        <w:rPr>
          <w:rFonts w:hint="eastAsia"/>
          <w:color w:val="auto"/>
        </w:rPr>
      </w:pPr>
      <w:r>
        <w:rPr>
          <w:rFonts w:hint="eastAsia"/>
          <w:color w:val="auto"/>
        </w:rPr>
        <w:t>（1）监理人在收到承包人进度付款申请单以及相应的支持性证明文件后的14天内完成核查，提出发包人到期应支付给承包人的金额以及相应的支持性材料，经发包人审查同意后，由监理人向承包人出具经发包人签认的进度付款证书。监理人有权扣发承包人未能按照合同要求履行任何工作或义务的相应金额。</w:t>
      </w:r>
    </w:p>
    <w:p>
      <w:pPr>
        <w:spacing w:line="400" w:lineRule="exact"/>
        <w:ind w:firstLine="718" w:firstLineChars="342"/>
        <w:rPr>
          <w:rFonts w:hint="eastAsia"/>
          <w:color w:val="auto"/>
        </w:rPr>
      </w:pPr>
      <w:r>
        <w:rPr>
          <w:rFonts w:hint="eastAsia"/>
          <w:color w:val="auto"/>
        </w:rPr>
        <w:t>（2）发包人应在监理人收到进度付款申请单后的28天内，将进度应付款支付给承包人。发包人不按期支付的，按专用合同条款的约定支付逾期付款违约金。</w:t>
      </w:r>
    </w:p>
    <w:p>
      <w:pPr>
        <w:spacing w:line="400" w:lineRule="exact"/>
        <w:ind w:firstLine="718" w:firstLineChars="342"/>
        <w:rPr>
          <w:rFonts w:hint="eastAsia"/>
          <w:color w:val="auto"/>
        </w:rPr>
      </w:pPr>
      <w:r>
        <w:rPr>
          <w:rFonts w:hint="eastAsia"/>
          <w:color w:val="auto"/>
        </w:rPr>
        <w:t>（3）监理人出具进度付款证书，不应视为监理人已同意、批准或接受了承包人完成的该部分工作。</w:t>
      </w:r>
    </w:p>
    <w:p>
      <w:pPr>
        <w:spacing w:line="400" w:lineRule="exact"/>
        <w:ind w:firstLine="718" w:firstLineChars="342"/>
        <w:rPr>
          <w:rFonts w:hint="eastAsia"/>
          <w:color w:val="auto"/>
        </w:rPr>
      </w:pPr>
      <w:r>
        <w:rPr>
          <w:rFonts w:hint="eastAsia"/>
          <w:color w:val="auto"/>
        </w:rPr>
        <w:t>（4）进度付款涉及政府投资资金的，按照国库集中支付等国家相关规定和专用合同条款的约定办理。</w:t>
      </w:r>
    </w:p>
    <w:p>
      <w:pPr>
        <w:spacing w:line="400" w:lineRule="exact"/>
        <w:ind w:firstLine="420" w:firstLineChars="200"/>
        <w:rPr>
          <w:rFonts w:hint="eastAsia"/>
          <w:color w:val="auto"/>
        </w:rPr>
      </w:pPr>
      <w:r>
        <w:rPr>
          <w:rFonts w:hint="eastAsia"/>
          <w:color w:val="auto"/>
        </w:rPr>
        <w:t xml:space="preserve">17.3.4 </w:t>
      </w:r>
      <w:r>
        <w:rPr>
          <w:rFonts w:hint="eastAsia" w:ascii="黑体" w:eastAsia="黑体"/>
          <w:color w:val="auto"/>
        </w:rPr>
        <w:t>工程进度付款的修正</w:t>
      </w:r>
    </w:p>
    <w:p>
      <w:pPr>
        <w:spacing w:line="400" w:lineRule="exact"/>
        <w:ind w:firstLine="420" w:firstLineChars="200"/>
        <w:rPr>
          <w:rFonts w:hint="eastAsia"/>
          <w:color w:val="auto"/>
        </w:rPr>
      </w:pPr>
      <w:r>
        <w:rPr>
          <w:rFonts w:hint="eastAsia"/>
          <w:color w:val="auto"/>
        </w:rPr>
        <w:t>在对以往历次已签发的进度付款证书进行汇总和复核中发现错、漏或重复的，监理人有权予以修正，承包人也有权提出修正申请。经双方复核同意的修正，应在本次进度付款中支付或扣除。</w:t>
      </w:r>
    </w:p>
    <w:p>
      <w:pPr>
        <w:pStyle w:val="231"/>
        <w:rPr>
          <w:rFonts w:hint="eastAsia"/>
          <w:color w:val="auto"/>
        </w:rPr>
      </w:pPr>
      <w:bookmarkStart w:id="589" w:name="_Toc144974693"/>
      <w:bookmarkStart w:id="590" w:name="_Toc152045722"/>
      <w:bookmarkStart w:id="591" w:name="_Toc152042501"/>
      <w:bookmarkStart w:id="592" w:name="_Toc179632740"/>
      <w:r>
        <w:rPr>
          <w:rFonts w:hint="eastAsia"/>
          <w:color w:val="auto"/>
        </w:rPr>
        <w:t xml:space="preserve">17.4 </w:t>
      </w:r>
      <w:bookmarkEnd w:id="589"/>
      <w:bookmarkEnd w:id="590"/>
      <w:bookmarkEnd w:id="591"/>
      <w:r>
        <w:rPr>
          <w:rFonts w:hint="eastAsia"/>
          <w:color w:val="auto"/>
        </w:rPr>
        <w:t>质量保证金</w:t>
      </w:r>
      <w:bookmarkEnd w:id="592"/>
    </w:p>
    <w:p>
      <w:pPr>
        <w:spacing w:line="400" w:lineRule="exact"/>
        <w:ind w:firstLine="420" w:firstLineChars="200"/>
        <w:rPr>
          <w:rFonts w:hint="eastAsia"/>
          <w:color w:val="auto"/>
        </w:rPr>
      </w:pPr>
      <w:r>
        <w:rPr>
          <w:rFonts w:hint="eastAsia"/>
          <w:color w:val="auto"/>
        </w:rPr>
        <w:t>17.4.1 监理人应从第一个付款周期开始，在发包人的进度付款中，按专用合同条款的约定扣留质量保证金，直至扣留的质量保证金总额达到专用合同条款约定的金额或比例为止。质量保证金的计算额度不包括预付款的支付、扣回以及价格调整的金额。</w:t>
      </w:r>
    </w:p>
    <w:p>
      <w:pPr>
        <w:spacing w:line="400" w:lineRule="exact"/>
        <w:ind w:firstLine="420" w:firstLineChars="200"/>
        <w:rPr>
          <w:rFonts w:hint="eastAsia"/>
          <w:color w:val="auto"/>
        </w:rPr>
      </w:pPr>
      <w:r>
        <w:rPr>
          <w:rFonts w:hint="eastAsia"/>
          <w:color w:val="auto"/>
        </w:rPr>
        <w:t>17.4.2 在第1.1.4.5目约定的缺陷责任期满时，承包人向发包人申请到期应返还承包人剩余的质量保证金金额，发包人应在14天内会同承包人按照合同约定的内容核实承包人是否完成缺陷责任。如无异议，发包人应当在核实后将剩余保证金返还承包人。</w:t>
      </w:r>
    </w:p>
    <w:p>
      <w:pPr>
        <w:spacing w:line="400" w:lineRule="exact"/>
        <w:ind w:firstLine="420" w:firstLineChars="200"/>
        <w:rPr>
          <w:rFonts w:hint="eastAsia"/>
          <w:color w:val="auto"/>
        </w:rPr>
      </w:pPr>
      <w:r>
        <w:rPr>
          <w:rFonts w:hint="eastAsia"/>
          <w:color w:val="auto"/>
        </w:rPr>
        <w:t xml:space="preserve">17.4.3 在第1.1.4.5目约定的缺陷责任期满时，承包人没有完成缺陷责任的，发包人有权扣留与未履行责任剩余工作所需金额相应的质量保证金余额，并有权根据第19.3款约定要求延长缺陷责任期，直至完成剩余工作为止。 </w:t>
      </w:r>
    </w:p>
    <w:p>
      <w:pPr>
        <w:pStyle w:val="231"/>
        <w:rPr>
          <w:rFonts w:hint="eastAsia"/>
          <w:color w:val="auto"/>
        </w:rPr>
      </w:pPr>
      <w:bookmarkStart w:id="593" w:name="_Toc144974694"/>
      <w:bookmarkStart w:id="594" w:name="_Toc152042502"/>
      <w:bookmarkStart w:id="595" w:name="_Toc179632741"/>
      <w:bookmarkStart w:id="596" w:name="_Toc152045723"/>
      <w:r>
        <w:rPr>
          <w:rFonts w:hint="eastAsia"/>
          <w:color w:val="auto"/>
        </w:rPr>
        <w:t>17.5 竣工结算</w:t>
      </w:r>
      <w:bookmarkEnd w:id="593"/>
      <w:bookmarkEnd w:id="594"/>
      <w:bookmarkEnd w:id="595"/>
      <w:bookmarkEnd w:id="596"/>
    </w:p>
    <w:p>
      <w:pPr>
        <w:spacing w:line="400" w:lineRule="exact"/>
        <w:ind w:firstLine="420" w:firstLineChars="200"/>
        <w:rPr>
          <w:rFonts w:hint="eastAsia"/>
          <w:color w:val="auto"/>
        </w:rPr>
      </w:pPr>
      <w:r>
        <w:rPr>
          <w:rFonts w:hint="eastAsia"/>
          <w:color w:val="auto"/>
        </w:rPr>
        <w:t xml:space="preserve">17.5.1 </w:t>
      </w:r>
      <w:r>
        <w:rPr>
          <w:rFonts w:hint="eastAsia" w:ascii="黑体" w:eastAsia="黑体"/>
          <w:color w:val="auto"/>
        </w:rPr>
        <w:t>竣工付款申请单</w:t>
      </w:r>
    </w:p>
    <w:p>
      <w:pPr>
        <w:spacing w:line="400" w:lineRule="exact"/>
        <w:ind w:firstLine="718" w:firstLineChars="342"/>
        <w:rPr>
          <w:rFonts w:hint="eastAsia"/>
          <w:color w:val="auto"/>
        </w:rPr>
      </w:pPr>
      <w:r>
        <w:rPr>
          <w:rFonts w:hint="eastAsia"/>
          <w:color w:val="auto"/>
        </w:rPr>
        <w:t>（1）工程接收证书颁发后，承包人应按专用合同条款约定的份数和期限向监理人提交竣工付款申请单，并提供相关证明材料。除专用合同条款另有约定外，竣工付款申请单应包括下列内容：竣工结算合同总价、发包人已支付承包人的工程价款、应扣留的质量保证金、应支付的竣工付款金额。</w:t>
      </w:r>
    </w:p>
    <w:p>
      <w:pPr>
        <w:spacing w:line="400" w:lineRule="exact"/>
        <w:ind w:firstLine="718" w:firstLineChars="342"/>
        <w:rPr>
          <w:rFonts w:hint="eastAsia"/>
          <w:color w:val="auto"/>
        </w:rPr>
      </w:pPr>
      <w:r>
        <w:rPr>
          <w:rFonts w:hint="eastAsia"/>
          <w:color w:val="auto"/>
        </w:rPr>
        <w:t>（2）监理人对竣工付款申请单有异议的，有权要求承包人进行修正和提供补充资料。经监理人和承包人协商后，由承包人向监理人提交修正后的竣工付款申请单。</w:t>
      </w:r>
    </w:p>
    <w:p>
      <w:pPr>
        <w:spacing w:line="400" w:lineRule="exact"/>
        <w:ind w:firstLine="420" w:firstLineChars="200"/>
        <w:rPr>
          <w:rFonts w:hint="eastAsia"/>
          <w:color w:val="auto"/>
        </w:rPr>
      </w:pPr>
      <w:r>
        <w:rPr>
          <w:rFonts w:hint="eastAsia"/>
          <w:color w:val="auto"/>
        </w:rPr>
        <w:t xml:space="preserve">17.5.2 </w:t>
      </w:r>
      <w:r>
        <w:rPr>
          <w:rFonts w:hint="eastAsia" w:ascii="黑体" w:eastAsia="黑体"/>
          <w:color w:val="auto"/>
        </w:rPr>
        <w:t>竣工付款证书及支付时间</w:t>
      </w:r>
    </w:p>
    <w:p>
      <w:pPr>
        <w:spacing w:line="400" w:lineRule="exact"/>
        <w:ind w:firstLine="718" w:firstLineChars="342"/>
        <w:rPr>
          <w:rFonts w:hint="eastAsia"/>
          <w:color w:val="auto"/>
        </w:rPr>
      </w:pPr>
      <w:r>
        <w:rPr>
          <w:rFonts w:hint="eastAsia"/>
          <w:color w:val="auto"/>
        </w:rPr>
        <w:t>（1）监理人在收到承包人提交的竣工付款申请单后的14天内完成核查，提出发包人到期应支付给承包人的价款送发包人审核并抄送承包人。发包人应在收到后14天内审核完毕，由监理人向承包人出具经发包人签认的竣工付款证书。监理人未在约定时间内核查，又未提出具体意见的，视为承包人提交的竣工付款申请单已经监理人核查同意；发包人未在约定时间内审核又未提出具体意见的，监理人提出发包人到期应支付给承包人的价款视为已经发包人同意。</w:t>
      </w:r>
    </w:p>
    <w:p>
      <w:pPr>
        <w:spacing w:line="400" w:lineRule="exact"/>
        <w:ind w:firstLine="718" w:firstLineChars="342"/>
        <w:rPr>
          <w:rFonts w:hint="eastAsia"/>
          <w:color w:val="auto"/>
        </w:rPr>
      </w:pPr>
      <w:r>
        <w:rPr>
          <w:rFonts w:hint="eastAsia"/>
          <w:color w:val="auto"/>
        </w:rPr>
        <w:t>（2）发包人应在监理人出具竣工付款证书后的14天内，将应支付款支付给承包人。发包人不按期支付的，按第17.3.3（2）目的约定，将逾期付款违约金支付给承包人。</w:t>
      </w:r>
    </w:p>
    <w:p>
      <w:pPr>
        <w:spacing w:line="400" w:lineRule="exact"/>
        <w:ind w:firstLine="718" w:firstLineChars="342"/>
        <w:rPr>
          <w:rFonts w:hint="eastAsia"/>
          <w:color w:val="auto"/>
        </w:rPr>
      </w:pPr>
      <w:r>
        <w:rPr>
          <w:rFonts w:hint="eastAsia"/>
          <w:color w:val="auto"/>
        </w:rPr>
        <w:t>（3）承包人对发包人签认的竣工付款证书有异议的，发包人可出具竣工付款申请单中承包人已同意部分的临时付款证书。存在争议的部分，按第24条的约定办理。</w:t>
      </w:r>
    </w:p>
    <w:p>
      <w:pPr>
        <w:spacing w:line="400" w:lineRule="exact"/>
        <w:ind w:firstLine="630" w:firstLineChars="300"/>
        <w:rPr>
          <w:rFonts w:hint="eastAsia"/>
          <w:color w:val="auto"/>
        </w:rPr>
      </w:pPr>
      <w:r>
        <w:rPr>
          <w:rFonts w:hint="eastAsia"/>
          <w:color w:val="auto"/>
        </w:rPr>
        <w:t>（4）竣工付款涉及政府投资资金的，按第17.3.3（</w:t>
      </w:r>
      <w:r>
        <w:rPr>
          <w:rFonts w:hint="eastAsia"/>
          <w:color w:val="auto"/>
          <w:lang w:eastAsia="zh-CN"/>
        </w:rPr>
        <w:t>4）项</w:t>
      </w:r>
      <w:r>
        <w:rPr>
          <w:rFonts w:hint="eastAsia"/>
          <w:color w:val="auto"/>
        </w:rPr>
        <w:t>目的约定办理。</w:t>
      </w:r>
    </w:p>
    <w:p>
      <w:pPr>
        <w:pStyle w:val="231"/>
        <w:rPr>
          <w:rFonts w:hint="eastAsia"/>
          <w:color w:val="auto"/>
        </w:rPr>
      </w:pPr>
      <w:bookmarkStart w:id="597" w:name="_Toc144974695"/>
      <w:bookmarkStart w:id="598" w:name="_Toc152042503"/>
      <w:bookmarkStart w:id="599" w:name="_Toc179632742"/>
      <w:bookmarkStart w:id="600" w:name="_Toc152045724"/>
      <w:r>
        <w:rPr>
          <w:rFonts w:hint="eastAsia"/>
          <w:color w:val="auto"/>
        </w:rPr>
        <w:t>17.6 最终结清</w:t>
      </w:r>
      <w:bookmarkEnd w:id="597"/>
      <w:bookmarkEnd w:id="598"/>
      <w:bookmarkEnd w:id="599"/>
      <w:bookmarkEnd w:id="600"/>
    </w:p>
    <w:p>
      <w:pPr>
        <w:spacing w:line="400" w:lineRule="exact"/>
        <w:ind w:firstLine="420" w:firstLineChars="200"/>
        <w:rPr>
          <w:rFonts w:hint="eastAsia"/>
          <w:color w:val="auto"/>
        </w:rPr>
      </w:pPr>
      <w:r>
        <w:rPr>
          <w:rFonts w:hint="eastAsia"/>
          <w:color w:val="auto"/>
        </w:rPr>
        <w:t xml:space="preserve">17.6.1 </w:t>
      </w:r>
      <w:r>
        <w:rPr>
          <w:rFonts w:hint="eastAsia" w:ascii="黑体" w:eastAsia="黑体"/>
          <w:color w:val="auto"/>
        </w:rPr>
        <w:t>最终结清申请单</w:t>
      </w:r>
    </w:p>
    <w:p>
      <w:pPr>
        <w:spacing w:line="400" w:lineRule="exact"/>
        <w:ind w:firstLine="718" w:firstLineChars="342"/>
        <w:rPr>
          <w:rFonts w:hint="eastAsia"/>
          <w:color w:val="auto"/>
        </w:rPr>
      </w:pPr>
      <w:r>
        <w:rPr>
          <w:rFonts w:hint="eastAsia"/>
          <w:color w:val="auto"/>
        </w:rPr>
        <w:t>（1）缺陷责任期终止证书签发后，承包人可按专用合同条款约定的份数和期限向监理人提交最终结清申请单，并提供相关证明材料。</w:t>
      </w:r>
    </w:p>
    <w:p>
      <w:pPr>
        <w:spacing w:line="400" w:lineRule="exact"/>
        <w:ind w:firstLine="718" w:firstLineChars="342"/>
        <w:rPr>
          <w:rFonts w:hint="eastAsia"/>
          <w:color w:val="auto"/>
        </w:rPr>
      </w:pPr>
      <w:r>
        <w:rPr>
          <w:rFonts w:hint="eastAsia"/>
          <w:color w:val="auto"/>
        </w:rPr>
        <w:t>（2）发包人对最终结清申请单内容有异议的，有权要求承包人进行修正和提供补充资料，由承包人向监理人提交修正后的最终结清申请单。</w:t>
      </w:r>
    </w:p>
    <w:p>
      <w:pPr>
        <w:spacing w:line="400" w:lineRule="exact"/>
        <w:ind w:firstLine="420" w:firstLineChars="200"/>
        <w:rPr>
          <w:rFonts w:hint="eastAsia"/>
          <w:color w:val="auto"/>
        </w:rPr>
      </w:pPr>
      <w:r>
        <w:rPr>
          <w:rFonts w:hint="eastAsia"/>
          <w:color w:val="auto"/>
        </w:rPr>
        <w:t xml:space="preserve">17.6.2 </w:t>
      </w:r>
      <w:r>
        <w:rPr>
          <w:rFonts w:hint="eastAsia" w:ascii="黑体" w:eastAsia="黑体"/>
          <w:color w:val="auto"/>
        </w:rPr>
        <w:t>最终结清证书和支付时间</w:t>
      </w:r>
    </w:p>
    <w:p>
      <w:pPr>
        <w:spacing w:line="400" w:lineRule="exact"/>
        <w:ind w:firstLine="718" w:firstLineChars="342"/>
        <w:rPr>
          <w:rFonts w:hint="eastAsia"/>
          <w:color w:val="auto"/>
        </w:rPr>
      </w:pPr>
      <w:r>
        <w:rPr>
          <w:rFonts w:hint="eastAsia"/>
          <w:color w:val="auto"/>
        </w:rPr>
        <w:t>（1）监理人收到承包人提交的最终结清申请单后的14天内，提出发包人应支付给承包人的价款送发包人审核并抄送承包人。发包人应在收到后14天内审核完毕，由监理人向承包人出具经发包人签认的最终结清证书。监理人未在约定时间内核查，又未提出具体意见的，视为承包人提交的最终结清申请已经监理人核查同意；发包人未在约定时间内审核又未提出具体意见的，监理人提出应支付给承包人的价款视为已经发包人同意。</w:t>
      </w:r>
    </w:p>
    <w:p>
      <w:pPr>
        <w:spacing w:line="400" w:lineRule="exact"/>
        <w:ind w:firstLine="718" w:firstLineChars="342"/>
        <w:rPr>
          <w:rFonts w:hint="eastAsia"/>
          <w:color w:val="auto"/>
        </w:rPr>
      </w:pPr>
      <w:r>
        <w:rPr>
          <w:rFonts w:hint="eastAsia"/>
          <w:color w:val="auto"/>
        </w:rPr>
        <w:t>（2）发包人应在监理人出具最终结清证书后的14天内，将应支付款支付给承包人。发包人不按期支付的，按第17.3.3（2）目的约定，将逾期付款违约金支付给承包人。</w:t>
      </w:r>
    </w:p>
    <w:p>
      <w:pPr>
        <w:spacing w:line="400" w:lineRule="exact"/>
        <w:ind w:firstLine="718" w:firstLineChars="342"/>
        <w:rPr>
          <w:rFonts w:hint="eastAsia"/>
          <w:color w:val="auto"/>
        </w:rPr>
      </w:pPr>
      <w:r>
        <w:rPr>
          <w:rFonts w:hint="eastAsia"/>
          <w:color w:val="auto"/>
        </w:rPr>
        <w:t>（3）承包人对发包人签认的最终结清证书有异议的，按第24条的约定办理。</w:t>
      </w:r>
    </w:p>
    <w:p>
      <w:pPr>
        <w:spacing w:line="400" w:lineRule="exact"/>
        <w:ind w:firstLine="718" w:firstLineChars="342"/>
        <w:rPr>
          <w:rFonts w:hint="eastAsia"/>
          <w:color w:val="auto"/>
        </w:rPr>
      </w:pPr>
      <w:r>
        <w:rPr>
          <w:rFonts w:hint="eastAsia"/>
          <w:color w:val="auto"/>
        </w:rPr>
        <w:t>（4）最终结清付款涉及政府投资资金的，按第17.3.3（</w:t>
      </w:r>
      <w:r>
        <w:rPr>
          <w:rFonts w:hint="eastAsia"/>
          <w:color w:val="auto"/>
          <w:lang w:eastAsia="zh-CN"/>
        </w:rPr>
        <w:t>4</w:t>
      </w:r>
      <w:r>
        <w:rPr>
          <w:rFonts w:hint="eastAsia"/>
          <w:color w:val="auto"/>
        </w:rPr>
        <w:t>）目的约定办理。</w:t>
      </w:r>
    </w:p>
    <w:p>
      <w:pPr>
        <w:pStyle w:val="224"/>
        <w:rPr>
          <w:rFonts w:hint="eastAsia"/>
          <w:color w:val="auto"/>
        </w:rPr>
      </w:pPr>
      <w:bookmarkStart w:id="601" w:name="_Toc152045725"/>
      <w:bookmarkStart w:id="602" w:name="_Toc144974696"/>
      <w:bookmarkStart w:id="603" w:name="_Toc152042504"/>
      <w:bookmarkStart w:id="604" w:name="_Toc179632743"/>
      <w:r>
        <w:rPr>
          <w:rFonts w:hint="eastAsia"/>
          <w:color w:val="auto"/>
        </w:rPr>
        <w:t>18. 竣工验收</w:t>
      </w:r>
      <w:bookmarkEnd w:id="601"/>
      <w:bookmarkEnd w:id="602"/>
      <w:bookmarkEnd w:id="603"/>
      <w:bookmarkEnd w:id="604"/>
    </w:p>
    <w:p>
      <w:pPr>
        <w:pStyle w:val="231"/>
        <w:rPr>
          <w:rFonts w:hint="eastAsia"/>
          <w:color w:val="auto"/>
        </w:rPr>
      </w:pPr>
      <w:bookmarkStart w:id="605" w:name="_Toc152045726"/>
      <w:bookmarkStart w:id="606" w:name="_Toc152042505"/>
      <w:bookmarkStart w:id="607" w:name="_Toc179632744"/>
      <w:bookmarkStart w:id="608" w:name="_Toc144974697"/>
      <w:r>
        <w:rPr>
          <w:rFonts w:hint="eastAsia"/>
          <w:color w:val="auto"/>
        </w:rPr>
        <w:t>18.1 竣工验收的含义</w:t>
      </w:r>
      <w:bookmarkEnd w:id="605"/>
      <w:bookmarkEnd w:id="606"/>
      <w:bookmarkEnd w:id="607"/>
      <w:bookmarkEnd w:id="608"/>
    </w:p>
    <w:p>
      <w:pPr>
        <w:spacing w:line="400" w:lineRule="exact"/>
        <w:ind w:firstLine="420" w:firstLineChars="200"/>
        <w:rPr>
          <w:rFonts w:hint="eastAsia"/>
          <w:color w:val="auto"/>
        </w:rPr>
      </w:pPr>
      <w:r>
        <w:rPr>
          <w:rFonts w:hint="eastAsia"/>
          <w:color w:val="auto"/>
        </w:rPr>
        <w:t>18.1.1 竣工验收指承包人完成了全部合同工作后，发包人按合同要求进行的验收。</w:t>
      </w:r>
    </w:p>
    <w:p>
      <w:pPr>
        <w:spacing w:line="400" w:lineRule="exact"/>
        <w:ind w:firstLine="420" w:firstLineChars="200"/>
        <w:rPr>
          <w:rFonts w:hint="eastAsia"/>
          <w:color w:val="auto"/>
        </w:rPr>
      </w:pPr>
      <w:r>
        <w:rPr>
          <w:rFonts w:hint="eastAsia"/>
          <w:color w:val="auto"/>
        </w:rPr>
        <w:t>18.1.2 国家验收是政府有关部门根据法律、规范、规程和政策要求，针对发包人全面组织实施的整个工程正式交付投运前的验收。</w:t>
      </w:r>
    </w:p>
    <w:p>
      <w:pPr>
        <w:spacing w:line="400" w:lineRule="exact"/>
        <w:ind w:firstLine="420" w:firstLineChars="200"/>
        <w:rPr>
          <w:rFonts w:hint="eastAsia"/>
          <w:color w:val="auto"/>
        </w:rPr>
      </w:pPr>
      <w:r>
        <w:rPr>
          <w:rFonts w:hint="eastAsia"/>
          <w:color w:val="auto"/>
        </w:rPr>
        <w:t xml:space="preserve">18.1.3 需要进行国家验收的，竣工验收是国家验收的一部分。竣工验收所采用的各项验收和评定标准应符合国家验收标准。发包人和承包人为竣工验收提供的各项竣工验收资料应符合国家验收的要求。 </w:t>
      </w:r>
    </w:p>
    <w:p>
      <w:pPr>
        <w:pStyle w:val="231"/>
        <w:rPr>
          <w:rFonts w:hint="eastAsia"/>
          <w:color w:val="auto"/>
        </w:rPr>
      </w:pPr>
      <w:bookmarkStart w:id="609" w:name="_Toc179632745"/>
      <w:bookmarkStart w:id="610" w:name="_Toc152042506"/>
      <w:bookmarkStart w:id="611" w:name="_Toc144974698"/>
      <w:bookmarkStart w:id="612" w:name="_Toc152045727"/>
      <w:r>
        <w:rPr>
          <w:rFonts w:hint="eastAsia"/>
          <w:color w:val="auto"/>
        </w:rPr>
        <w:t>18.2 竣工验收申请报告</w:t>
      </w:r>
      <w:bookmarkEnd w:id="609"/>
      <w:bookmarkEnd w:id="610"/>
      <w:bookmarkEnd w:id="611"/>
      <w:bookmarkEnd w:id="612"/>
    </w:p>
    <w:p>
      <w:pPr>
        <w:spacing w:line="400" w:lineRule="exact"/>
        <w:ind w:firstLine="420" w:firstLineChars="200"/>
        <w:rPr>
          <w:rFonts w:hint="eastAsia"/>
          <w:color w:val="auto"/>
        </w:rPr>
      </w:pPr>
      <w:r>
        <w:rPr>
          <w:rFonts w:hint="eastAsia"/>
          <w:color w:val="auto"/>
        </w:rPr>
        <w:t>当工程具备以下条件时，承包人即可向监理人报送竣工验收申请报告：</w:t>
      </w:r>
    </w:p>
    <w:p>
      <w:pPr>
        <w:spacing w:line="400" w:lineRule="exact"/>
        <w:ind w:firstLine="359" w:firstLineChars="171"/>
        <w:rPr>
          <w:rFonts w:hint="eastAsia"/>
          <w:color w:val="auto"/>
        </w:rPr>
      </w:pPr>
      <w:r>
        <w:rPr>
          <w:rFonts w:hint="eastAsia"/>
          <w:color w:val="auto"/>
        </w:rPr>
        <w:t>（1）除监理人同意列入缺陷责任期内完成的尾工（甩项）工程和缺陷修补工作外，合同范围内的全部单位工程以及有关工作，包括合同要求的试验、试运行以及检验和验收均已完成，并符合合同要求；</w:t>
      </w:r>
    </w:p>
    <w:p>
      <w:pPr>
        <w:spacing w:line="400" w:lineRule="exact"/>
        <w:ind w:firstLine="359" w:firstLineChars="171"/>
        <w:rPr>
          <w:rFonts w:hint="eastAsia"/>
          <w:color w:val="auto"/>
        </w:rPr>
      </w:pPr>
      <w:r>
        <w:rPr>
          <w:rFonts w:hint="eastAsia"/>
          <w:color w:val="auto"/>
        </w:rPr>
        <w:t xml:space="preserve">（2）已按合同约定的内容和份数备齐了符合要求的竣工资料； </w:t>
      </w:r>
    </w:p>
    <w:p>
      <w:pPr>
        <w:spacing w:line="400" w:lineRule="exact"/>
        <w:ind w:firstLine="359" w:firstLineChars="171"/>
        <w:rPr>
          <w:rFonts w:hint="eastAsia"/>
          <w:color w:val="auto"/>
        </w:rPr>
      </w:pPr>
      <w:r>
        <w:rPr>
          <w:rFonts w:hint="eastAsia"/>
          <w:color w:val="auto"/>
        </w:rPr>
        <w:t>（3）已按监理人的要求编制了在缺陷责任期内完成的尾工（甩项）工程和缺陷修补工作清单以及相应施工计划；</w:t>
      </w:r>
    </w:p>
    <w:p>
      <w:pPr>
        <w:spacing w:line="400" w:lineRule="exact"/>
        <w:ind w:firstLine="359" w:firstLineChars="171"/>
        <w:rPr>
          <w:rFonts w:hint="eastAsia"/>
          <w:color w:val="auto"/>
        </w:rPr>
      </w:pPr>
      <w:r>
        <w:rPr>
          <w:rFonts w:hint="eastAsia"/>
          <w:color w:val="auto"/>
        </w:rPr>
        <w:t>（4）监理人要求在竣工验收前应完成的其他工作；</w:t>
      </w:r>
    </w:p>
    <w:p>
      <w:pPr>
        <w:spacing w:line="400" w:lineRule="exact"/>
        <w:ind w:firstLine="359" w:firstLineChars="171"/>
        <w:rPr>
          <w:rFonts w:hint="eastAsia"/>
          <w:color w:val="auto"/>
        </w:rPr>
      </w:pPr>
      <w:r>
        <w:rPr>
          <w:rFonts w:hint="eastAsia"/>
          <w:color w:val="auto"/>
        </w:rPr>
        <w:t>（5）监理人要求提交的竣工验收资料清单。</w:t>
      </w:r>
    </w:p>
    <w:p>
      <w:pPr>
        <w:pStyle w:val="231"/>
        <w:rPr>
          <w:rFonts w:hint="eastAsia"/>
          <w:color w:val="auto"/>
        </w:rPr>
      </w:pPr>
      <w:bookmarkStart w:id="613" w:name="_Toc152045728"/>
      <w:bookmarkStart w:id="614" w:name="_Toc152042507"/>
      <w:bookmarkStart w:id="615" w:name="_Toc144974699"/>
      <w:bookmarkStart w:id="616" w:name="_Toc179632746"/>
      <w:r>
        <w:rPr>
          <w:rFonts w:hint="eastAsia"/>
          <w:color w:val="auto"/>
        </w:rPr>
        <w:t>18.3 验收</w:t>
      </w:r>
      <w:bookmarkEnd w:id="613"/>
      <w:bookmarkEnd w:id="614"/>
      <w:bookmarkEnd w:id="615"/>
      <w:bookmarkEnd w:id="616"/>
    </w:p>
    <w:p>
      <w:pPr>
        <w:spacing w:line="400" w:lineRule="exact"/>
        <w:ind w:firstLine="420" w:firstLineChars="200"/>
        <w:rPr>
          <w:rFonts w:hint="eastAsia"/>
          <w:color w:val="auto"/>
        </w:rPr>
      </w:pPr>
      <w:r>
        <w:rPr>
          <w:rFonts w:hint="eastAsia"/>
          <w:color w:val="auto"/>
        </w:rPr>
        <w:t>监理人收到承包人按第18.2款约定提交的竣工验收申请报告后，应审查申请报告的各项内容，并按以下不同情况进行处理。</w:t>
      </w:r>
    </w:p>
    <w:p>
      <w:pPr>
        <w:spacing w:line="400" w:lineRule="exact"/>
        <w:ind w:firstLine="420" w:firstLineChars="200"/>
        <w:rPr>
          <w:rFonts w:hint="eastAsia"/>
          <w:color w:val="auto"/>
        </w:rPr>
      </w:pPr>
      <w:r>
        <w:rPr>
          <w:rFonts w:hint="eastAsia"/>
          <w:color w:val="auto"/>
        </w:rPr>
        <w:t>18.3.1 监理人审查后认为尚不具备竣工验收条件的，应在收到竣工验收申请报告后的28天内通知承包人，指出在颁发接收证书前承包人还需进行的工作内容。承包人完成监理人通知的全部工作内容后，应再次提交竣工验收申请报告，直至监理人同意为止。</w:t>
      </w:r>
    </w:p>
    <w:p>
      <w:pPr>
        <w:spacing w:line="400" w:lineRule="exact"/>
        <w:ind w:firstLine="420" w:firstLineChars="200"/>
        <w:rPr>
          <w:rFonts w:hint="eastAsia"/>
          <w:color w:val="auto"/>
        </w:rPr>
      </w:pPr>
      <w:r>
        <w:rPr>
          <w:rFonts w:hint="eastAsia"/>
          <w:color w:val="auto"/>
        </w:rPr>
        <w:t>18.3.2 监理人审查后认为已具备竣工验收条件的，应在收到竣工验收申请报告后的28天内提请发包人进行工程验收。</w:t>
      </w:r>
    </w:p>
    <w:p>
      <w:pPr>
        <w:spacing w:line="400" w:lineRule="exact"/>
        <w:ind w:firstLine="420" w:firstLineChars="200"/>
        <w:rPr>
          <w:rFonts w:hint="eastAsia"/>
          <w:color w:val="auto"/>
        </w:rPr>
      </w:pPr>
      <w:r>
        <w:rPr>
          <w:rFonts w:hint="eastAsia"/>
          <w:color w:val="auto"/>
        </w:rPr>
        <w:t>18.3.3发包人经过验收后同意</w:t>
      </w:r>
      <w:r>
        <w:rPr>
          <w:rFonts w:hint="eastAsia"/>
          <w:color w:val="auto"/>
          <w:lang w:eastAsia="zh-CN"/>
        </w:rPr>
        <w:t>接收</w:t>
      </w:r>
      <w:r>
        <w:rPr>
          <w:rFonts w:hint="eastAsia"/>
          <w:color w:val="auto"/>
        </w:rPr>
        <w:t>工程的，应在监理人收到竣工验收申请报告后的56天内，由监理人向承包人出具经发包人签认的工程接收证书。发包人验收后同意接收工程但提出整修和完善要求的，限期修好，并缓发工程接收证书。整修和完善工作完成后，监理人复查达到要求的，经发包人同意后，再向承包人出具工程接收证书。</w:t>
      </w:r>
    </w:p>
    <w:p>
      <w:pPr>
        <w:spacing w:line="400" w:lineRule="exact"/>
        <w:ind w:firstLine="420" w:firstLineChars="200"/>
        <w:rPr>
          <w:rFonts w:hint="eastAsia"/>
          <w:color w:val="auto"/>
        </w:rPr>
      </w:pPr>
      <w:r>
        <w:rPr>
          <w:rFonts w:hint="eastAsia"/>
          <w:color w:val="auto"/>
        </w:rPr>
        <w:t>18.3.4 发包人验收后不同意接收工程的，监理人应按照发包人的验收意见发出指示，要求承包人对不合格工程认真返工重</w:t>
      </w:r>
      <w:r>
        <w:rPr>
          <w:rFonts w:hint="eastAsia"/>
          <w:color w:val="auto"/>
          <w:lang w:eastAsia="zh-CN"/>
        </w:rPr>
        <w:t>做</w:t>
      </w:r>
      <w:r>
        <w:rPr>
          <w:rFonts w:hint="eastAsia"/>
          <w:color w:val="auto"/>
        </w:rPr>
        <w:t>或进行补救处理，并承担由此产生的费用。承包人在完成不合格工程的返工重</w:t>
      </w:r>
      <w:r>
        <w:rPr>
          <w:rFonts w:hint="eastAsia"/>
          <w:color w:val="auto"/>
          <w:lang w:eastAsia="zh-CN"/>
        </w:rPr>
        <w:t>做</w:t>
      </w:r>
      <w:r>
        <w:rPr>
          <w:rFonts w:hint="eastAsia"/>
          <w:color w:val="auto"/>
        </w:rPr>
        <w:t>或补救工作后，应重新提交竣工验收申请报告，按第18.3.1项、第18.3.2项和第18.3.3项的约定进行。</w:t>
      </w:r>
    </w:p>
    <w:p>
      <w:pPr>
        <w:spacing w:line="400" w:lineRule="exact"/>
        <w:ind w:firstLine="420" w:firstLineChars="200"/>
        <w:rPr>
          <w:rFonts w:hint="eastAsia"/>
          <w:color w:val="auto"/>
        </w:rPr>
      </w:pPr>
      <w:r>
        <w:rPr>
          <w:rFonts w:hint="eastAsia"/>
          <w:color w:val="auto"/>
        </w:rPr>
        <w:t>18.3.5 除专用合同条款另有约定外，经验收合格工程的实际竣工日期，以提交竣工验收申请报告的日期为准，并在工程接收证书中写明。</w:t>
      </w:r>
    </w:p>
    <w:p>
      <w:pPr>
        <w:spacing w:line="400" w:lineRule="exact"/>
        <w:ind w:firstLine="420" w:firstLineChars="200"/>
        <w:rPr>
          <w:rFonts w:hint="eastAsia"/>
          <w:color w:val="auto"/>
        </w:rPr>
      </w:pPr>
      <w:r>
        <w:rPr>
          <w:rFonts w:hint="eastAsia"/>
          <w:color w:val="auto"/>
        </w:rPr>
        <w:t>18.3.6 发包人在收到承包人竣工验收申请报告56天后未进行验收的，视为验收合格，实际竣工日期以提交竣工验收申请报告的日期为准，但发包人由于不可抗力不能进行验收的除外。</w:t>
      </w:r>
    </w:p>
    <w:p>
      <w:pPr>
        <w:pStyle w:val="231"/>
        <w:rPr>
          <w:rFonts w:hint="eastAsia"/>
          <w:color w:val="auto"/>
        </w:rPr>
      </w:pPr>
      <w:bookmarkStart w:id="617" w:name="_Toc179632747"/>
      <w:bookmarkStart w:id="618" w:name="_Toc152042508"/>
      <w:bookmarkStart w:id="619" w:name="_Toc152045729"/>
      <w:bookmarkStart w:id="620" w:name="_Toc144974700"/>
      <w:r>
        <w:rPr>
          <w:rFonts w:hint="eastAsia"/>
          <w:color w:val="auto"/>
        </w:rPr>
        <w:t>18.4 单位工程验收</w:t>
      </w:r>
      <w:bookmarkEnd w:id="617"/>
      <w:bookmarkEnd w:id="618"/>
      <w:bookmarkEnd w:id="619"/>
      <w:bookmarkEnd w:id="620"/>
    </w:p>
    <w:p>
      <w:pPr>
        <w:spacing w:line="400" w:lineRule="exact"/>
        <w:ind w:firstLine="420" w:firstLineChars="200"/>
        <w:rPr>
          <w:rFonts w:hint="eastAsia"/>
          <w:color w:val="auto"/>
        </w:rPr>
      </w:pPr>
      <w:r>
        <w:rPr>
          <w:rFonts w:hint="eastAsia"/>
          <w:color w:val="auto"/>
        </w:rPr>
        <w:t>18.4.1 发包人根据合同进度计划安排，在全部工程竣工前需要使用已经竣工的单位工程时，或承包人提出经发包人同意时，可进行单位工程验收。验收的程序可参照第18.2款与第18.3款的约定进行。验收合格后，由监理人向承包人出具经发包人签认的单位工程验收证书。已签发单位工程接收证书的单位工程由发包人负责照管。单位工程的验收成果和结论作为全部工程竣工验收申请报告的附件。</w:t>
      </w:r>
    </w:p>
    <w:p>
      <w:pPr>
        <w:spacing w:line="400" w:lineRule="exact"/>
        <w:ind w:firstLine="420" w:firstLineChars="200"/>
        <w:rPr>
          <w:rFonts w:hint="eastAsia"/>
          <w:color w:val="auto"/>
        </w:rPr>
      </w:pPr>
      <w:r>
        <w:rPr>
          <w:rFonts w:hint="eastAsia"/>
          <w:color w:val="auto"/>
        </w:rPr>
        <w:t>18.4.2 发包人在全部工程竣工前，使用已接收的单位工程导致承包人费用增加的，发包人应承担由此增加的费用和（或）工期延误，并支付承包人合理利润。</w:t>
      </w:r>
    </w:p>
    <w:p>
      <w:pPr>
        <w:pStyle w:val="231"/>
        <w:rPr>
          <w:rFonts w:hint="eastAsia"/>
          <w:color w:val="auto"/>
        </w:rPr>
      </w:pPr>
      <w:bookmarkStart w:id="621" w:name="_Toc179632748"/>
      <w:bookmarkStart w:id="622" w:name="_Toc152042509"/>
      <w:bookmarkStart w:id="623" w:name="_Toc144974701"/>
      <w:bookmarkStart w:id="624" w:name="_Toc152045730"/>
      <w:r>
        <w:rPr>
          <w:rFonts w:hint="eastAsia"/>
          <w:color w:val="auto"/>
        </w:rPr>
        <w:t>18.5 施工期运行</w:t>
      </w:r>
      <w:bookmarkEnd w:id="621"/>
      <w:bookmarkEnd w:id="622"/>
      <w:bookmarkEnd w:id="623"/>
      <w:bookmarkEnd w:id="624"/>
    </w:p>
    <w:p>
      <w:pPr>
        <w:spacing w:line="400" w:lineRule="exact"/>
        <w:ind w:firstLine="420" w:firstLineChars="200"/>
        <w:rPr>
          <w:rFonts w:hint="eastAsia"/>
          <w:color w:val="auto"/>
        </w:rPr>
      </w:pPr>
      <w:r>
        <w:rPr>
          <w:rFonts w:hint="eastAsia"/>
          <w:color w:val="auto"/>
        </w:rPr>
        <w:t>18.5.1 施工期运行是指合同工程尚未全部竣工，其中某项或某几项单位工程或工程设备安装已竣工，根据专用合同条款约定，需要投入施工期运行的，经发包人按第18.4款的约定验收合格，证明能确保安全后，才能在施工期投入运行。</w:t>
      </w:r>
    </w:p>
    <w:p>
      <w:pPr>
        <w:spacing w:line="400" w:lineRule="exact"/>
        <w:ind w:firstLine="420" w:firstLineChars="200"/>
        <w:rPr>
          <w:rFonts w:hint="eastAsia"/>
          <w:color w:val="auto"/>
        </w:rPr>
      </w:pPr>
      <w:r>
        <w:rPr>
          <w:rFonts w:hint="eastAsia"/>
          <w:color w:val="auto"/>
        </w:rPr>
        <w:t>18.5.2 在施工期运行中发现工程或工程设备损坏或存在缺陷的，由承包人按第19.2款约定进行修复。</w:t>
      </w:r>
    </w:p>
    <w:p>
      <w:pPr>
        <w:pStyle w:val="231"/>
        <w:rPr>
          <w:rFonts w:hint="eastAsia"/>
          <w:color w:val="auto"/>
        </w:rPr>
      </w:pPr>
      <w:bookmarkStart w:id="625" w:name="_Toc152042510"/>
      <w:bookmarkStart w:id="626" w:name="_Toc144974702"/>
      <w:bookmarkStart w:id="627" w:name="_Toc179632749"/>
      <w:bookmarkStart w:id="628" w:name="_Toc152045731"/>
      <w:r>
        <w:rPr>
          <w:rFonts w:hint="eastAsia"/>
          <w:color w:val="auto"/>
        </w:rPr>
        <w:t>18.6 试运行</w:t>
      </w:r>
      <w:bookmarkEnd w:id="625"/>
      <w:bookmarkEnd w:id="626"/>
      <w:bookmarkEnd w:id="627"/>
      <w:bookmarkEnd w:id="628"/>
    </w:p>
    <w:p>
      <w:pPr>
        <w:spacing w:line="400" w:lineRule="exact"/>
        <w:ind w:firstLine="420" w:firstLineChars="200"/>
        <w:rPr>
          <w:rFonts w:hint="eastAsia"/>
          <w:color w:val="auto"/>
        </w:rPr>
      </w:pPr>
      <w:r>
        <w:rPr>
          <w:rFonts w:hint="eastAsia"/>
          <w:color w:val="auto"/>
        </w:rPr>
        <w:t>18.6.1 除专用合同条款另有约定外，承包人应按专用合同条款约定进行工程及工程设备试运行，负责提供试运行所需的人员、器材和必要的条件，并承担全部试运行费用。</w:t>
      </w:r>
    </w:p>
    <w:p>
      <w:pPr>
        <w:spacing w:line="400" w:lineRule="exact"/>
        <w:ind w:firstLine="420" w:firstLineChars="200"/>
        <w:rPr>
          <w:rFonts w:hint="eastAsia"/>
          <w:color w:val="auto"/>
        </w:rPr>
      </w:pPr>
      <w:r>
        <w:rPr>
          <w:rFonts w:hint="eastAsia"/>
          <w:color w:val="auto"/>
        </w:rPr>
        <w:t>18.6.2 由于承包人的原因导致试运行失败的，承包人应采取措施保证试运行合格，并承担相应费用。由于发包人的原因导致试运行失败的，承包人应当采取措施保证试运行合格，发包人应承担由此产生的费用，并支付承包人合理利润。</w:t>
      </w:r>
    </w:p>
    <w:p>
      <w:pPr>
        <w:pStyle w:val="231"/>
        <w:rPr>
          <w:rFonts w:hint="eastAsia"/>
          <w:color w:val="auto"/>
        </w:rPr>
      </w:pPr>
      <w:bookmarkStart w:id="629" w:name="_Toc144974703"/>
      <w:bookmarkStart w:id="630" w:name="_Toc152045732"/>
      <w:bookmarkStart w:id="631" w:name="_Toc152042511"/>
      <w:bookmarkStart w:id="632" w:name="_Toc179632750"/>
      <w:r>
        <w:rPr>
          <w:rFonts w:hint="eastAsia"/>
          <w:color w:val="auto"/>
        </w:rPr>
        <w:t>18.7 竣工清场</w:t>
      </w:r>
      <w:bookmarkEnd w:id="629"/>
      <w:bookmarkEnd w:id="630"/>
      <w:bookmarkEnd w:id="631"/>
      <w:bookmarkEnd w:id="632"/>
    </w:p>
    <w:p>
      <w:pPr>
        <w:spacing w:line="400" w:lineRule="exact"/>
        <w:ind w:firstLine="420" w:firstLineChars="200"/>
        <w:rPr>
          <w:rFonts w:hint="eastAsia"/>
          <w:color w:val="auto"/>
        </w:rPr>
      </w:pPr>
      <w:r>
        <w:rPr>
          <w:rFonts w:hint="eastAsia"/>
          <w:color w:val="auto"/>
        </w:rPr>
        <w:t>18.7.1 除合同另有约定外，工程接收证书颁发后，承包人应按以下要求对施工场地进行清理，直至监理人检验合格为止。竣工清场费用由承包人承担。</w:t>
      </w:r>
    </w:p>
    <w:p>
      <w:pPr>
        <w:spacing w:line="400" w:lineRule="exact"/>
        <w:ind w:firstLine="718" w:firstLineChars="342"/>
        <w:rPr>
          <w:rFonts w:hint="eastAsia"/>
          <w:color w:val="auto"/>
        </w:rPr>
      </w:pPr>
      <w:r>
        <w:rPr>
          <w:rFonts w:hint="eastAsia"/>
          <w:color w:val="auto"/>
        </w:rPr>
        <w:t>（1）施工场地内残留的垃圾已全部清除出场；</w:t>
      </w:r>
    </w:p>
    <w:p>
      <w:pPr>
        <w:spacing w:line="400" w:lineRule="exact"/>
        <w:ind w:firstLine="718" w:firstLineChars="342"/>
        <w:rPr>
          <w:rFonts w:hint="eastAsia"/>
          <w:color w:val="auto"/>
        </w:rPr>
      </w:pPr>
      <w:r>
        <w:rPr>
          <w:rFonts w:hint="eastAsia"/>
          <w:color w:val="auto"/>
        </w:rPr>
        <w:t>（2）临时工程已拆除，场地已按合同要求进行清理、平整或复原；</w:t>
      </w:r>
    </w:p>
    <w:p>
      <w:pPr>
        <w:spacing w:line="400" w:lineRule="exact"/>
        <w:ind w:firstLine="718" w:firstLineChars="342"/>
        <w:rPr>
          <w:rFonts w:hint="eastAsia"/>
          <w:color w:val="auto"/>
        </w:rPr>
      </w:pPr>
      <w:r>
        <w:rPr>
          <w:rFonts w:hint="eastAsia"/>
          <w:color w:val="auto"/>
        </w:rPr>
        <w:t>（3）按合同约定应撤离的承包人设备和剩余的材料，包括废弃的施工设备和材料，已按计划撤离施工场地；</w:t>
      </w:r>
    </w:p>
    <w:p>
      <w:pPr>
        <w:spacing w:line="400" w:lineRule="exact"/>
        <w:ind w:firstLine="718" w:firstLineChars="342"/>
        <w:rPr>
          <w:rFonts w:hint="eastAsia"/>
          <w:color w:val="auto"/>
        </w:rPr>
      </w:pPr>
      <w:r>
        <w:rPr>
          <w:rFonts w:hint="eastAsia"/>
          <w:color w:val="auto"/>
        </w:rPr>
        <w:t>（4）工程建筑物周边及其附近道路、河道的施工堆积物，已按监理人指示全部清理；</w:t>
      </w:r>
    </w:p>
    <w:p>
      <w:pPr>
        <w:spacing w:line="400" w:lineRule="exact"/>
        <w:ind w:firstLine="718" w:firstLineChars="342"/>
        <w:rPr>
          <w:rFonts w:hint="eastAsia"/>
          <w:color w:val="auto"/>
        </w:rPr>
      </w:pPr>
      <w:r>
        <w:rPr>
          <w:rFonts w:hint="eastAsia"/>
          <w:color w:val="auto"/>
        </w:rPr>
        <w:t>（5）监理人指示的其他场地清理工作已全部完成。</w:t>
      </w:r>
    </w:p>
    <w:p>
      <w:pPr>
        <w:spacing w:line="400" w:lineRule="exact"/>
        <w:ind w:firstLine="420" w:firstLineChars="200"/>
        <w:rPr>
          <w:rFonts w:hint="eastAsia"/>
          <w:color w:val="auto"/>
        </w:rPr>
      </w:pPr>
      <w:r>
        <w:rPr>
          <w:rFonts w:hint="eastAsia"/>
          <w:color w:val="auto"/>
        </w:rPr>
        <w:t>18.7.2 承包人未按监理人的要求恢复临时占地，或者场地清理未达到合同约定的，发包人有权委托其他人恢复或清理，所发生的金额从拟支付给承包人的款项中扣除。</w:t>
      </w:r>
    </w:p>
    <w:p>
      <w:pPr>
        <w:pStyle w:val="231"/>
        <w:rPr>
          <w:rFonts w:hint="eastAsia"/>
          <w:color w:val="auto"/>
        </w:rPr>
      </w:pPr>
      <w:bookmarkStart w:id="633" w:name="_Toc179632751"/>
      <w:bookmarkStart w:id="634" w:name="_Toc152042512"/>
      <w:bookmarkStart w:id="635" w:name="_Toc152045733"/>
      <w:bookmarkStart w:id="636" w:name="_Toc144974704"/>
      <w:r>
        <w:rPr>
          <w:rFonts w:hint="eastAsia"/>
          <w:color w:val="auto"/>
        </w:rPr>
        <w:t>18.8 施工队伍的撤离</w:t>
      </w:r>
      <w:bookmarkEnd w:id="633"/>
      <w:bookmarkEnd w:id="634"/>
      <w:bookmarkEnd w:id="635"/>
      <w:bookmarkEnd w:id="636"/>
    </w:p>
    <w:p>
      <w:pPr>
        <w:spacing w:line="400" w:lineRule="exact"/>
        <w:ind w:firstLine="420" w:firstLineChars="200"/>
        <w:rPr>
          <w:rFonts w:hint="eastAsia"/>
          <w:color w:val="auto"/>
        </w:rPr>
      </w:pPr>
      <w:r>
        <w:rPr>
          <w:rFonts w:hint="eastAsia"/>
          <w:color w:val="auto"/>
        </w:rPr>
        <w:t>工程接收证书颁发后的56天内，除了经监理人同意需在缺陷责任期内继续工作和使用的人员、施工设备和临时工程外，其余的人员、施工设备和临时工程均应撤离施工场地或拆除。除合同另有约定外，缺陷责任期满时，承包人的人员和施工设备应全部撤离施工场地。</w:t>
      </w:r>
    </w:p>
    <w:p>
      <w:pPr>
        <w:pStyle w:val="224"/>
        <w:rPr>
          <w:rFonts w:hint="eastAsia"/>
          <w:color w:val="auto"/>
        </w:rPr>
      </w:pPr>
      <w:bookmarkStart w:id="637" w:name="_Toc152045734"/>
      <w:bookmarkStart w:id="638" w:name="_Toc152042513"/>
      <w:bookmarkStart w:id="639" w:name="_Toc179632752"/>
      <w:bookmarkStart w:id="640" w:name="_Toc144974705"/>
      <w:r>
        <w:rPr>
          <w:rFonts w:hint="eastAsia"/>
          <w:color w:val="auto"/>
        </w:rPr>
        <w:t>19. 缺陷责任与保修责任</w:t>
      </w:r>
      <w:bookmarkEnd w:id="637"/>
      <w:bookmarkEnd w:id="638"/>
      <w:bookmarkEnd w:id="639"/>
      <w:bookmarkEnd w:id="640"/>
    </w:p>
    <w:p>
      <w:pPr>
        <w:pStyle w:val="231"/>
        <w:rPr>
          <w:rFonts w:hint="eastAsia"/>
          <w:color w:val="auto"/>
        </w:rPr>
      </w:pPr>
      <w:bookmarkStart w:id="641" w:name="_Toc144974706"/>
      <w:bookmarkStart w:id="642" w:name="_Toc179632753"/>
      <w:bookmarkStart w:id="643" w:name="_Toc152045735"/>
      <w:bookmarkStart w:id="644" w:name="_Toc152042514"/>
      <w:r>
        <w:rPr>
          <w:rFonts w:hint="eastAsia"/>
          <w:color w:val="auto"/>
        </w:rPr>
        <w:t>19.1 缺陷责任期的起算时间</w:t>
      </w:r>
      <w:bookmarkEnd w:id="641"/>
      <w:bookmarkEnd w:id="642"/>
      <w:bookmarkEnd w:id="643"/>
      <w:bookmarkEnd w:id="644"/>
    </w:p>
    <w:p>
      <w:pPr>
        <w:spacing w:line="400" w:lineRule="exact"/>
        <w:ind w:firstLine="420" w:firstLineChars="200"/>
        <w:rPr>
          <w:rFonts w:hint="eastAsia"/>
          <w:color w:val="auto"/>
        </w:rPr>
      </w:pPr>
      <w:r>
        <w:rPr>
          <w:rFonts w:hint="eastAsia"/>
          <w:color w:val="auto"/>
        </w:rPr>
        <w:t>缺陷责任期自实际竣工日期起计算。在全部工程竣工验收前，已经发包人提前验收的单位工程，其缺陷责任期的起算日期相应提前。</w:t>
      </w:r>
    </w:p>
    <w:p>
      <w:pPr>
        <w:pStyle w:val="231"/>
        <w:rPr>
          <w:rFonts w:hint="eastAsia"/>
          <w:color w:val="auto"/>
        </w:rPr>
      </w:pPr>
      <w:bookmarkStart w:id="645" w:name="_Toc144974707"/>
      <w:bookmarkStart w:id="646" w:name="_Toc152045736"/>
      <w:bookmarkStart w:id="647" w:name="_Toc179632754"/>
      <w:bookmarkStart w:id="648" w:name="_Toc152042515"/>
      <w:r>
        <w:rPr>
          <w:rFonts w:hint="eastAsia"/>
          <w:color w:val="auto"/>
        </w:rPr>
        <w:t>19.2 缺陷责任</w:t>
      </w:r>
      <w:bookmarkEnd w:id="645"/>
      <w:bookmarkEnd w:id="646"/>
      <w:bookmarkEnd w:id="647"/>
      <w:bookmarkEnd w:id="648"/>
    </w:p>
    <w:p>
      <w:pPr>
        <w:spacing w:line="400" w:lineRule="exact"/>
        <w:ind w:firstLine="420" w:firstLineChars="200"/>
        <w:rPr>
          <w:rFonts w:hint="eastAsia"/>
          <w:color w:val="auto"/>
        </w:rPr>
      </w:pPr>
      <w:r>
        <w:rPr>
          <w:rFonts w:hint="eastAsia"/>
          <w:color w:val="auto"/>
        </w:rPr>
        <w:t>19.2.1 承包人应在缺陷责任期内对已交付使用的工程承担缺陷责任。</w:t>
      </w:r>
    </w:p>
    <w:p>
      <w:pPr>
        <w:spacing w:line="400" w:lineRule="exact"/>
        <w:ind w:firstLine="420" w:firstLineChars="200"/>
        <w:rPr>
          <w:rFonts w:hint="eastAsia"/>
          <w:color w:val="auto"/>
        </w:rPr>
      </w:pPr>
      <w:r>
        <w:rPr>
          <w:rFonts w:hint="eastAsia"/>
          <w:color w:val="auto"/>
        </w:rPr>
        <w:t>19.2.2 缺陷责任期内，发包人对已接收使用的工程负责日常维护工作。发包人在使用过程中，发现已接收的工程存在新的缺陷或已修复的缺陷部位或部件又遭损坏的，承包人应负责修复，直至检验合格为止。</w:t>
      </w:r>
    </w:p>
    <w:p>
      <w:pPr>
        <w:spacing w:line="400" w:lineRule="exact"/>
        <w:ind w:firstLine="420" w:firstLineChars="200"/>
        <w:rPr>
          <w:rFonts w:hint="eastAsia"/>
          <w:color w:val="auto"/>
        </w:rPr>
      </w:pPr>
      <w:r>
        <w:rPr>
          <w:rFonts w:hint="eastAsia"/>
          <w:color w:val="auto"/>
        </w:rPr>
        <w:t>19.2.3 监理人和承包人应共同查清缺陷和（或）损坏的原因。经查明属承包人原因造成的，应由承包人承担修复和查验的费用。经查验属发包人原因造成的，发包人应承担修复和查验的费用，并支付承包人合理利润。</w:t>
      </w:r>
    </w:p>
    <w:p>
      <w:pPr>
        <w:spacing w:line="400" w:lineRule="exact"/>
        <w:ind w:firstLine="420" w:firstLineChars="200"/>
        <w:rPr>
          <w:rFonts w:hint="eastAsia"/>
          <w:color w:val="auto"/>
        </w:rPr>
      </w:pPr>
      <w:r>
        <w:rPr>
          <w:rFonts w:hint="eastAsia"/>
          <w:color w:val="auto"/>
        </w:rPr>
        <w:t>19.2.4 承包人不能在合理时间内修复缺陷的，发包人可自行修复或委托其他人修复，所需费用和利润的承担，按第19.2.3项约定办理。</w:t>
      </w:r>
    </w:p>
    <w:p>
      <w:pPr>
        <w:pStyle w:val="231"/>
        <w:rPr>
          <w:rFonts w:hint="eastAsia"/>
          <w:color w:val="auto"/>
        </w:rPr>
      </w:pPr>
      <w:bookmarkStart w:id="649" w:name="_Toc152042516"/>
      <w:bookmarkStart w:id="650" w:name="_Toc179632755"/>
      <w:bookmarkStart w:id="651" w:name="_Toc152045737"/>
      <w:bookmarkStart w:id="652" w:name="_Toc144974708"/>
      <w:r>
        <w:rPr>
          <w:rFonts w:hint="eastAsia"/>
          <w:color w:val="auto"/>
        </w:rPr>
        <w:t>19.3 缺陷责任期的延长</w:t>
      </w:r>
      <w:bookmarkEnd w:id="649"/>
      <w:bookmarkEnd w:id="650"/>
      <w:bookmarkEnd w:id="651"/>
      <w:bookmarkEnd w:id="652"/>
    </w:p>
    <w:p>
      <w:pPr>
        <w:spacing w:line="400" w:lineRule="exact"/>
        <w:ind w:firstLine="420" w:firstLineChars="200"/>
        <w:rPr>
          <w:rFonts w:hint="eastAsia"/>
          <w:color w:val="auto"/>
        </w:rPr>
      </w:pPr>
      <w:r>
        <w:rPr>
          <w:rFonts w:hint="eastAsia"/>
          <w:color w:val="auto"/>
        </w:rPr>
        <w:t>由于承包人原因造成某项缺陷或损坏使某项工程或工程设备不能按原定目标使用而需要再次检查、检验和修复的，发包人有权要求承包人相应延长缺陷责任期，但缺陷责任期最长不超过2年。</w:t>
      </w:r>
    </w:p>
    <w:p>
      <w:pPr>
        <w:pStyle w:val="231"/>
        <w:rPr>
          <w:rFonts w:hint="eastAsia"/>
          <w:color w:val="auto"/>
        </w:rPr>
      </w:pPr>
      <w:bookmarkStart w:id="653" w:name="_Toc144974709"/>
      <w:bookmarkStart w:id="654" w:name="_Toc152045738"/>
      <w:bookmarkStart w:id="655" w:name="_Toc179632756"/>
      <w:bookmarkStart w:id="656" w:name="_Toc152042517"/>
      <w:r>
        <w:rPr>
          <w:rFonts w:hint="eastAsia"/>
          <w:color w:val="auto"/>
        </w:rPr>
        <w:t>19.4 进一步试验和试运行</w:t>
      </w:r>
      <w:bookmarkEnd w:id="653"/>
      <w:bookmarkEnd w:id="654"/>
      <w:bookmarkEnd w:id="655"/>
      <w:bookmarkEnd w:id="656"/>
    </w:p>
    <w:p>
      <w:pPr>
        <w:spacing w:line="400" w:lineRule="exact"/>
        <w:ind w:firstLine="420" w:firstLineChars="200"/>
        <w:rPr>
          <w:rFonts w:hint="eastAsia"/>
          <w:color w:val="auto"/>
        </w:rPr>
      </w:pPr>
      <w:r>
        <w:rPr>
          <w:rFonts w:hint="eastAsia"/>
          <w:color w:val="auto"/>
        </w:rPr>
        <w:t>任何一项缺陷或损坏修复后，经检查证明其影响了工程或工程设备的使用性能，承包人应重新进行合同约定的试验和试运行，试验和试运行的全部费用应由责任方承担。</w:t>
      </w:r>
    </w:p>
    <w:p>
      <w:pPr>
        <w:pStyle w:val="231"/>
        <w:rPr>
          <w:rFonts w:hint="eastAsia"/>
          <w:color w:val="auto"/>
        </w:rPr>
      </w:pPr>
      <w:bookmarkStart w:id="657" w:name="_Toc179632757"/>
      <w:bookmarkStart w:id="658" w:name="_Toc152042518"/>
      <w:bookmarkStart w:id="659" w:name="_Toc144974710"/>
      <w:bookmarkStart w:id="660" w:name="_Toc152045739"/>
      <w:r>
        <w:rPr>
          <w:rFonts w:hint="eastAsia"/>
          <w:color w:val="auto"/>
        </w:rPr>
        <w:t>19.5 承包人的进入权</w:t>
      </w:r>
      <w:bookmarkEnd w:id="657"/>
      <w:bookmarkEnd w:id="658"/>
      <w:bookmarkEnd w:id="659"/>
      <w:bookmarkEnd w:id="660"/>
    </w:p>
    <w:p>
      <w:pPr>
        <w:spacing w:line="400" w:lineRule="exact"/>
        <w:ind w:firstLine="420" w:firstLineChars="200"/>
        <w:rPr>
          <w:rFonts w:hint="eastAsia"/>
          <w:color w:val="auto"/>
        </w:rPr>
      </w:pPr>
      <w:r>
        <w:rPr>
          <w:rFonts w:hint="eastAsia"/>
          <w:color w:val="auto"/>
        </w:rPr>
        <w:t>缺陷责任期内承包人为缺陷修复工作需要，有权进入工程现场，但应遵守发包人的保安和保密规定。</w:t>
      </w:r>
    </w:p>
    <w:p>
      <w:pPr>
        <w:pStyle w:val="231"/>
        <w:rPr>
          <w:rFonts w:hint="eastAsia"/>
          <w:color w:val="auto"/>
        </w:rPr>
      </w:pPr>
      <w:bookmarkStart w:id="661" w:name="_Toc152042519"/>
      <w:bookmarkStart w:id="662" w:name="_Toc144974711"/>
      <w:bookmarkStart w:id="663" w:name="_Toc179632758"/>
      <w:bookmarkStart w:id="664" w:name="_Toc152045740"/>
      <w:r>
        <w:rPr>
          <w:rFonts w:hint="eastAsia"/>
          <w:color w:val="auto"/>
        </w:rPr>
        <w:t>19.6 缺陷责任期终止证书</w:t>
      </w:r>
      <w:bookmarkEnd w:id="661"/>
      <w:bookmarkEnd w:id="662"/>
      <w:bookmarkEnd w:id="663"/>
      <w:bookmarkEnd w:id="664"/>
    </w:p>
    <w:p>
      <w:pPr>
        <w:spacing w:line="400" w:lineRule="exact"/>
        <w:ind w:firstLine="420" w:firstLineChars="200"/>
        <w:rPr>
          <w:rFonts w:hint="eastAsia"/>
          <w:color w:val="auto"/>
        </w:rPr>
      </w:pPr>
      <w:r>
        <w:rPr>
          <w:rFonts w:hint="eastAsia"/>
          <w:color w:val="auto"/>
        </w:rPr>
        <w:t>在第1.1.4.5目约定的缺陷责任期，包括根据第19.3款延长的期限终止后14天内，由监理人向承包人出具经发包人签认的缺陷责任期终止证书，并退还剩余的质量保证金。</w:t>
      </w:r>
    </w:p>
    <w:p>
      <w:pPr>
        <w:pStyle w:val="231"/>
        <w:rPr>
          <w:rFonts w:hint="eastAsia"/>
          <w:color w:val="auto"/>
        </w:rPr>
      </w:pPr>
      <w:bookmarkStart w:id="665" w:name="_Toc179632759"/>
      <w:bookmarkStart w:id="666" w:name="_Toc152042520"/>
      <w:bookmarkStart w:id="667" w:name="_Toc144974712"/>
      <w:bookmarkStart w:id="668" w:name="_Toc152045741"/>
      <w:r>
        <w:rPr>
          <w:rFonts w:hint="eastAsia"/>
          <w:color w:val="auto"/>
        </w:rPr>
        <w:t>19.7 保修责任</w:t>
      </w:r>
      <w:bookmarkEnd w:id="665"/>
      <w:bookmarkEnd w:id="666"/>
      <w:bookmarkEnd w:id="667"/>
      <w:bookmarkEnd w:id="668"/>
    </w:p>
    <w:p>
      <w:pPr>
        <w:spacing w:line="400" w:lineRule="exact"/>
        <w:ind w:firstLine="420" w:firstLineChars="200"/>
        <w:rPr>
          <w:rFonts w:hint="eastAsia"/>
          <w:color w:val="auto"/>
        </w:rPr>
      </w:pPr>
      <w:r>
        <w:rPr>
          <w:rFonts w:hint="eastAsia"/>
          <w:color w:val="auto"/>
        </w:rPr>
        <w:t>合同当事人根据有关法律规定，在专用合同条款中约定工程质量保修范围、期限和责任。保修期自实际竣工日期起计算。在全部工程竣工验收前，已经发包人提前验收的单位工程，其保修期的起算日期相应提前。</w:t>
      </w:r>
    </w:p>
    <w:p>
      <w:pPr>
        <w:pStyle w:val="224"/>
        <w:rPr>
          <w:rFonts w:hint="eastAsia"/>
          <w:color w:val="auto"/>
        </w:rPr>
      </w:pPr>
      <w:bookmarkStart w:id="669" w:name="_Toc152042521"/>
      <w:bookmarkStart w:id="670" w:name="_Toc179632760"/>
      <w:bookmarkStart w:id="671" w:name="_Toc144974713"/>
      <w:bookmarkStart w:id="672" w:name="_Toc152045742"/>
      <w:r>
        <w:rPr>
          <w:rFonts w:hint="eastAsia"/>
          <w:color w:val="auto"/>
        </w:rPr>
        <w:t>20. 保险</w:t>
      </w:r>
      <w:bookmarkEnd w:id="669"/>
      <w:bookmarkEnd w:id="670"/>
      <w:bookmarkEnd w:id="671"/>
      <w:bookmarkEnd w:id="672"/>
    </w:p>
    <w:p>
      <w:pPr>
        <w:pStyle w:val="231"/>
        <w:rPr>
          <w:rFonts w:hint="eastAsia"/>
          <w:color w:val="auto"/>
        </w:rPr>
      </w:pPr>
      <w:bookmarkStart w:id="673" w:name="_Toc152045743"/>
      <w:bookmarkStart w:id="674" w:name="_Toc144974714"/>
      <w:bookmarkStart w:id="675" w:name="_Toc179632761"/>
      <w:bookmarkStart w:id="676" w:name="_Toc152042522"/>
      <w:r>
        <w:rPr>
          <w:rFonts w:hint="eastAsia"/>
          <w:color w:val="auto"/>
        </w:rPr>
        <w:t>20.1 工程保险</w:t>
      </w:r>
      <w:bookmarkEnd w:id="673"/>
      <w:bookmarkEnd w:id="674"/>
      <w:bookmarkEnd w:id="675"/>
      <w:bookmarkEnd w:id="676"/>
    </w:p>
    <w:p>
      <w:pPr>
        <w:spacing w:line="380" w:lineRule="exact"/>
        <w:ind w:firstLine="420" w:firstLineChars="200"/>
        <w:rPr>
          <w:rFonts w:hint="eastAsia"/>
          <w:color w:val="auto"/>
        </w:rPr>
      </w:pPr>
      <w:r>
        <w:rPr>
          <w:rFonts w:hint="eastAsia"/>
          <w:color w:val="auto"/>
        </w:rPr>
        <w:t>除专用合同条款另有约定外，承包人应以发包人和承包人的共同名义向双方同意的保险人投保建筑工程一切险、安装工程一切险。其具体的投保内容、保险金额、保险费率、保险期限等有关内容在专用合同条款中约定。</w:t>
      </w:r>
    </w:p>
    <w:p>
      <w:pPr>
        <w:pStyle w:val="231"/>
        <w:rPr>
          <w:rFonts w:hint="eastAsia"/>
          <w:color w:val="auto"/>
        </w:rPr>
      </w:pPr>
      <w:bookmarkStart w:id="677" w:name="_Toc152042523"/>
      <w:bookmarkStart w:id="678" w:name="_Toc152045744"/>
      <w:bookmarkStart w:id="679" w:name="_Toc144974715"/>
      <w:bookmarkStart w:id="680" w:name="_Toc179632762"/>
      <w:r>
        <w:rPr>
          <w:rFonts w:hint="eastAsia"/>
          <w:color w:val="auto"/>
        </w:rPr>
        <w:t>20.2 人员工伤事故的保险</w:t>
      </w:r>
      <w:bookmarkEnd w:id="677"/>
      <w:bookmarkEnd w:id="678"/>
      <w:bookmarkEnd w:id="679"/>
      <w:bookmarkEnd w:id="680"/>
    </w:p>
    <w:p>
      <w:pPr>
        <w:spacing w:line="380" w:lineRule="exact"/>
        <w:ind w:firstLine="420" w:firstLineChars="200"/>
        <w:rPr>
          <w:rFonts w:hint="eastAsia" w:ascii="黑体" w:eastAsia="黑体"/>
          <w:color w:val="auto"/>
        </w:rPr>
      </w:pPr>
      <w:r>
        <w:rPr>
          <w:rFonts w:hint="eastAsia"/>
          <w:color w:val="auto"/>
        </w:rPr>
        <w:t xml:space="preserve">20.2.1 </w:t>
      </w:r>
      <w:r>
        <w:rPr>
          <w:rFonts w:hint="eastAsia" w:ascii="黑体" w:eastAsia="黑体"/>
          <w:color w:val="auto"/>
        </w:rPr>
        <w:t>承包人员工伤事故的保险</w:t>
      </w:r>
    </w:p>
    <w:p>
      <w:pPr>
        <w:spacing w:line="380" w:lineRule="exact"/>
        <w:ind w:firstLine="420" w:firstLineChars="200"/>
        <w:rPr>
          <w:rFonts w:hint="eastAsia"/>
          <w:color w:val="auto"/>
        </w:rPr>
      </w:pPr>
      <w:r>
        <w:rPr>
          <w:rFonts w:hint="eastAsia"/>
          <w:color w:val="auto"/>
        </w:rPr>
        <w:t>承包人应</w:t>
      </w:r>
      <w:r>
        <w:rPr>
          <w:color w:val="auto"/>
        </w:rPr>
        <w:t>依照</w:t>
      </w:r>
      <w:r>
        <w:rPr>
          <w:rFonts w:hint="eastAsia"/>
          <w:color w:val="auto"/>
        </w:rPr>
        <w:t>有关法律</w:t>
      </w:r>
      <w:r>
        <w:rPr>
          <w:color w:val="auto"/>
        </w:rPr>
        <w:t>规定参加工伤保险，</w:t>
      </w:r>
      <w:r>
        <w:rPr>
          <w:rFonts w:hint="eastAsia"/>
          <w:color w:val="auto"/>
        </w:rPr>
        <w:t>为其履行合同所雇佣的全部人员，</w:t>
      </w:r>
      <w:r>
        <w:rPr>
          <w:color w:val="auto"/>
        </w:rPr>
        <w:t>缴纳工伤保险费</w:t>
      </w:r>
      <w:r>
        <w:rPr>
          <w:rFonts w:hint="eastAsia"/>
          <w:color w:val="auto"/>
        </w:rPr>
        <w:t>，并要求其分包人也进行此项保险。</w:t>
      </w:r>
    </w:p>
    <w:p>
      <w:pPr>
        <w:spacing w:line="380" w:lineRule="exact"/>
        <w:ind w:firstLine="420" w:firstLineChars="200"/>
        <w:rPr>
          <w:rFonts w:hint="eastAsia" w:ascii="黑体" w:eastAsia="黑体"/>
          <w:color w:val="auto"/>
        </w:rPr>
      </w:pPr>
      <w:r>
        <w:rPr>
          <w:rFonts w:hint="eastAsia"/>
          <w:color w:val="auto"/>
        </w:rPr>
        <w:t>20.2.2</w:t>
      </w:r>
      <w:r>
        <w:rPr>
          <w:rFonts w:hint="eastAsia" w:ascii="黑体" w:eastAsia="黑体"/>
          <w:color w:val="auto"/>
        </w:rPr>
        <w:t xml:space="preserve"> 发包人员工伤事故的保险</w:t>
      </w:r>
    </w:p>
    <w:p>
      <w:pPr>
        <w:spacing w:line="380" w:lineRule="exact"/>
        <w:ind w:firstLine="420" w:firstLineChars="200"/>
        <w:rPr>
          <w:rFonts w:hint="eastAsia"/>
          <w:color w:val="auto"/>
        </w:rPr>
      </w:pPr>
      <w:r>
        <w:rPr>
          <w:rFonts w:hint="eastAsia"/>
          <w:color w:val="auto"/>
        </w:rPr>
        <w:t>发包人应</w:t>
      </w:r>
      <w:r>
        <w:rPr>
          <w:color w:val="auto"/>
        </w:rPr>
        <w:t>依照</w:t>
      </w:r>
      <w:r>
        <w:rPr>
          <w:rFonts w:hint="eastAsia"/>
          <w:color w:val="auto"/>
        </w:rPr>
        <w:t>有关法律</w:t>
      </w:r>
      <w:r>
        <w:rPr>
          <w:color w:val="auto"/>
        </w:rPr>
        <w:t>规定参加工伤保险，</w:t>
      </w:r>
      <w:r>
        <w:rPr>
          <w:rFonts w:hint="eastAsia"/>
          <w:color w:val="auto"/>
        </w:rPr>
        <w:t>为其现场机构雇佣的全部人员，</w:t>
      </w:r>
      <w:r>
        <w:rPr>
          <w:color w:val="auto"/>
        </w:rPr>
        <w:t>缴纳工伤保险费</w:t>
      </w:r>
      <w:r>
        <w:rPr>
          <w:rFonts w:hint="eastAsia"/>
          <w:color w:val="auto"/>
        </w:rPr>
        <w:t>，并要求其监理人也进行此项保险。</w:t>
      </w:r>
    </w:p>
    <w:p>
      <w:pPr>
        <w:pStyle w:val="231"/>
        <w:rPr>
          <w:rFonts w:hint="eastAsia"/>
          <w:color w:val="auto"/>
        </w:rPr>
      </w:pPr>
      <w:bookmarkStart w:id="681" w:name="_Toc144974716"/>
      <w:bookmarkStart w:id="682" w:name="_Toc152045745"/>
      <w:bookmarkStart w:id="683" w:name="_Toc152042524"/>
      <w:bookmarkStart w:id="684" w:name="_Toc179632763"/>
      <w:r>
        <w:rPr>
          <w:rFonts w:hint="eastAsia"/>
          <w:color w:val="auto"/>
        </w:rPr>
        <w:t>20.3 人身意外伤害险</w:t>
      </w:r>
      <w:bookmarkEnd w:id="681"/>
      <w:bookmarkEnd w:id="682"/>
      <w:bookmarkEnd w:id="683"/>
      <w:bookmarkEnd w:id="684"/>
    </w:p>
    <w:p>
      <w:pPr>
        <w:spacing w:line="380" w:lineRule="exact"/>
        <w:ind w:firstLine="420" w:firstLineChars="200"/>
        <w:rPr>
          <w:rFonts w:hint="eastAsia"/>
          <w:color w:val="auto"/>
        </w:rPr>
      </w:pPr>
      <w:r>
        <w:rPr>
          <w:rFonts w:hint="eastAsia"/>
          <w:color w:val="auto"/>
        </w:rPr>
        <w:t>20.3.1 发包人应在整个施工期间为其现场机构雇用的全部人员，投保人身意外伤害险，缴纳保险费，并要求其监理人也进行此项保险。</w:t>
      </w:r>
    </w:p>
    <w:p>
      <w:pPr>
        <w:spacing w:line="380" w:lineRule="exact"/>
        <w:ind w:firstLine="420" w:firstLineChars="200"/>
        <w:rPr>
          <w:rFonts w:hint="eastAsia"/>
          <w:color w:val="auto"/>
        </w:rPr>
      </w:pPr>
      <w:r>
        <w:rPr>
          <w:rFonts w:hint="eastAsia"/>
          <w:color w:val="auto"/>
        </w:rPr>
        <w:t>20.3.2 承包人应在整个施工期间为其现场机构雇用的全部人员，投保人身意外伤害险，缴纳保险费，并要求其分包人也进行此项保险。</w:t>
      </w:r>
    </w:p>
    <w:p>
      <w:pPr>
        <w:pStyle w:val="231"/>
        <w:rPr>
          <w:rFonts w:hint="eastAsia"/>
          <w:color w:val="auto"/>
        </w:rPr>
      </w:pPr>
      <w:bookmarkStart w:id="685" w:name="_Toc179632764"/>
      <w:bookmarkStart w:id="686" w:name="_Toc152045746"/>
      <w:bookmarkStart w:id="687" w:name="_Toc152042525"/>
      <w:bookmarkStart w:id="688" w:name="_Toc144974717"/>
      <w:r>
        <w:rPr>
          <w:rFonts w:hint="eastAsia"/>
          <w:color w:val="auto"/>
        </w:rPr>
        <w:t>20.4 第三者责任险</w:t>
      </w:r>
      <w:bookmarkEnd w:id="685"/>
      <w:bookmarkEnd w:id="686"/>
      <w:bookmarkEnd w:id="687"/>
      <w:bookmarkEnd w:id="688"/>
    </w:p>
    <w:p>
      <w:pPr>
        <w:spacing w:line="380" w:lineRule="exact"/>
        <w:ind w:firstLine="420" w:firstLineChars="200"/>
        <w:rPr>
          <w:rFonts w:hint="eastAsia"/>
          <w:color w:val="auto"/>
        </w:rPr>
      </w:pPr>
      <w:r>
        <w:rPr>
          <w:rFonts w:hint="eastAsia"/>
          <w:color w:val="auto"/>
        </w:rPr>
        <w:t>20.4.1 第三者责任系指在保险期内，对因工程意外事故造成的、依法应由被保险人负责的工地上及毗邻地区的第三者人身伤亡、疾病或财产损失（本工程除外），以及被保险人因此而支付的诉讼费用和事先经保险人书面同意支付的其他费用等赔偿责任。</w:t>
      </w:r>
    </w:p>
    <w:p>
      <w:pPr>
        <w:spacing w:line="380" w:lineRule="exact"/>
        <w:ind w:firstLine="420" w:firstLineChars="200"/>
        <w:rPr>
          <w:rFonts w:hint="eastAsia"/>
          <w:color w:val="auto"/>
        </w:rPr>
      </w:pPr>
      <w:r>
        <w:rPr>
          <w:rFonts w:hint="eastAsia"/>
          <w:color w:val="auto"/>
        </w:rPr>
        <w:t>20.4.2 在缺陷责任期终止证书颁发前，承包人应以承包人和发包人的共同名义，投保第20.4.1项约定的第三者责任险，其保险费率、保险金额等有关内容在专用合同条款中约定。</w:t>
      </w:r>
    </w:p>
    <w:p>
      <w:pPr>
        <w:pStyle w:val="231"/>
        <w:rPr>
          <w:rFonts w:hint="eastAsia"/>
          <w:color w:val="auto"/>
        </w:rPr>
      </w:pPr>
      <w:bookmarkStart w:id="689" w:name="_Toc152042526"/>
      <w:bookmarkStart w:id="690" w:name="_Toc179632765"/>
      <w:bookmarkStart w:id="691" w:name="_Toc152045747"/>
      <w:bookmarkStart w:id="692" w:name="_Toc144974718"/>
      <w:r>
        <w:rPr>
          <w:rFonts w:hint="eastAsia"/>
          <w:color w:val="auto"/>
        </w:rPr>
        <w:t>20.5 其他保险</w:t>
      </w:r>
      <w:bookmarkEnd w:id="689"/>
      <w:bookmarkEnd w:id="690"/>
      <w:bookmarkEnd w:id="691"/>
      <w:bookmarkEnd w:id="692"/>
    </w:p>
    <w:p>
      <w:pPr>
        <w:spacing w:line="380" w:lineRule="exact"/>
        <w:ind w:firstLine="420" w:firstLineChars="200"/>
        <w:rPr>
          <w:rFonts w:hint="eastAsia"/>
          <w:color w:val="auto"/>
        </w:rPr>
      </w:pPr>
      <w:r>
        <w:rPr>
          <w:rFonts w:hint="eastAsia"/>
          <w:color w:val="auto"/>
        </w:rPr>
        <w:t>除专用合同条款另有约定外，承包人应为其施工设备、进场的材料和工程设备等办理保险。</w:t>
      </w:r>
    </w:p>
    <w:p>
      <w:pPr>
        <w:pStyle w:val="231"/>
        <w:rPr>
          <w:rFonts w:hint="eastAsia"/>
          <w:color w:val="auto"/>
        </w:rPr>
      </w:pPr>
      <w:bookmarkStart w:id="693" w:name="_Toc152042527"/>
      <w:bookmarkStart w:id="694" w:name="_Toc144974719"/>
      <w:bookmarkStart w:id="695" w:name="_Toc152045748"/>
      <w:bookmarkStart w:id="696" w:name="_Toc179632766"/>
      <w:r>
        <w:rPr>
          <w:rFonts w:hint="eastAsia"/>
          <w:color w:val="auto"/>
        </w:rPr>
        <w:t>20.6 对各项保险的一般要求</w:t>
      </w:r>
      <w:bookmarkEnd w:id="693"/>
      <w:bookmarkEnd w:id="694"/>
      <w:bookmarkEnd w:id="695"/>
      <w:bookmarkEnd w:id="696"/>
    </w:p>
    <w:p>
      <w:pPr>
        <w:spacing w:line="380" w:lineRule="exact"/>
        <w:ind w:firstLine="420" w:firstLineChars="200"/>
        <w:rPr>
          <w:rFonts w:hint="eastAsia"/>
          <w:color w:val="auto"/>
        </w:rPr>
      </w:pPr>
      <w:r>
        <w:rPr>
          <w:rFonts w:hint="eastAsia"/>
          <w:color w:val="auto"/>
        </w:rPr>
        <w:t xml:space="preserve">20.6.1 </w:t>
      </w:r>
      <w:r>
        <w:rPr>
          <w:rFonts w:hint="eastAsia" w:ascii="黑体" w:eastAsia="黑体"/>
          <w:color w:val="auto"/>
        </w:rPr>
        <w:t>保险凭证</w:t>
      </w:r>
    </w:p>
    <w:p>
      <w:pPr>
        <w:spacing w:line="380" w:lineRule="exact"/>
        <w:ind w:firstLine="420" w:firstLineChars="200"/>
        <w:rPr>
          <w:rFonts w:hint="eastAsia"/>
          <w:color w:val="auto"/>
        </w:rPr>
      </w:pPr>
      <w:r>
        <w:rPr>
          <w:rFonts w:hint="eastAsia"/>
          <w:color w:val="auto"/>
        </w:rPr>
        <w:t>承包人应在专用合同条款约定的期限内向发包人提交各项保险生效的证据和保险单副本，保险单必须与专用合同条款约定的条件保持一致。</w:t>
      </w:r>
    </w:p>
    <w:p>
      <w:pPr>
        <w:spacing w:line="380" w:lineRule="exact"/>
        <w:ind w:firstLine="420" w:firstLineChars="200"/>
        <w:rPr>
          <w:rFonts w:hint="eastAsia"/>
          <w:color w:val="auto"/>
        </w:rPr>
      </w:pPr>
      <w:r>
        <w:rPr>
          <w:rFonts w:hint="eastAsia"/>
          <w:color w:val="auto"/>
        </w:rPr>
        <w:t xml:space="preserve">20.6.2 </w:t>
      </w:r>
      <w:r>
        <w:rPr>
          <w:rFonts w:hint="eastAsia" w:ascii="黑体" w:eastAsia="黑体"/>
          <w:color w:val="auto"/>
        </w:rPr>
        <w:t>保险合同条款的变动</w:t>
      </w:r>
    </w:p>
    <w:p>
      <w:pPr>
        <w:spacing w:line="380" w:lineRule="exact"/>
        <w:ind w:firstLine="420" w:firstLineChars="200"/>
        <w:rPr>
          <w:rFonts w:hint="eastAsia"/>
          <w:color w:val="auto"/>
        </w:rPr>
      </w:pPr>
      <w:r>
        <w:rPr>
          <w:rFonts w:hint="eastAsia"/>
          <w:color w:val="auto"/>
        </w:rPr>
        <w:t>承包人需要变动保险合同条款时，应事先征得发包人同意，并通知监理人。保险人作出变动的，承包人应在收到保险人通知后立即通知发包人和监理人。</w:t>
      </w:r>
    </w:p>
    <w:p>
      <w:pPr>
        <w:spacing w:line="380" w:lineRule="exact"/>
        <w:ind w:firstLine="420" w:firstLineChars="200"/>
        <w:rPr>
          <w:rFonts w:hint="eastAsia"/>
          <w:color w:val="auto"/>
        </w:rPr>
      </w:pPr>
      <w:r>
        <w:rPr>
          <w:rFonts w:hint="eastAsia"/>
          <w:color w:val="auto"/>
        </w:rPr>
        <w:t xml:space="preserve">20.6.3 </w:t>
      </w:r>
      <w:r>
        <w:rPr>
          <w:rFonts w:hint="eastAsia" w:ascii="黑体" w:eastAsia="黑体"/>
          <w:color w:val="auto"/>
        </w:rPr>
        <w:t>持续保险</w:t>
      </w:r>
    </w:p>
    <w:p>
      <w:pPr>
        <w:spacing w:line="380" w:lineRule="exact"/>
        <w:ind w:firstLine="420" w:firstLineChars="200"/>
        <w:rPr>
          <w:rFonts w:hint="eastAsia"/>
          <w:color w:val="auto"/>
        </w:rPr>
      </w:pPr>
      <w:r>
        <w:rPr>
          <w:rFonts w:hint="eastAsia"/>
          <w:color w:val="auto"/>
        </w:rPr>
        <w:t>承包人应与保险人保持联系，使保险人能够随时了解工程实施中的变动，并确保按保险合同条款要求持续保险。</w:t>
      </w:r>
    </w:p>
    <w:p>
      <w:pPr>
        <w:spacing w:line="380" w:lineRule="exact"/>
        <w:ind w:firstLine="420" w:firstLineChars="200"/>
        <w:rPr>
          <w:rFonts w:hint="eastAsia" w:ascii="黑体" w:eastAsia="黑体"/>
          <w:color w:val="auto"/>
        </w:rPr>
      </w:pPr>
      <w:r>
        <w:rPr>
          <w:rFonts w:hint="eastAsia"/>
          <w:color w:val="auto"/>
        </w:rPr>
        <w:t xml:space="preserve">20.6.4 </w:t>
      </w:r>
      <w:r>
        <w:rPr>
          <w:rFonts w:hint="eastAsia" w:ascii="黑体" w:eastAsia="黑体"/>
          <w:color w:val="auto"/>
        </w:rPr>
        <w:t>保险金不足的补偿</w:t>
      </w:r>
    </w:p>
    <w:p>
      <w:pPr>
        <w:spacing w:line="380" w:lineRule="exact"/>
        <w:ind w:firstLine="420" w:firstLineChars="200"/>
        <w:rPr>
          <w:rFonts w:hint="eastAsia"/>
          <w:color w:val="auto"/>
        </w:rPr>
      </w:pPr>
      <w:r>
        <w:rPr>
          <w:rFonts w:hint="eastAsia"/>
          <w:color w:val="auto"/>
        </w:rPr>
        <w:t>保险金不足以补偿损失的，应由承包人和（或）发包人按合同约定负责补偿。</w:t>
      </w:r>
    </w:p>
    <w:p>
      <w:pPr>
        <w:spacing w:line="380" w:lineRule="exact"/>
        <w:ind w:firstLine="420" w:firstLineChars="200"/>
        <w:rPr>
          <w:rFonts w:hint="eastAsia" w:ascii="黑体" w:eastAsia="黑体"/>
          <w:color w:val="auto"/>
        </w:rPr>
      </w:pPr>
      <w:r>
        <w:rPr>
          <w:rFonts w:hint="eastAsia"/>
          <w:color w:val="auto"/>
        </w:rPr>
        <w:t xml:space="preserve">20.6.5 </w:t>
      </w:r>
      <w:r>
        <w:rPr>
          <w:rFonts w:hint="eastAsia" w:ascii="黑体" w:eastAsia="黑体"/>
          <w:color w:val="auto"/>
        </w:rPr>
        <w:t>未按约定投保的补救</w:t>
      </w:r>
    </w:p>
    <w:p>
      <w:pPr>
        <w:spacing w:line="380" w:lineRule="exact"/>
        <w:ind w:firstLine="420" w:firstLineChars="200"/>
        <w:rPr>
          <w:rFonts w:hint="eastAsia" w:ascii="黑体" w:eastAsia="黑体"/>
          <w:color w:val="auto"/>
        </w:rPr>
      </w:pPr>
      <w:r>
        <w:rPr>
          <w:rFonts w:hint="eastAsia"/>
          <w:color w:val="auto"/>
        </w:rPr>
        <w:t>（1）由于负有投保义务的一方当事人未按合同约定办理保险，或未能使保险持续有效的，另一方当事人可代为办理，所需费用由对方当事人承担。</w:t>
      </w:r>
    </w:p>
    <w:p>
      <w:pPr>
        <w:spacing w:line="380" w:lineRule="exact"/>
        <w:ind w:firstLine="420" w:firstLineChars="200"/>
        <w:rPr>
          <w:rFonts w:hint="eastAsia"/>
          <w:color w:val="auto"/>
        </w:rPr>
      </w:pPr>
      <w:r>
        <w:rPr>
          <w:rFonts w:hint="eastAsia"/>
          <w:color w:val="auto"/>
        </w:rPr>
        <w:t>（2）由于负有投保义务的一方当事人未按合同约定办理某项保险，导致受益人未能得到保险人的赔偿，原应从该项保险得到的保险金应由负有投保义务的一方当事人支付。</w:t>
      </w:r>
    </w:p>
    <w:p>
      <w:pPr>
        <w:spacing w:line="380" w:lineRule="exact"/>
        <w:ind w:firstLine="420" w:firstLineChars="200"/>
        <w:rPr>
          <w:rFonts w:hint="eastAsia" w:ascii="黑体" w:eastAsia="黑体"/>
          <w:color w:val="auto"/>
        </w:rPr>
      </w:pPr>
      <w:r>
        <w:rPr>
          <w:rFonts w:hint="eastAsia"/>
          <w:color w:val="auto"/>
        </w:rPr>
        <w:t xml:space="preserve">20.6.6 </w:t>
      </w:r>
      <w:r>
        <w:rPr>
          <w:rFonts w:hint="eastAsia" w:ascii="黑体" w:eastAsia="黑体"/>
          <w:color w:val="auto"/>
        </w:rPr>
        <w:t>报告义务</w:t>
      </w:r>
    </w:p>
    <w:p>
      <w:pPr>
        <w:spacing w:line="400" w:lineRule="exact"/>
        <w:ind w:firstLine="420" w:firstLineChars="200"/>
        <w:rPr>
          <w:rFonts w:hint="eastAsia"/>
          <w:color w:val="auto"/>
        </w:rPr>
      </w:pPr>
      <w:r>
        <w:rPr>
          <w:rFonts w:hint="eastAsia"/>
          <w:color w:val="auto"/>
        </w:rPr>
        <w:t>当保险事故发生时，投保人应按照保险单规定的条件和期限及时向保险人报告。</w:t>
      </w:r>
    </w:p>
    <w:p>
      <w:pPr>
        <w:pStyle w:val="224"/>
        <w:rPr>
          <w:rFonts w:hint="eastAsia"/>
          <w:color w:val="auto"/>
        </w:rPr>
      </w:pPr>
      <w:bookmarkStart w:id="697" w:name="_Toc144974720"/>
      <w:bookmarkStart w:id="698" w:name="_Toc152042528"/>
      <w:bookmarkStart w:id="699" w:name="_Toc179632767"/>
      <w:bookmarkStart w:id="700" w:name="_Toc152045749"/>
      <w:r>
        <w:rPr>
          <w:rFonts w:hint="eastAsia"/>
          <w:color w:val="auto"/>
        </w:rPr>
        <w:t>21. 不可抗力</w:t>
      </w:r>
      <w:bookmarkEnd w:id="697"/>
      <w:bookmarkEnd w:id="698"/>
      <w:bookmarkEnd w:id="699"/>
      <w:bookmarkEnd w:id="700"/>
    </w:p>
    <w:p>
      <w:pPr>
        <w:pStyle w:val="231"/>
        <w:rPr>
          <w:rFonts w:hint="eastAsia"/>
          <w:color w:val="auto"/>
        </w:rPr>
      </w:pPr>
      <w:bookmarkStart w:id="701" w:name="_Toc152042529"/>
      <w:bookmarkStart w:id="702" w:name="_Toc179632768"/>
      <w:bookmarkStart w:id="703" w:name="_Toc144974721"/>
      <w:bookmarkStart w:id="704" w:name="_Toc152045750"/>
      <w:r>
        <w:rPr>
          <w:rFonts w:hint="eastAsia"/>
          <w:color w:val="auto"/>
        </w:rPr>
        <w:t>21.1 不可抗力的确认</w:t>
      </w:r>
      <w:bookmarkEnd w:id="701"/>
      <w:bookmarkEnd w:id="702"/>
      <w:bookmarkEnd w:id="703"/>
      <w:bookmarkEnd w:id="704"/>
    </w:p>
    <w:p>
      <w:pPr>
        <w:spacing w:line="400" w:lineRule="exact"/>
        <w:ind w:firstLine="420" w:firstLineChars="200"/>
        <w:rPr>
          <w:rFonts w:hint="eastAsia"/>
          <w:color w:val="auto"/>
        </w:rPr>
      </w:pPr>
      <w:r>
        <w:rPr>
          <w:rFonts w:hint="eastAsia"/>
          <w:color w:val="auto"/>
        </w:rPr>
        <w:t>21.1.1 不可抗力是指承包人和发包人在订立合同时不可预见，在工程施工过程中不可避免发生并不能克服的自然灾害和社会性突发事件，如地震、海啸、瘟疫、水灾、骚乱、暴动、战争和专用合同条款约定的其他情形。</w:t>
      </w:r>
    </w:p>
    <w:p>
      <w:pPr>
        <w:spacing w:line="400" w:lineRule="exact"/>
        <w:ind w:firstLine="420" w:firstLineChars="200"/>
        <w:rPr>
          <w:rFonts w:hint="eastAsia"/>
          <w:color w:val="auto"/>
        </w:rPr>
      </w:pPr>
      <w:r>
        <w:rPr>
          <w:rFonts w:hint="eastAsia"/>
          <w:color w:val="auto"/>
        </w:rPr>
        <w:t>21.1.2 不可抗力发生后，发包人和承包人应及时认真统计所造成的损失，收集不可抗力造成损失的证据。合同双方对是否属于不可抗力</w:t>
      </w:r>
      <w:r>
        <w:rPr>
          <w:rFonts w:hint="eastAsia"/>
          <w:color w:val="auto"/>
          <w:lang w:eastAsia="zh-CN"/>
        </w:rPr>
        <w:t>或</w:t>
      </w:r>
      <w:r>
        <w:rPr>
          <w:rFonts w:hint="eastAsia"/>
          <w:color w:val="auto"/>
        </w:rPr>
        <w:t>损失的意见不一致的，由监理人按第3.5款商定或确定。发生争议时，按第24条的约定办理。</w:t>
      </w:r>
    </w:p>
    <w:p>
      <w:pPr>
        <w:pStyle w:val="231"/>
        <w:rPr>
          <w:rFonts w:hint="eastAsia"/>
          <w:color w:val="auto"/>
        </w:rPr>
      </w:pPr>
      <w:bookmarkStart w:id="705" w:name="_Toc152042530"/>
      <w:bookmarkStart w:id="706" w:name="_Toc179632769"/>
      <w:bookmarkStart w:id="707" w:name="_Toc152045751"/>
      <w:bookmarkStart w:id="708" w:name="_Toc144974722"/>
      <w:r>
        <w:rPr>
          <w:rFonts w:hint="eastAsia"/>
          <w:color w:val="auto"/>
        </w:rPr>
        <w:t>21.2 不可抗力的通知</w:t>
      </w:r>
      <w:bookmarkEnd w:id="705"/>
      <w:bookmarkEnd w:id="706"/>
      <w:bookmarkEnd w:id="707"/>
      <w:bookmarkEnd w:id="708"/>
    </w:p>
    <w:p>
      <w:pPr>
        <w:spacing w:line="400" w:lineRule="exact"/>
        <w:ind w:firstLine="420" w:firstLineChars="200"/>
        <w:rPr>
          <w:rFonts w:hint="eastAsia"/>
          <w:color w:val="auto"/>
        </w:rPr>
      </w:pPr>
      <w:r>
        <w:rPr>
          <w:rFonts w:hint="eastAsia"/>
          <w:color w:val="auto"/>
        </w:rPr>
        <w:t>21.2.1 合同一方当事人遇到不可抗力事件，使其履行合同义务受到阻碍时，应立即通知合同另一方当事人和监理人，书面说明不可抗力和受阻碍的详细情况，并提供必要的证明。</w:t>
      </w:r>
    </w:p>
    <w:p>
      <w:pPr>
        <w:spacing w:line="400" w:lineRule="exact"/>
        <w:ind w:firstLine="420" w:firstLineChars="200"/>
        <w:rPr>
          <w:rFonts w:hint="eastAsia"/>
          <w:color w:val="auto"/>
        </w:rPr>
      </w:pPr>
      <w:r>
        <w:rPr>
          <w:rFonts w:hint="eastAsia"/>
          <w:color w:val="auto"/>
        </w:rPr>
        <w:t>21.2.2 如不可抗力持续发生，合同一方当事人应及时向合同另一方当事人和监理人提交中间报告，说明不可抗力和履行合同受阻的情况，并于不可抗力事件结束后28天内提交最终报告及有关资料。</w:t>
      </w:r>
    </w:p>
    <w:p>
      <w:pPr>
        <w:pStyle w:val="231"/>
        <w:rPr>
          <w:rFonts w:hint="eastAsia"/>
          <w:color w:val="auto"/>
        </w:rPr>
      </w:pPr>
      <w:bookmarkStart w:id="709" w:name="_Toc179632770"/>
      <w:bookmarkStart w:id="710" w:name="_Toc152042531"/>
      <w:bookmarkStart w:id="711" w:name="_Toc152045752"/>
      <w:bookmarkStart w:id="712" w:name="_Toc144974723"/>
      <w:r>
        <w:rPr>
          <w:rFonts w:hint="eastAsia"/>
          <w:color w:val="auto"/>
        </w:rPr>
        <w:t>21.3 不可抗力后果及其处理</w:t>
      </w:r>
      <w:bookmarkEnd w:id="709"/>
      <w:bookmarkEnd w:id="710"/>
      <w:bookmarkEnd w:id="711"/>
      <w:bookmarkEnd w:id="712"/>
    </w:p>
    <w:p>
      <w:pPr>
        <w:spacing w:line="380" w:lineRule="exact"/>
        <w:ind w:firstLine="420" w:firstLineChars="200"/>
        <w:rPr>
          <w:rFonts w:hint="eastAsia"/>
          <w:color w:val="auto"/>
        </w:rPr>
      </w:pPr>
      <w:r>
        <w:rPr>
          <w:rFonts w:hint="eastAsia"/>
          <w:color w:val="auto"/>
        </w:rPr>
        <w:t xml:space="preserve">21.3.1 </w:t>
      </w:r>
      <w:r>
        <w:rPr>
          <w:rFonts w:hint="eastAsia" w:ascii="黑体" w:eastAsia="黑体"/>
          <w:color w:val="auto"/>
        </w:rPr>
        <w:t>不可抗力造成损害的责任</w:t>
      </w:r>
    </w:p>
    <w:p>
      <w:pPr>
        <w:spacing w:line="400" w:lineRule="exact"/>
        <w:ind w:firstLine="420" w:firstLineChars="200"/>
        <w:rPr>
          <w:rFonts w:hint="eastAsia"/>
          <w:color w:val="auto"/>
        </w:rPr>
      </w:pPr>
      <w:r>
        <w:rPr>
          <w:rFonts w:hint="eastAsia"/>
          <w:color w:val="auto"/>
        </w:rPr>
        <w:t>除专用合同条款另有约定外，不可抗力导致的人员伤亡、财产损失、费用增加和（或）工期延误等后果，由合同双方按以下原则承担：</w:t>
      </w:r>
    </w:p>
    <w:p>
      <w:pPr>
        <w:spacing w:line="400" w:lineRule="exact"/>
        <w:ind w:firstLine="718" w:firstLineChars="342"/>
        <w:rPr>
          <w:rFonts w:hint="eastAsia"/>
          <w:color w:val="auto"/>
        </w:rPr>
      </w:pPr>
      <w:r>
        <w:rPr>
          <w:rFonts w:hint="eastAsia"/>
          <w:color w:val="auto"/>
        </w:rPr>
        <w:t>（1）永久工程，包括已运至施工场地的材料和工程设备的损害，以及因工程损害造成的第三者人员伤亡和财产损失由发包人承担；</w:t>
      </w:r>
    </w:p>
    <w:p>
      <w:pPr>
        <w:spacing w:line="400" w:lineRule="exact"/>
        <w:ind w:firstLine="718" w:firstLineChars="342"/>
        <w:rPr>
          <w:rFonts w:hint="eastAsia"/>
          <w:color w:val="auto"/>
        </w:rPr>
      </w:pPr>
      <w:r>
        <w:rPr>
          <w:rFonts w:hint="eastAsia"/>
          <w:color w:val="auto"/>
        </w:rPr>
        <w:t>（2）承包人设备的损坏由承包人承担；</w:t>
      </w:r>
    </w:p>
    <w:p>
      <w:pPr>
        <w:spacing w:line="400" w:lineRule="exact"/>
        <w:ind w:firstLine="718" w:firstLineChars="342"/>
        <w:rPr>
          <w:rFonts w:hint="eastAsia"/>
          <w:color w:val="auto"/>
        </w:rPr>
      </w:pPr>
      <w:r>
        <w:rPr>
          <w:rFonts w:hint="eastAsia"/>
          <w:color w:val="auto"/>
        </w:rPr>
        <w:t>（3）发包人和承包人各自承担其人员伤亡和其他财产损失</w:t>
      </w:r>
      <w:r>
        <w:rPr>
          <w:rFonts w:hint="eastAsia"/>
          <w:color w:val="auto"/>
          <w:lang w:eastAsia="zh-CN"/>
        </w:rPr>
        <w:t>及</w:t>
      </w:r>
      <w:r>
        <w:rPr>
          <w:rFonts w:hint="eastAsia"/>
          <w:color w:val="auto"/>
        </w:rPr>
        <w:t>相关费用；</w:t>
      </w:r>
    </w:p>
    <w:p>
      <w:pPr>
        <w:spacing w:line="400" w:lineRule="exact"/>
        <w:ind w:firstLine="718" w:firstLineChars="342"/>
        <w:rPr>
          <w:rFonts w:hint="eastAsia"/>
          <w:color w:val="auto"/>
        </w:rPr>
      </w:pPr>
      <w:r>
        <w:rPr>
          <w:rFonts w:hint="eastAsia"/>
          <w:color w:val="auto"/>
        </w:rPr>
        <w:t>（4）承包人的停工损失由承包人承担，但停工期间应监理人要求照管工程和清理、修复工程的金额由发包人承担；</w:t>
      </w:r>
    </w:p>
    <w:p>
      <w:pPr>
        <w:spacing w:line="400" w:lineRule="exact"/>
        <w:ind w:firstLine="718" w:firstLineChars="342"/>
        <w:rPr>
          <w:rFonts w:hint="eastAsia"/>
          <w:color w:val="auto"/>
        </w:rPr>
      </w:pPr>
      <w:r>
        <w:rPr>
          <w:rFonts w:hint="eastAsia"/>
          <w:color w:val="auto"/>
        </w:rPr>
        <w:t>（5）不能按期竣工的，应合理延长工期，承包人不需支付逾期竣工违约金。发包人要求赶工的，承包人应采取赶工措施，赶工费用由发包人承担。</w:t>
      </w:r>
    </w:p>
    <w:p>
      <w:pPr>
        <w:spacing w:line="400" w:lineRule="exact"/>
        <w:ind w:firstLine="420" w:firstLineChars="200"/>
        <w:rPr>
          <w:rFonts w:hint="eastAsia"/>
          <w:color w:val="auto"/>
        </w:rPr>
      </w:pPr>
      <w:r>
        <w:rPr>
          <w:rFonts w:hint="eastAsia"/>
          <w:color w:val="auto"/>
        </w:rPr>
        <w:t xml:space="preserve">21.3.2 </w:t>
      </w:r>
      <w:r>
        <w:rPr>
          <w:rFonts w:hint="eastAsia" w:ascii="黑体" w:eastAsia="黑体"/>
          <w:color w:val="auto"/>
        </w:rPr>
        <w:t>延迟履行期间发生的不可抗力</w:t>
      </w:r>
    </w:p>
    <w:p>
      <w:pPr>
        <w:spacing w:line="400" w:lineRule="exact"/>
        <w:ind w:firstLine="420" w:firstLineChars="200"/>
        <w:rPr>
          <w:rFonts w:hint="eastAsia"/>
          <w:color w:val="auto"/>
        </w:rPr>
      </w:pPr>
      <w:r>
        <w:rPr>
          <w:rFonts w:hint="eastAsia"/>
          <w:color w:val="auto"/>
        </w:rPr>
        <w:t>合同一方当事人延迟履行，在延迟履行期间发生不可抗力的，不免除其责任。</w:t>
      </w:r>
    </w:p>
    <w:p>
      <w:pPr>
        <w:spacing w:line="400" w:lineRule="exact"/>
        <w:ind w:firstLine="420" w:firstLineChars="200"/>
        <w:rPr>
          <w:rFonts w:hint="eastAsia"/>
          <w:color w:val="auto"/>
        </w:rPr>
      </w:pPr>
      <w:r>
        <w:rPr>
          <w:rFonts w:hint="eastAsia"/>
          <w:color w:val="auto"/>
        </w:rPr>
        <w:t xml:space="preserve">21.3.3 </w:t>
      </w:r>
      <w:r>
        <w:rPr>
          <w:rFonts w:hint="eastAsia" w:ascii="黑体" w:eastAsia="黑体"/>
          <w:color w:val="auto"/>
        </w:rPr>
        <w:t>避免和减少不可抗力损失</w:t>
      </w:r>
    </w:p>
    <w:p>
      <w:pPr>
        <w:spacing w:line="400" w:lineRule="exact"/>
        <w:ind w:firstLine="420" w:firstLineChars="200"/>
        <w:rPr>
          <w:rFonts w:hint="eastAsia"/>
          <w:color w:val="auto"/>
        </w:rPr>
      </w:pPr>
      <w:r>
        <w:rPr>
          <w:rFonts w:hint="eastAsia"/>
          <w:color w:val="auto"/>
        </w:rPr>
        <w:t>不可抗力发生后，发包人和承包人均应采取措施尽量避免和减少损失的扩大，任何一方没有采取有效措施导致损失扩大的，应对扩大的损失承担责任。</w:t>
      </w:r>
    </w:p>
    <w:p>
      <w:pPr>
        <w:spacing w:line="400" w:lineRule="exact"/>
        <w:ind w:firstLine="420" w:firstLineChars="200"/>
        <w:rPr>
          <w:rFonts w:hint="eastAsia"/>
          <w:color w:val="auto"/>
        </w:rPr>
      </w:pPr>
      <w:r>
        <w:rPr>
          <w:rFonts w:hint="eastAsia"/>
          <w:color w:val="auto"/>
        </w:rPr>
        <w:t xml:space="preserve">21.3.4 </w:t>
      </w:r>
      <w:r>
        <w:rPr>
          <w:rFonts w:hint="eastAsia" w:ascii="黑体" w:eastAsia="黑体"/>
          <w:color w:val="auto"/>
        </w:rPr>
        <w:t>因不可抗力解除合同</w:t>
      </w:r>
    </w:p>
    <w:p>
      <w:pPr>
        <w:spacing w:line="400" w:lineRule="exact"/>
        <w:ind w:firstLine="420" w:firstLineChars="200"/>
        <w:rPr>
          <w:rFonts w:hint="eastAsia"/>
          <w:color w:val="auto"/>
        </w:rPr>
      </w:pPr>
      <w:r>
        <w:rPr>
          <w:rFonts w:hint="eastAsia"/>
          <w:color w:val="auto"/>
        </w:rPr>
        <w:t>合同一方当事人因不可抗力不能履行合同的，应当及时通知对方解除合同。合同解除后，承包人应按照第22.2.5项约定撤离施工场地。已经订货的材料、设备由订货方负责退货或解除订货合同，不能退还的货款和因退货、解除订货合同发生的费用，由发包人承担，因未及时退货造成的损失由责任方承担。合同解除后的付款，参照第22.2.4项约定，由监理人按第3.5款商定或确定。</w:t>
      </w:r>
    </w:p>
    <w:p>
      <w:pPr>
        <w:pStyle w:val="224"/>
        <w:rPr>
          <w:rFonts w:hint="eastAsia"/>
          <w:color w:val="auto"/>
        </w:rPr>
      </w:pPr>
      <w:bookmarkStart w:id="713" w:name="_Toc144974724"/>
      <w:bookmarkStart w:id="714" w:name="_Toc152045753"/>
      <w:bookmarkStart w:id="715" w:name="_Toc152042532"/>
      <w:bookmarkStart w:id="716" w:name="_Toc179632771"/>
      <w:r>
        <w:rPr>
          <w:rFonts w:hint="eastAsia"/>
          <w:color w:val="auto"/>
        </w:rPr>
        <w:t>22. 违约</w:t>
      </w:r>
      <w:bookmarkEnd w:id="713"/>
      <w:bookmarkEnd w:id="714"/>
      <w:bookmarkEnd w:id="715"/>
      <w:bookmarkEnd w:id="716"/>
    </w:p>
    <w:p>
      <w:pPr>
        <w:pStyle w:val="231"/>
        <w:rPr>
          <w:rFonts w:hint="eastAsia"/>
          <w:color w:val="auto"/>
        </w:rPr>
      </w:pPr>
      <w:bookmarkStart w:id="717" w:name="_Toc152045754"/>
      <w:bookmarkStart w:id="718" w:name="_Toc144974725"/>
      <w:bookmarkStart w:id="719" w:name="_Toc152042533"/>
      <w:bookmarkStart w:id="720" w:name="_Toc179632772"/>
      <w:r>
        <w:rPr>
          <w:rFonts w:hint="eastAsia"/>
          <w:color w:val="auto"/>
        </w:rPr>
        <w:t>22.1 承包人违约</w:t>
      </w:r>
      <w:bookmarkEnd w:id="717"/>
      <w:bookmarkEnd w:id="718"/>
      <w:bookmarkEnd w:id="719"/>
      <w:bookmarkEnd w:id="720"/>
    </w:p>
    <w:p>
      <w:pPr>
        <w:spacing w:line="400" w:lineRule="exact"/>
        <w:ind w:firstLine="420" w:firstLineChars="200"/>
        <w:rPr>
          <w:rFonts w:hint="eastAsia"/>
          <w:color w:val="auto"/>
        </w:rPr>
      </w:pPr>
      <w:r>
        <w:rPr>
          <w:rFonts w:hint="eastAsia"/>
          <w:color w:val="auto"/>
        </w:rPr>
        <w:t>22.1.1</w:t>
      </w:r>
      <w:r>
        <w:rPr>
          <w:rFonts w:hint="eastAsia" w:ascii="黑体" w:eastAsia="黑体"/>
          <w:color w:val="auto"/>
        </w:rPr>
        <w:t xml:space="preserve"> 承包人违约的情形</w:t>
      </w:r>
    </w:p>
    <w:p>
      <w:pPr>
        <w:spacing w:line="400" w:lineRule="exact"/>
        <w:ind w:firstLine="420" w:firstLineChars="200"/>
        <w:rPr>
          <w:rFonts w:hint="eastAsia"/>
          <w:color w:val="auto"/>
        </w:rPr>
      </w:pPr>
      <w:r>
        <w:rPr>
          <w:rFonts w:hint="eastAsia"/>
          <w:color w:val="auto"/>
        </w:rPr>
        <w:t>在履行合同过程中发生的下列情况属承包人违约：</w:t>
      </w:r>
    </w:p>
    <w:p>
      <w:pPr>
        <w:spacing w:line="400" w:lineRule="exact"/>
        <w:ind w:firstLine="718" w:firstLineChars="342"/>
        <w:rPr>
          <w:rFonts w:hint="eastAsia"/>
          <w:color w:val="auto"/>
        </w:rPr>
      </w:pPr>
      <w:r>
        <w:rPr>
          <w:rFonts w:hint="eastAsia"/>
          <w:color w:val="auto"/>
        </w:rPr>
        <w:t>（1）承包人违反第1.8款或第4.3款的约定，私自将合同的全部或部分权利转让给其他人，或私自将合同的全部或部分义务转移给其他人；</w:t>
      </w:r>
    </w:p>
    <w:p>
      <w:pPr>
        <w:spacing w:line="400" w:lineRule="exact"/>
        <w:ind w:firstLine="718" w:firstLineChars="342"/>
        <w:rPr>
          <w:rFonts w:hint="eastAsia"/>
          <w:color w:val="auto"/>
        </w:rPr>
      </w:pPr>
      <w:r>
        <w:rPr>
          <w:rFonts w:hint="eastAsia"/>
          <w:color w:val="auto"/>
        </w:rPr>
        <w:t>（2）承包人违反第5.3款或第6.4款的约定，未经监理人批准，私自将已按合同约定进入施工场地的施工设备、临时设施或材料撤离施工场地；</w:t>
      </w:r>
    </w:p>
    <w:p>
      <w:pPr>
        <w:spacing w:line="400" w:lineRule="exact"/>
        <w:ind w:firstLine="718" w:firstLineChars="342"/>
        <w:rPr>
          <w:rFonts w:hint="eastAsia"/>
          <w:color w:val="auto"/>
        </w:rPr>
      </w:pPr>
      <w:r>
        <w:rPr>
          <w:rFonts w:hint="eastAsia"/>
          <w:color w:val="auto"/>
        </w:rPr>
        <w:t>（3）承包人违反第5.4款的约定使用了不合格材料或工程设备，工程质量达不到标准要求，又拒绝清除不合格工程；</w:t>
      </w:r>
    </w:p>
    <w:p>
      <w:pPr>
        <w:spacing w:line="400" w:lineRule="exact"/>
        <w:ind w:firstLine="718" w:firstLineChars="342"/>
        <w:rPr>
          <w:rFonts w:hint="eastAsia"/>
          <w:color w:val="auto"/>
        </w:rPr>
      </w:pPr>
      <w:r>
        <w:rPr>
          <w:rFonts w:hint="eastAsia"/>
          <w:color w:val="auto"/>
        </w:rPr>
        <w:t>（4）承包人未能按合同进度计划及时完成合同约定的工作，已造成或预期造成工期延误；</w:t>
      </w:r>
    </w:p>
    <w:p>
      <w:pPr>
        <w:spacing w:line="400" w:lineRule="exact"/>
        <w:ind w:firstLine="718" w:firstLineChars="342"/>
        <w:rPr>
          <w:rFonts w:hint="eastAsia"/>
          <w:color w:val="auto"/>
        </w:rPr>
      </w:pPr>
      <w:r>
        <w:rPr>
          <w:rFonts w:hint="eastAsia"/>
          <w:color w:val="auto"/>
        </w:rPr>
        <w:t>（5）承包人在缺陷责任期内，未能对工程接收证书所列的缺陷清单的内容或缺陷责任期内发生的缺陷进行修复，而又拒绝按监理人指示再进行修补；</w:t>
      </w:r>
    </w:p>
    <w:p>
      <w:pPr>
        <w:spacing w:line="400" w:lineRule="exact"/>
        <w:ind w:firstLine="718" w:firstLineChars="342"/>
        <w:rPr>
          <w:rFonts w:hint="eastAsia"/>
          <w:color w:val="auto"/>
        </w:rPr>
      </w:pPr>
      <w:r>
        <w:rPr>
          <w:rFonts w:hint="eastAsia"/>
          <w:color w:val="auto"/>
        </w:rPr>
        <w:t>（6）承包人无法继续履行或明确表示不履行或实质上已停止履行合同；</w:t>
      </w:r>
    </w:p>
    <w:p>
      <w:pPr>
        <w:spacing w:line="400" w:lineRule="exact"/>
        <w:ind w:firstLine="718" w:firstLineChars="342"/>
        <w:rPr>
          <w:rFonts w:hint="eastAsia"/>
          <w:color w:val="auto"/>
        </w:rPr>
      </w:pPr>
      <w:r>
        <w:rPr>
          <w:rFonts w:hint="eastAsia"/>
          <w:color w:val="auto"/>
        </w:rPr>
        <w:t>（7）承包人不按合同约定履行义务的其他情况。</w:t>
      </w:r>
    </w:p>
    <w:p>
      <w:pPr>
        <w:spacing w:line="400" w:lineRule="exact"/>
        <w:ind w:firstLine="420" w:firstLineChars="200"/>
        <w:rPr>
          <w:rFonts w:hint="eastAsia" w:ascii="黑体" w:eastAsia="黑体"/>
          <w:color w:val="auto"/>
        </w:rPr>
      </w:pPr>
      <w:r>
        <w:rPr>
          <w:rFonts w:hint="eastAsia"/>
          <w:color w:val="auto"/>
        </w:rPr>
        <w:t>22.1.2</w:t>
      </w:r>
      <w:r>
        <w:rPr>
          <w:rFonts w:hint="eastAsia" w:ascii="黑体" w:eastAsia="黑体"/>
          <w:color w:val="auto"/>
        </w:rPr>
        <w:t xml:space="preserve"> 对承包人违约的处理</w:t>
      </w:r>
    </w:p>
    <w:p>
      <w:pPr>
        <w:spacing w:line="400" w:lineRule="exact"/>
        <w:ind w:firstLine="718" w:firstLineChars="342"/>
        <w:rPr>
          <w:rFonts w:hint="eastAsia"/>
          <w:color w:val="auto"/>
        </w:rPr>
      </w:pPr>
      <w:r>
        <w:rPr>
          <w:rFonts w:hint="eastAsia"/>
          <w:color w:val="auto"/>
        </w:rPr>
        <w:t>（1）承包人发生第22.1.1（6）目约定的违约情况时，发包人可通知承包人立即解除合同，并按有关法律处理。</w:t>
      </w:r>
    </w:p>
    <w:p>
      <w:pPr>
        <w:spacing w:line="400" w:lineRule="exact"/>
        <w:ind w:firstLine="718" w:firstLineChars="342"/>
        <w:rPr>
          <w:rFonts w:hint="eastAsia"/>
          <w:color w:val="auto"/>
        </w:rPr>
      </w:pPr>
      <w:r>
        <w:rPr>
          <w:rFonts w:hint="eastAsia"/>
          <w:color w:val="auto"/>
        </w:rPr>
        <w:t>（2）承包人发生除第22.1.1（6）目约定以外的其他违约情况时，监理人可向承包人发出整改通知，要求其在指定的期限内改正。承包人应承担其违约所引起的费用增加和（或）工期延误。</w:t>
      </w:r>
    </w:p>
    <w:p>
      <w:pPr>
        <w:spacing w:line="400" w:lineRule="exact"/>
        <w:ind w:firstLine="718" w:firstLineChars="342"/>
        <w:rPr>
          <w:rFonts w:hint="eastAsia"/>
          <w:color w:val="auto"/>
        </w:rPr>
      </w:pPr>
      <w:r>
        <w:rPr>
          <w:rFonts w:hint="eastAsia"/>
          <w:color w:val="auto"/>
        </w:rPr>
        <w:t>（3）经检查证明承包人已采取了有效措施纠正违约行为，具备复工条件的，可由监理人签发复工通知复工。</w:t>
      </w:r>
    </w:p>
    <w:p>
      <w:pPr>
        <w:spacing w:line="400" w:lineRule="exact"/>
        <w:ind w:firstLine="420" w:firstLineChars="200"/>
        <w:rPr>
          <w:rFonts w:hint="eastAsia" w:ascii="黑体" w:eastAsia="黑体"/>
          <w:color w:val="auto"/>
        </w:rPr>
      </w:pPr>
      <w:r>
        <w:rPr>
          <w:rFonts w:hint="eastAsia"/>
          <w:color w:val="auto"/>
        </w:rPr>
        <w:t>22.1.3</w:t>
      </w:r>
      <w:r>
        <w:rPr>
          <w:rFonts w:hint="eastAsia" w:ascii="黑体" w:eastAsia="黑体"/>
          <w:color w:val="auto"/>
        </w:rPr>
        <w:t xml:space="preserve"> 承包人违约解除合同</w:t>
      </w:r>
    </w:p>
    <w:p>
      <w:pPr>
        <w:spacing w:line="400" w:lineRule="exact"/>
        <w:ind w:firstLine="420" w:firstLineChars="200"/>
        <w:rPr>
          <w:rFonts w:hint="eastAsia"/>
          <w:color w:val="auto"/>
        </w:rPr>
      </w:pPr>
      <w:r>
        <w:rPr>
          <w:rFonts w:hint="eastAsia"/>
          <w:color w:val="auto"/>
        </w:rPr>
        <w:t>监理人发出整改通知28天后，承包人仍不纠正违约行为的，发包人可向承包人发出解除合同通知。合同解除后，发包人可派员进驻施工场地，另行组织人员或委托其他承包人施工。发包人因继续完成该工程的需要，有权扣留使用承包人在现场的材料、设备和临时设施。但发包人的这一行动不免除承包人应承担的违约责任，也不影响发包人根据合同约定享有的索赔权利。</w:t>
      </w:r>
    </w:p>
    <w:p>
      <w:pPr>
        <w:spacing w:line="400" w:lineRule="exact"/>
        <w:ind w:firstLine="420" w:firstLineChars="200"/>
        <w:rPr>
          <w:rFonts w:hint="eastAsia" w:ascii="黑体" w:eastAsia="黑体"/>
          <w:color w:val="auto"/>
        </w:rPr>
      </w:pPr>
      <w:r>
        <w:rPr>
          <w:rFonts w:hint="eastAsia"/>
          <w:color w:val="auto"/>
        </w:rPr>
        <w:t>22.1.4</w:t>
      </w:r>
      <w:r>
        <w:rPr>
          <w:rFonts w:hint="eastAsia" w:ascii="黑体" w:eastAsia="黑体"/>
          <w:color w:val="auto"/>
        </w:rPr>
        <w:t xml:space="preserve"> 合同解除后的估价、付款和结清</w:t>
      </w:r>
    </w:p>
    <w:p>
      <w:pPr>
        <w:spacing w:line="400" w:lineRule="exact"/>
        <w:ind w:firstLine="718" w:firstLineChars="342"/>
        <w:rPr>
          <w:rFonts w:hint="eastAsia"/>
          <w:color w:val="auto"/>
        </w:rPr>
      </w:pPr>
      <w:r>
        <w:rPr>
          <w:rFonts w:hint="eastAsia"/>
          <w:color w:val="auto"/>
        </w:rPr>
        <w:t xml:space="preserve">（1）合同解除后，监理人按第3.5款商定或确定承包人实际完成工作的价值，以及承包人已提供的材料、施工设备、工程设备和临时工程等的价值。 </w:t>
      </w:r>
    </w:p>
    <w:p>
      <w:pPr>
        <w:spacing w:line="400" w:lineRule="exact"/>
        <w:ind w:firstLine="718" w:firstLineChars="342"/>
        <w:rPr>
          <w:rFonts w:hint="eastAsia"/>
          <w:color w:val="auto"/>
        </w:rPr>
      </w:pPr>
      <w:r>
        <w:rPr>
          <w:rFonts w:hint="eastAsia"/>
          <w:color w:val="auto"/>
        </w:rPr>
        <w:t xml:space="preserve">（2）合同解除后，发包人应暂停对承包人的一切付款，查清各项付款和已扣款金额，包括承包人应支付的违约金。 </w:t>
      </w:r>
    </w:p>
    <w:p>
      <w:pPr>
        <w:spacing w:line="400" w:lineRule="exact"/>
        <w:ind w:firstLine="718" w:firstLineChars="342"/>
        <w:rPr>
          <w:rFonts w:hint="eastAsia"/>
          <w:color w:val="auto"/>
        </w:rPr>
      </w:pPr>
      <w:r>
        <w:rPr>
          <w:rFonts w:hint="eastAsia"/>
          <w:color w:val="auto"/>
        </w:rPr>
        <w:t>（3）合同解除后，发包人应按第23.4款的约定向承包人索赔由于解除合同给发包人造成的损失。</w:t>
      </w:r>
    </w:p>
    <w:p>
      <w:pPr>
        <w:spacing w:line="400" w:lineRule="exact"/>
        <w:ind w:firstLine="718" w:firstLineChars="342"/>
        <w:rPr>
          <w:rFonts w:hint="eastAsia"/>
          <w:color w:val="auto"/>
        </w:rPr>
      </w:pPr>
      <w:r>
        <w:rPr>
          <w:rFonts w:hint="eastAsia"/>
          <w:color w:val="auto"/>
        </w:rPr>
        <w:t>（4）合同双方确认上述往来款项后，出具最终结清付款证书，结清全部合同款项。</w:t>
      </w:r>
    </w:p>
    <w:p>
      <w:pPr>
        <w:spacing w:line="400" w:lineRule="exact"/>
        <w:ind w:firstLine="718" w:firstLineChars="342"/>
        <w:rPr>
          <w:rFonts w:hint="eastAsia"/>
          <w:color w:val="auto"/>
        </w:rPr>
      </w:pPr>
      <w:r>
        <w:rPr>
          <w:rFonts w:hint="eastAsia"/>
          <w:color w:val="auto"/>
        </w:rPr>
        <w:t>（5）发包人和承包人未能就解除合同后的结清达成一致而形成争议的，按第24条的约定办理。</w:t>
      </w:r>
    </w:p>
    <w:p>
      <w:pPr>
        <w:spacing w:line="400" w:lineRule="exact"/>
        <w:ind w:firstLine="420" w:firstLineChars="200"/>
        <w:rPr>
          <w:rFonts w:hint="eastAsia" w:ascii="黑体" w:eastAsia="黑体"/>
          <w:color w:val="auto"/>
        </w:rPr>
      </w:pPr>
      <w:r>
        <w:rPr>
          <w:rFonts w:hint="eastAsia"/>
          <w:color w:val="auto"/>
        </w:rPr>
        <w:t>22.1.5</w:t>
      </w:r>
      <w:r>
        <w:rPr>
          <w:rFonts w:hint="eastAsia" w:ascii="黑体" w:eastAsia="黑体"/>
          <w:color w:val="auto"/>
        </w:rPr>
        <w:t xml:space="preserve"> 协议利益的转让</w:t>
      </w:r>
    </w:p>
    <w:p>
      <w:pPr>
        <w:spacing w:line="400" w:lineRule="exact"/>
        <w:ind w:firstLine="420" w:firstLineChars="200"/>
        <w:rPr>
          <w:rFonts w:hint="eastAsia"/>
          <w:color w:val="auto"/>
        </w:rPr>
      </w:pPr>
      <w:r>
        <w:rPr>
          <w:rFonts w:hint="eastAsia"/>
          <w:color w:val="auto"/>
        </w:rPr>
        <w:t xml:space="preserve">因承包人违约解除合同的，发包人有权要求承包人将其为实施合同而签订的材料和设备的订货协议或任何服务协议利益转让给发包人，并在解除合同后的14天内，依法办理转让手续。 </w:t>
      </w:r>
    </w:p>
    <w:p>
      <w:pPr>
        <w:spacing w:line="400" w:lineRule="exact"/>
        <w:ind w:firstLine="420" w:firstLineChars="200"/>
        <w:rPr>
          <w:rFonts w:hint="eastAsia" w:ascii="黑体" w:eastAsia="黑体"/>
          <w:color w:val="auto"/>
        </w:rPr>
      </w:pPr>
      <w:r>
        <w:rPr>
          <w:rFonts w:hint="eastAsia"/>
          <w:color w:val="auto"/>
        </w:rPr>
        <w:t>22.1.6</w:t>
      </w:r>
      <w:r>
        <w:rPr>
          <w:rFonts w:hint="eastAsia" w:ascii="黑体" w:eastAsia="黑体"/>
          <w:color w:val="auto"/>
        </w:rPr>
        <w:t xml:space="preserve"> 紧急情况下无能力或不愿进行抢救</w:t>
      </w:r>
    </w:p>
    <w:p>
      <w:pPr>
        <w:spacing w:line="400" w:lineRule="exact"/>
        <w:ind w:firstLine="420" w:firstLineChars="200"/>
        <w:rPr>
          <w:rFonts w:hint="eastAsia"/>
          <w:color w:val="auto"/>
        </w:rPr>
      </w:pPr>
      <w:r>
        <w:rPr>
          <w:rFonts w:hint="eastAsia"/>
          <w:color w:val="auto"/>
        </w:rPr>
        <w:t>在工程实施期间或缺陷责任期内发生危及工程安全的事件，监理人通知承包人进行抢救，承包人声明无能力或不愿立即执行的，发包人有权雇佣其他人员进行抢救。此类抢救按合同约定属于承包人义务的，由此发生的金额和（或）工期延误由承包人承担。</w:t>
      </w:r>
    </w:p>
    <w:p>
      <w:pPr>
        <w:pStyle w:val="231"/>
        <w:rPr>
          <w:rFonts w:hint="eastAsia"/>
          <w:color w:val="auto"/>
        </w:rPr>
      </w:pPr>
      <w:bookmarkStart w:id="721" w:name="_Toc179632773"/>
      <w:bookmarkStart w:id="722" w:name="_Toc144974726"/>
      <w:bookmarkStart w:id="723" w:name="_Toc152042534"/>
      <w:bookmarkStart w:id="724" w:name="_Toc152045755"/>
      <w:r>
        <w:rPr>
          <w:rFonts w:hint="eastAsia"/>
          <w:color w:val="auto"/>
        </w:rPr>
        <w:t>22.2 发包人违约</w:t>
      </w:r>
      <w:bookmarkEnd w:id="721"/>
      <w:bookmarkEnd w:id="722"/>
      <w:bookmarkEnd w:id="723"/>
      <w:bookmarkEnd w:id="724"/>
    </w:p>
    <w:p>
      <w:pPr>
        <w:spacing w:line="400" w:lineRule="exact"/>
        <w:ind w:firstLine="420" w:firstLineChars="200"/>
        <w:rPr>
          <w:rFonts w:hint="eastAsia" w:ascii="黑体" w:eastAsia="黑体"/>
          <w:color w:val="auto"/>
        </w:rPr>
      </w:pPr>
      <w:r>
        <w:rPr>
          <w:rFonts w:hint="eastAsia"/>
          <w:color w:val="auto"/>
        </w:rPr>
        <w:t xml:space="preserve">22.2.1 </w:t>
      </w:r>
      <w:r>
        <w:rPr>
          <w:rFonts w:hint="eastAsia" w:ascii="黑体" w:eastAsia="黑体"/>
          <w:color w:val="auto"/>
        </w:rPr>
        <w:t>发包人违约的情形</w:t>
      </w:r>
    </w:p>
    <w:p>
      <w:pPr>
        <w:spacing w:line="400" w:lineRule="exact"/>
        <w:ind w:firstLine="420" w:firstLineChars="200"/>
        <w:rPr>
          <w:rFonts w:hint="eastAsia"/>
          <w:color w:val="auto"/>
        </w:rPr>
      </w:pPr>
      <w:r>
        <w:rPr>
          <w:rFonts w:hint="eastAsia"/>
          <w:color w:val="auto"/>
        </w:rPr>
        <w:t>在履行合同过程中发生的下列情形，属发包人违约：</w:t>
      </w:r>
    </w:p>
    <w:p>
      <w:pPr>
        <w:spacing w:line="400" w:lineRule="exact"/>
        <w:ind w:firstLine="718" w:firstLineChars="342"/>
        <w:rPr>
          <w:rFonts w:hint="eastAsia"/>
          <w:color w:val="auto"/>
        </w:rPr>
      </w:pPr>
      <w:r>
        <w:rPr>
          <w:rFonts w:hint="eastAsia"/>
          <w:color w:val="auto"/>
        </w:rPr>
        <w:t>（1）发包人未能按合同约定支付预付款或合同价款，或拖延、拒绝批准付款申请和支付凭证，导致付款延误的；</w:t>
      </w:r>
    </w:p>
    <w:p>
      <w:pPr>
        <w:spacing w:line="400" w:lineRule="exact"/>
        <w:ind w:firstLine="718" w:firstLineChars="342"/>
        <w:rPr>
          <w:rFonts w:hint="eastAsia"/>
          <w:color w:val="auto"/>
        </w:rPr>
      </w:pPr>
      <w:r>
        <w:rPr>
          <w:rFonts w:hint="eastAsia"/>
          <w:color w:val="auto"/>
        </w:rPr>
        <w:t>（2）发包人原因造成停工的；</w:t>
      </w:r>
    </w:p>
    <w:p>
      <w:pPr>
        <w:spacing w:line="400" w:lineRule="exact"/>
        <w:ind w:firstLine="718" w:firstLineChars="342"/>
        <w:rPr>
          <w:rFonts w:hint="eastAsia"/>
          <w:color w:val="auto"/>
        </w:rPr>
      </w:pPr>
      <w:r>
        <w:rPr>
          <w:rFonts w:hint="eastAsia"/>
          <w:color w:val="auto"/>
        </w:rPr>
        <w:t>（3）监理人无正当理由没有在约定期限内发出复工指示，导致承包人无法复工的；</w:t>
      </w:r>
    </w:p>
    <w:p>
      <w:pPr>
        <w:spacing w:line="400" w:lineRule="exact"/>
        <w:ind w:firstLine="718" w:firstLineChars="342"/>
        <w:rPr>
          <w:rFonts w:hint="eastAsia"/>
          <w:color w:val="auto"/>
        </w:rPr>
      </w:pPr>
      <w:r>
        <w:rPr>
          <w:rFonts w:hint="eastAsia"/>
          <w:color w:val="auto"/>
        </w:rPr>
        <w:t>（4）发包人无法继续履行或明确表示不履行或实质上已停止履行合同的；</w:t>
      </w:r>
    </w:p>
    <w:p>
      <w:pPr>
        <w:spacing w:line="400" w:lineRule="exact"/>
        <w:ind w:firstLine="718" w:firstLineChars="342"/>
        <w:rPr>
          <w:rFonts w:hint="eastAsia"/>
          <w:color w:val="auto"/>
        </w:rPr>
      </w:pPr>
      <w:r>
        <w:rPr>
          <w:rFonts w:hint="eastAsia"/>
          <w:color w:val="auto"/>
        </w:rPr>
        <w:t>（5）发包人不履行合同约</w:t>
      </w:r>
      <w:r>
        <w:rPr>
          <w:rFonts w:hint="eastAsia"/>
          <w:color w:val="auto"/>
          <w:lang w:eastAsia="zh-CN"/>
        </w:rPr>
        <w:t>定的</w:t>
      </w:r>
      <w:r>
        <w:rPr>
          <w:rFonts w:hint="eastAsia"/>
          <w:color w:val="auto"/>
        </w:rPr>
        <w:t>其他义务的。</w:t>
      </w:r>
    </w:p>
    <w:p>
      <w:pPr>
        <w:spacing w:line="400" w:lineRule="exact"/>
        <w:ind w:firstLine="420" w:firstLineChars="200"/>
        <w:rPr>
          <w:rFonts w:hint="eastAsia"/>
          <w:color w:val="auto"/>
        </w:rPr>
      </w:pPr>
      <w:r>
        <w:rPr>
          <w:rFonts w:hint="eastAsia"/>
          <w:color w:val="auto"/>
        </w:rPr>
        <w:t>22.2.2</w:t>
      </w:r>
      <w:r>
        <w:rPr>
          <w:rFonts w:hint="eastAsia" w:ascii="黑体" w:eastAsia="黑体"/>
          <w:color w:val="auto"/>
        </w:rPr>
        <w:t xml:space="preserve"> 承包人有权暂停施工</w:t>
      </w:r>
    </w:p>
    <w:p>
      <w:pPr>
        <w:spacing w:line="400" w:lineRule="exact"/>
        <w:ind w:firstLine="420" w:firstLineChars="200"/>
        <w:rPr>
          <w:rFonts w:hint="eastAsia"/>
          <w:color w:val="auto"/>
        </w:rPr>
      </w:pPr>
      <w:r>
        <w:rPr>
          <w:rFonts w:hint="eastAsia"/>
          <w:color w:val="auto"/>
        </w:rPr>
        <w:t>发包人发生除第22.2.1（4）目以外的违约情况时，承包人可向发包人发出通知，要求发包人采取有效措施纠正违约行为。发包人收到承包人通知后的28天内仍不履行合同义务，承包人有权暂停施工，并通知监理人，发包人应承担由此增加的费用和（或）工期延误，并支付承包人合理利润。</w:t>
      </w:r>
    </w:p>
    <w:p>
      <w:pPr>
        <w:spacing w:line="400" w:lineRule="exact"/>
        <w:ind w:firstLine="420" w:firstLineChars="200"/>
        <w:rPr>
          <w:rFonts w:hint="eastAsia"/>
          <w:color w:val="auto"/>
        </w:rPr>
      </w:pPr>
      <w:r>
        <w:rPr>
          <w:rFonts w:hint="eastAsia"/>
          <w:color w:val="auto"/>
        </w:rPr>
        <w:t>22.2.3</w:t>
      </w:r>
      <w:r>
        <w:rPr>
          <w:rFonts w:hint="eastAsia" w:ascii="黑体" w:eastAsia="黑体"/>
          <w:color w:val="auto"/>
        </w:rPr>
        <w:t xml:space="preserve"> 发包人违约解除合同</w:t>
      </w:r>
      <w:r>
        <w:rPr>
          <w:rFonts w:hint="eastAsia"/>
          <w:color w:val="auto"/>
        </w:rPr>
        <w:t xml:space="preserve"> </w:t>
      </w:r>
    </w:p>
    <w:p>
      <w:pPr>
        <w:spacing w:line="400" w:lineRule="exact"/>
        <w:ind w:firstLine="718" w:firstLineChars="342"/>
        <w:rPr>
          <w:rFonts w:hint="eastAsia"/>
          <w:color w:val="auto"/>
        </w:rPr>
      </w:pPr>
      <w:r>
        <w:rPr>
          <w:rFonts w:hint="eastAsia"/>
          <w:color w:val="auto"/>
        </w:rPr>
        <w:t xml:space="preserve">（1）发生第22.2.1（4）目的违约情况时，承包人可书面通知发包人解除合同。   </w:t>
      </w:r>
    </w:p>
    <w:p>
      <w:pPr>
        <w:spacing w:line="400" w:lineRule="exact"/>
        <w:ind w:firstLine="718" w:firstLineChars="342"/>
        <w:rPr>
          <w:rFonts w:hint="eastAsia"/>
          <w:color w:val="auto"/>
        </w:rPr>
      </w:pPr>
      <w:r>
        <w:rPr>
          <w:rFonts w:hint="eastAsia"/>
          <w:color w:val="auto"/>
        </w:rPr>
        <w:t>（2）承包人按22.2.2项暂停施工28天后，发包人仍不纠正违约行为的，承包人可向发包人发出解除合同通知。但承包人的这一行动不免除发包人承担的违约责任，也不影响承包人根据合同约定享有的索赔权利。</w:t>
      </w:r>
    </w:p>
    <w:p>
      <w:pPr>
        <w:spacing w:line="400" w:lineRule="exact"/>
        <w:ind w:firstLine="420" w:firstLineChars="200"/>
        <w:rPr>
          <w:rFonts w:hint="eastAsia" w:ascii="黑体" w:eastAsia="黑体"/>
          <w:color w:val="auto"/>
        </w:rPr>
      </w:pPr>
      <w:r>
        <w:rPr>
          <w:rFonts w:hint="eastAsia"/>
          <w:color w:val="auto"/>
        </w:rPr>
        <w:t>22.2.4</w:t>
      </w:r>
      <w:r>
        <w:rPr>
          <w:rFonts w:hint="eastAsia" w:ascii="黑体" w:eastAsia="黑体"/>
          <w:color w:val="auto"/>
        </w:rPr>
        <w:t xml:space="preserve"> 解除合同后的付款</w:t>
      </w:r>
    </w:p>
    <w:p>
      <w:pPr>
        <w:spacing w:line="400" w:lineRule="exact"/>
        <w:ind w:firstLine="420" w:firstLineChars="200"/>
        <w:rPr>
          <w:rFonts w:hint="eastAsia"/>
          <w:color w:val="auto"/>
        </w:rPr>
      </w:pPr>
      <w:r>
        <w:rPr>
          <w:rFonts w:hint="eastAsia"/>
          <w:color w:val="auto"/>
        </w:rPr>
        <w:t>因发包人违约解除合同的，发包人应在解除合同后28天内向承包人支付下列金额，承包人应在此期限内及时向发包人提交要求支付下列金额的有关资料和凭证：</w:t>
      </w:r>
    </w:p>
    <w:p>
      <w:pPr>
        <w:spacing w:line="400" w:lineRule="exact"/>
        <w:ind w:firstLine="718" w:firstLineChars="342"/>
        <w:rPr>
          <w:rFonts w:hint="eastAsia"/>
          <w:color w:val="auto"/>
        </w:rPr>
      </w:pPr>
      <w:r>
        <w:rPr>
          <w:rFonts w:hint="eastAsia"/>
          <w:color w:val="auto"/>
        </w:rPr>
        <w:t>（1）合同解除日以前所完成工作的价款；</w:t>
      </w:r>
    </w:p>
    <w:p>
      <w:pPr>
        <w:spacing w:line="400" w:lineRule="exact"/>
        <w:ind w:firstLine="718" w:firstLineChars="342"/>
        <w:rPr>
          <w:rFonts w:hint="eastAsia"/>
          <w:color w:val="auto"/>
        </w:rPr>
      </w:pPr>
      <w:r>
        <w:rPr>
          <w:rFonts w:hint="eastAsia"/>
          <w:color w:val="auto"/>
        </w:rPr>
        <w:t>（2）承包人为该工程施工订购并已付款的材料、工程设备和其他物品的金额。发包人付还后，该材料、工程设备和其他物品归发包人所有；</w:t>
      </w:r>
    </w:p>
    <w:p>
      <w:pPr>
        <w:spacing w:line="400" w:lineRule="exact"/>
        <w:ind w:firstLine="718" w:firstLineChars="342"/>
        <w:rPr>
          <w:rFonts w:hint="eastAsia"/>
          <w:color w:val="auto"/>
        </w:rPr>
      </w:pPr>
      <w:r>
        <w:rPr>
          <w:rFonts w:hint="eastAsia"/>
          <w:color w:val="auto"/>
        </w:rPr>
        <w:t>（3）承包人为完成工程所发生的，而发包人未支付的金额；</w:t>
      </w:r>
    </w:p>
    <w:p>
      <w:pPr>
        <w:spacing w:line="400" w:lineRule="exact"/>
        <w:ind w:firstLine="718" w:firstLineChars="342"/>
        <w:rPr>
          <w:rFonts w:hint="eastAsia"/>
          <w:color w:val="auto"/>
        </w:rPr>
      </w:pPr>
      <w:r>
        <w:rPr>
          <w:rFonts w:hint="eastAsia"/>
          <w:color w:val="auto"/>
        </w:rPr>
        <w:t>（4）承包人撤离施工场地以及遣散承包人人员的金额；</w:t>
      </w:r>
    </w:p>
    <w:p>
      <w:pPr>
        <w:spacing w:line="400" w:lineRule="exact"/>
        <w:ind w:firstLine="718" w:firstLineChars="342"/>
        <w:rPr>
          <w:rFonts w:hint="eastAsia"/>
          <w:color w:val="auto"/>
        </w:rPr>
      </w:pPr>
      <w:r>
        <w:rPr>
          <w:rFonts w:hint="eastAsia"/>
          <w:color w:val="auto"/>
        </w:rPr>
        <w:t>（5）由于解除合同应赔偿的承包人损失；</w:t>
      </w:r>
    </w:p>
    <w:p>
      <w:pPr>
        <w:spacing w:line="400" w:lineRule="exact"/>
        <w:ind w:firstLine="718" w:firstLineChars="342"/>
        <w:rPr>
          <w:rFonts w:hint="eastAsia"/>
          <w:color w:val="auto"/>
        </w:rPr>
      </w:pPr>
      <w:r>
        <w:rPr>
          <w:rFonts w:hint="eastAsia"/>
          <w:color w:val="auto"/>
        </w:rPr>
        <w:t>（6）按合同约定在合同解除日前应支付给承包人的其他金额。</w:t>
      </w:r>
    </w:p>
    <w:p>
      <w:pPr>
        <w:spacing w:line="400" w:lineRule="exact"/>
        <w:ind w:firstLine="420" w:firstLineChars="200"/>
        <w:rPr>
          <w:rFonts w:hint="eastAsia"/>
          <w:color w:val="auto"/>
        </w:rPr>
      </w:pPr>
      <w:r>
        <w:rPr>
          <w:rFonts w:hint="eastAsia"/>
          <w:color w:val="auto"/>
        </w:rPr>
        <w:t>发包人应按本项约定支付上述金额并退还质量保证金和履约担保，但有权要求承包人支付应偿还给发包人的各项金额。</w:t>
      </w:r>
    </w:p>
    <w:p>
      <w:pPr>
        <w:spacing w:line="400" w:lineRule="exact"/>
        <w:ind w:firstLine="420" w:firstLineChars="200"/>
        <w:rPr>
          <w:rFonts w:hint="eastAsia" w:ascii="黑体" w:eastAsia="黑体"/>
          <w:color w:val="auto"/>
        </w:rPr>
      </w:pPr>
      <w:r>
        <w:rPr>
          <w:rFonts w:hint="eastAsia"/>
          <w:color w:val="auto"/>
        </w:rPr>
        <w:t>22.2.5</w:t>
      </w:r>
      <w:r>
        <w:rPr>
          <w:rFonts w:hint="eastAsia" w:ascii="黑体" w:eastAsia="黑体"/>
          <w:color w:val="auto"/>
        </w:rPr>
        <w:t xml:space="preserve"> 解除合同后的承包人撤离</w:t>
      </w:r>
    </w:p>
    <w:p>
      <w:pPr>
        <w:spacing w:line="400" w:lineRule="exact"/>
        <w:ind w:firstLine="420" w:firstLineChars="200"/>
        <w:rPr>
          <w:rFonts w:hint="eastAsia"/>
          <w:color w:val="auto"/>
        </w:rPr>
      </w:pPr>
      <w:r>
        <w:rPr>
          <w:rFonts w:hint="eastAsia"/>
          <w:color w:val="auto"/>
        </w:rPr>
        <w:t>因发包人违约而解除合同后，承包人应妥善做好已竣工工程和已购材料、设备的保护和移交工作，按发包人要求将承包人设备和人员撤出施工场地。承包人撤出施工场地应遵守第18.7.1项的约定，发包人应为承包人撤出提供必要条件。</w:t>
      </w:r>
    </w:p>
    <w:p>
      <w:pPr>
        <w:pStyle w:val="231"/>
        <w:rPr>
          <w:rFonts w:hint="eastAsia"/>
          <w:color w:val="auto"/>
        </w:rPr>
      </w:pPr>
      <w:bookmarkStart w:id="725" w:name="_Toc152042535"/>
      <w:bookmarkStart w:id="726" w:name="_Toc179632774"/>
      <w:bookmarkStart w:id="727" w:name="_Toc152045756"/>
      <w:r>
        <w:rPr>
          <w:rFonts w:hint="eastAsia"/>
          <w:color w:val="auto"/>
        </w:rPr>
        <w:t>22.3 第三人造成的违约</w:t>
      </w:r>
      <w:bookmarkEnd w:id="725"/>
      <w:bookmarkEnd w:id="726"/>
      <w:bookmarkEnd w:id="727"/>
    </w:p>
    <w:p>
      <w:pPr>
        <w:spacing w:line="400" w:lineRule="exact"/>
        <w:ind w:firstLine="420" w:firstLineChars="200"/>
        <w:rPr>
          <w:rFonts w:hint="eastAsia"/>
          <w:color w:val="auto"/>
        </w:rPr>
      </w:pPr>
      <w:r>
        <w:rPr>
          <w:rFonts w:hint="eastAsia"/>
          <w:color w:val="auto"/>
        </w:rPr>
        <w:t>在履行合同过程中，一方当事人因第三人的原因造成违约的，应当向对方当事人承担违约责任。一方当事人和第三人之间的纠纷，依照法律规定或者按照约定解决。</w:t>
      </w:r>
    </w:p>
    <w:p>
      <w:pPr>
        <w:pStyle w:val="224"/>
        <w:rPr>
          <w:rFonts w:hint="eastAsia"/>
          <w:color w:val="auto"/>
        </w:rPr>
      </w:pPr>
      <w:bookmarkStart w:id="728" w:name="_Toc144974727"/>
      <w:bookmarkStart w:id="729" w:name="_Toc179632775"/>
      <w:bookmarkStart w:id="730" w:name="_Toc152042536"/>
      <w:bookmarkStart w:id="731" w:name="_Toc152045757"/>
      <w:r>
        <w:rPr>
          <w:rFonts w:hint="eastAsia"/>
          <w:color w:val="auto"/>
        </w:rPr>
        <w:t>23. 索赔</w:t>
      </w:r>
      <w:bookmarkEnd w:id="728"/>
      <w:bookmarkEnd w:id="729"/>
      <w:bookmarkEnd w:id="730"/>
      <w:bookmarkEnd w:id="731"/>
    </w:p>
    <w:p>
      <w:pPr>
        <w:pStyle w:val="231"/>
        <w:rPr>
          <w:rFonts w:hint="eastAsia"/>
          <w:color w:val="auto"/>
        </w:rPr>
      </w:pPr>
      <w:bookmarkStart w:id="732" w:name="_Toc152045758"/>
      <w:bookmarkStart w:id="733" w:name="_Toc152042537"/>
      <w:bookmarkStart w:id="734" w:name="_Toc144974728"/>
      <w:bookmarkStart w:id="735" w:name="_Toc179632776"/>
      <w:r>
        <w:rPr>
          <w:rFonts w:hint="eastAsia"/>
          <w:color w:val="auto"/>
        </w:rPr>
        <w:t>23.1 承包人索赔的提出</w:t>
      </w:r>
      <w:bookmarkEnd w:id="732"/>
      <w:bookmarkEnd w:id="733"/>
      <w:bookmarkEnd w:id="734"/>
      <w:bookmarkEnd w:id="735"/>
    </w:p>
    <w:p>
      <w:pPr>
        <w:spacing w:line="400" w:lineRule="exact"/>
        <w:ind w:firstLine="420" w:firstLineChars="200"/>
        <w:rPr>
          <w:rFonts w:hint="eastAsia"/>
          <w:color w:val="auto"/>
        </w:rPr>
      </w:pPr>
      <w:r>
        <w:rPr>
          <w:rFonts w:hint="eastAsia"/>
          <w:color w:val="auto"/>
        </w:rPr>
        <w:t>根据合同约定，承包人认为有权得到追加付款和（或）延长工期的，应按以下程序向发包人提出索赔：</w:t>
      </w:r>
    </w:p>
    <w:p>
      <w:pPr>
        <w:spacing w:line="400" w:lineRule="exact"/>
        <w:ind w:firstLine="359" w:firstLineChars="171"/>
        <w:rPr>
          <w:rFonts w:hint="eastAsia"/>
          <w:color w:val="auto"/>
        </w:rPr>
      </w:pPr>
      <w:r>
        <w:rPr>
          <w:rFonts w:hint="eastAsia"/>
          <w:color w:val="auto"/>
        </w:rPr>
        <w:t>（1）承包人应在知道或应当知道索赔事件发生后28天内，向监理人递交索赔意向通知书，并说明发生索赔事件的事由。承包人未在前述28天内发出索赔意向通知书的，丧失要求追加付款和（或）延长工期的权利；</w:t>
      </w:r>
    </w:p>
    <w:p>
      <w:pPr>
        <w:spacing w:line="400" w:lineRule="exact"/>
        <w:ind w:firstLine="359" w:firstLineChars="171"/>
        <w:rPr>
          <w:rFonts w:hint="eastAsia"/>
          <w:color w:val="auto"/>
        </w:rPr>
      </w:pPr>
      <w:r>
        <w:rPr>
          <w:rFonts w:hint="eastAsia"/>
          <w:color w:val="auto"/>
        </w:rPr>
        <w:t>（2）承包人应在发出索赔意向通知书后28天内，向监理人正式递交索赔通知书。索赔通知书应详细说明索赔理由以及要求追加的付款金额和（或）延长的工期，并附必要的记录和证明材料；</w:t>
      </w:r>
    </w:p>
    <w:p>
      <w:pPr>
        <w:spacing w:line="400" w:lineRule="exact"/>
        <w:ind w:firstLine="359" w:firstLineChars="171"/>
        <w:rPr>
          <w:rFonts w:hint="eastAsia"/>
          <w:color w:val="auto"/>
        </w:rPr>
      </w:pPr>
      <w:r>
        <w:rPr>
          <w:rFonts w:hint="eastAsia"/>
          <w:color w:val="auto"/>
        </w:rPr>
        <w:t>（3）索赔事件具有连续影响的，承包人应按合理时间间隔继续递交延续索赔通知，说明连续影响的实际情况和记录，列出累计的追加付款金额和（或）工期延长天数；</w:t>
      </w:r>
    </w:p>
    <w:p>
      <w:pPr>
        <w:spacing w:line="400" w:lineRule="exact"/>
        <w:ind w:firstLine="359" w:firstLineChars="171"/>
        <w:rPr>
          <w:rFonts w:hint="eastAsia"/>
          <w:color w:val="auto"/>
        </w:rPr>
      </w:pPr>
      <w:r>
        <w:rPr>
          <w:rFonts w:hint="eastAsia"/>
          <w:color w:val="auto"/>
        </w:rPr>
        <w:t>（4）在索赔事件影响结束后的28天内，承包人应向监理人递交最终索赔通知书，说明最终要求索赔的追加付款金额和延长的工期，并附必要的记录和证明材料。</w:t>
      </w:r>
    </w:p>
    <w:p>
      <w:pPr>
        <w:pStyle w:val="231"/>
        <w:rPr>
          <w:rFonts w:hint="eastAsia"/>
          <w:color w:val="auto"/>
        </w:rPr>
      </w:pPr>
      <w:bookmarkStart w:id="736" w:name="_Toc144974729"/>
      <w:bookmarkStart w:id="737" w:name="_Toc179632777"/>
      <w:bookmarkStart w:id="738" w:name="_Toc152045759"/>
      <w:bookmarkStart w:id="739" w:name="_Toc152042538"/>
      <w:r>
        <w:rPr>
          <w:rFonts w:hint="eastAsia"/>
          <w:color w:val="auto"/>
        </w:rPr>
        <w:t>23.2 承包人索赔处理程序</w:t>
      </w:r>
      <w:bookmarkEnd w:id="736"/>
      <w:bookmarkEnd w:id="737"/>
      <w:bookmarkEnd w:id="738"/>
      <w:bookmarkEnd w:id="739"/>
    </w:p>
    <w:p>
      <w:pPr>
        <w:spacing w:line="400" w:lineRule="exact"/>
        <w:ind w:firstLine="359" w:firstLineChars="171"/>
        <w:rPr>
          <w:rFonts w:hint="eastAsia"/>
          <w:color w:val="auto"/>
        </w:rPr>
      </w:pPr>
      <w:r>
        <w:rPr>
          <w:rFonts w:hint="eastAsia"/>
          <w:color w:val="auto"/>
        </w:rPr>
        <w:t>（1）监理人收到承包人提交的索赔通知书后，应及时审查索赔通知书的内容、查验承包人的记录和证明材料，必要时监理人可要求承包人提交全部原始记录副本。</w:t>
      </w:r>
    </w:p>
    <w:p>
      <w:pPr>
        <w:spacing w:line="400" w:lineRule="exact"/>
        <w:ind w:firstLine="359" w:firstLineChars="171"/>
        <w:rPr>
          <w:rFonts w:hint="eastAsia"/>
          <w:color w:val="auto"/>
        </w:rPr>
      </w:pPr>
      <w:r>
        <w:rPr>
          <w:rFonts w:hint="eastAsia"/>
          <w:color w:val="auto"/>
        </w:rPr>
        <w:t>（2）监理人应按第3.5款商定或确定追加的付款和（或）延长的工期，并在收到上述索赔通知书或有关索赔的进一步证明材料后的42天内，将索赔处理结果答复承包人。</w:t>
      </w:r>
    </w:p>
    <w:p>
      <w:pPr>
        <w:spacing w:line="400" w:lineRule="exact"/>
        <w:ind w:firstLine="359" w:firstLineChars="171"/>
        <w:rPr>
          <w:rFonts w:hint="eastAsia"/>
          <w:color w:val="auto"/>
        </w:rPr>
      </w:pPr>
      <w:r>
        <w:rPr>
          <w:rFonts w:hint="eastAsia"/>
          <w:color w:val="auto"/>
        </w:rPr>
        <w:t>（3）承包人接受索赔处理结果的，发包人应在作出索赔处理结果答复后28天内完成赔付。承包人不接受索赔处理结果的，按第24条的约定办理。</w:t>
      </w:r>
    </w:p>
    <w:p>
      <w:pPr>
        <w:pStyle w:val="231"/>
        <w:rPr>
          <w:rFonts w:hint="eastAsia"/>
          <w:color w:val="auto"/>
        </w:rPr>
      </w:pPr>
      <w:bookmarkStart w:id="740" w:name="_Toc152045760"/>
      <w:bookmarkStart w:id="741" w:name="_Toc152042539"/>
      <w:bookmarkStart w:id="742" w:name="_Toc144974730"/>
      <w:bookmarkStart w:id="743" w:name="_Toc179632778"/>
      <w:r>
        <w:rPr>
          <w:rFonts w:hint="eastAsia"/>
          <w:color w:val="auto"/>
        </w:rPr>
        <w:t>23.3 承包人提出索赔的期限</w:t>
      </w:r>
      <w:bookmarkEnd w:id="740"/>
      <w:bookmarkEnd w:id="741"/>
      <w:bookmarkEnd w:id="742"/>
      <w:bookmarkEnd w:id="743"/>
    </w:p>
    <w:p>
      <w:pPr>
        <w:spacing w:line="400" w:lineRule="exact"/>
        <w:ind w:firstLine="420" w:firstLineChars="200"/>
        <w:rPr>
          <w:rFonts w:hint="eastAsia"/>
          <w:color w:val="auto"/>
        </w:rPr>
      </w:pPr>
      <w:r>
        <w:rPr>
          <w:rFonts w:hint="eastAsia"/>
          <w:color w:val="auto"/>
        </w:rPr>
        <w:t>23.3.1 承包人按第17.5款的约定接受了竣工付款证书后，应被认为已无权再提出在合同工程接收证书颁发前所发生的任何索赔。</w:t>
      </w:r>
    </w:p>
    <w:p>
      <w:pPr>
        <w:spacing w:line="400" w:lineRule="exact"/>
        <w:ind w:firstLine="420" w:firstLineChars="200"/>
        <w:rPr>
          <w:rFonts w:hint="eastAsia"/>
          <w:color w:val="auto"/>
          <w:shd w:val="pct10" w:color="auto" w:fill="FFFFFF"/>
        </w:rPr>
      </w:pPr>
      <w:r>
        <w:rPr>
          <w:rFonts w:hint="eastAsia"/>
          <w:color w:val="auto"/>
        </w:rPr>
        <w:t xml:space="preserve">23.3.2 承包人按第17.6款的约定提交的最终结清申请单中，只限于提出工程接收证书颁发后发生的索赔。提出索赔的期限自接受最终结清证书时终止。 </w:t>
      </w:r>
    </w:p>
    <w:p>
      <w:pPr>
        <w:pStyle w:val="231"/>
        <w:rPr>
          <w:rFonts w:hint="eastAsia"/>
          <w:color w:val="auto"/>
        </w:rPr>
      </w:pPr>
      <w:bookmarkStart w:id="744" w:name="_Toc179632779"/>
      <w:bookmarkStart w:id="745" w:name="_Toc152045761"/>
      <w:bookmarkStart w:id="746" w:name="_Toc144974731"/>
      <w:bookmarkStart w:id="747" w:name="_Toc152042540"/>
      <w:r>
        <w:rPr>
          <w:rFonts w:hint="eastAsia"/>
          <w:color w:val="auto"/>
        </w:rPr>
        <w:t>23.4 发包人的索赔</w:t>
      </w:r>
      <w:bookmarkEnd w:id="744"/>
      <w:bookmarkEnd w:id="745"/>
      <w:bookmarkEnd w:id="746"/>
      <w:bookmarkEnd w:id="747"/>
    </w:p>
    <w:p>
      <w:pPr>
        <w:spacing w:line="400" w:lineRule="exact"/>
        <w:ind w:firstLine="420" w:firstLineChars="200"/>
        <w:rPr>
          <w:rFonts w:hint="eastAsia"/>
          <w:color w:val="auto"/>
        </w:rPr>
      </w:pPr>
      <w:r>
        <w:rPr>
          <w:rFonts w:hint="eastAsia"/>
          <w:color w:val="auto"/>
        </w:rPr>
        <w:t>23.4.1 发生索赔事件后，监理人应及时书面通知承包人，详细说明发包人有权得到的索赔金额和（或）延长缺陷责任期的细节和依据。发包人提出索赔的期限和要求与第23.3款的约定相同，延长缺陷责任期的通知应在缺陷责任期届满前发出。</w:t>
      </w:r>
    </w:p>
    <w:p>
      <w:pPr>
        <w:spacing w:line="400" w:lineRule="exact"/>
        <w:ind w:firstLine="420" w:firstLineChars="200"/>
        <w:rPr>
          <w:rFonts w:hint="eastAsia"/>
          <w:color w:val="auto"/>
        </w:rPr>
      </w:pPr>
      <w:r>
        <w:rPr>
          <w:rFonts w:hint="eastAsia"/>
          <w:color w:val="auto"/>
        </w:rPr>
        <w:t>23.4.2 监理人按第3.5款商定或确定发包人从承包人处得到赔付的金额和（或）缺陷责任期的延长期。承包人应付给发包人的金额可从拟支付给承包人的合同价款中扣除，或由承包人以其他方式支付给发包人。</w:t>
      </w:r>
    </w:p>
    <w:p>
      <w:pPr>
        <w:pStyle w:val="224"/>
        <w:rPr>
          <w:rFonts w:hint="eastAsia"/>
          <w:color w:val="auto"/>
        </w:rPr>
      </w:pPr>
      <w:bookmarkStart w:id="748" w:name="_Toc179632780"/>
      <w:bookmarkStart w:id="749" w:name="_Toc152045762"/>
      <w:bookmarkStart w:id="750" w:name="_Toc144974732"/>
      <w:bookmarkStart w:id="751" w:name="_Toc152042541"/>
      <w:r>
        <w:rPr>
          <w:rFonts w:hint="eastAsia"/>
          <w:color w:val="auto"/>
        </w:rPr>
        <w:t>24. 争议的解决</w:t>
      </w:r>
      <w:bookmarkEnd w:id="748"/>
      <w:bookmarkEnd w:id="749"/>
      <w:bookmarkEnd w:id="750"/>
      <w:bookmarkEnd w:id="751"/>
    </w:p>
    <w:p>
      <w:pPr>
        <w:pStyle w:val="231"/>
        <w:rPr>
          <w:rFonts w:hint="eastAsia"/>
          <w:color w:val="auto"/>
        </w:rPr>
      </w:pPr>
      <w:bookmarkStart w:id="752" w:name="_Toc152042542"/>
      <w:bookmarkStart w:id="753" w:name="_Toc179632781"/>
      <w:bookmarkStart w:id="754" w:name="_Toc144974733"/>
      <w:bookmarkStart w:id="755" w:name="_Toc152045763"/>
      <w:r>
        <w:rPr>
          <w:rFonts w:hint="eastAsia"/>
          <w:color w:val="auto"/>
        </w:rPr>
        <w:t>24.1 争议的解决方式</w:t>
      </w:r>
      <w:bookmarkEnd w:id="752"/>
      <w:bookmarkEnd w:id="753"/>
      <w:bookmarkEnd w:id="754"/>
      <w:bookmarkEnd w:id="755"/>
    </w:p>
    <w:p>
      <w:pPr>
        <w:spacing w:line="400" w:lineRule="exact"/>
        <w:ind w:firstLine="420" w:firstLineChars="200"/>
        <w:rPr>
          <w:rFonts w:hint="eastAsia"/>
          <w:color w:val="auto"/>
        </w:rPr>
      </w:pPr>
      <w:r>
        <w:rPr>
          <w:rFonts w:hint="eastAsia"/>
          <w:color w:val="auto"/>
        </w:rPr>
        <w:t>发包人和承包人在履行合同中发生争议的，可以友好协商解决或者提请争议评审组评审。合同当事人友好协商解决不成、不愿提请争议评审或者不接受争议评审组意见的，可在专用合同条款中约定下列一种方式解决。</w:t>
      </w:r>
    </w:p>
    <w:p>
      <w:pPr>
        <w:spacing w:line="400" w:lineRule="exact"/>
        <w:ind w:firstLine="420" w:firstLineChars="200"/>
        <w:rPr>
          <w:rFonts w:hint="eastAsia"/>
          <w:color w:val="auto"/>
        </w:rPr>
      </w:pPr>
      <w:r>
        <w:rPr>
          <w:rFonts w:hint="eastAsia"/>
          <w:color w:val="auto"/>
        </w:rPr>
        <w:t>（1）向约定的仲裁委员会申请仲裁；</w:t>
      </w:r>
    </w:p>
    <w:p>
      <w:pPr>
        <w:spacing w:line="400" w:lineRule="exact"/>
        <w:ind w:firstLine="420" w:firstLineChars="200"/>
        <w:rPr>
          <w:rFonts w:hint="eastAsia"/>
          <w:color w:val="auto"/>
        </w:rPr>
      </w:pPr>
      <w:r>
        <w:rPr>
          <w:rFonts w:hint="eastAsia"/>
          <w:color w:val="auto"/>
        </w:rPr>
        <w:t>（2）向有管辖权的人民法院提起诉讼。</w:t>
      </w:r>
    </w:p>
    <w:p>
      <w:pPr>
        <w:pStyle w:val="231"/>
        <w:rPr>
          <w:rFonts w:hint="eastAsia"/>
          <w:color w:val="auto"/>
        </w:rPr>
      </w:pPr>
      <w:bookmarkStart w:id="756" w:name="_Toc152042543"/>
      <w:bookmarkStart w:id="757" w:name="_Toc152045764"/>
      <w:bookmarkStart w:id="758" w:name="_Toc179632782"/>
      <w:bookmarkStart w:id="759" w:name="_Toc144974734"/>
      <w:r>
        <w:rPr>
          <w:rFonts w:hint="eastAsia"/>
          <w:color w:val="auto"/>
        </w:rPr>
        <w:t>24.2 友好解决</w:t>
      </w:r>
      <w:bookmarkEnd w:id="756"/>
      <w:bookmarkEnd w:id="757"/>
      <w:bookmarkEnd w:id="758"/>
      <w:bookmarkEnd w:id="759"/>
    </w:p>
    <w:p>
      <w:pPr>
        <w:spacing w:line="400" w:lineRule="exact"/>
        <w:ind w:firstLine="420" w:firstLineChars="200"/>
        <w:rPr>
          <w:rFonts w:hint="eastAsia"/>
          <w:color w:val="auto"/>
        </w:rPr>
      </w:pPr>
      <w:r>
        <w:rPr>
          <w:rFonts w:hint="eastAsia"/>
          <w:color w:val="auto"/>
        </w:rPr>
        <w:t>在提请争议评审、仲裁或者诉讼前，以及在争议评审、仲裁或诉讼过程中，发包人和承包人均可共同努力友好协商解决争议。</w:t>
      </w:r>
    </w:p>
    <w:p>
      <w:pPr>
        <w:pStyle w:val="231"/>
        <w:rPr>
          <w:rFonts w:hint="eastAsia"/>
          <w:color w:val="auto"/>
        </w:rPr>
      </w:pPr>
      <w:bookmarkStart w:id="760" w:name="_Toc144974735"/>
      <w:bookmarkStart w:id="761" w:name="_Toc152042544"/>
      <w:bookmarkStart w:id="762" w:name="_Toc179632783"/>
      <w:bookmarkStart w:id="763" w:name="_Toc152045765"/>
      <w:r>
        <w:rPr>
          <w:rFonts w:hint="eastAsia"/>
          <w:color w:val="auto"/>
        </w:rPr>
        <w:t>24.3 争议评审</w:t>
      </w:r>
      <w:bookmarkEnd w:id="760"/>
      <w:bookmarkEnd w:id="761"/>
      <w:bookmarkEnd w:id="762"/>
      <w:bookmarkEnd w:id="763"/>
    </w:p>
    <w:p>
      <w:pPr>
        <w:spacing w:line="400" w:lineRule="exact"/>
        <w:ind w:firstLine="420" w:firstLineChars="200"/>
        <w:rPr>
          <w:rFonts w:hint="eastAsia"/>
          <w:color w:val="auto"/>
        </w:rPr>
      </w:pPr>
      <w:r>
        <w:rPr>
          <w:rFonts w:hint="eastAsia"/>
          <w:color w:val="auto"/>
        </w:rPr>
        <w:t>24.3.1 采用争议评审的，发包人和承包人应在开工日后的28天内或在争议发生后，协商成立争议评审组。争议评审组由有合同管理和工程实践经验的专家组成。</w:t>
      </w:r>
    </w:p>
    <w:p>
      <w:pPr>
        <w:spacing w:line="400" w:lineRule="exact"/>
        <w:ind w:firstLine="420" w:firstLineChars="200"/>
        <w:rPr>
          <w:rFonts w:hint="eastAsia"/>
          <w:color w:val="auto"/>
        </w:rPr>
      </w:pPr>
      <w:r>
        <w:rPr>
          <w:rFonts w:hint="eastAsia"/>
          <w:color w:val="auto"/>
        </w:rPr>
        <w:t>24.3.2 合同双方的争议，应首先由申请人向争议评审组提交一份详细的评审申请报告，并附必要的文件、图纸和证明材料，申请人还应将上述报告的副本同时提交给被申请人和监理人。</w:t>
      </w:r>
    </w:p>
    <w:p>
      <w:pPr>
        <w:spacing w:line="400" w:lineRule="exact"/>
        <w:ind w:firstLine="420" w:firstLineChars="200"/>
        <w:rPr>
          <w:rFonts w:hint="eastAsia"/>
          <w:color w:val="auto"/>
        </w:rPr>
      </w:pPr>
      <w:r>
        <w:rPr>
          <w:rFonts w:hint="eastAsia"/>
          <w:color w:val="auto"/>
        </w:rPr>
        <w:t>24.3.3 被申请人在收到申请人评审申请报告副本后的28天内，向争议评审组提交一份答辩报告，并附证明材料。被申请人应将答辩报告的副本同时提交给申请人和监理人。</w:t>
      </w:r>
    </w:p>
    <w:p>
      <w:pPr>
        <w:spacing w:line="400" w:lineRule="exact"/>
        <w:ind w:firstLine="420" w:firstLineChars="200"/>
        <w:rPr>
          <w:rFonts w:hint="eastAsia"/>
          <w:color w:val="auto"/>
        </w:rPr>
      </w:pPr>
      <w:r>
        <w:rPr>
          <w:rFonts w:hint="eastAsia"/>
          <w:color w:val="auto"/>
        </w:rPr>
        <w:t>24.3.4 除专用合同条款另有约定外，争议评审组在收到合同双方报告后的14天内，邀请双方代表和有关人员举行调查会，向双方调查争议细节；必要时争议评审组可要求双方进一步提供补充材料。</w:t>
      </w:r>
    </w:p>
    <w:p>
      <w:pPr>
        <w:spacing w:line="400" w:lineRule="exact"/>
        <w:ind w:firstLine="420" w:firstLineChars="200"/>
        <w:rPr>
          <w:rFonts w:hint="eastAsia"/>
          <w:color w:val="auto"/>
        </w:rPr>
      </w:pPr>
      <w:r>
        <w:rPr>
          <w:rFonts w:hint="eastAsia"/>
          <w:color w:val="auto"/>
        </w:rPr>
        <w:t>24.3.5 除专用合同条款另有约定外，在调查会结束后的14天内，争议评审组应在不受任何干扰的情况下进行独立、公正的评审，作出书面评审意见，并说明理由。在争议评审期间，争议双方暂按总监理工程师的确定执行。</w:t>
      </w:r>
    </w:p>
    <w:p>
      <w:pPr>
        <w:spacing w:line="400" w:lineRule="exact"/>
        <w:ind w:firstLine="420" w:firstLineChars="200"/>
        <w:rPr>
          <w:rFonts w:hint="eastAsia"/>
          <w:color w:val="auto"/>
        </w:rPr>
      </w:pPr>
      <w:r>
        <w:rPr>
          <w:rFonts w:hint="eastAsia"/>
          <w:color w:val="auto"/>
        </w:rPr>
        <w:t>24.3.6 发包人和承包人接受评审意见的，由监理人根据评审意见拟定执行协议，经争议双方签字后作为合同的补充文件，并遵照执行。</w:t>
      </w:r>
    </w:p>
    <w:p>
      <w:pPr>
        <w:snapToGrid w:val="0"/>
        <w:spacing w:line="400" w:lineRule="exact"/>
        <w:rPr>
          <w:rFonts w:hint="eastAsia" w:ascii="宋体" w:hAnsi="宋体"/>
          <w:bCs/>
          <w:color w:val="auto"/>
          <w:sz w:val="22"/>
          <w:szCs w:val="22"/>
        </w:rPr>
      </w:pPr>
      <w:r>
        <w:rPr>
          <w:rFonts w:hint="eastAsia"/>
          <w:color w:val="auto"/>
        </w:rPr>
        <w:t>24.3.7 发包人或承包人不接受评审意见，并要求提交仲裁或提起诉讼的，应在收到评审意见后的14天内将仲裁或起诉意向书面通知另一方，并抄送监理人，但在仲裁或诉讼结束前应暂按总监理工程师的确定执行。</w:t>
      </w:r>
    </w:p>
    <w:p>
      <w:pPr>
        <w:pStyle w:val="4"/>
        <w:keepNext w:val="0"/>
        <w:keepLines w:val="0"/>
        <w:autoSpaceDE w:val="0"/>
        <w:autoSpaceDN w:val="0"/>
        <w:adjustRightInd w:val="0"/>
        <w:snapToGrid w:val="0"/>
        <w:spacing w:before="0" w:after="0" w:line="400" w:lineRule="exact"/>
        <w:rPr>
          <w:rFonts w:hint="eastAsia" w:ascii="宋体" w:hAnsi="宋体" w:eastAsia="宋体"/>
          <w:color w:val="auto"/>
        </w:rPr>
      </w:pPr>
      <w:bookmarkStart w:id="764" w:name="_Toc389633616"/>
      <w:bookmarkStart w:id="765" w:name="_Toc332560181"/>
      <w:bookmarkStart w:id="766" w:name="_Toc358902139"/>
      <w:bookmarkStart w:id="767" w:name="_Toc30750"/>
      <w:r>
        <w:rPr>
          <w:rFonts w:hint="eastAsia" w:ascii="宋体" w:hAnsi="宋体" w:eastAsia="宋体"/>
          <w:color w:val="auto"/>
        </w:rPr>
        <w:t xml:space="preserve">                </w:t>
      </w:r>
      <w:bookmarkEnd w:id="134"/>
      <w:bookmarkEnd w:id="135"/>
      <w:bookmarkEnd w:id="136"/>
      <w:bookmarkEnd w:id="764"/>
      <w:bookmarkEnd w:id="765"/>
      <w:bookmarkEnd w:id="766"/>
      <w:bookmarkEnd w:id="767"/>
      <w:bookmarkStart w:id="768" w:name="_Toc317156902"/>
      <w:bookmarkStart w:id="769" w:name="_Toc322559714"/>
      <w:bookmarkStart w:id="770" w:name="_Toc389633691"/>
      <w:bookmarkStart w:id="771" w:name="_Toc18056"/>
      <w:r>
        <w:rPr>
          <w:rFonts w:hint="eastAsia" w:ascii="宋体" w:hAnsi="宋体" w:eastAsia="宋体"/>
          <w:color w:val="auto"/>
        </w:rPr>
        <w:t xml:space="preserve">  </w:t>
      </w:r>
    </w:p>
    <w:p>
      <w:pPr>
        <w:pStyle w:val="4"/>
        <w:keepNext w:val="0"/>
        <w:keepLines w:val="0"/>
        <w:autoSpaceDE w:val="0"/>
        <w:autoSpaceDN w:val="0"/>
        <w:adjustRightInd w:val="0"/>
        <w:snapToGrid w:val="0"/>
        <w:spacing w:before="0" w:after="0" w:line="400" w:lineRule="exact"/>
        <w:rPr>
          <w:rFonts w:hint="eastAsia" w:ascii="宋体" w:hAnsi="宋体" w:eastAsia="宋体"/>
          <w:color w:val="auto"/>
        </w:rPr>
      </w:pPr>
      <w:r>
        <w:rPr>
          <w:rFonts w:hint="eastAsia" w:ascii="宋体" w:hAnsi="宋体" w:eastAsia="宋体"/>
          <w:color w:val="auto"/>
        </w:rPr>
        <w:br w:type="page"/>
      </w:r>
      <w:r>
        <w:rPr>
          <w:rFonts w:hint="eastAsia" w:ascii="宋体" w:hAnsi="宋体" w:eastAsia="宋体"/>
          <w:color w:val="auto"/>
        </w:rPr>
        <w:t>第三部分    专用合同条款</w:t>
      </w:r>
    </w:p>
    <w:p>
      <w:pPr>
        <w:spacing w:before="240" w:line="400" w:lineRule="exact"/>
        <w:jc w:val="center"/>
        <w:rPr>
          <w:rFonts w:hint="eastAsia" w:ascii="宋体" w:hAnsi="宋体" w:cs="宋体"/>
          <w:color w:val="auto"/>
          <w:szCs w:val="21"/>
        </w:rPr>
      </w:pPr>
      <w:r>
        <w:rPr>
          <w:rFonts w:hint="eastAsia" w:ascii="宋体" w:hAnsi="宋体" w:cs="宋体"/>
          <w:color w:val="auto"/>
          <w:szCs w:val="21"/>
        </w:rPr>
        <w:t>A.公路行业标准专用合同条款</w:t>
      </w:r>
    </w:p>
    <w:p>
      <w:pPr>
        <w:pStyle w:val="5"/>
        <w:snapToGrid w:val="0"/>
        <w:spacing w:before="0" w:after="0" w:line="460" w:lineRule="exact"/>
        <w:rPr>
          <w:rFonts w:hint="eastAsia" w:ascii="宋体" w:hAnsi="宋体" w:cs="宋体"/>
          <w:snapToGrid w:val="0"/>
          <w:color w:val="auto"/>
          <w:sz w:val="28"/>
          <w:szCs w:val="24"/>
        </w:rPr>
      </w:pPr>
      <w:bookmarkStart w:id="772" w:name="_Toc480790530"/>
      <w:bookmarkStart w:id="773" w:name="_Toc12503"/>
      <w:r>
        <w:rPr>
          <w:rFonts w:hint="eastAsia" w:ascii="宋体" w:hAnsi="宋体" w:cs="宋体"/>
          <w:snapToGrid w:val="0"/>
          <w:color w:val="auto"/>
          <w:sz w:val="28"/>
          <w:szCs w:val="24"/>
        </w:rPr>
        <w:t>1.一般约定</w:t>
      </w:r>
      <w:bookmarkEnd w:id="772"/>
      <w:bookmarkEnd w:id="773"/>
    </w:p>
    <w:p>
      <w:pPr>
        <w:pStyle w:val="6"/>
        <w:snapToGrid w:val="0"/>
        <w:spacing w:before="0" w:after="0" w:line="460" w:lineRule="exact"/>
        <w:rPr>
          <w:rFonts w:hint="eastAsia" w:ascii="宋体" w:hAnsi="宋体" w:eastAsia="宋体" w:cs="宋体"/>
          <w:bCs w:val="0"/>
          <w:color w:val="auto"/>
          <w:sz w:val="21"/>
          <w:szCs w:val="21"/>
        </w:rPr>
      </w:pPr>
      <w:bookmarkStart w:id="774" w:name="_Toc480790531"/>
      <w:bookmarkStart w:id="775" w:name="_Toc16116"/>
      <w:r>
        <w:rPr>
          <w:rFonts w:hint="eastAsia" w:ascii="宋体" w:hAnsi="宋体" w:eastAsia="宋体" w:cs="宋体"/>
          <w:bCs w:val="0"/>
          <w:color w:val="auto"/>
          <w:sz w:val="21"/>
          <w:szCs w:val="21"/>
        </w:rPr>
        <w:t>1.1  词语定义</w:t>
      </w:r>
      <w:bookmarkEnd w:id="774"/>
      <w:bookmarkEnd w:id="775"/>
    </w:p>
    <w:p>
      <w:pPr>
        <w:spacing w:line="460" w:lineRule="exact"/>
        <w:ind w:firstLine="420" w:firstLineChars="200"/>
        <w:rPr>
          <w:rFonts w:hint="eastAsia" w:ascii="宋体" w:hAnsi="宋体" w:eastAsia="宋体" w:cs="宋体"/>
          <w:color w:val="auto"/>
          <w:szCs w:val="21"/>
          <w:u w:val="single"/>
          <w:lang w:eastAsia="zh-CN"/>
        </w:rPr>
      </w:pPr>
      <w:r>
        <w:rPr>
          <w:rFonts w:hint="eastAsia" w:ascii="宋体" w:hAnsi="宋体" w:cs="宋体"/>
          <w:color w:val="auto"/>
          <w:szCs w:val="21"/>
        </w:rPr>
        <w:t>1.1.2.2 发包人：</w:t>
      </w:r>
      <w:r>
        <w:rPr>
          <w:rFonts w:hint="eastAsia" w:ascii="宋体" w:hAnsi="宋体" w:cs="宋体"/>
          <w:b/>
          <w:color w:val="auto"/>
          <w:szCs w:val="21"/>
          <w:u w:val="single"/>
          <w:lang w:eastAsia="zh-CN"/>
        </w:rPr>
        <w:t>重庆市铜梁区福果镇人民政府</w:t>
      </w:r>
    </w:p>
    <w:p>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1.1.2.3 承包人：</w:t>
      </w:r>
      <w:r>
        <w:rPr>
          <w:rFonts w:hint="eastAsia" w:ascii="宋体" w:hAnsi="宋体" w:cs="宋体"/>
          <w:color w:val="auto"/>
          <w:szCs w:val="21"/>
          <w:u w:val="single"/>
        </w:rPr>
        <w:t xml:space="preserve">                          </w:t>
      </w:r>
    </w:p>
    <w:p>
      <w:pPr>
        <w:spacing w:line="460" w:lineRule="exact"/>
        <w:ind w:left="840" w:leftChars="200" w:hanging="420" w:hangingChars="200"/>
        <w:rPr>
          <w:rFonts w:hint="eastAsia" w:ascii="宋体" w:hAnsi="宋体" w:cs="宋体"/>
          <w:color w:val="auto"/>
          <w:szCs w:val="21"/>
          <w:u w:val="single"/>
        </w:rPr>
      </w:pPr>
      <w:r>
        <w:rPr>
          <w:rFonts w:hint="eastAsia" w:ascii="宋体" w:hAnsi="宋体" w:cs="宋体"/>
          <w:color w:val="auto"/>
          <w:szCs w:val="21"/>
        </w:rPr>
        <w:t>1.1.2.6 监理人：</w:t>
      </w:r>
      <w:r>
        <w:rPr>
          <w:rFonts w:hint="eastAsia" w:ascii="宋体" w:hAnsi="宋体" w:cs="宋体"/>
          <w:color w:val="auto"/>
          <w:szCs w:val="21"/>
          <w:u w:val="single"/>
        </w:rPr>
        <w:t xml:space="preserve">                          </w:t>
      </w:r>
    </w:p>
    <w:p>
      <w:pPr>
        <w:snapToGrid w:val="0"/>
        <w:spacing w:line="460" w:lineRule="exact"/>
        <w:ind w:firstLine="420" w:firstLineChars="200"/>
        <w:rPr>
          <w:rFonts w:hint="eastAsia" w:ascii="宋体" w:hAnsi="宋体" w:cs="宋体"/>
          <w:color w:val="auto"/>
          <w:szCs w:val="21"/>
        </w:rPr>
      </w:pPr>
      <w:r>
        <w:rPr>
          <w:rFonts w:hint="eastAsia" w:ascii="宋体" w:hAnsi="宋体" w:cs="宋体"/>
          <w:color w:val="auto"/>
          <w:szCs w:val="21"/>
        </w:rPr>
        <w:t>1.1.3.1 工程和设备：</w:t>
      </w:r>
    </w:p>
    <w:p>
      <w:pPr>
        <w:spacing w:line="460" w:lineRule="exact"/>
        <w:ind w:firstLine="420" w:firstLineChars="200"/>
        <w:rPr>
          <w:rFonts w:hint="eastAsia" w:ascii="宋体" w:hAnsi="宋体" w:cs="宋体"/>
          <w:color w:val="auto"/>
          <w:szCs w:val="21"/>
          <w:u w:val="single"/>
        </w:rPr>
      </w:pPr>
      <w:r>
        <w:rPr>
          <w:rFonts w:hint="eastAsia" w:ascii="宋体" w:hAnsi="宋体" w:cs="宋体"/>
          <w:color w:val="auto"/>
          <w:szCs w:val="21"/>
        </w:rPr>
        <w:t>1.1.3.2  永久工程：</w:t>
      </w:r>
      <w:r>
        <w:rPr>
          <w:rFonts w:hint="eastAsia" w:ascii="宋体" w:hAnsi="宋体" w:cs="宋体"/>
          <w:snapToGrid w:val="0"/>
          <w:color w:val="auto"/>
          <w:kern w:val="0"/>
          <w:szCs w:val="21"/>
          <w:u w:val="single"/>
        </w:rPr>
        <w:t>施工图及工程量清单范围内全部</w:t>
      </w:r>
      <w:r>
        <w:rPr>
          <w:rFonts w:hint="eastAsia" w:ascii="宋体" w:hAnsi="宋体" w:cs="宋体"/>
          <w:color w:val="auto"/>
          <w:kern w:val="0"/>
          <w:szCs w:val="21"/>
          <w:u w:val="single"/>
        </w:rPr>
        <w:t>工作内容</w:t>
      </w:r>
      <w:r>
        <w:rPr>
          <w:rFonts w:hint="eastAsia" w:ascii="宋体" w:hAnsi="宋体" w:cs="宋体"/>
          <w:color w:val="auto"/>
          <w:kern w:val="0"/>
          <w:szCs w:val="21"/>
        </w:rPr>
        <w:t>。</w:t>
      </w:r>
    </w:p>
    <w:p>
      <w:pPr>
        <w:spacing w:line="460" w:lineRule="exact"/>
        <w:ind w:firstLine="420" w:firstLineChars="200"/>
        <w:rPr>
          <w:rFonts w:hint="eastAsia" w:ascii="宋体" w:hAnsi="宋体" w:cs="宋体"/>
          <w:color w:val="auto"/>
          <w:szCs w:val="21"/>
          <w:u w:val="single"/>
        </w:rPr>
      </w:pPr>
      <w:r>
        <w:rPr>
          <w:rFonts w:hint="eastAsia" w:ascii="宋体" w:hAnsi="宋体" w:cs="宋体"/>
          <w:color w:val="auto"/>
          <w:szCs w:val="21"/>
        </w:rPr>
        <w:t>1.1.3.3. 临时工程：</w:t>
      </w:r>
      <w:r>
        <w:rPr>
          <w:rFonts w:hint="eastAsia" w:ascii="宋体" w:hAnsi="宋体" w:cs="宋体"/>
          <w:color w:val="auto"/>
          <w:szCs w:val="21"/>
          <w:u w:val="single"/>
        </w:rPr>
        <w:t>为完成合同约定的永久工程所修建的施工供水工程、施工照明工程等。</w:t>
      </w:r>
    </w:p>
    <w:p>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1.1.3.4.单位工程：</w:t>
      </w:r>
      <w:r>
        <w:rPr>
          <w:rFonts w:hint="eastAsia" w:ascii="宋体" w:hAnsi="宋体" w:cs="宋体"/>
          <w:color w:val="auto"/>
          <w:szCs w:val="21"/>
          <w:u w:val="single"/>
        </w:rPr>
        <w:t>指本工程施工图所明确的工作内容。</w:t>
      </w:r>
    </w:p>
    <w:p>
      <w:pPr>
        <w:spacing w:line="460" w:lineRule="exact"/>
        <w:ind w:firstLine="420" w:firstLineChars="200"/>
        <w:rPr>
          <w:rFonts w:hint="eastAsia" w:ascii="宋体" w:hAnsi="宋体" w:cs="宋体"/>
          <w:color w:val="auto"/>
          <w:szCs w:val="21"/>
          <w:u w:val="single"/>
        </w:rPr>
      </w:pPr>
      <w:r>
        <w:rPr>
          <w:rFonts w:hint="eastAsia" w:ascii="宋体" w:hAnsi="宋体" w:cs="宋体"/>
          <w:color w:val="auto"/>
          <w:szCs w:val="21"/>
        </w:rPr>
        <w:t>1.1.3.10.永久占地：</w:t>
      </w:r>
      <w:r>
        <w:rPr>
          <w:rFonts w:hint="eastAsia" w:ascii="宋体" w:hAnsi="宋体" w:cs="宋体"/>
          <w:color w:val="auto"/>
          <w:szCs w:val="21"/>
          <w:u w:val="single"/>
        </w:rPr>
        <w:t>为实施合同工程需要的永久占地范围。用地图纸上应标明占地界限和坐标。</w:t>
      </w:r>
    </w:p>
    <w:p>
      <w:pPr>
        <w:spacing w:line="460" w:lineRule="exact"/>
        <w:ind w:firstLine="420" w:firstLineChars="200"/>
        <w:rPr>
          <w:rFonts w:hint="eastAsia" w:ascii="宋体" w:hAnsi="宋体" w:cs="宋体"/>
          <w:color w:val="auto"/>
          <w:szCs w:val="21"/>
          <w:u w:val="single"/>
        </w:rPr>
      </w:pPr>
      <w:r>
        <w:rPr>
          <w:rFonts w:hint="eastAsia" w:ascii="宋体" w:hAnsi="宋体" w:cs="宋体"/>
          <w:color w:val="auto"/>
          <w:szCs w:val="21"/>
        </w:rPr>
        <w:t>1.1.3.11 临时占地：</w:t>
      </w:r>
      <w:r>
        <w:rPr>
          <w:rFonts w:hint="eastAsia" w:ascii="宋体" w:hAnsi="宋体" w:cs="宋体"/>
          <w:color w:val="auto"/>
          <w:szCs w:val="21"/>
          <w:u w:val="single"/>
        </w:rPr>
        <w:t>为实施合同工程需要临时占地的范围，包括图纸中可供承包人使用的临时占地范围，以及发包人为实施合同需要的临时占地范围。</w:t>
      </w:r>
    </w:p>
    <w:p>
      <w:pPr>
        <w:spacing w:line="460" w:lineRule="exact"/>
        <w:ind w:firstLine="460" w:firstLineChars="200"/>
        <w:rPr>
          <w:rFonts w:hint="eastAsia" w:ascii="宋体" w:hAnsi="宋体" w:cs="宋体"/>
          <w:color w:val="auto"/>
          <w:szCs w:val="21"/>
          <w:u w:val="single"/>
        </w:rPr>
      </w:pPr>
      <w:r>
        <w:rPr>
          <w:rFonts w:hint="eastAsia" w:ascii="宋体" w:hAnsi="宋体" w:cs="宋体"/>
          <w:color w:val="auto"/>
          <w:sz w:val="23"/>
        </w:rPr>
        <w:t>1.1.4  日期</w:t>
      </w:r>
    </w:p>
    <w:p>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1.1.4.2 开工日期： 以监理工程师发出的开工令为准。</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1.1.4.3 工期：</w:t>
      </w:r>
      <w:r>
        <w:rPr>
          <w:rFonts w:hint="eastAsia" w:ascii="宋体" w:hAnsi="宋体" w:cs="宋体"/>
          <w:b/>
          <w:bCs/>
          <w:color w:val="auto"/>
          <w:szCs w:val="21"/>
          <w:highlight w:val="none"/>
          <w:u w:val="single"/>
          <w:lang w:val="en-US" w:eastAsia="zh-CN"/>
        </w:rPr>
        <w:t>30日历天</w:t>
      </w:r>
      <w:r>
        <w:rPr>
          <w:rFonts w:hint="eastAsia" w:ascii="宋体" w:hAnsi="宋体" w:cs="宋体"/>
          <w:color w:val="auto"/>
          <w:szCs w:val="21"/>
          <w:highlight w:val="none"/>
          <w:u w:val="single"/>
        </w:rPr>
        <w:t>。</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1.1.4.5缺陷责任期的期限：</w:t>
      </w:r>
      <w:r>
        <w:rPr>
          <w:rFonts w:hint="eastAsia"/>
          <w:b/>
          <w:color w:val="auto"/>
          <w:highlight w:val="none"/>
          <w:u w:val="single"/>
          <w:lang w:val="en-US" w:eastAsia="zh-CN"/>
        </w:rPr>
        <w:t>12个月</w:t>
      </w:r>
      <w:r>
        <w:rPr>
          <w:rFonts w:hint="eastAsia"/>
          <w:b/>
          <w:color w:val="auto"/>
          <w:highlight w:val="none"/>
          <w:u w:val="single"/>
        </w:rPr>
        <w:t>，自工程竣工验收合格之日起计算。</w:t>
      </w:r>
    </w:p>
    <w:p>
      <w:pPr>
        <w:pStyle w:val="6"/>
        <w:snapToGrid w:val="0"/>
        <w:spacing w:before="0" w:after="0" w:line="460" w:lineRule="exact"/>
        <w:rPr>
          <w:rFonts w:hint="eastAsia" w:ascii="宋体" w:hAnsi="宋体" w:eastAsia="宋体" w:cs="宋体"/>
          <w:bCs w:val="0"/>
          <w:color w:val="auto"/>
          <w:sz w:val="21"/>
          <w:szCs w:val="21"/>
        </w:rPr>
      </w:pPr>
      <w:bookmarkStart w:id="776" w:name="_Toc13137"/>
      <w:bookmarkStart w:id="777" w:name="_Toc480790532"/>
      <w:r>
        <w:rPr>
          <w:rFonts w:hint="eastAsia" w:ascii="宋体" w:hAnsi="宋体" w:eastAsia="宋体" w:cs="宋体"/>
          <w:bCs w:val="0"/>
          <w:color w:val="auto"/>
          <w:sz w:val="21"/>
          <w:szCs w:val="21"/>
        </w:rPr>
        <w:t>1.4  合同文件的优先顺序</w:t>
      </w:r>
      <w:bookmarkEnd w:id="776"/>
      <w:bookmarkEnd w:id="777"/>
    </w:p>
    <w:p>
      <w:pPr>
        <w:spacing w:line="460" w:lineRule="exact"/>
        <w:ind w:firstLine="315" w:firstLineChars="150"/>
        <w:jc w:val="left"/>
        <w:rPr>
          <w:rFonts w:hint="eastAsia" w:ascii="宋体" w:hAnsi="宋体" w:cs="宋体"/>
          <w:snapToGrid w:val="0"/>
          <w:color w:val="auto"/>
          <w:szCs w:val="21"/>
        </w:rPr>
      </w:pPr>
      <w:r>
        <w:rPr>
          <w:rFonts w:hint="eastAsia" w:ascii="宋体" w:hAnsi="宋体" w:cs="宋体"/>
          <w:snapToGrid w:val="0"/>
          <w:color w:val="auto"/>
          <w:kern w:val="0"/>
          <w:szCs w:val="21"/>
        </w:rPr>
        <w:t>合同文件的优先顺序</w:t>
      </w:r>
      <w:r>
        <w:rPr>
          <w:rFonts w:hint="eastAsia" w:ascii="宋体" w:hAnsi="宋体" w:cs="宋体"/>
          <w:snapToGrid w:val="0"/>
          <w:color w:val="auto"/>
          <w:szCs w:val="21"/>
        </w:rPr>
        <w:t>：</w:t>
      </w:r>
    </w:p>
    <w:p>
      <w:pPr>
        <w:spacing w:line="460" w:lineRule="exact"/>
        <w:ind w:firstLine="210" w:firstLineChars="100"/>
        <w:jc w:val="left"/>
        <w:rPr>
          <w:rFonts w:hint="eastAsia" w:ascii="宋体" w:hAnsi="宋体" w:cs="宋体"/>
          <w:color w:val="auto"/>
          <w:szCs w:val="21"/>
          <w:u w:val="single"/>
        </w:rPr>
      </w:pPr>
      <w:bookmarkStart w:id="778" w:name="_Toc3599"/>
      <w:bookmarkStart w:id="779" w:name="_Toc480790533"/>
      <w:r>
        <w:rPr>
          <w:rFonts w:hint="eastAsia" w:ascii="宋体" w:hAnsi="宋体" w:cs="宋体"/>
          <w:color w:val="auto"/>
          <w:szCs w:val="21"/>
        </w:rPr>
        <w:t>（1）</w:t>
      </w:r>
      <w:r>
        <w:rPr>
          <w:rFonts w:hint="eastAsia" w:ascii="宋体" w:hAnsi="宋体" w:cs="宋体"/>
          <w:color w:val="auto"/>
          <w:szCs w:val="21"/>
          <w:u w:val="single"/>
        </w:rPr>
        <w:t>合同协议书及各种合同附件（含评标期间和合同谈判过程中的澄清文件和补充资料）；</w:t>
      </w:r>
    </w:p>
    <w:p>
      <w:pPr>
        <w:spacing w:line="460" w:lineRule="exact"/>
        <w:ind w:firstLine="210" w:firstLineChars="100"/>
        <w:jc w:val="left"/>
        <w:rPr>
          <w:rFonts w:hint="eastAsia" w:ascii="宋体" w:hAnsi="宋体" w:cs="宋体"/>
          <w:color w:val="auto"/>
          <w:szCs w:val="21"/>
        </w:rPr>
      </w:pPr>
      <w:r>
        <w:rPr>
          <w:rFonts w:hint="eastAsia" w:ascii="宋体" w:hAnsi="宋体" w:cs="宋体"/>
          <w:color w:val="auto"/>
          <w:szCs w:val="21"/>
        </w:rPr>
        <w:t>（2）</w:t>
      </w:r>
      <w:r>
        <w:rPr>
          <w:rFonts w:hint="eastAsia" w:ascii="宋体" w:hAnsi="宋体" w:cs="宋体"/>
          <w:color w:val="auto"/>
          <w:szCs w:val="21"/>
          <w:u w:val="single"/>
        </w:rPr>
        <w:t>中选通知书；</w:t>
      </w:r>
    </w:p>
    <w:p>
      <w:pPr>
        <w:spacing w:line="460" w:lineRule="exact"/>
        <w:ind w:firstLine="210" w:firstLineChars="100"/>
        <w:jc w:val="left"/>
        <w:rPr>
          <w:rFonts w:hint="eastAsia" w:ascii="宋体" w:hAnsi="宋体" w:cs="宋体"/>
          <w:color w:val="auto"/>
          <w:szCs w:val="21"/>
        </w:rPr>
      </w:pPr>
      <w:r>
        <w:rPr>
          <w:rFonts w:hint="eastAsia" w:ascii="宋体" w:hAnsi="宋体" w:cs="宋体"/>
          <w:color w:val="auto"/>
          <w:szCs w:val="21"/>
        </w:rPr>
        <w:t>（3）</w:t>
      </w:r>
      <w:r>
        <w:rPr>
          <w:rFonts w:hint="eastAsia" w:ascii="宋体" w:hAnsi="宋体" w:cs="宋体"/>
          <w:color w:val="auto"/>
          <w:szCs w:val="21"/>
          <w:u w:val="single"/>
        </w:rPr>
        <w:t>项目专用合同条款；</w:t>
      </w:r>
    </w:p>
    <w:p>
      <w:pPr>
        <w:spacing w:line="460" w:lineRule="exact"/>
        <w:ind w:firstLine="210" w:firstLineChars="100"/>
        <w:jc w:val="left"/>
        <w:rPr>
          <w:rFonts w:hint="eastAsia" w:ascii="宋体" w:hAnsi="宋体" w:cs="宋体"/>
          <w:color w:val="auto"/>
          <w:szCs w:val="21"/>
        </w:rPr>
      </w:pPr>
      <w:r>
        <w:rPr>
          <w:rFonts w:hint="eastAsia" w:ascii="宋体" w:hAnsi="宋体" w:cs="宋体"/>
          <w:color w:val="auto"/>
          <w:szCs w:val="21"/>
        </w:rPr>
        <w:t>（4）</w:t>
      </w:r>
      <w:r>
        <w:rPr>
          <w:rFonts w:hint="eastAsia" w:ascii="宋体" w:hAnsi="宋体" w:cs="宋体"/>
          <w:color w:val="auto"/>
          <w:szCs w:val="21"/>
          <w:u w:val="single"/>
        </w:rPr>
        <w:t>公路工程专用合同条款；</w:t>
      </w:r>
    </w:p>
    <w:p>
      <w:pPr>
        <w:spacing w:line="460" w:lineRule="exact"/>
        <w:ind w:firstLine="210" w:firstLineChars="100"/>
        <w:jc w:val="left"/>
        <w:rPr>
          <w:rFonts w:hint="eastAsia" w:ascii="宋体" w:hAnsi="宋体" w:cs="宋体"/>
          <w:color w:val="auto"/>
          <w:szCs w:val="21"/>
          <w:u w:val="single"/>
        </w:rPr>
      </w:pPr>
      <w:r>
        <w:rPr>
          <w:rFonts w:hint="eastAsia" w:ascii="宋体" w:hAnsi="宋体" w:cs="宋体"/>
          <w:color w:val="auto"/>
          <w:szCs w:val="21"/>
        </w:rPr>
        <w:t>（5）</w:t>
      </w:r>
      <w:r>
        <w:rPr>
          <w:rFonts w:hint="eastAsia" w:ascii="宋体" w:hAnsi="宋体" w:cs="宋体"/>
          <w:color w:val="auto"/>
          <w:szCs w:val="21"/>
          <w:u w:val="single"/>
        </w:rPr>
        <w:t>通用合同条款；</w:t>
      </w:r>
    </w:p>
    <w:p>
      <w:pPr>
        <w:spacing w:line="460" w:lineRule="exact"/>
        <w:ind w:firstLine="210" w:firstLineChars="100"/>
        <w:jc w:val="left"/>
        <w:rPr>
          <w:rFonts w:hint="eastAsia" w:ascii="宋体" w:hAnsi="宋体" w:cs="宋体"/>
          <w:color w:val="auto"/>
          <w:szCs w:val="21"/>
          <w:u w:val="single"/>
        </w:rPr>
      </w:pPr>
      <w:r>
        <w:rPr>
          <w:rFonts w:hint="eastAsia" w:ascii="宋体" w:hAnsi="宋体" w:cs="宋体"/>
          <w:color w:val="auto"/>
          <w:szCs w:val="21"/>
        </w:rPr>
        <w:t>（6）</w:t>
      </w:r>
      <w:r>
        <w:rPr>
          <w:rFonts w:hint="eastAsia" w:ascii="宋体" w:hAnsi="宋体" w:cs="宋体"/>
          <w:color w:val="auto"/>
          <w:szCs w:val="21"/>
          <w:u w:val="single"/>
        </w:rPr>
        <w:t>技术规范；</w:t>
      </w:r>
    </w:p>
    <w:p>
      <w:pPr>
        <w:spacing w:line="460" w:lineRule="exact"/>
        <w:ind w:firstLine="210" w:firstLineChars="100"/>
        <w:jc w:val="left"/>
        <w:rPr>
          <w:rFonts w:hint="eastAsia" w:ascii="宋体" w:hAnsi="宋体" w:cs="宋体"/>
          <w:color w:val="auto"/>
          <w:szCs w:val="21"/>
          <w:u w:val="single"/>
        </w:rPr>
      </w:pPr>
      <w:r>
        <w:rPr>
          <w:rFonts w:hint="eastAsia" w:ascii="宋体" w:hAnsi="宋体" w:cs="宋体"/>
          <w:color w:val="auto"/>
          <w:szCs w:val="21"/>
        </w:rPr>
        <w:t>（7）</w:t>
      </w:r>
      <w:r>
        <w:rPr>
          <w:rFonts w:hint="eastAsia" w:ascii="宋体" w:hAnsi="宋体" w:cs="宋体"/>
          <w:color w:val="auto"/>
          <w:szCs w:val="21"/>
          <w:u w:val="single"/>
        </w:rPr>
        <w:t>图纸；</w:t>
      </w:r>
    </w:p>
    <w:p>
      <w:pPr>
        <w:spacing w:line="460" w:lineRule="exact"/>
        <w:ind w:firstLine="210" w:firstLineChars="100"/>
        <w:jc w:val="left"/>
        <w:rPr>
          <w:rFonts w:hint="eastAsia" w:ascii="宋体" w:hAnsi="宋体" w:cs="宋体"/>
          <w:color w:val="auto"/>
          <w:szCs w:val="21"/>
          <w:u w:val="single"/>
        </w:rPr>
      </w:pPr>
      <w:r>
        <w:rPr>
          <w:rFonts w:hint="eastAsia" w:ascii="宋体" w:hAnsi="宋体" w:cs="宋体"/>
          <w:color w:val="auto"/>
          <w:szCs w:val="21"/>
        </w:rPr>
        <w:t>（8）</w:t>
      </w:r>
      <w:r>
        <w:rPr>
          <w:rFonts w:hint="eastAsia" w:ascii="宋体" w:hAnsi="宋体" w:cs="宋体"/>
          <w:color w:val="auto"/>
          <w:szCs w:val="21"/>
          <w:u w:val="single"/>
        </w:rPr>
        <w:t>已标价工程清单；</w:t>
      </w:r>
    </w:p>
    <w:p>
      <w:pPr>
        <w:spacing w:line="460" w:lineRule="exact"/>
        <w:ind w:firstLine="210" w:firstLineChars="100"/>
        <w:jc w:val="left"/>
        <w:rPr>
          <w:rFonts w:hint="eastAsia" w:ascii="宋体" w:hAnsi="宋体" w:cs="宋体"/>
          <w:color w:val="auto"/>
          <w:szCs w:val="21"/>
          <w:u w:val="single"/>
        </w:rPr>
      </w:pPr>
      <w:r>
        <w:rPr>
          <w:rFonts w:hint="eastAsia" w:ascii="宋体" w:hAnsi="宋体" w:cs="宋体"/>
          <w:color w:val="auto"/>
          <w:szCs w:val="21"/>
        </w:rPr>
        <w:t>（9）</w:t>
      </w:r>
      <w:r>
        <w:rPr>
          <w:rFonts w:hint="eastAsia" w:ascii="宋体" w:hAnsi="宋体" w:cs="宋体"/>
          <w:color w:val="auto"/>
          <w:szCs w:val="21"/>
          <w:u w:val="single"/>
          <w:lang w:val="en-US" w:eastAsia="zh-CN"/>
        </w:rPr>
        <w:t>比选</w:t>
      </w:r>
      <w:r>
        <w:rPr>
          <w:rFonts w:hint="eastAsia" w:ascii="宋体" w:hAnsi="宋体" w:cs="宋体"/>
          <w:color w:val="auto"/>
          <w:szCs w:val="21"/>
          <w:u w:val="single"/>
        </w:rPr>
        <w:t>文件；</w:t>
      </w:r>
    </w:p>
    <w:p>
      <w:pPr>
        <w:spacing w:line="460" w:lineRule="exact"/>
        <w:ind w:firstLine="210" w:firstLineChars="100"/>
        <w:jc w:val="left"/>
        <w:rPr>
          <w:rFonts w:hint="eastAsia" w:ascii="宋体" w:hAnsi="宋体" w:cs="宋体"/>
          <w:color w:val="auto"/>
          <w:szCs w:val="21"/>
          <w:u w:val="single"/>
        </w:rPr>
      </w:pPr>
      <w:r>
        <w:rPr>
          <w:rFonts w:hint="eastAsia" w:ascii="宋体" w:hAnsi="宋体" w:cs="宋体"/>
          <w:color w:val="auto"/>
          <w:szCs w:val="21"/>
        </w:rPr>
        <w:t>（10）</w:t>
      </w:r>
      <w:r>
        <w:rPr>
          <w:rFonts w:hint="eastAsia" w:ascii="宋体" w:hAnsi="宋体" w:cs="宋体"/>
          <w:color w:val="auto"/>
          <w:szCs w:val="21"/>
          <w:u w:val="single"/>
        </w:rPr>
        <w:t>其他合同文件（如有）；</w:t>
      </w:r>
    </w:p>
    <w:p>
      <w:pPr>
        <w:spacing w:line="460" w:lineRule="exact"/>
        <w:ind w:firstLine="210" w:firstLineChars="100"/>
        <w:jc w:val="left"/>
        <w:rPr>
          <w:rFonts w:hint="eastAsia" w:ascii="宋体" w:hAnsi="宋体" w:cs="宋体"/>
          <w:color w:val="auto"/>
          <w:szCs w:val="21"/>
          <w:u w:val="single"/>
        </w:rPr>
      </w:pPr>
      <w:r>
        <w:rPr>
          <w:rFonts w:hint="eastAsia" w:ascii="宋体" w:hAnsi="宋体" w:cs="宋体"/>
          <w:color w:val="auto"/>
          <w:szCs w:val="21"/>
        </w:rPr>
        <w:t>（11）</w:t>
      </w:r>
      <w:r>
        <w:rPr>
          <w:rFonts w:hint="eastAsia" w:ascii="宋体" w:hAnsi="宋体" w:cs="宋体"/>
          <w:color w:val="auto"/>
          <w:szCs w:val="21"/>
          <w:u w:val="single"/>
        </w:rPr>
        <w:t>合同履行中，发包人承包人有关工程的洽商、变更等书面协议或文件视为本合同的组成部分。</w:t>
      </w:r>
    </w:p>
    <w:p>
      <w:pPr>
        <w:pStyle w:val="6"/>
        <w:snapToGrid w:val="0"/>
        <w:spacing w:before="0" w:after="0" w:line="460" w:lineRule="exact"/>
        <w:rPr>
          <w:rFonts w:hint="eastAsia" w:ascii="宋体" w:hAnsi="宋体" w:eastAsia="宋体" w:cs="宋体"/>
          <w:bCs w:val="0"/>
          <w:color w:val="auto"/>
          <w:sz w:val="21"/>
          <w:szCs w:val="21"/>
        </w:rPr>
      </w:pPr>
      <w:r>
        <w:rPr>
          <w:rFonts w:hint="eastAsia" w:ascii="宋体" w:hAnsi="宋体" w:eastAsia="宋体" w:cs="宋体"/>
          <w:bCs w:val="0"/>
          <w:color w:val="auto"/>
          <w:sz w:val="21"/>
          <w:szCs w:val="21"/>
        </w:rPr>
        <w:t>1.5  合同生效的条件</w:t>
      </w:r>
      <w:bookmarkEnd w:id="778"/>
      <w:bookmarkEnd w:id="779"/>
    </w:p>
    <w:p>
      <w:pPr>
        <w:spacing w:line="460" w:lineRule="exact"/>
        <w:ind w:firstLine="420" w:firstLineChars="200"/>
        <w:jc w:val="left"/>
        <w:rPr>
          <w:rFonts w:hint="eastAsia" w:ascii="宋体" w:hAnsi="宋体" w:cs="宋体"/>
          <w:color w:val="auto"/>
          <w:szCs w:val="21"/>
          <w:u w:val="single"/>
        </w:rPr>
      </w:pPr>
      <w:r>
        <w:rPr>
          <w:rFonts w:hint="eastAsia" w:ascii="宋体" w:hAnsi="宋体" w:cs="宋体"/>
          <w:snapToGrid w:val="0"/>
          <w:color w:val="auto"/>
          <w:szCs w:val="21"/>
        </w:rPr>
        <w:t>合同生效的条件：</w:t>
      </w:r>
      <w:r>
        <w:rPr>
          <w:rFonts w:hint="eastAsia" w:ascii="宋体" w:hAnsi="宋体" w:cs="宋体"/>
          <w:color w:val="auto"/>
          <w:szCs w:val="21"/>
          <w:u w:val="single"/>
        </w:rPr>
        <w:t>双方的法定代表人或其委托代理人在合同协议书上签字、盖公章后合同生效。</w:t>
      </w:r>
    </w:p>
    <w:p>
      <w:pPr>
        <w:pStyle w:val="6"/>
        <w:snapToGrid w:val="0"/>
        <w:spacing w:before="0" w:after="0" w:line="460" w:lineRule="exact"/>
        <w:rPr>
          <w:rFonts w:hint="eastAsia" w:ascii="宋体" w:hAnsi="宋体" w:eastAsia="宋体" w:cs="宋体"/>
          <w:bCs w:val="0"/>
          <w:color w:val="auto"/>
          <w:sz w:val="21"/>
          <w:szCs w:val="21"/>
        </w:rPr>
      </w:pPr>
      <w:bookmarkStart w:id="780" w:name="_Toc480790534"/>
      <w:bookmarkStart w:id="781" w:name="_Toc23178"/>
      <w:r>
        <w:rPr>
          <w:rFonts w:hint="eastAsia" w:ascii="宋体" w:hAnsi="宋体" w:eastAsia="宋体" w:cs="宋体"/>
          <w:bCs w:val="0"/>
          <w:color w:val="auto"/>
          <w:sz w:val="21"/>
          <w:szCs w:val="21"/>
        </w:rPr>
        <w:t>1.6  图纸和承包人文件</w:t>
      </w:r>
      <w:bookmarkEnd w:id="780"/>
      <w:bookmarkEnd w:id="781"/>
    </w:p>
    <w:p>
      <w:pPr>
        <w:spacing w:line="460" w:lineRule="exact"/>
        <w:ind w:firstLine="435"/>
        <w:jc w:val="left"/>
        <w:rPr>
          <w:rFonts w:hint="eastAsia" w:ascii="宋体" w:hAnsi="宋体" w:cs="宋体"/>
          <w:color w:val="auto"/>
          <w:szCs w:val="21"/>
          <w:u w:val="single"/>
        </w:rPr>
      </w:pPr>
      <w:r>
        <w:rPr>
          <w:rFonts w:hint="eastAsia" w:ascii="宋体" w:hAnsi="宋体" w:cs="宋体"/>
          <w:color w:val="auto"/>
          <w:szCs w:val="21"/>
        </w:rPr>
        <w:t>1.6.1  发包人提供图纸的期限、数量：</w:t>
      </w:r>
      <w:r>
        <w:rPr>
          <w:rFonts w:hint="eastAsia" w:ascii="宋体" w:hAnsi="宋体" w:cs="宋体"/>
          <w:color w:val="auto"/>
          <w:szCs w:val="21"/>
          <w:u w:val="single"/>
        </w:rPr>
        <w:t>签订合同后3日内提供1套图纸（含电子文件），若承包人要求增加，产生的费用由承包人支付。</w:t>
      </w:r>
    </w:p>
    <w:p>
      <w:pPr>
        <w:tabs>
          <w:tab w:val="left" w:pos="-360"/>
          <w:tab w:val="left" w:pos="0"/>
        </w:tabs>
        <w:spacing w:line="460" w:lineRule="exact"/>
        <w:ind w:firstLine="435"/>
        <w:jc w:val="left"/>
        <w:rPr>
          <w:rFonts w:hint="eastAsia" w:ascii="宋体" w:hAnsi="宋体" w:cs="宋体"/>
          <w:color w:val="auto"/>
          <w:szCs w:val="21"/>
          <w:u w:val="single"/>
        </w:rPr>
      </w:pPr>
      <w:r>
        <w:rPr>
          <w:rFonts w:hint="eastAsia" w:ascii="宋体" w:hAnsi="宋体" w:cs="宋体"/>
          <w:color w:val="auto"/>
          <w:szCs w:val="21"/>
        </w:rPr>
        <w:t>图纸会审和设计交底的时间：</w:t>
      </w:r>
      <w:r>
        <w:rPr>
          <w:rFonts w:hint="eastAsia" w:ascii="宋体" w:hAnsi="宋体" w:cs="宋体"/>
          <w:color w:val="auto"/>
          <w:szCs w:val="21"/>
          <w:u w:val="single"/>
        </w:rPr>
        <w:t>合同签订后三日内。</w:t>
      </w:r>
    </w:p>
    <w:p>
      <w:pPr>
        <w:spacing w:line="460" w:lineRule="exact"/>
        <w:ind w:firstLine="420" w:firstLineChars="200"/>
        <w:jc w:val="left"/>
        <w:rPr>
          <w:rFonts w:hint="eastAsia" w:ascii="宋体" w:hAnsi="宋体" w:cs="宋体"/>
          <w:color w:val="auto"/>
          <w:szCs w:val="21"/>
          <w:u w:val="single"/>
        </w:rPr>
      </w:pPr>
      <w:r>
        <w:rPr>
          <w:rFonts w:hint="eastAsia" w:ascii="宋体" w:hAnsi="宋体" w:cs="宋体"/>
          <w:color w:val="auto"/>
          <w:szCs w:val="21"/>
        </w:rPr>
        <w:t>1.6.2  承包人提供的文件范围：</w:t>
      </w:r>
      <w:r>
        <w:rPr>
          <w:rFonts w:hint="eastAsia" w:ascii="宋体" w:hAnsi="宋体" w:cs="宋体"/>
          <w:color w:val="auto"/>
          <w:szCs w:val="21"/>
          <w:u w:val="single"/>
        </w:rPr>
        <w:t>施工组织设计、专项施工方案、安全应急方案、进度计划、月报表及计划、周报表及计划、竣工资料及施工过程中因工程变更需要报送的施工方案、施工过程中涉及工程价款变更的相关资料、完整的竣工结算资料等。</w:t>
      </w:r>
    </w:p>
    <w:p>
      <w:pPr>
        <w:spacing w:line="460" w:lineRule="exact"/>
        <w:ind w:firstLine="420" w:firstLineChars="200"/>
        <w:jc w:val="left"/>
        <w:rPr>
          <w:rFonts w:hint="eastAsia" w:ascii="宋体" w:hAnsi="宋体" w:cs="宋体"/>
          <w:color w:val="auto"/>
          <w:szCs w:val="21"/>
        </w:rPr>
      </w:pPr>
      <w:r>
        <w:rPr>
          <w:rFonts w:hint="eastAsia" w:ascii="宋体" w:hAnsi="宋体" w:cs="宋体"/>
          <w:color w:val="auto"/>
          <w:szCs w:val="21"/>
        </w:rPr>
        <w:t>承包人提供文件的期限、数量：</w:t>
      </w:r>
    </w:p>
    <w:p>
      <w:pPr>
        <w:spacing w:line="460" w:lineRule="exact"/>
        <w:ind w:firstLine="420" w:firstLineChars="200"/>
        <w:jc w:val="left"/>
        <w:rPr>
          <w:rFonts w:hint="eastAsia" w:ascii="宋体" w:hAnsi="宋体" w:cs="宋体"/>
          <w:color w:val="auto"/>
          <w:szCs w:val="21"/>
          <w:u w:val="single"/>
        </w:rPr>
      </w:pPr>
      <w:r>
        <w:rPr>
          <w:rFonts w:hint="eastAsia" w:ascii="宋体" w:hAnsi="宋体" w:cs="宋体"/>
          <w:color w:val="auto"/>
          <w:szCs w:val="21"/>
          <w:u w:val="single"/>
        </w:rPr>
        <w:t>1.每周四提交施工周报，包括上周完成情况及本周计划，一式四份。</w:t>
      </w:r>
    </w:p>
    <w:p>
      <w:pPr>
        <w:spacing w:line="460" w:lineRule="exact"/>
        <w:ind w:firstLine="420" w:firstLineChars="200"/>
        <w:jc w:val="left"/>
        <w:rPr>
          <w:rFonts w:hint="eastAsia" w:ascii="宋体" w:hAnsi="宋体" w:cs="宋体"/>
          <w:color w:val="auto"/>
          <w:szCs w:val="21"/>
          <w:u w:val="single"/>
        </w:rPr>
      </w:pPr>
      <w:r>
        <w:rPr>
          <w:rFonts w:hint="eastAsia" w:ascii="宋体" w:hAnsi="宋体" w:cs="宋体"/>
          <w:color w:val="auto"/>
          <w:szCs w:val="21"/>
          <w:u w:val="single"/>
        </w:rPr>
        <w:t>2.图纸会审交底后五个工作日内，向发包人提供完善（经优化）的施工组织设计和工程进度总计划及本年度施工进度计划一式叁份。进度计划安排必须符合发包人对本工程总体进度计划的安排，按时提交其他专业施工所需工作面。</w:t>
      </w:r>
    </w:p>
    <w:p>
      <w:pPr>
        <w:spacing w:line="460" w:lineRule="exact"/>
        <w:jc w:val="left"/>
        <w:rPr>
          <w:rFonts w:hint="eastAsia" w:ascii="宋体" w:hAnsi="宋体" w:cs="宋体"/>
          <w:color w:val="auto"/>
          <w:szCs w:val="21"/>
          <w:u w:val="single"/>
        </w:rPr>
      </w:pPr>
      <w:r>
        <w:rPr>
          <w:rFonts w:hint="eastAsia" w:ascii="宋体" w:hAnsi="宋体" w:cs="宋体"/>
          <w:color w:val="auto"/>
          <w:szCs w:val="21"/>
        </w:rPr>
        <w:t>监理人批复承包人提供文件的期限：</w:t>
      </w:r>
      <w:r>
        <w:rPr>
          <w:rFonts w:hint="eastAsia" w:ascii="宋体" w:hAnsi="宋体" w:cs="宋体"/>
          <w:color w:val="auto"/>
          <w:szCs w:val="21"/>
          <w:u w:val="single"/>
        </w:rPr>
        <w:t>收到施工组织设计和进度计划后五个工作日内审查确认，月进度报表及次月工程进度计划审批时间</w:t>
      </w:r>
      <w:r>
        <w:rPr>
          <w:rFonts w:hint="eastAsia" w:ascii="宋体" w:hAnsi="宋体" w:cs="宋体"/>
          <w:color w:val="auto"/>
          <w:szCs w:val="21"/>
          <w:u w:val="single"/>
          <w:lang w:eastAsia="zh-CN"/>
        </w:rPr>
        <w:t>为两个</w:t>
      </w:r>
      <w:r>
        <w:rPr>
          <w:rFonts w:hint="eastAsia" w:ascii="宋体" w:hAnsi="宋体" w:cs="宋体"/>
          <w:color w:val="auto"/>
          <w:szCs w:val="21"/>
          <w:u w:val="single"/>
        </w:rPr>
        <w:t>工作日 。</w:t>
      </w:r>
    </w:p>
    <w:p>
      <w:pPr>
        <w:spacing w:line="460" w:lineRule="exact"/>
        <w:ind w:firstLine="420" w:firstLineChars="200"/>
        <w:jc w:val="left"/>
        <w:rPr>
          <w:rFonts w:hint="eastAsia" w:ascii="宋体" w:hAnsi="宋体" w:cs="宋体"/>
          <w:color w:val="auto"/>
          <w:szCs w:val="21"/>
          <w:u w:val="single"/>
        </w:rPr>
      </w:pPr>
      <w:r>
        <w:rPr>
          <w:rFonts w:hint="eastAsia" w:ascii="宋体" w:hAnsi="宋体" w:cs="宋体"/>
          <w:color w:val="auto"/>
          <w:szCs w:val="21"/>
        </w:rPr>
        <w:t>1.6.3  监理人签发图纸修改的期限：</w:t>
      </w:r>
      <w:r>
        <w:rPr>
          <w:rFonts w:hint="eastAsia" w:ascii="宋体" w:hAnsi="宋体" w:cs="宋体"/>
          <w:color w:val="auto"/>
          <w:szCs w:val="21"/>
          <w:u w:val="single"/>
        </w:rPr>
        <w:t xml:space="preserve">工程若有变更，监理人在征得发包人同意后，在该工程或工程相应部位施工前3天将修改图纸签发给承包人，承包人按修改后的图纸施工。 </w:t>
      </w:r>
      <w:r>
        <w:rPr>
          <w:rFonts w:hint="eastAsia" w:ascii="宋体" w:hAnsi="宋体" w:cs="宋体"/>
          <w:color w:val="auto"/>
          <w:szCs w:val="21"/>
        </w:rPr>
        <w:t xml:space="preserve">                     </w:t>
      </w:r>
    </w:p>
    <w:p>
      <w:pPr>
        <w:pStyle w:val="6"/>
        <w:snapToGrid w:val="0"/>
        <w:spacing w:before="0" w:after="0" w:line="460" w:lineRule="exact"/>
        <w:rPr>
          <w:rFonts w:hint="eastAsia" w:ascii="宋体" w:hAnsi="宋体" w:eastAsia="宋体" w:cs="宋体"/>
          <w:bCs w:val="0"/>
          <w:color w:val="auto"/>
          <w:sz w:val="21"/>
          <w:szCs w:val="21"/>
        </w:rPr>
      </w:pPr>
      <w:bookmarkStart w:id="782" w:name="_Toc480790535"/>
      <w:bookmarkStart w:id="783" w:name="_Toc4709"/>
      <w:r>
        <w:rPr>
          <w:rFonts w:hint="eastAsia" w:ascii="宋体" w:hAnsi="宋体" w:eastAsia="宋体" w:cs="宋体"/>
          <w:bCs w:val="0"/>
          <w:color w:val="auto"/>
          <w:sz w:val="21"/>
          <w:szCs w:val="21"/>
        </w:rPr>
        <w:t>1.7  联络</w:t>
      </w:r>
      <w:bookmarkEnd w:id="782"/>
      <w:bookmarkEnd w:id="783"/>
    </w:p>
    <w:p>
      <w:pPr>
        <w:spacing w:line="460" w:lineRule="exact"/>
        <w:ind w:firstLine="420" w:firstLineChars="200"/>
        <w:jc w:val="left"/>
        <w:rPr>
          <w:rFonts w:hint="eastAsia" w:ascii="宋体" w:hAnsi="宋体" w:cs="宋体"/>
          <w:color w:val="auto"/>
          <w:szCs w:val="21"/>
          <w:u w:val="single"/>
        </w:rPr>
      </w:pPr>
      <w:r>
        <w:rPr>
          <w:rFonts w:hint="eastAsia" w:ascii="宋体" w:hAnsi="宋体" w:cs="宋体"/>
          <w:color w:val="auto"/>
          <w:szCs w:val="21"/>
        </w:rPr>
        <w:t>1.7.2  联络送达的期限：</w:t>
      </w:r>
      <w:r>
        <w:rPr>
          <w:rFonts w:hint="eastAsia" w:ascii="宋体" w:hAnsi="宋体" w:cs="宋体"/>
          <w:color w:val="auto"/>
          <w:szCs w:val="21"/>
          <w:u w:val="single"/>
        </w:rPr>
        <w:t>各类文件的送达时间按本合同条款第1.6的规定执行，并办理签收手续。若未按时办理签收手续，视为文件未在规定的时间内送达。送达地点为发包人、监理人、承包人在本项目的现场办公室内。</w:t>
      </w:r>
    </w:p>
    <w:p>
      <w:pPr>
        <w:pStyle w:val="6"/>
        <w:snapToGrid w:val="0"/>
        <w:spacing w:before="0" w:after="0" w:line="460" w:lineRule="exact"/>
        <w:rPr>
          <w:rFonts w:hint="eastAsia" w:ascii="宋体" w:hAnsi="宋体" w:eastAsia="宋体" w:cs="宋体"/>
          <w:snapToGrid w:val="0"/>
          <w:color w:val="auto"/>
          <w:sz w:val="24"/>
          <w:szCs w:val="24"/>
        </w:rPr>
      </w:pPr>
      <w:bookmarkStart w:id="784" w:name="_Toc480790536"/>
      <w:bookmarkStart w:id="785" w:name="_Toc14493"/>
      <w:r>
        <w:rPr>
          <w:rFonts w:hint="eastAsia" w:ascii="宋体" w:hAnsi="宋体" w:eastAsia="宋体" w:cs="宋体"/>
          <w:snapToGrid w:val="0"/>
          <w:color w:val="auto"/>
          <w:sz w:val="24"/>
          <w:szCs w:val="24"/>
        </w:rPr>
        <w:t>2.发包人义务</w:t>
      </w:r>
      <w:bookmarkEnd w:id="784"/>
      <w:bookmarkEnd w:id="785"/>
    </w:p>
    <w:p>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2.3发包人提供的施工场地：</w:t>
      </w:r>
      <w:r>
        <w:rPr>
          <w:rFonts w:hint="eastAsia" w:ascii="宋体" w:hAnsi="宋体" w:cs="宋体"/>
          <w:color w:val="auto"/>
          <w:szCs w:val="21"/>
          <w:u w:val="single"/>
        </w:rPr>
        <w:t xml:space="preserve"> 施工图设计文件用地红线范围内的区域</w:t>
      </w:r>
      <w:r>
        <w:rPr>
          <w:rFonts w:hint="eastAsia" w:ascii="宋体" w:hAnsi="宋体" w:cs="宋体"/>
          <w:color w:val="auto"/>
          <w:szCs w:val="21"/>
        </w:rPr>
        <w:t>。</w:t>
      </w:r>
    </w:p>
    <w:p>
      <w:pPr>
        <w:spacing w:line="460" w:lineRule="exact"/>
        <w:rPr>
          <w:rFonts w:hint="eastAsia" w:ascii="宋体" w:hAnsi="宋体" w:cs="宋体"/>
          <w:color w:val="auto"/>
        </w:rPr>
      </w:pPr>
      <w:r>
        <w:rPr>
          <w:rFonts w:hint="eastAsia" w:ascii="宋体" w:hAnsi="宋体" w:cs="宋体"/>
          <w:color w:val="auto"/>
        </w:rPr>
        <w:t xml:space="preserve">   </w:t>
      </w:r>
      <w:r>
        <w:rPr>
          <w:rFonts w:hint="eastAsia" w:ascii="宋体" w:hAnsi="宋体" w:cs="宋体"/>
          <w:color w:val="auto"/>
          <w:szCs w:val="21"/>
        </w:rPr>
        <w:t xml:space="preserve"> 2.8 </w:t>
      </w:r>
      <w:r>
        <w:rPr>
          <w:rFonts w:hint="eastAsia" w:ascii="宋体" w:hAnsi="宋体" w:cs="宋体"/>
          <w:color w:val="auto"/>
        </w:rPr>
        <w:t>其他义务</w:t>
      </w:r>
    </w:p>
    <w:p>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发包人应履行合同约定的其他义务及对工程质量进行监督的义务，并享有相应的权利。</w:t>
      </w:r>
    </w:p>
    <w:p>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2.8.1协助承包人协调与工程相关部门的工作及各类矛盾，并做好相关服务工作。</w:t>
      </w:r>
    </w:p>
    <w:p>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2.8.2审查承包人开工报告及进度计划，并督促承包人按批准的建设进度计划实施。</w:t>
      </w:r>
    </w:p>
    <w:p>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2.8.3有权组织发包人委托的机构定期或不定期检查本工程质量、进度、安全文明施工情况。对质量达不到设计文件和国家及行业现行技术标准、规范，进度不能满足已获批准的进度计划，安全文明施工存在重大隐患时，有权发出指令督促承包人限期整改，并报送政府相关职能管理部门。</w:t>
      </w:r>
    </w:p>
    <w:p>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2.8.4审核承包人工程计量报表，并按相关程序报批。</w:t>
      </w:r>
    </w:p>
    <w:p>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2.8.5负责对项目因发生设计变更、工程量增减及新增建设内容的核定，签证计量和涉及费用变化项目的审核工作，并按相关程序报批。</w:t>
      </w:r>
    </w:p>
    <w:p>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2.8.6参加隐蔽工程验收及相关验收。</w:t>
      </w:r>
    </w:p>
    <w:p>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2.8.7无论验收与否，有权要求承包人对已隐蔽的工程进行重新检验。检验合格，由此发生的一切费用、损失由发包人承担，并相应顺延工期。检验不合格，承包人承担发生的一切费用，损失不予顺延。承包人应在检验后重新修复。</w:t>
      </w:r>
    </w:p>
    <w:p>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2.8.8 负责签收承包人或第三方向发包人递交的文件、文书、资料等。</w:t>
      </w:r>
    </w:p>
    <w:p>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2.8.9 有权要求承包人更换不称职的工作人员及不合格的工作班组。</w:t>
      </w:r>
    </w:p>
    <w:p>
      <w:pPr>
        <w:pStyle w:val="5"/>
        <w:snapToGrid w:val="0"/>
        <w:spacing w:before="0" w:after="0" w:line="400" w:lineRule="exact"/>
        <w:rPr>
          <w:rFonts w:hint="eastAsia" w:ascii="宋体" w:hAnsi="宋体" w:cs="宋体"/>
          <w:snapToGrid w:val="0"/>
          <w:color w:val="auto"/>
          <w:sz w:val="24"/>
          <w:szCs w:val="24"/>
        </w:rPr>
      </w:pPr>
      <w:bookmarkStart w:id="786" w:name="_Toc480790537"/>
      <w:bookmarkStart w:id="787" w:name="_Toc11152"/>
      <w:r>
        <w:rPr>
          <w:rFonts w:hint="eastAsia" w:ascii="宋体" w:hAnsi="宋体" w:cs="宋体"/>
          <w:snapToGrid w:val="0"/>
          <w:color w:val="auto"/>
          <w:sz w:val="24"/>
          <w:szCs w:val="24"/>
        </w:rPr>
        <w:t>3.监理人</w:t>
      </w:r>
      <w:bookmarkEnd w:id="786"/>
      <w:bookmarkEnd w:id="787"/>
    </w:p>
    <w:p>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3.1.1监理人的职权：对本工程项目的施工质量、进度、投资、安全文明施工、合同及信息管理等实施全过程监理和控制。对隐蔽工程及施工质量进行验收和工程量签认，对施工环境进行协调（凡涉及本工程设计变更、进度、工程量、造价等方面的监理通知须取得发包人审批）。</w:t>
      </w:r>
    </w:p>
    <w:p>
      <w:pPr>
        <w:pStyle w:val="5"/>
        <w:snapToGrid w:val="0"/>
        <w:spacing w:before="0" w:after="0" w:line="400" w:lineRule="exact"/>
        <w:rPr>
          <w:rFonts w:hint="eastAsia" w:ascii="宋体" w:hAnsi="宋体" w:cs="宋体"/>
          <w:snapToGrid w:val="0"/>
          <w:color w:val="auto"/>
          <w:sz w:val="24"/>
          <w:szCs w:val="24"/>
        </w:rPr>
      </w:pPr>
      <w:r>
        <w:rPr>
          <w:rFonts w:hint="eastAsia" w:ascii="宋体" w:hAnsi="宋体" w:cs="宋体"/>
          <w:snapToGrid w:val="0"/>
          <w:color w:val="auto"/>
          <w:sz w:val="24"/>
          <w:szCs w:val="24"/>
        </w:rPr>
        <w:t>4.承包人的一般义务</w:t>
      </w:r>
    </w:p>
    <w:p>
      <w:pPr>
        <w:pStyle w:val="5"/>
        <w:snapToGrid w:val="0"/>
        <w:spacing w:before="0" w:after="0" w:line="400" w:lineRule="exact"/>
        <w:rPr>
          <w:rFonts w:hint="eastAsia" w:ascii="宋体" w:hAnsi="宋体" w:cs="宋体"/>
          <w:b w:val="0"/>
          <w:color w:val="auto"/>
          <w:sz w:val="21"/>
          <w:szCs w:val="21"/>
        </w:rPr>
      </w:pPr>
      <w:r>
        <w:rPr>
          <w:rFonts w:hint="eastAsia" w:ascii="宋体" w:hAnsi="宋体" w:cs="宋体"/>
          <w:b w:val="0"/>
          <w:color w:val="auto"/>
          <w:sz w:val="21"/>
          <w:szCs w:val="21"/>
        </w:rPr>
        <w:t xml:space="preserve">    </w:t>
      </w:r>
      <w:bookmarkStart w:id="788" w:name="_Toc29972"/>
      <w:bookmarkStart w:id="789" w:name="_Toc480790538"/>
      <w:r>
        <w:rPr>
          <w:rFonts w:hint="eastAsia" w:ascii="宋体" w:hAnsi="宋体" w:cs="宋体"/>
          <w:b w:val="0"/>
          <w:color w:val="auto"/>
          <w:sz w:val="21"/>
          <w:szCs w:val="21"/>
        </w:rPr>
        <w:t>4.1.9工程的维护和照管</w:t>
      </w:r>
      <w:bookmarkEnd w:id="788"/>
      <w:bookmarkEnd w:id="789"/>
    </w:p>
    <w:p>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本项细化为：</w:t>
      </w:r>
    </w:p>
    <w:p>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1）交工验收证书颁发前，承包人应负责照管和维护工程及将用于或安装在本工程中的材料、设备。交工验收证书颁发时尚有部分未交工工程的，承包人还应负责该未交工工程、材料、设备的照管和维护工作，直至交工后移交给发包人为止。</w:t>
      </w:r>
    </w:p>
    <w:p>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2）在承包人负责照管与维护期间，如果本工程或材料、设备等发生损失或损害，除不可抗力原因之外，承包人均应自费弥补，并达到合同要求。承包人还应对按第19条规定而实施作业的过程中由承包人造成的对工程的任何损失或损害负责。</w:t>
      </w:r>
    </w:p>
    <w:p>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4.1.10其他义务</w:t>
      </w:r>
    </w:p>
    <w:p>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本项细化为：</w:t>
      </w:r>
    </w:p>
    <w:p>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1）承包人应承担并支付为获得本合同工程所需的石料、砂、砾石、黏土或其他当地材料等所发生的料场使用费及其他开支或补偿费。发包人应尽可能协助承包人办理料场租用手续及解决使用过程中的有关问题。</w:t>
      </w:r>
    </w:p>
    <w:p>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2）承包人应严格遵守国家有关解决拖欠工程款和民工工资的法律、法规，及时支付工程中的材料、设备贷款及民工工资等费用。承包人不得以任何借口拖欠材料、设备贷款及民工工资等费用，如果出现此种现象，发包人有权从履约保证金中代为支付其拖欠的材料、设备贷款及民工工资，并从应付给承包人的工程款中扣除相应款项。对恶意拖欠和拒不按计划支付的，作为不良记录纳入公路建设市场信用信息管理系统。</w:t>
      </w:r>
    </w:p>
    <w:p>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承包人的项目经理部是民工工资支付行为的主体，承包人的项目经理是民工工资支付的责任人。项目经理部要建立全体民工花名册和工资支付表，确保将工资直接发放给民工本人，或委托银行发放民工工资，严禁发放给“包工头”或其他不具备用工主体资格的组织和个人。</w:t>
      </w:r>
    </w:p>
    <w:p>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工资支付表应如实记录支付单位、支付时间、支付对象、支付数额、支付对象的身份证号和签字等信息。民工花名册和工资支付表应报监理人备查。</w:t>
      </w:r>
    </w:p>
    <w:p>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（3）承包人应履行项目专用合同条款约定的其他义务。</w:t>
      </w:r>
    </w:p>
    <w:p>
      <w:pPr>
        <w:pStyle w:val="6"/>
        <w:snapToGrid w:val="0"/>
        <w:spacing w:before="0" w:after="0" w:line="460" w:lineRule="exact"/>
        <w:rPr>
          <w:rFonts w:hint="eastAsia"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rPr>
        <w:t>4.2 履约担保</w:t>
      </w:r>
    </w:p>
    <w:p>
      <w:pPr>
        <w:snapToGrid w:val="0"/>
        <w:spacing w:line="460" w:lineRule="exact"/>
        <w:ind w:firstLine="420" w:firstLineChars="200"/>
        <w:rPr>
          <w:rFonts w:hint="eastAsia" w:ascii="宋体" w:hAnsi="宋体" w:cs="宋体"/>
          <w:color w:val="auto"/>
          <w:kern w:val="0"/>
          <w:szCs w:val="21"/>
        </w:rPr>
      </w:pPr>
      <w:r>
        <w:rPr>
          <w:rFonts w:hint="eastAsia" w:ascii="宋体" w:hAnsi="宋体" w:cs="宋体"/>
          <w:color w:val="auto"/>
          <w:kern w:val="0"/>
          <w:szCs w:val="21"/>
        </w:rPr>
        <w:t>1.担保形式：履约保证金和农民工工资保证金</w:t>
      </w:r>
    </w:p>
    <w:p>
      <w:pPr>
        <w:snapToGrid w:val="0"/>
        <w:spacing w:line="460" w:lineRule="exact"/>
        <w:ind w:firstLine="420" w:firstLineChars="200"/>
        <w:rPr>
          <w:rFonts w:hint="eastAsia" w:ascii="宋体" w:hAnsi="宋体" w:eastAsia="宋体" w:cs="宋体"/>
          <w:color w:val="auto"/>
          <w:kern w:val="0"/>
          <w:szCs w:val="21"/>
          <w:lang w:eastAsia="zh-CN"/>
        </w:rPr>
      </w:pPr>
      <w:r>
        <w:rPr>
          <w:rFonts w:hint="eastAsia" w:ascii="宋体" w:hAnsi="宋体" w:cs="宋体"/>
          <w:color w:val="auto"/>
          <w:kern w:val="0"/>
          <w:szCs w:val="21"/>
        </w:rPr>
        <w:t>2.金额：履约保证金为发包价的10%，农民工工资保证金为中标金额的2%</w:t>
      </w:r>
      <w:r>
        <w:rPr>
          <w:rFonts w:hint="eastAsia" w:ascii="宋体" w:hAnsi="宋体" w:cs="宋体"/>
          <w:color w:val="auto"/>
          <w:kern w:val="0"/>
          <w:szCs w:val="21"/>
          <w:lang w:eastAsia="zh-CN"/>
        </w:rPr>
        <w:t>。</w:t>
      </w:r>
    </w:p>
    <w:p>
      <w:pPr>
        <w:snapToGrid w:val="0"/>
        <w:spacing w:line="460" w:lineRule="exact"/>
        <w:ind w:firstLine="420" w:firstLineChars="200"/>
        <w:rPr>
          <w:rFonts w:hint="eastAsia" w:ascii="宋体" w:hAnsi="宋体" w:cs="宋体"/>
          <w:color w:val="auto"/>
          <w:kern w:val="0"/>
          <w:szCs w:val="21"/>
        </w:rPr>
      </w:pPr>
      <w:r>
        <w:rPr>
          <w:rFonts w:hint="eastAsia" w:ascii="宋体" w:hAnsi="宋体" w:cs="宋体"/>
          <w:color w:val="auto"/>
          <w:kern w:val="0"/>
          <w:szCs w:val="21"/>
        </w:rPr>
        <w:t>3.提交方式：现金或</w:t>
      </w:r>
      <w:r>
        <w:rPr>
          <w:rFonts w:hint="eastAsia" w:ascii="宋体" w:hAnsi="宋体" w:cs="宋体"/>
          <w:color w:val="auto"/>
          <w:kern w:val="0"/>
          <w:szCs w:val="21"/>
          <w:lang w:eastAsia="zh-CN"/>
        </w:rPr>
        <w:t>履约保函</w:t>
      </w:r>
      <w:r>
        <w:rPr>
          <w:rFonts w:hint="eastAsia" w:ascii="宋体" w:hAnsi="宋体" w:cs="宋体"/>
          <w:color w:val="auto"/>
          <w:kern w:val="0"/>
          <w:szCs w:val="21"/>
        </w:rPr>
        <w:t>或现金+</w:t>
      </w:r>
      <w:r>
        <w:rPr>
          <w:rFonts w:hint="eastAsia" w:ascii="宋体" w:hAnsi="宋体" w:cs="宋体"/>
          <w:color w:val="auto"/>
          <w:kern w:val="0"/>
          <w:szCs w:val="21"/>
          <w:lang w:eastAsia="zh-CN"/>
        </w:rPr>
        <w:t>履约保函</w:t>
      </w:r>
      <w:r>
        <w:rPr>
          <w:rFonts w:hint="eastAsia" w:ascii="宋体" w:hAnsi="宋体" w:cs="宋体"/>
          <w:color w:val="auto"/>
          <w:kern w:val="0"/>
          <w:szCs w:val="21"/>
        </w:rPr>
        <w:t>的组合；采用</w:t>
      </w:r>
      <w:r>
        <w:rPr>
          <w:rFonts w:hint="eastAsia" w:ascii="宋体" w:hAnsi="宋体" w:cs="宋体"/>
          <w:color w:val="auto"/>
          <w:kern w:val="0"/>
          <w:szCs w:val="21"/>
          <w:lang w:eastAsia="zh-CN"/>
        </w:rPr>
        <w:t>履约保函</w:t>
      </w:r>
      <w:r>
        <w:rPr>
          <w:rFonts w:hint="eastAsia" w:ascii="宋体" w:hAnsi="宋体" w:cs="宋体"/>
          <w:color w:val="auto"/>
          <w:kern w:val="0"/>
          <w:szCs w:val="21"/>
        </w:rPr>
        <w:t>形式的，保函必须为不可撤销且见索即付。</w:t>
      </w:r>
    </w:p>
    <w:p>
      <w:pPr>
        <w:snapToGrid w:val="0"/>
        <w:spacing w:line="460" w:lineRule="exact"/>
        <w:ind w:firstLine="420" w:firstLineChars="200"/>
        <w:rPr>
          <w:rFonts w:ascii="宋体" w:hAnsi="宋体" w:cs="宋体"/>
          <w:color w:val="auto"/>
          <w:kern w:val="0"/>
          <w:szCs w:val="21"/>
        </w:rPr>
      </w:pPr>
      <w:r>
        <w:rPr>
          <w:rFonts w:hint="eastAsia" w:ascii="宋体" w:hAnsi="宋体" w:cs="宋体"/>
          <w:color w:val="auto"/>
          <w:kern w:val="0"/>
          <w:szCs w:val="21"/>
        </w:rPr>
        <w:t>4.缴纳时间：中选通知书发出之日起5个工作日内且在施工合同签订前，缴纳至发包人指定账户；若未按时缴纳，则视为中选人放弃中选资格，给发包人造成的损失，中选人应当予以赔偿。</w:t>
      </w:r>
    </w:p>
    <w:p>
      <w:pPr>
        <w:snapToGrid w:val="0"/>
        <w:spacing w:line="460" w:lineRule="exact"/>
        <w:ind w:firstLine="420" w:firstLineChars="200"/>
        <w:rPr>
          <w:rFonts w:hint="eastAsia" w:ascii="宋体" w:hAnsi="宋体" w:cs="宋体"/>
          <w:color w:val="auto"/>
          <w:kern w:val="0"/>
          <w:szCs w:val="21"/>
        </w:rPr>
      </w:pPr>
      <w:r>
        <w:rPr>
          <w:rFonts w:hint="eastAsia" w:ascii="宋体" w:hAnsi="宋体" w:cs="宋体"/>
          <w:color w:val="auto"/>
          <w:kern w:val="0"/>
          <w:szCs w:val="21"/>
        </w:rPr>
        <w:t>除上述方式外，中选人也可选择提供在中国人民银行备案的第三方征信机构出具的有效信用报告原件（加盖中标人鲜章），并根据报告中载明的信用评价等级享受履约保证金减免优惠政策。具体优惠政策为：评价等级为AAA级（含AAA＋、AAA－）的按合同金额3%缴纳履约保证金，评价等级为AA级（含AA＋、AA－）按合同金额5%缴纳履约保证金，评价等级为A级（含A＋、A－）按合同金额6%缴纳履约保证金，评价等级为BBB级（含BBB＋、BBB－）的按合同金额7%缴纳履约保证金，评价等级为BB级（含BB＋、BB－）的按合同金额8%缴纳履约保证金，B级（含B＋、B－）的及以下不享受履约保证金减免优惠政策。</w:t>
      </w:r>
    </w:p>
    <w:p>
      <w:pPr>
        <w:snapToGrid w:val="0"/>
        <w:spacing w:line="460" w:lineRule="exact"/>
        <w:ind w:firstLine="420" w:firstLineChars="200"/>
        <w:rPr>
          <w:rFonts w:hint="eastAsia" w:ascii="宋体" w:hAnsi="宋体" w:cs="宋体"/>
          <w:color w:val="auto"/>
          <w:kern w:val="0"/>
          <w:szCs w:val="21"/>
        </w:rPr>
      </w:pPr>
      <w:r>
        <w:rPr>
          <w:rFonts w:hint="eastAsia" w:ascii="宋体" w:hAnsi="宋体" w:cs="宋体"/>
          <w:color w:val="auto"/>
          <w:kern w:val="0"/>
          <w:szCs w:val="21"/>
        </w:rPr>
        <w:t>信用报告的获取方式：中选人可在重庆市铜梁区市民服务和营商环境促进中心“信用服务”窗口、“信用中国（重庆铜梁）”官方网站，或中国人民银行备案的第三方征信机构官方网站获取信用报告。</w:t>
      </w:r>
    </w:p>
    <w:p>
      <w:pPr>
        <w:numPr>
          <w:ilvl w:val="0"/>
          <w:numId w:val="6"/>
        </w:numPr>
        <w:snapToGrid w:val="0"/>
        <w:spacing w:line="460" w:lineRule="exact"/>
        <w:ind w:firstLine="420" w:firstLineChars="200"/>
        <w:rPr>
          <w:rFonts w:hint="eastAsia" w:ascii="宋体" w:hAnsi="宋体" w:cs="宋体"/>
          <w:color w:val="auto"/>
          <w:kern w:val="0"/>
          <w:szCs w:val="21"/>
        </w:rPr>
      </w:pPr>
      <w:r>
        <w:rPr>
          <w:rFonts w:hint="eastAsia" w:ascii="宋体" w:hAnsi="宋体" w:cs="宋体"/>
          <w:color w:val="auto"/>
          <w:kern w:val="0"/>
          <w:szCs w:val="21"/>
        </w:rPr>
        <w:t>履约保证金和农民工工资保证金的退还：工程竣工验收合格后28日内一次性不计息返还。</w:t>
      </w:r>
    </w:p>
    <w:p>
      <w:pPr>
        <w:pStyle w:val="2"/>
        <w:numPr>
          <w:ilvl w:val="0"/>
          <w:numId w:val="0"/>
        </w:numPr>
        <w:rPr>
          <w:rFonts w:hint="eastAsia"/>
          <w:color w:val="auto"/>
        </w:rPr>
      </w:pPr>
    </w:p>
    <w:p>
      <w:pPr>
        <w:pStyle w:val="6"/>
        <w:snapToGrid w:val="0"/>
        <w:spacing w:before="0" w:after="0" w:line="460" w:lineRule="exact"/>
        <w:rPr>
          <w:rFonts w:hint="eastAsia" w:ascii="宋体" w:hAnsi="宋体" w:eastAsia="宋体" w:cs="宋体"/>
          <w:bCs w:val="0"/>
          <w:color w:val="auto"/>
          <w:sz w:val="21"/>
          <w:szCs w:val="21"/>
        </w:rPr>
      </w:pPr>
      <w:r>
        <w:rPr>
          <w:rFonts w:hint="eastAsia" w:ascii="宋体" w:hAnsi="宋体" w:eastAsia="宋体" w:cs="宋体"/>
          <w:bCs w:val="0"/>
          <w:color w:val="auto"/>
          <w:sz w:val="21"/>
          <w:szCs w:val="21"/>
        </w:rPr>
        <w:t>4.3 分包</w:t>
      </w:r>
    </w:p>
    <w:p>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不允许</w:t>
      </w:r>
    </w:p>
    <w:p>
      <w:pPr>
        <w:pStyle w:val="6"/>
        <w:snapToGrid w:val="0"/>
        <w:spacing w:before="0" w:after="0" w:line="460" w:lineRule="exact"/>
        <w:rPr>
          <w:rFonts w:hint="eastAsia" w:ascii="宋体" w:hAnsi="宋体" w:eastAsia="宋体" w:cs="宋体"/>
          <w:bCs w:val="0"/>
          <w:color w:val="auto"/>
          <w:sz w:val="21"/>
          <w:szCs w:val="21"/>
        </w:rPr>
      </w:pPr>
      <w:r>
        <w:rPr>
          <w:rFonts w:hint="eastAsia" w:ascii="宋体" w:hAnsi="宋体" w:eastAsia="宋体" w:cs="宋体"/>
          <w:bCs w:val="0"/>
          <w:color w:val="auto"/>
          <w:sz w:val="21"/>
          <w:szCs w:val="21"/>
        </w:rPr>
        <w:t>4.4联合体</w:t>
      </w:r>
    </w:p>
    <w:p>
      <w:pPr>
        <w:spacing w:line="460" w:lineRule="exact"/>
        <w:ind w:firstLine="420" w:firstLineChars="200"/>
        <w:rPr>
          <w:rFonts w:hint="eastAsia" w:ascii="宋体" w:hAnsi="宋体" w:cs="宋体"/>
          <w:b/>
          <w:bCs/>
          <w:color w:val="auto"/>
          <w:szCs w:val="21"/>
        </w:rPr>
      </w:pPr>
      <w:r>
        <w:rPr>
          <w:rFonts w:hint="eastAsia" w:ascii="宋体" w:hAnsi="宋体" w:cs="宋体"/>
          <w:color w:val="auto"/>
          <w:szCs w:val="21"/>
        </w:rPr>
        <w:t>不接受</w:t>
      </w:r>
    </w:p>
    <w:p>
      <w:pPr>
        <w:pStyle w:val="6"/>
        <w:snapToGrid w:val="0"/>
        <w:spacing w:before="0" w:after="0" w:line="460" w:lineRule="exact"/>
        <w:rPr>
          <w:rFonts w:hint="eastAsia" w:ascii="宋体" w:hAnsi="宋体" w:eastAsia="宋体" w:cs="宋体"/>
          <w:bCs w:val="0"/>
          <w:color w:val="auto"/>
          <w:sz w:val="21"/>
          <w:szCs w:val="21"/>
        </w:rPr>
      </w:pPr>
      <w:bookmarkStart w:id="790" w:name="_Toc152042430"/>
      <w:bookmarkStart w:id="791" w:name="_Toc152045652"/>
      <w:bookmarkStart w:id="792" w:name="_Toc179632670"/>
      <w:bookmarkStart w:id="793" w:name="_Toc480790415"/>
      <w:bookmarkStart w:id="794" w:name="_Toc144974620"/>
      <w:bookmarkStart w:id="795" w:name="_Toc234382726"/>
      <w:r>
        <w:rPr>
          <w:rFonts w:hint="eastAsia" w:ascii="宋体" w:hAnsi="宋体" w:eastAsia="宋体" w:cs="宋体"/>
          <w:bCs w:val="0"/>
          <w:color w:val="auto"/>
          <w:sz w:val="21"/>
          <w:szCs w:val="21"/>
        </w:rPr>
        <w:t>5.1 承包人提供的材料和工程设备</w:t>
      </w:r>
      <w:bookmarkEnd w:id="790"/>
      <w:bookmarkEnd w:id="791"/>
      <w:bookmarkEnd w:id="792"/>
      <w:bookmarkEnd w:id="793"/>
      <w:bookmarkEnd w:id="794"/>
      <w:bookmarkEnd w:id="795"/>
    </w:p>
    <w:p>
      <w:pPr>
        <w:pStyle w:val="5"/>
        <w:keepNext w:val="0"/>
        <w:keepLines w:val="0"/>
        <w:snapToGrid w:val="0"/>
        <w:spacing w:before="0" w:after="0" w:line="460" w:lineRule="exact"/>
        <w:ind w:firstLine="420" w:firstLineChars="200"/>
        <w:rPr>
          <w:rFonts w:hint="eastAsia" w:ascii="宋体" w:hAnsi="宋体" w:cs="宋体"/>
          <w:b w:val="0"/>
          <w:bCs w:val="0"/>
          <w:color w:val="auto"/>
          <w:kern w:val="0"/>
          <w:sz w:val="21"/>
          <w:szCs w:val="24"/>
        </w:rPr>
      </w:pPr>
      <w:r>
        <w:rPr>
          <w:rFonts w:hint="eastAsia" w:ascii="宋体" w:hAnsi="宋体" w:cs="宋体"/>
          <w:b w:val="0"/>
          <w:bCs w:val="0"/>
          <w:color w:val="auto"/>
          <w:kern w:val="0"/>
          <w:sz w:val="21"/>
          <w:szCs w:val="24"/>
        </w:rPr>
        <w:t>5.1.2承包人应将各项材料和工程设备的供货人及品种、规格、数量和供货时间等报送监理人审批。承包人应向监理人提交其负责提供的材料和工程设备的质量证明文件，并满足合同约定的质量标准。</w:t>
      </w:r>
    </w:p>
    <w:p>
      <w:pPr>
        <w:pStyle w:val="6"/>
        <w:snapToGrid w:val="0"/>
        <w:spacing w:before="0" w:after="0" w:line="460" w:lineRule="exact"/>
        <w:rPr>
          <w:rFonts w:hint="eastAsia" w:ascii="宋体" w:hAnsi="宋体" w:eastAsia="宋体" w:cs="宋体"/>
          <w:bCs w:val="0"/>
          <w:color w:val="auto"/>
          <w:sz w:val="21"/>
          <w:szCs w:val="21"/>
        </w:rPr>
      </w:pPr>
      <w:r>
        <w:rPr>
          <w:rFonts w:hint="eastAsia" w:ascii="宋体" w:hAnsi="宋体" w:eastAsia="宋体" w:cs="宋体"/>
          <w:bCs w:val="0"/>
          <w:color w:val="auto"/>
          <w:sz w:val="21"/>
          <w:szCs w:val="21"/>
        </w:rPr>
        <w:t>5.2发包人提供的材料和工程设备</w:t>
      </w:r>
    </w:p>
    <w:p>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不适用。</w:t>
      </w:r>
    </w:p>
    <w:p>
      <w:pPr>
        <w:pStyle w:val="6"/>
        <w:snapToGrid w:val="0"/>
        <w:spacing w:before="0" w:after="0" w:line="460" w:lineRule="exact"/>
        <w:rPr>
          <w:rFonts w:hint="eastAsia" w:ascii="宋体" w:hAnsi="宋体" w:eastAsia="宋体" w:cs="宋体"/>
          <w:bCs w:val="0"/>
          <w:color w:val="auto"/>
          <w:sz w:val="21"/>
          <w:szCs w:val="21"/>
        </w:rPr>
      </w:pPr>
      <w:r>
        <w:rPr>
          <w:rFonts w:hint="eastAsia" w:ascii="宋体" w:hAnsi="宋体" w:eastAsia="宋体" w:cs="宋体"/>
          <w:bCs w:val="0"/>
          <w:color w:val="auto"/>
          <w:sz w:val="21"/>
          <w:szCs w:val="21"/>
        </w:rPr>
        <w:t>6.1 承包人提供的施工设备和临时设施</w:t>
      </w:r>
    </w:p>
    <w:p>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6.1.2施工中的临时用地和临时工程（电力设施、电讯、临时便道、临时便桥等），施工及生活用水、用电等费用、协调由承包方自行负责，一切费用将其摊入工程量清单单价。借土场、弃土场用地其费用已包含在相应计价中。</w:t>
      </w:r>
    </w:p>
    <w:p>
      <w:pPr>
        <w:pStyle w:val="6"/>
        <w:snapToGrid w:val="0"/>
        <w:spacing w:before="0" w:after="0" w:line="460" w:lineRule="exact"/>
        <w:rPr>
          <w:rFonts w:hint="eastAsia" w:ascii="宋体" w:hAnsi="宋体" w:eastAsia="宋体" w:cs="宋体"/>
          <w:bCs w:val="0"/>
          <w:color w:val="auto"/>
          <w:sz w:val="21"/>
          <w:szCs w:val="21"/>
        </w:rPr>
      </w:pPr>
      <w:r>
        <w:rPr>
          <w:rFonts w:hint="eastAsia" w:ascii="宋体" w:hAnsi="宋体" w:eastAsia="宋体" w:cs="宋体"/>
          <w:bCs w:val="0"/>
          <w:color w:val="auto"/>
          <w:sz w:val="21"/>
          <w:szCs w:val="21"/>
        </w:rPr>
        <w:t>7.1道路通行权和场外设施</w:t>
      </w:r>
    </w:p>
    <w:p>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本款约定为：</w:t>
      </w:r>
    </w:p>
    <w:p>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承包人应根据合同工程的施工需要，负责办理取得出入施工场地的专用和临时道路的通行权，以及取得为工程建设所需修建场外设施的权利，并承担有关费用。承包人自行办理相关手续。</w:t>
      </w:r>
    </w:p>
    <w:p>
      <w:pPr>
        <w:pStyle w:val="6"/>
        <w:keepNext w:val="0"/>
        <w:keepLines w:val="0"/>
        <w:snapToGrid w:val="0"/>
        <w:spacing w:before="0" w:after="0" w:line="460" w:lineRule="exact"/>
        <w:rPr>
          <w:rFonts w:hint="eastAsia" w:ascii="宋体" w:hAnsi="宋体" w:eastAsia="宋体" w:cs="宋体"/>
          <w:snapToGrid w:val="0"/>
          <w:color w:val="auto"/>
          <w:sz w:val="24"/>
          <w:szCs w:val="24"/>
        </w:rPr>
      </w:pPr>
      <w:bookmarkStart w:id="796" w:name="_Toc480790539"/>
      <w:bookmarkStart w:id="797" w:name="_Toc30686"/>
      <w:r>
        <w:rPr>
          <w:rFonts w:hint="eastAsia" w:ascii="宋体" w:hAnsi="宋体" w:eastAsia="宋体" w:cs="宋体"/>
          <w:snapToGrid w:val="0"/>
          <w:color w:val="auto"/>
          <w:sz w:val="24"/>
          <w:szCs w:val="24"/>
        </w:rPr>
        <w:t>8.测量放线</w:t>
      </w:r>
      <w:bookmarkEnd w:id="796"/>
      <w:bookmarkEnd w:id="797"/>
    </w:p>
    <w:p>
      <w:pPr>
        <w:spacing w:line="460" w:lineRule="exact"/>
        <w:ind w:firstLine="359" w:firstLineChars="171"/>
        <w:rPr>
          <w:rFonts w:hint="eastAsia" w:ascii="宋体" w:hAnsi="宋体" w:cs="宋体"/>
          <w:color w:val="auto"/>
          <w:szCs w:val="21"/>
        </w:rPr>
      </w:pPr>
      <w:r>
        <w:rPr>
          <w:rFonts w:hint="eastAsia" w:ascii="宋体" w:hAnsi="宋体" w:cs="宋体"/>
          <w:color w:val="auto"/>
          <w:szCs w:val="21"/>
        </w:rPr>
        <w:t>8.1.1发包人应在合同签订后_</w:t>
      </w:r>
      <w:r>
        <w:rPr>
          <w:rFonts w:hint="eastAsia" w:ascii="宋体" w:hAnsi="宋体" w:cs="宋体"/>
          <w:color w:val="auto"/>
          <w:szCs w:val="21"/>
          <w:u w:val="single"/>
        </w:rPr>
        <w:t>3_</w:t>
      </w:r>
      <w:r>
        <w:rPr>
          <w:rFonts w:hint="eastAsia" w:ascii="宋体" w:hAnsi="宋体" w:cs="宋体"/>
          <w:color w:val="auto"/>
          <w:szCs w:val="21"/>
        </w:rPr>
        <w:t>天内通过监理人向承包人提供测量基准点、基准线和水准点及书面资料。承包人在收到后</w:t>
      </w:r>
      <w:r>
        <w:rPr>
          <w:rFonts w:hint="eastAsia" w:ascii="宋体" w:hAnsi="宋体" w:cs="宋体"/>
          <w:color w:val="auto"/>
          <w:szCs w:val="21"/>
          <w:u w:val="single"/>
        </w:rPr>
        <w:t xml:space="preserve"> 3 </w:t>
      </w:r>
      <w:r>
        <w:rPr>
          <w:rFonts w:hint="eastAsia" w:ascii="宋体" w:hAnsi="宋体" w:cs="宋体"/>
          <w:color w:val="auto"/>
          <w:szCs w:val="21"/>
        </w:rPr>
        <w:t>天内，应将施工控制网资料送监理人审批。</w:t>
      </w:r>
    </w:p>
    <w:p>
      <w:pPr>
        <w:pStyle w:val="6"/>
        <w:snapToGrid w:val="0"/>
        <w:spacing w:before="0" w:after="0" w:line="460" w:lineRule="exact"/>
        <w:rPr>
          <w:rFonts w:hint="eastAsia" w:ascii="宋体" w:hAnsi="宋体" w:eastAsia="宋体" w:cs="宋体"/>
          <w:bCs w:val="0"/>
          <w:color w:val="auto"/>
          <w:sz w:val="21"/>
          <w:szCs w:val="21"/>
        </w:rPr>
      </w:pPr>
      <w:r>
        <w:rPr>
          <w:rFonts w:hint="eastAsia" w:ascii="宋体" w:hAnsi="宋体" w:eastAsia="宋体" w:cs="宋体"/>
          <w:bCs w:val="0"/>
          <w:color w:val="auto"/>
          <w:sz w:val="21"/>
          <w:szCs w:val="21"/>
        </w:rPr>
        <w:t>8.4监理人使用施工控制网</w:t>
      </w:r>
    </w:p>
    <w:p>
      <w:pPr>
        <w:spacing w:line="460" w:lineRule="exact"/>
        <w:ind w:firstLine="420" w:firstLineChars="200"/>
        <w:rPr>
          <w:rFonts w:hint="eastAsia" w:ascii="宋体" w:hAnsi="宋体" w:cs="宋体"/>
          <w:color w:val="auto"/>
          <w:szCs w:val="21"/>
        </w:rPr>
      </w:pPr>
      <w:bookmarkStart w:id="798" w:name="_Toc264648001"/>
      <w:r>
        <w:rPr>
          <w:rFonts w:hint="eastAsia" w:ascii="宋体" w:hAnsi="宋体" w:cs="宋体"/>
          <w:color w:val="auto"/>
          <w:szCs w:val="21"/>
        </w:rPr>
        <w:t>本款补充：</w:t>
      </w:r>
      <w:bookmarkEnd w:id="798"/>
    </w:p>
    <w:p>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经监理人批准，其他相关承包人也可免费使用施工控制网。</w:t>
      </w:r>
    </w:p>
    <w:p>
      <w:pPr>
        <w:pStyle w:val="6"/>
        <w:snapToGrid w:val="0"/>
        <w:spacing w:before="0" w:after="0" w:line="460" w:lineRule="exact"/>
        <w:rPr>
          <w:rFonts w:hint="eastAsia" w:ascii="宋体" w:hAnsi="宋体" w:eastAsia="宋体" w:cs="宋体"/>
          <w:snapToGrid w:val="0"/>
          <w:color w:val="auto"/>
          <w:sz w:val="24"/>
          <w:szCs w:val="24"/>
        </w:rPr>
      </w:pPr>
      <w:bookmarkStart w:id="799" w:name="_Toc15925"/>
      <w:bookmarkStart w:id="800" w:name="_Toc480790540"/>
      <w:r>
        <w:rPr>
          <w:rFonts w:hint="eastAsia" w:ascii="宋体" w:hAnsi="宋体" w:eastAsia="宋体" w:cs="宋体"/>
          <w:snapToGrid w:val="0"/>
          <w:color w:val="auto"/>
          <w:sz w:val="24"/>
          <w:szCs w:val="24"/>
        </w:rPr>
        <w:t>9.施工安全、治安保卫和环境保护</w:t>
      </w:r>
      <w:bookmarkEnd w:id="799"/>
      <w:bookmarkEnd w:id="800"/>
    </w:p>
    <w:p>
      <w:pPr>
        <w:pStyle w:val="6"/>
        <w:snapToGrid w:val="0"/>
        <w:spacing w:before="0" w:after="0" w:line="460" w:lineRule="exact"/>
        <w:rPr>
          <w:rFonts w:hint="eastAsia" w:ascii="宋体" w:hAnsi="宋体" w:eastAsia="宋体" w:cs="宋体"/>
          <w:bCs w:val="0"/>
          <w:color w:val="auto"/>
          <w:sz w:val="21"/>
          <w:szCs w:val="21"/>
        </w:rPr>
      </w:pPr>
      <w:r>
        <w:rPr>
          <w:rFonts w:hint="eastAsia" w:ascii="宋体" w:hAnsi="宋体" w:eastAsia="宋体" w:cs="宋体"/>
          <w:bCs w:val="0"/>
          <w:color w:val="auto"/>
          <w:sz w:val="21"/>
          <w:szCs w:val="21"/>
        </w:rPr>
        <w:t>9.2承包人的施工安全责任</w:t>
      </w:r>
    </w:p>
    <w:p>
      <w:pPr>
        <w:spacing w:line="460" w:lineRule="exact"/>
        <w:ind w:firstLine="420" w:firstLineChars="200"/>
        <w:rPr>
          <w:rFonts w:hint="eastAsia" w:ascii="宋体" w:hAnsi="宋体" w:cs="宋体"/>
          <w:color w:val="auto"/>
          <w:szCs w:val="21"/>
        </w:rPr>
      </w:pPr>
      <w:bookmarkStart w:id="801" w:name="_Toc264648005"/>
      <w:r>
        <w:rPr>
          <w:rFonts w:hint="eastAsia" w:ascii="宋体" w:hAnsi="宋体" w:cs="宋体"/>
          <w:color w:val="auto"/>
          <w:szCs w:val="21"/>
        </w:rPr>
        <w:t>第9.2.1项细化为：</w:t>
      </w:r>
      <w:bookmarkEnd w:id="801"/>
    </w:p>
    <w:p>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承包人应按合同约定履行安全职责，严格执行国家、地方政府有关施工安全管理方面的法律、法规及规章制度，同时严格执行发包人制订的本项目安全生产管理方面的规章制度、安全检查程序及施工安全管理要求，以及监理人有关安全工作的指示。</w:t>
      </w:r>
    </w:p>
    <w:p>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承包人应根据本工程的实际安全施工要求，编制施工安全技术措施，并在签订合同协议书后14天内，报监理人和发包人批准。该施工安全技术措施包括（但不限于）施工安全保障体系，安全生产责任制，安全生产管理规章制度，安全防护施工方案，施工现场临时用电方案，施工安全评估，安全预控及保证措施方案，紧急应变措施，安全标识、警示和围护方案等。对影响安全的重要工序和下列危险性较大的工程应编制专项施工方案，并附安全验算结果，经承包人企业技术负责人签字并报监理人和发包人批准后实施，由专职安全生产管理人员进行现场监督。</w:t>
      </w:r>
    </w:p>
    <w:p>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本项目需要编制专项施工方案的工程包括但不限于以下内容：</w:t>
      </w:r>
    </w:p>
    <w:p>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（1）不良地质条件下有潜在危险性的土方、石方开挖；</w:t>
      </w:r>
    </w:p>
    <w:p>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（2）维修过程中的车辆、行人的安全措施；</w:t>
      </w:r>
    </w:p>
    <w:p>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（3）其他危险性较大的工程。</w:t>
      </w:r>
    </w:p>
    <w:p>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监理人和发包人在检查中发现有安全问题或有违反安全管理规章制度的情况时，可视其为承包人违约，应按第22.1款的规定处理。</w:t>
      </w:r>
    </w:p>
    <w:p>
      <w:pPr>
        <w:spacing w:line="460" w:lineRule="exact"/>
        <w:ind w:firstLine="420" w:firstLineChars="200"/>
        <w:rPr>
          <w:rFonts w:hint="eastAsia" w:ascii="宋体" w:hAnsi="宋体" w:cs="宋体"/>
          <w:color w:val="auto"/>
          <w:szCs w:val="21"/>
        </w:rPr>
      </w:pPr>
      <w:bookmarkStart w:id="802" w:name="_Toc264648020"/>
      <w:r>
        <w:rPr>
          <w:rFonts w:hint="eastAsia" w:ascii="宋体" w:hAnsi="宋体" w:cs="宋体"/>
          <w:color w:val="auto"/>
          <w:szCs w:val="21"/>
        </w:rPr>
        <w:t>第9.2.5项细化为：</w:t>
      </w:r>
      <w:bookmarkEnd w:id="802"/>
    </w:p>
    <w:p>
      <w:pPr>
        <w:spacing w:line="460" w:lineRule="exact"/>
        <w:ind w:firstLine="420" w:firstLineChars="200"/>
        <w:rPr>
          <w:rFonts w:hint="eastAsia" w:ascii="宋体" w:hAnsi="宋体" w:cs="宋体"/>
          <w:color w:val="auto"/>
          <w:szCs w:val="21"/>
        </w:rPr>
      </w:pPr>
      <w:bookmarkStart w:id="803" w:name="_Toc264648021"/>
      <w:r>
        <w:rPr>
          <w:rFonts w:hint="eastAsia" w:ascii="宋体" w:hAnsi="宋体" w:cs="宋体"/>
          <w:color w:val="auto"/>
          <w:szCs w:val="21"/>
        </w:rPr>
        <w:t>安全生产费用应计入总价中。</w:t>
      </w:r>
      <w:bookmarkEnd w:id="803"/>
    </w:p>
    <w:p>
      <w:pPr>
        <w:spacing w:line="460" w:lineRule="exact"/>
        <w:ind w:firstLine="420" w:firstLineChars="200"/>
        <w:rPr>
          <w:rFonts w:hint="eastAsia" w:ascii="宋体" w:hAnsi="宋体" w:cs="宋体"/>
          <w:color w:val="auto"/>
          <w:szCs w:val="21"/>
        </w:rPr>
      </w:pPr>
      <w:bookmarkStart w:id="804" w:name="_Toc264648022"/>
      <w:r>
        <w:rPr>
          <w:rFonts w:hint="eastAsia" w:ascii="宋体" w:hAnsi="宋体" w:cs="宋体"/>
          <w:color w:val="auto"/>
          <w:szCs w:val="21"/>
        </w:rPr>
        <w:t>本款补充第9.2.8项～9.2.10项：</w:t>
      </w:r>
      <w:bookmarkEnd w:id="804"/>
    </w:p>
    <w:p>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9.2.8承包人应充分关注和保障所有在现场工作的人员的安全，采取以下有效措施，使现场和本合同工程的实施保持有条不紊，以免使上述人员的安全受到威胁。</w:t>
      </w:r>
    </w:p>
    <w:p>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（1）按《公路水运工程安全生产</w:t>
      </w:r>
      <w:r>
        <w:rPr>
          <w:rFonts w:hint="eastAsia" w:ascii="宋体" w:hAnsi="宋体" w:cs="宋体"/>
          <w:color w:val="auto"/>
          <w:szCs w:val="21"/>
          <w:lang w:eastAsia="zh-CN"/>
        </w:rPr>
        <w:t>监督管理</w:t>
      </w:r>
      <w:r>
        <w:rPr>
          <w:rFonts w:hint="eastAsia" w:ascii="宋体" w:hAnsi="宋体" w:cs="宋体"/>
          <w:color w:val="auto"/>
          <w:szCs w:val="21"/>
        </w:rPr>
        <w:t>办法》规定的最低数量和资质条件配备专职安全生产管理人员；</w:t>
      </w:r>
    </w:p>
    <w:p>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（2）承包人的垂直运输机械作业人员、安装拆卸工、起重信号工、电工、焊工等国家规定的特种作业人员，必须按照国家规定经过专门的安全作业培训，并取得特种作业操作资格证书后，方可上岗作业；</w:t>
      </w:r>
    </w:p>
    <w:p>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（3）所有施工机具设备和高空作业设备均应定期检查，并有安全员的签字记录。</w:t>
      </w:r>
    </w:p>
    <w:p>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（4）根据本合同各单位工程的特点，严格执行《公路水运工程安全生产监督管理办法》、《公路工程施工安全技术规程》与《公路筑养路机械操作规程》的具体规定。</w:t>
      </w:r>
    </w:p>
    <w:p>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9.2.9为保护本合同工程免遭损坏，或为了现场附近和过往群众的安全与方便，在确有必要的时候和地方，或当监理人或有关主管部门要求时，承包人应自费提供照明、警卫、护栅、警告标志等安全防护设施。</w:t>
      </w:r>
    </w:p>
    <w:p>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9.2.10在整个施工过程中对承包人采取的施工安全措施，发包人和监理人有权监督，并向承包人提出整改要求。如果由于承包人未能对其负责的上述事项采取各种必要的措施而导致或发生与此有关的人身伤亡、罚款、索赔、损失补偿、诉讼费用及其他一切责任应由承包人负责。</w:t>
      </w:r>
    </w:p>
    <w:p>
      <w:pPr>
        <w:pStyle w:val="6"/>
        <w:snapToGrid w:val="0"/>
        <w:spacing w:before="0" w:after="0" w:line="460" w:lineRule="exact"/>
        <w:rPr>
          <w:rFonts w:hint="eastAsia" w:ascii="宋体" w:hAnsi="宋体" w:eastAsia="宋体" w:cs="宋体"/>
          <w:bCs w:val="0"/>
          <w:color w:val="auto"/>
          <w:sz w:val="21"/>
          <w:szCs w:val="21"/>
        </w:rPr>
      </w:pPr>
      <w:r>
        <w:rPr>
          <w:rFonts w:hint="eastAsia" w:ascii="宋体" w:hAnsi="宋体" w:eastAsia="宋体" w:cs="宋体"/>
          <w:bCs w:val="0"/>
          <w:color w:val="auto"/>
          <w:sz w:val="21"/>
          <w:szCs w:val="21"/>
        </w:rPr>
        <w:t>9.4环境保护</w:t>
      </w:r>
    </w:p>
    <w:p>
      <w:pPr>
        <w:spacing w:line="460" w:lineRule="exact"/>
        <w:ind w:firstLine="420" w:firstLineChars="200"/>
        <w:rPr>
          <w:rFonts w:hint="eastAsia" w:ascii="宋体" w:hAnsi="宋体" w:cs="宋体"/>
          <w:color w:val="auto"/>
          <w:szCs w:val="21"/>
        </w:rPr>
      </w:pPr>
      <w:bookmarkStart w:id="805" w:name="_Toc264648032"/>
      <w:r>
        <w:rPr>
          <w:rFonts w:hint="eastAsia" w:ascii="宋体" w:hAnsi="宋体" w:cs="宋体"/>
          <w:color w:val="auto"/>
          <w:szCs w:val="21"/>
        </w:rPr>
        <w:t>本款补充第9.4.7～第9.4.11项：</w:t>
      </w:r>
      <w:bookmarkEnd w:id="805"/>
    </w:p>
    <w:p>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9.4.7 承包人应切实执行技术规范中有关环境保护方面的条款和规定。</w:t>
      </w:r>
    </w:p>
    <w:p>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1）对于来自施工机械和运输车辆的施工噪声，为保护施工人员的健康，应遵守《中华人民共和国环境噪声污染防治法》并依据《工业企业噪声卫生标准》合理安排工作人员轮流操作筑路机械，减少接触高噪声的时间，或间歇安排高噪声的工作。对距噪声源较近的施工人员，除采取使用防护耳塞或头盔等有效措施外，还应当缩短其劳动时间。同时，要注意对机械的经常性保养，尽量使其噪声降低到最低水平。为保护施工现场附近居民的夜间休息，对居民区150m以内的施工现场，施工时间应加以控制。</w:t>
      </w:r>
    </w:p>
    <w:p>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（2）对于公路施工中粉尘污染的主要污染源——灰土拌和、施工车辆和筑路机械运行及运输产生的扬尘，应采取有效措施减轻施工现场的大气污染，保护人民健康，如：</w:t>
      </w:r>
    </w:p>
    <w:p>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a.拌和设备应有较好的密封，或有防尘设备。</w:t>
      </w:r>
    </w:p>
    <w:p>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b.施工通道、沥青混凝土拌和站及灰土拌和站应经常进行洒水降尘。</w:t>
      </w:r>
    </w:p>
    <w:p>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c.路面施工应注意保持水分，以免扬尘。</w:t>
      </w:r>
    </w:p>
    <w:p>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（3）采取可靠措施维持沿线村镇的居民饮水、农田灌溉、生产生活用电及通讯等管线的正常使用。</w:t>
      </w:r>
    </w:p>
    <w:p>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9.4.8在整个施工过程中对承包人采取的环境保护措施，发包人和监理人有权监督，并向承包人提出整改要求。如果由于承包人未能对其负责的上述事项采取各种必要的措施而导致或发生与此有关的人身伤亡、罚款、索赔、损失补偿、诉讼费用及其他一切责任应由承包人负责。</w:t>
      </w:r>
    </w:p>
    <w:p>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9.4.9在施工期间，承包人应随时保持现场整洁，施工设备和材料、工程设备应整齐妥善存放和储存，废料与垃圾及不再需要的临时设施应及时从现场清除、拆除并运走。</w:t>
      </w:r>
    </w:p>
    <w:p>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9.4.10 在施工期间，承包人应严格遵守《关于在公路建设中实行最严格的耕地保护制度的若干意见》的相关规定，规范用地、科学用地、合理用地和节约用地。承包人应合理利用所占耕地地表的耕作层，用于重新造地；合理设置取土坑和弃土场，取土坑和弃土场的施工防护要符合要求，防止水土流失。承包人应严格控制临时占地数量，施工便道、各种料场、预制场要根据工程进度统筹考虑，尽可能设置在公路用地范围内或利用荒坡、废弃地解决，不得占用农田。施工过程中要采取有效措施防止污染农田，项目完工后承包人应将临时占地自费恢复到临时占地使用前的状况。</w:t>
      </w:r>
    </w:p>
    <w:p>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9.4.11 承包人应严格按照国家有关法规要求，做好施工过程中的生态保护和水土保持工作。施工中要尽可能减少对原地面的扰动，减少对地面草木的破坏，需要爆破作业的，应按规定进行控爆设计。雨季填筑路基应随挖、随运、随压，要完善施工中的临时排水系统，加强施工便道的管理。取（弃）土场必须先挡后弃，严禁在指定的取（弃）土场以外的地方乱挖乱弃。</w:t>
      </w:r>
    </w:p>
    <w:p>
      <w:pPr>
        <w:pStyle w:val="5"/>
        <w:snapToGrid w:val="0"/>
        <w:spacing w:before="0" w:after="0" w:line="460" w:lineRule="exact"/>
        <w:rPr>
          <w:rFonts w:hint="eastAsia" w:ascii="宋体" w:hAnsi="宋体" w:cs="宋体"/>
          <w:snapToGrid w:val="0"/>
          <w:color w:val="auto"/>
          <w:sz w:val="24"/>
          <w:szCs w:val="22"/>
        </w:rPr>
      </w:pPr>
      <w:bookmarkStart w:id="806" w:name="_Toc480790541"/>
      <w:bookmarkStart w:id="807" w:name="_Toc30975"/>
      <w:r>
        <w:rPr>
          <w:rFonts w:hint="eastAsia" w:ascii="宋体" w:hAnsi="宋体" w:cs="宋体"/>
          <w:snapToGrid w:val="0"/>
          <w:color w:val="auto"/>
          <w:sz w:val="24"/>
          <w:szCs w:val="22"/>
        </w:rPr>
        <w:t>10.进度计划</w:t>
      </w:r>
      <w:bookmarkEnd w:id="806"/>
      <w:bookmarkEnd w:id="807"/>
    </w:p>
    <w:p>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10.1承包人应进场后_</w:t>
      </w:r>
      <w:r>
        <w:rPr>
          <w:rFonts w:hint="eastAsia" w:ascii="宋体" w:hAnsi="宋体" w:cs="宋体"/>
          <w:color w:val="auto"/>
          <w:szCs w:val="21"/>
          <w:u w:val="single"/>
        </w:rPr>
        <w:t>7</w:t>
      </w:r>
      <w:r>
        <w:rPr>
          <w:rFonts w:hint="eastAsia" w:ascii="宋体" w:hAnsi="宋体" w:cs="宋体"/>
          <w:color w:val="auto"/>
          <w:szCs w:val="21"/>
        </w:rPr>
        <w:t>_天内向监理人提供施工进度设计和施工方案说明，监理人应在_</w:t>
      </w:r>
      <w:r>
        <w:rPr>
          <w:rFonts w:hint="eastAsia" w:ascii="宋体" w:hAnsi="宋体" w:cs="宋体"/>
          <w:color w:val="auto"/>
          <w:szCs w:val="21"/>
          <w:u w:val="single"/>
        </w:rPr>
        <w:t>7</w:t>
      </w:r>
      <w:r>
        <w:rPr>
          <w:rFonts w:hint="eastAsia" w:ascii="宋体" w:hAnsi="宋体" w:cs="宋体"/>
          <w:color w:val="auto"/>
          <w:szCs w:val="21"/>
        </w:rPr>
        <w:t>_天内予以审批。</w:t>
      </w:r>
    </w:p>
    <w:p>
      <w:pPr>
        <w:pStyle w:val="5"/>
        <w:snapToGrid w:val="0"/>
        <w:spacing w:before="0" w:after="0" w:line="460" w:lineRule="exact"/>
        <w:rPr>
          <w:rFonts w:hint="eastAsia" w:ascii="宋体" w:hAnsi="宋体" w:cs="宋体"/>
          <w:snapToGrid w:val="0"/>
          <w:color w:val="auto"/>
          <w:sz w:val="24"/>
          <w:szCs w:val="24"/>
        </w:rPr>
      </w:pPr>
      <w:bookmarkStart w:id="808" w:name="_Toc29027"/>
      <w:bookmarkStart w:id="809" w:name="_Toc480790542"/>
      <w:r>
        <w:rPr>
          <w:rFonts w:hint="eastAsia" w:ascii="宋体" w:hAnsi="宋体" w:cs="宋体"/>
          <w:snapToGrid w:val="0"/>
          <w:color w:val="auto"/>
          <w:sz w:val="24"/>
          <w:szCs w:val="24"/>
        </w:rPr>
        <w:t>11.开工和竣工</w:t>
      </w:r>
      <w:bookmarkEnd w:id="808"/>
      <w:bookmarkEnd w:id="809"/>
    </w:p>
    <w:p>
      <w:pPr>
        <w:snapToGrid w:val="0"/>
        <w:spacing w:line="460" w:lineRule="exact"/>
        <w:rPr>
          <w:rFonts w:hint="eastAsia" w:ascii="宋体" w:hAnsi="宋体" w:cs="宋体"/>
          <w:b/>
          <w:color w:val="auto"/>
          <w:szCs w:val="21"/>
        </w:rPr>
      </w:pPr>
      <w:r>
        <w:rPr>
          <w:rFonts w:hint="eastAsia" w:ascii="宋体" w:hAnsi="宋体" w:cs="宋体"/>
          <w:b/>
          <w:color w:val="auto"/>
          <w:szCs w:val="21"/>
        </w:rPr>
        <w:t>11.3发包人的工期延误</w:t>
      </w:r>
    </w:p>
    <w:p>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本款补充：</w:t>
      </w:r>
    </w:p>
    <w:p>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即使由于上述原因造成工期延误，如果受影响的工程并非处在工程施工进度网络计划的关键线路上，则承包人无权要求延长总工期。</w:t>
      </w:r>
    </w:p>
    <w:p>
      <w:pPr>
        <w:snapToGrid w:val="0"/>
        <w:spacing w:line="460" w:lineRule="exact"/>
        <w:rPr>
          <w:rFonts w:hint="eastAsia" w:ascii="宋体" w:hAnsi="宋体" w:cs="宋体"/>
          <w:b/>
          <w:color w:val="auto"/>
          <w:szCs w:val="21"/>
        </w:rPr>
      </w:pPr>
      <w:r>
        <w:rPr>
          <w:rFonts w:hint="eastAsia" w:ascii="宋体" w:hAnsi="宋体" w:cs="宋体"/>
          <w:b/>
          <w:color w:val="auto"/>
          <w:szCs w:val="21"/>
        </w:rPr>
        <w:t>11.4异常恶劣的气候条件</w:t>
      </w:r>
    </w:p>
    <w:p>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本款补充：</w:t>
      </w:r>
    </w:p>
    <w:p>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异常气候条件是指项目所在地30年一遇的罕见气候现象（包括温度、降水、降雪、风等）。异常恶劣的气候条件在项目专用合同条款中作具体规定。</w:t>
      </w:r>
    </w:p>
    <w:p>
      <w:pPr>
        <w:snapToGrid w:val="0"/>
        <w:spacing w:line="460" w:lineRule="exact"/>
        <w:rPr>
          <w:rFonts w:hint="eastAsia" w:ascii="宋体" w:hAnsi="宋体" w:cs="宋体"/>
          <w:b/>
          <w:color w:val="auto"/>
          <w:szCs w:val="21"/>
        </w:rPr>
      </w:pPr>
      <w:r>
        <w:rPr>
          <w:rFonts w:hint="eastAsia" w:ascii="宋体" w:hAnsi="宋体" w:cs="宋体"/>
          <w:b/>
          <w:color w:val="auto"/>
          <w:szCs w:val="21"/>
        </w:rPr>
        <w:t>11.5承包人的工期延误</w:t>
      </w:r>
    </w:p>
    <w:p>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本款细化为：</w:t>
      </w:r>
    </w:p>
    <w:p>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1）承包人应严格执行监理人批准的合同进度计划，对工程量计划和形象进度计划分别控制。除11.3款规定外，承包人的实际工程进度曲线应在合同进度管理曲线规定的安全区域之内。若承包人的实际工程进度曲线处在合同进度管理曲线规定的安全区域的下限之外时，则监理人有权认为本合同工程的进度过慢，并通知承包人应采取必要措施，以便加快工程进度，确保工程能在预定的工期内交工。承包人应采取措施加快进度，并承担加快进度所增加的费用。</w:t>
      </w:r>
    </w:p>
    <w:p>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2）如果承包人在接到监理人通知后的7天内，未能采取加快工程进度的措施，致使实际工程进度进一步滞后，或承包人虽采取了一些措施，仍无法按预计工期交工时，监理人应立即通知发包人。发包人在向承包人发出书面警告通知7天后，发包人可按第22.1款解除承包人的合同。</w:t>
      </w:r>
    </w:p>
    <w:p>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（3）由于承包人原因造成工期延误，承包人应支付逾期交工违约金。逾期交工违约金的计算方法在项目专用合同条款数据表中约定，时间自预定的交工日期起到交工验收</w:t>
      </w:r>
      <w:r>
        <w:rPr>
          <w:rFonts w:hint="eastAsia" w:ascii="宋体" w:hAnsi="宋体" w:cs="宋体"/>
          <w:color w:val="auto"/>
          <w:szCs w:val="21"/>
          <w:lang w:eastAsia="zh-CN"/>
        </w:rPr>
        <w:t>证书</w:t>
      </w:r>
      <w:r>
        <w:rPr>
          <w:rFonts w:hint="eastAsia" w:ascii="宋体" w:hAnsi="宋体" w:cs="宋体"/>
          <w:color w:val="auto"/>
          <w:szCs w:val="21"/>
        </w:rPr>
        <w:t>：每逾期一天支付</w:t>
      </w:r>
      <w:r>
        <w:rPr>
          <w:rFonts w:hint="eastAsia" w:ascii="宋体" w:hAnsi="宋体" w:cs="宋体"/>
          <w:color w:val="auto"/>
          <w:szCs w:val="21"/>
          <w:u w:val="single"/>
        </w:rPr>
        <w:t xml:space="preserve"> 1000</w:t>
      </w:r>
      <w:r>
        <w:rPr>
          <w:rFonts w:hint="eastAsia" w:ascii="宋体" w:hAnsi="宋体" w:cs="宋体"/>
          <w:color w:val="auto"/>
          <w:szCs w:val="21"/>
        </w:rPr>
        <w:t>元人民币 ，时间自预定的交工日期起到工程接收证书中写明的实际交工日期止（扣除已批准的延长工期），按天计算。逾期交工违约金累计金额最高不超过签约合同价的10%。发包人可以从应付或到期应付给承包人的任何款项中或采用其他方法扣除此违约金。</w:t>
      </w:r>
    </w:p>
    <w:p>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承包人支付逾期交工违约金，不免除承包人完成工程及修补缺陷的义务。</w:t>
      </w:r>
    </w:p>
    <w:p>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如果在合同工作完工之前，已对合同工程内按时完工的单位工程签发了工程接收证书，则合同工程的逾期交工违约金，应按已签发工程接收证书的单位工程的价值占合同工程价值的比例予以减少，但本规定不应影响逾期交工违约金的规定限额。</w:t>
      </w:r>
    </w:p>
    <w:p>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（4）逾期交工违约金的计算方法：</w:t>
      </w:r>
      <w:r>
        <w:rPr>
          <w:rFonts w:hint="eastAsia" w:ascii="宋体" w:hAnsi="宋体" w:cs="宋体"/>
          <w:bCs/>
          <w:color w:val="auto"/>
          <w:szCs w:val="21"/>
        </w:rPr>
        <w:t>承包人不能按照协议书约定的交工日期交工的，每延期1日，承包人向发包人支付</w:t>
      </w:r>
      <w:r>
        <w:rPr>
          <w:rFonts w:hint="eastAsia" w:ascii="宋体" w:hAnsi="宋体" w:cs="宋体"/>
          <w:bCs/>
          <w:color w:val="auto"/>
          <w:szCs w:val="21"/>
          <w:u w:val="single"/>
        </w:rPr>
        <w:softHyphen/>
      </w:r>
      <w:r>
        <w:rPr>
          <w:rFonts w:hint="eastAsia" w:ascii="宋体" w:hAnsi="宋体" w:cs="宋体"/>
          <w:color w:val="auto"/>
          <w:szCs w:val="21"/>
          <w:u w:val="single"/>
        </w:rPr>
        <w:t>人民币1000.00元/天</w:t>
      </w:r>
      <w:r>
        <w:rPr>
          <w:rFonts w:hint="eastAsia" w:ascii="宋体" w:hAnsi="宋体" w:cs="宋体"/>
          <w:bCs/>
          <w:color w:val="auto"/>
          <w:szCs w:val="21"/>
        </w:rPr>
        <w:t>违约金；</w:t>
      </w:r>
      <w:r>
        <w:rPr>
          <w:rFonts w:hint="eastAsia" w:ascii="宋体" w:hAnsi="宋体" w:cs="宋体"/>
          <w:color w:val="auto"/>
          <w:szCs w:val="21"/>
        </w:rPr>
        <w:t>逾期交工违约金限额：合同价的10%</w:t>
      </w:r>
      <w:r>
        <w:rPr>
          <w:rFonts w:hint="eastAsia" w:ascii="宋体" w:hAnsi="宋体" w:cs="宋体"/>
          <w:bCs/>
          <w:color w:val="auto"/>
          <w:szCs w:val="21"/>
        </w:rPr>
        <w:t>。</w:t>
      </w:r>
    </w:p>
    <w:p>
      <w:pPr>
        <w:snapToGrid w:val="0"/>
        <w:spacing w:line="460" w:lineRule="exact"/>
        <w:rPr>
          <w:rFonts w:hint="eastAsia" w:ascii="宋体" w:hAnsi="宋体" w:cs="宋体"/>
          <w:b/>
          <w:color w:val="auto"/>
          <w:szCs w:val="21"/>
        </w:rPr>
      </w:pPr>
      <w:r>
        <w:rPr>
          <w:rFonts w:hint="eastAsia" w:ascii="宋体" w:hAnsi="宋体" w:cs="宋体"/>
          <w:b/>
          <w:color w:val="auto"/>
          <w:szCs w:val="21"/>
        </w:rPr>
        <w:t>11.6工期提前</w:t>
      </w:r>
    </w:p>
    <w:p>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工期提前的奖金：</w:t>
      </w:r>
      <w:r>
        <w:rPr>
          <w:rFonts w:hint="eastAsia" w:ascii="宋体" w:hAnsi="宋体" w:cs="宋体"/>
          <w:color w:val="auto"/>
          <w:szCs w:val="21"/>
          <w:u w:val="single"/>
        </w:rPr>
        <w:t xml:space="preserve">   无      </w:t>
      </w:r>
      <w:r>
        <w:rPr>
          <w:rFonts w:hint="eastAsia" w:ascii="宋体" w:hAnsi="宋体" w:cs="宋体"/>
          <w:color w:val="auto"/>
          <w:szCs w:val="21"/>
        </w:rPr>
        <w:t>。</w:t>
      </w:r>
    </w:p>
    <w:p>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发包人不得随意要求承包人提前竣（交）工，承包人也不得随意提出提前竣（交）工的建议。如遇特殊情况，确需将工期提前的，发包人和承包人必须采取有效措施，确保工程质量。</w:t>
      </w:r>
    </w:p>
    <w:p>
      <w:pPr>
        <w:snapToGrid w:val="0"/>
        <w:spacing w:line="460" w:lineRule="exact"/>
        <w:rPr>
          <w:rFonts w:hint="eastAsia" w:ascii="宋体" w:hAnsi="宋体" w:cs="宋体"/>
          <w:b/>
          <w:color w:val="auto"/>
          <w:szCs w:val="21"/>
        </w:rPr>
      </w:pPr>
      <w:r>
        <w:rPr>
          <w:rFonts w:hint="eastAsia" w:ascii="宋体" w:hAnsi="宋体" w:cs="宋体"/>
          <w:b/>
          <w:color w:val="auto"/>
          <w:szCs w:val="21"/>
        </w:rPr>
        <w:t>11.7工作时间的限制</w:t>
      </w:r>
    </w:p>
    <w:p>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承包人在夜间或国家规定的节假日进行永久工程的施工，应向监理人报告，以便监理</w:t>
      </w:r>
      <w:r>
        <w:rPr>
          <w:rFonts w:hint="eastAsia" w:ascii="宋体" w:hAnsi="宋体" w:cs="宋体"/>
          <w:color w:val="auto"/>
          <w:szCs w:val="21"/>
          <w:lang w:eastAsia="zh-CN"/>
        </w:rPr>
        <w:t>人履行监理</w:t>
      </w:r>
      <w:r>
        <w:rPr>
          <w:rFonts w:hint="eastAsia" w:ascii="宋体" w:hAnsi="宋体" w:cs="宋体"/>
          <w:color w:val="auto"/>
          <w:szCs w:val="21"/>
        </w:rPr>
        <w:t>职责和义务。</w:t>
      </w:r>
    </w:p>
    <w:p>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但是，为了抢救生命或保护财产，或为了工程的安全、质量而不可避免地短暂作业，则不必事先向监理人报告。但承包人应在事后立即向监理人报告。</w:t>
      </w:r>
    </w:p>
    <w:p>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本款规定不适用于习惯上或施工本身要求实行连续生产的作业。</w:t>
      </w:r>
    </w:p>
    <w:p>
      <w:pPr>
        <w:pStyle w:val="5"/>
        <w:snapToGrid w:val="0"/>
        <w:spacing w:before="0" w:after="0" w:line="460" w:lineRule="exact"/>
        <w:rPr>
          <w:rFonts w:hint="eastAsia" w:ascii="宋体" w:hAnsi="宋体" w:cs="宋体"/>
          <w:snapToGrid w:val="0"/>
          <w:color w:val="auto"/>
          <w:sz w:val="24"/>
          <w:szCs w:val="22"/>
        </w:rPr>
      </w:pPr>
      <w:bookmarkStart w:id="810" w:name="_Toc22366"/>
      <w:bookmarkStart w:id="811" w:name="_Toc480790543"/>
      <w:r>
        <w:rPr>
          <w:rFonts w:hint="eastAsia" w:ascii="宋体" w:hAnsi="宋体" w:cs="宋体"/>
          <w:snapToGrid w:val="0"/>
          <w:color w:val="auto"/>
          <w:sz w:val="24"/>
          <w:szCs w:val="22"/>
        </w:rPr>
        <w:t>12.暂停施工</w:t>
      </w:r>
      <w:bookmarkEnd w:id="810"/>
      <w:bookmarkEnd w:id="811"/>
    </w:p>
    <w:p>
      <w:pPr>
        <w:snapToGrid w:val="0"/>
        <w:spacing w:line="460" w:lineRule="exact"/>
        <w:rPr>
          <w:rFonts w:hint="eastAsia" w:ascii="宋体" w:hAnsi="宋体" w:cs="宋体"/>
          <w:b/>
          <w:color w:val="auto"/>
          <w:szCs w:val="21"/>
        </w:rPr>
      </w:pPr>
      <w:r>
        <w:rPr>
          <w:rFonts w:hint="eastAsia" w:ascii="宋体" w:hAnsi="宋体" w:cs="宋体"/>
          <w:b/>
          <w:color w:val="auto"/>
          <w:szCs w:val="21"/>
        </w:rPr>
        <w:t>12.1承包人暂停施工的责任</w:t>
      </w:r>
    </w:p>
    <w:p>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本款第（5）项细化为：</w:t>
      </w:r>
    </w:p>
    <w:p>
      <w:pPr>
        <w:spacing w:line="460" w:lineRule="exact"/>
        <w:rPr>
          <w:rFonts w:hint="eastAsia" w:ascii="宋体" w:hAnsi="宋体" w:cs="宋体"/>
          <w:color w:val="auto"/>
        </w:rPr>
      </w:pPr>
      <w:bookmarkStart w:id="812" w:name="_Toc372010118"/>
      <w:r>
        <w:rPr>
          <w:rFonts w:hint="eastAsia" w:ascii="宋体" w:hAnsi="宋体" w:cs="宋体"/>
          <w:color w:val="auto"/>
        </w:rPr>
        <w:t xml:space="preserve">    </w:t>
      </w:r>
      <w:r>
        <w:rPr>
          <w:rFonts w:hint="eastAsia" w:ascii="宋体" w:hAnsi="宋体" w:cs="宋体"/>
          <w:color w:val="auto"/>
          <w:szCs w:val="21"/>
        </w:rPr>
        <w:t>（1）</w:t>
      </w:r>
      <w:r>
        <w:rPr>
          <w:rFonts w:hint="eastAsia" w:ascii="宋体" w:hAnsi="宋体" w:cs="宋体"/>
          <w:color w:val="auto"/>
        </w:rPr>
        <w:t>现场气候条件导致的必要停工（第11.4款规定的异常恶劣的气候条件除外）；</w:t>
      </w:r>
      <w:bookmarkEnd w:id="812"/>
    </w:p>
    <w:p>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（2）项目专用合同条款约定的由承包人承担的其他暂停施工。</w:t>
      </w:r>
    </w:p>
    <w:p>
      <w:pPr>
        <w:pStyle w:val="5"/>
        <w:snapToGrid w:val="0"/>
        <w:spacing w:before="0" w:after="0" w:line="460" w:lineRule="exact"/>
        <w:rPr>
          <w:rFonts w:hint="eastAsia" w:ascii="宋体" w:hAnsi="宋体" w:cs="宋体"/>
          <w:snapToGrid w:val="0"/>
          <w:color w:val="auto"/>
          <w:sz w:val="24"/>
          <w:szCs w:val="22"/>
        </w:rPr>
      </w:pPr>
      <w:bookmarkStart w:id="813" w:name="_Toc7085"/>
      <w:bookmarkStart w:id="814" w:name="_Toc480790544"/>
      <w:r>
        <w:rPr>
          <w:rFonts w:hint="eastAsia" w:ascii="宋体" w:hAnsi="宋体" w:cs="宋体"/>
          <w:snapToGrid w:val="0"/>
          <w:color w:val="auto"/>
          <w:sz w:val="24"/>
          <w:szCs w:val="22"/>
        </w:rPr>
        <w:t>13.工程质量</w:t>
      </w:r>
      <w:bookmarkEnd w:id="813"/>
      <w:bookmarkEnd w:id="814"/>
    </w:p>
    <w:p>
      <w:pPr>
        <w:snapToGrid w:val="0"/>
        <w:spacing w:line="460" w:lineRule="exact"/>
        <w:rPr>
          <w:rFonts w:hint="eastAsia" w:ascii="宋体" w:hAnsi="宋体" w:cs="宋体"/>
          <w:b/>
          <w:color w:val="auto"/>
          <w:szCs w:val="21"/>
        </w:rPr>
      </w:pPr>
      <w:r>
        <w:rPr>
          <w:rFonts w:hint="eastAsia" w:ascii="宋体" w:hAnsi="宋体" w:cs="宋体"/>
          <w:b/>
          <w:color w:val="auto"/>
          <w:szCs w:val="21"/>
        </w:rPr>
        <w:t>13.1工程质量要求</w:t>
      </w:r>
    </w:p>
    <w:p>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工程质量验收按技术规范及《公路工程质量检验评定标准》执行。</w:t>
      </w:r>
    </w:p>
    <w:p>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13.1.4发包人和承包人应严格遵守《关于严格落实公路工程质量责任制的若干意见》的相关规定，认真执行工程质量责任登记制度并按要求填写工程质量责任登记表。</w:t>
      </w:r>
    </w:p>
    <w:p>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13.1.5本项目严格执行质量责任追究制度。质量事故处理实行“四不放过”原则：事故原因调查不清不放过；事故责任者没有受到教育不放过；没有防范措施不放过；相关责任人</w:t>
      </w:r>
      <w:r>
        <w:rPr>
          <w:rFonts w:hint="eastAsia" w:ascii="宋体" w:hAnsi="宋体" w:cs="宋体"/>
          <w:color w:val="auto"/>
          <w:szCs w:val="21"/>
          <w:lang w:eastAsia="zh-CN"/>
        </w:rPr>
        <w:t>没有</w:t>
      </w:r>
      <w:r>
        <w:rPr>
          <w:rFonts w:hint="eastAsia" w:ascii="宋体" w:hAnsi="宋体" w:cs="宋体"/>
          <w:color w:val="auto"/>
          <w:szCs w:val="21"/>
        </w:rPr>
        <w:t>受到处理不放过。</w:t>
      </w:r>
    </w:p>
    <w:p>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严格遵守并执行《重庆市农村公路建设管理办法》的相关规定。</w:t>
      </w:r>
    </w:p>
    <w:p>
      <w:pPr>
        <w:snapToGrid w:val="0"/>
        <w:spacing w:line="460" w:lineRule="exact"/>
        <w:rPr>
          <w:rFonts w:hint="eastAsia" w:ascii="宋体" w:hAnsi="宋体" w:cs="宋体"/>
          <w:b/>
          <w:color w:val="auto"/>
          <w:szCs w:val="21"/>
        </w:rPr>
      </w:pPr>
      <w:r>
        <w:rPr>
          <w:rFonts w:hint="eastAsia" w:ascii="宋体" w:hAnsi="宋体" w:cs="宋体"/>
          <w:b/>
          <w:color w:val="auto"/>
          <w:szCs w:val="21"/>
        </w:rPr>
        <w:t>13.2承包人的质量管理</w:t>
      </w:r>
    </w:p>
    <w:p>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第13.2.1项补充：</w:t>
      </w:r>
    </w:p>
    <w:p>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承包人提交工程质量保证措施文件的期限：签订合同协议书后14天之内。</w:t>
      </w:r>
    </w:p>
    <w:p>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本款补充第13.2.3项～第13.2.6项：</w:t>
      </w:r>
    </w:p>
    <w:p>
      <w:pPr>
        <w:spacing w:line="440" w:lineRule="exact"/>
        <w:ind w:firstLine="420" w:firstLineChars="200"/>
        <w:rPr>
          <w:rFonts w:hint="eastAsia" w:ascii="宋体" w:hAnsi="宋体" w:cs="宋体"/>
          <w:color w:val="auto"/>
          <w:szCs w:val="21"/>
        </w:rPr>
      </w:pPr>
      <w:r>
        <w:rPr>
          <w:rFonts w:hint="eastAsia" w:ascii="宋体" w:hAnsi="宋体" w:cs="宋体"/>
          <w:color w:val="auto"/>
          <w:szCs w:val="21"/>
        </w:rPr>
        <w:t>13.2.3承包人必须遵守国家有关法律、法规和规章，严格执行公路工程强制性技术标准、各类技术规范及规程，全面履行工程合同义务，依法对公路工程质量负责。</w:t>
      </w:r>
    </w:p>
    <w:p>
      <w:pPr>
        <w:spacing w:line="440" w:lineRule="exact"/>
        <w:ind w:firstLine="420" w:firstLineChars="200"/>
        <w:rPr>
          <w:rFonts w:hint="eastAsia" w:ascii="宋体" w:hAnsi="宋体" w:cs="宋体"/>
          <w:color w:val="auto"/>
          <w:szCs w:val="21"/>
        </w:rPr>
      </w:pPr>
      <w:r>
        <w:rPr>
          <w:rFonts w:hint="eastAsia" w:ascii="宋体" w:hAnsi="宋体" w:cs="宋体"/>
          <w:color w:val="auto"/>
          <w:szCs w:val="21"/>
        </w:rPr>
        <w:t>13.2.4承包人应加强质量监控，确保规范规定的检验、抽检频率，现场质检的原始资料必须真实、准确、可靠，不得追记，接受质量检查时必须出示原始资料。</w:t>
      </w:r>
    </w:p>
    <w:p>
      <w:pPr>
        <w:spacing w:line="440" w:lineRule="exact"/>
        <w:ind w:firstLine="420" w:firstLineChars="200"/>
        <w:rPr>
          <w:rFonts w:hint="eastAsia" w:ascii="宋体" w:hAnsi="宋体" w:cs="宋体"/>
          <w:color w:val="auto"/>
          <w:szCs w:val="21"/>
        </w:rPr>
      </w:pPr>
      <w:r>
        <w:rPr>
          <w:rFonts w:hint="eastAsia" w:ascii="宋体" w:hAnsi="宋体" w:cs="宋体"/>
          <w:color w:val="auto"/>
          <w:szCs w:val="21"/>
        </w:rPr>
        <w:t>13.2.5承包人必须完善检验手段，根据技术规范的规定配齐检测和试验仪器、仪表，并应及时校正确保其精度；根据合同要求加强工地试验室的管理；加强标准计量基础工作和材料检验工作，不得违规计量，不合格材料严禁用于本工程。</w:t>
      </w:r>
    </w:p>
    <w:p>
      <w:pPr>
        <w:spacing w:line="440" w:lineRule="exact"/>
        <w:ind w:firstLine="420" w:firstLineChars="200"/>
        <w:rPr>
          <w:rFonts w:hint="eastAsia" w:ascii="宋体" w:hAnsi="宋体" w:cs="宋体"/>
          <w:color w:val="auto"/>
          <w:szCs w:val="21"/>
        </w:rPr>
      </w:pPr>
      <w:r>
        <w:rPr>
          <w:rFonts w:hint="eastAsia" w:ascii="宋体" w:hAnsi="宋体" w:cs="宋体"/>
          <w:color w:val="auto"/>
          <w:szCs w:val="21"/>
        </w:rPr>
        <w:t>13.2.6承包人驻工程现场机构应在现场驻地和重要的分部、分项工程施工现场设置明显的工程质量责任登记表公示牌。</w:t>
      </w:r>
    </w:p>
    <w:p>
      <w:pPr>
        <w:snapToGrid w:val="0"/>
        <w:spacing w:line="440" w:lineRule="exact"/>
        <w:rPr>
          <w:rFonts w:hint="eastAsia" w:ascii="宋体" w:hAnsi="宋体" w:cs="宋体"/>
          <w:b/>
          <w:color w:val="auto"/>
          <w:szCs w:val="21"/>
        </w:rPr>
      </w:pPr>
      <w:r>
        <w:rPr>
          <w:rFonts w:hint="eastAsia" w:ascii="宋体" w:hAnsi="宋体" w:cs="宋体"/>
          <w:b/>
          <w:color w:val="auto"/>
          <w:szCs w:val="21"/>
        </w:rPr>
        <w:t>13.4监理人的质量检查</w:t>
      </w:r>
    </w:p>
    <w:p>
      <w:pPr>
        <w:spacing w:line="440" w:lineRule="exact"/>
        <w:ind w:firstLine="420" w:firstLineChars="200"/>
        <w:rPr>
          <w:rFonts w:hint="eastAsia" w:ascii="宋体" w:hAnsi="宋体" w:cs="宋体"/>
          <w:color w:val="auto"/>
          <w:szCs w:val="21"/>
        </w:rPr>
      </w:pPr>
      <w:r>
        <w:rPr>
          <w:rFonts w:hint="eastAsia" w:ascii="宋体" w:hAnsi="宋体" w:cs="宋体"/>
          <w:color w:val="auto"/>
          <w:szCs w:val="21"/>
        </w:rPr>
        <w:t>本款补充：</w:t>
      </w:r>
    </w:p>
    <w:p>
      <w:pPr>
        <w:spacing w:line="440" w:lineRule="exact"/>
        <w:ind w:firstLine="388" w:firstLineChars="200"/>
        <w:rPr>
          <w:rFonts w:hint="eastAsia" w:ascii="宋体" w:hAnsi="宋体" w:cs="宋体"/>
          <w:color w:val="auto"/>
          <w:spacing w:val="-8"/>
          <w:szCs w:val="21"/>
        </w:rPr>
      </w:pPr>
      <w:r>
        <w:rPr>
          <w:rFonts w:hint="eastAsia" w:ascii="宋体" w:hAnsi="宋体" w:cs="宋体"/>
          <w:color w:val="auto"/>
          <w:spacing w:val="-8"/>
          <w:szCs w:val="21"/>
        </w:rPr>
        <w:t>监理人及其委派的检验人员，应能进入工程现场，以及材料或工程设备的制造、加工或制配的车间和场所，包括不属于承包人的车间或场所进行检查，承包人应为此提供便利和协助。</w:t>
      </w:r>
    </w:p>
    <w:p>
      <w:pPr>
        <w:spacing w:line="440" w:lineRule="exact"/>
        <w:ind w:firstLine="420" w:firstLineChars="200"/>
        <w:rPr>
          <w:rFonts w:hint="eastAsia" w:ascii="宋体" w:hAnsi="宋体" w:cs="宋体"/>
          <w:color w:val="auto"/>
          <w:szCs w:val="21"/>
        </w:rPr>
      </w:pPr>
      <w:r>
        <w:rPr>
          <w:rFonts w:hint="eastAsia" w:ascii="宋体" w:hAnsi="宋体" w:cs="宋体"/>
          <w:color w:val="auto"/>
          <w:szCs w:val="21"/>
        </w:rPr>
        <w:t>监理人可以将材料或工程设备的检查委托给一家独立的有质量检验认证资格的检验单位。该独立检验单位的检验结果应视为监理人完成的。监理人应将这种委托的通知书不少于7天交给承包人。</w:t>
      </w:r>
    </w:p>
    <w:p>
      <w:pPr>
        <w:snapToGrid w:val="0"/>
        <w:spacing w:line="440" w:lineRule="exact"/>
        <w:rPr>
          <w:rFonts w:hint="eastAsia" w:ascii="宋体" w:hAnsi="宋体" w:cs="宋体"/>
          <w:b/>
          <w:color w:val="auto"/>
          <w:szCs w:val="21"/>
        </w:rPr>
      </w:pPr>
      <w:r>
        <w:rPr>
          <w:rFonts w:hint="eastAsia" w:ascii="宋体" w:hAnsi="宋体" w:cs="宋体"/>
          <w:b/>
          <w:color w:val="auto"/>
          <w:szCs w:val="21"/>
        </w:rPr>
        <w:t>13.5工程隐蔽部位覆盖前的检查</w:t>
      </w:r>
    </w:p>
    <w:p>
      <w:pPr>
        <w:spacing w:line="440" w:lineRule="exact"/>
        <w:ind w:firstLine="420" w:firstLineChars="200"/>
        <w:rPr>
          <w:rFonts w:hint="eastAsia" w:ascii="宋体" w:hAnsi="宋体" w:cs="宋体"/>
          <w:color w:val="auto"/>
          <w:szCs w:val="21"/>
        </w:rPr>
      </w:pPr>
      <w:r>
        <w:rPr>
          <w:rFonts w:hint="eastAsia" w:ascii="宋体" w:hAnsi="宋体" w:cs="宋体"/>
          <w:color w:val="auto"/>
          <w:szCs w:val="21"/>
        </w:rPr>
        <w:t>第13.5.1项补充：</w:t>
      </w:r>
    </w:p>
    <w:p>
      <w:pPr>
        <w:spacing w:line="440" w:lineRule="exact"/>
        <w:ind w:firstLine="420" w:firstLineChars="200"/>
        <w:rPr>
          <w:rFonts w:hint="eastAsia" w:ascii="宋体" w:hAnsi="宋体" w:cs="宋体"/>
          <w:color w:val="auto"/>
          <w:szCs w:val="21"/>
        </w:rPr>
      </w:pPr>
      <w:r>
        <w:rPr>
          <w:rFonts w:hint="eastAsia" w:ascii="宋体" w:hAnsi="宋体" w:cs="宋体"/>
          <w:color w:val="auto"/>
          <w:szCs w:val="21"/>
        </w:rPr>
        <w:t>通知监理人检查的期限：承包人应至少提前24小时，当监理人有指示时，承包人应对重要隐蔽工程进行拍摄或照相并应保证监理人有充分的机会对将要覆盖或隐蔽的工程进行检查或量测，特别是在基础以上的任一部分工程修筑之前，对该基础进行检查。</w:t>
      </w:r>
    </w:p>
    <w:p>
      <w:pPr>
        <w:snapToGrid w:val="0"/>
        <w:spacing w:line="440" w:lineRule="exact"/>
        <w:rPr>
          <w:rFonts w:hint="eastAsia" w:ascii="宋体" w:hAnsi="宋体" w:cs="宋体"/>
          <w:b/>
          <w:color w:val="auto"/>
          <w:szCs w:val="21"/>
        </w:rPr>
      </w:pPr>
      <w:r>
        <w:rPr>
          <w:rFonts w:hint="eastAsia" w:ascii="宋体" w:hAnsi="宋体" w:cs="宋体"/>
          <w:b/>
          <w:color w:val="auto"/>
          <w:szCs w:val="21"/>
        </w:rPr>
        <w:t>13.6清除不合格工程</w:t>
      </w:r>
    </w:p>
    <w:p>
      <w:pPr>
        <w:spacing w:line="440" w:lineRule="exact"/>
        <w:ind w:firstLine="420" w:firstLineChars="200"/>
        <w:rPr>
          <w:rFonts w:hint="eastAsia" w:ascii="宋体" w:hAnsi="宋体" w:cs="宋体"/>
          <w:color w:val="auto"/>
          <w:szCs w:val="21"/>
        </w:rPr>
      </w:pPr>
      <w:r>
        <w:rPr>
          <w:rFonts w:hint="eastAsia" w:ascii="宋体" w:hAnsi="宋体" w:cs="宋体"/>
          <w:color w:val="auto"/>
          <w:szCs w:val="21"/>
        </w:rPr>
        <w:t>第13.6.1项细化为：</w:t>
      </w:r>
    </w:p>
    <w:p>
      <w:pPr>
        <w:spacing w:line="440" w:lineRule="exact"/>
        <w:ind w:firstLine="420" w:firstLineChars="200"/>
        <w:rPr>
          <w:rFonts w:hint="eastAsia" w:ascii="宋体" w:hAnsi="宋体" w:cs="宋体"/>
          <w:color w:val="auto"/>
          <w:szCs w:val="21"/>
        </w:rPr>
      </w:pPr>
      <w:r>
        <w:rPr>
          <w:rFonts w:hint="eastAsia" w:ascii="宋体" w:hAnsi="宋体" w:cs="宋体"/>
          <w:color w:val="auto"/>
          <w:szCs w:val="21"/>
        </w:rPr>
        <w:t>（1）承包人使用不合格材料、工程设备，或采用不适当的施工工艺，或施工不当，造成工程不合格的，监理人可以随时发出指示，要求承包人立即采取措施进行替换、补救或拆除重建，直至达到合同要求的质量标准，由此增加的费用和（或）工期延误由承包人承担。</w:t>
      </w:r>
    </w:p>
    <w:p>
      <w:pPr>
        <w:spacing w:line="440" w:lineRule="exact"/>
        <w:ind w:firstLine="420" w:firstLineChars="200"/>
        <w:rPr>
          <w:rFonts w:hint="eastAsia" w:ascii="宋体" w:hAnsi="宋体" w:cs="宋体"/>
          <w:color w:val="auto"/>
          <w:szCs w:val="21"/>
        </w:rPr>
      </w:pPr>
      <w:r>
        <w:rPr>
          <w:rFonts w:hint="eastAsia" w:ascii="宋体" w:hAnsi="宋体" w:cs="宋体"/>
          <w:color w:val="auto"/>
          <w:szCs w:val="21"/>
        </w:rPr>
        <w:t>（2）如果承包人未在规定时间内执行监理人的指示，发包人有权雇用他人执行，由此增加的费用和（或）工期延误由承包人承担。</w:t>
      </w:r>
    </w:p>
    <w:p>
      <w:pPr>
        <w:pStyle w:val="6"/>
        <w:snapToGrid w:val="0"/>
        <w:spacing w:before="0" w:after="0" w:line="440" w:lineRule="exact"/>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14.试验和检验费用</w:t>
      </w:r>
    </w:p>
    <w:p>
      <w:pPr>
        <w:spacing w:line="440" w:lineRule="exact"/>
        <w:ind w:firstLine="420" w:firstLineChars="200"/>
        <w:rPr>
          <w:rFonts w:hint="eastAsia" w:ascii="宋体" w:hAnsi="宋体" w:cs="宋体"/>
          <w:color w:val="auto"/>
        </w:rPr>
      </w:pPr>
      <w:r>
        <w:rPr>
          <w:rFonts w:hint="eastAsia" w:ascii="宋体" w:hAnsi="宋体" w:cs="宋体"/>
          <w:color w:val="auto"/>
        </w:rPr>
        <w:t>补充14.4试验和检验费用</w:t>
      </w:r>
    </w:p>
    <w:p>
      <w:pPr>
        <w:spacing w:line="440" w:lineRule="exact"/>
        <w:ind w:firstLine="420" w:firstLineChars="200"/>
        <w:rPr>
          <w:rFonts w:hint="eastAsia" w:ascii="宋体" w:hAnsi="宋体" w:cs="宋体"/>
          <w:color w:val="auto"/>
          <w:szCs w:val="21"/>
        </w:rPr>
      </w:pPr>
      <w:r>
        <w:rPr>
          <w:rFonts w:hint="eastAsia" w:ascii="宋体" w:hAnsi="宋体" w:cs="宋体"/>
          <w:color w:val="auto"/>
          <w:szCs w:val="21"/>
        </w:rPr>
        <w:t>（1）承包人应负责提供合同和技术规范规定的试验和检验所需的全部样品，并承担其费用。</w:t>
      </w:r>
    </w:p>
    <w:p>
      <w:pPr>
        <w:spacing w:line="440" w:lineRule="exact"/>
        <w:ind w:firstLine="420" w:firstLineChars="200"/>
        <w:rPr>
          <w:rFonts w:hint="eastAsia" w:ascii="宋体" w:hAnsi="宋体" w:cs="宋体"/>
          <w:color w:val="auto"/>
          <w:szCs w:val="21"/>
        </w:rPr>
      </w:pPr>
      <w:r>
        <w:rPr>
          <w:rFonts w:hint="eastAsia" w:ascii="宋体" w:hAnsi="宋体" w:cs="宋体"/>
          <w:color w:val="auto"/>
          <w:szCs w:val="21"/>
        </w:rPr>
        <w:t>（2）在合同中明确规定的试验和检验，包括无须在工程量清单中单独列项和已在工程量清单中单独列项的试验和检验，其试验和检验的费用由承包人承担。</w:t>
      </w:r>
    </w:p>
    <w:p>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3）如果监理人所要求做的试验和检验为合同未规定的或是在该材料或工程设备的制造、加工、制配场地以外的场地进行的，则检验结束后，如表明操作工艺或材料、工程设备未能符合合同规定，其费用应由承包人承担，否则，其费用应由发包人承担。</w:t>
      </w:r>
    </w:p>
    <w:p>
      <w:pPr>
        <w:pStyle w:val="5"/>
        <w:snapToGrid w:val="0"/>
        <w:spacing w:before="0" w:after="0" w:line="440" w:lineRule="exact"/>
        <w:rPr>
          <w:rFonts w:hint="eastAsia" w:ascii="宋体" w:hAnsi="宋体" w:cs="宋体"/>
          <w:snapToGrid w:val="0"/>
          <w:color w:val="auto"/>
          <w:sz w:val="24"/>
          <w:szCs w:val="22"/>
        </w:rPr>
      </w:pPr>
      <w:bookmarkStart w:id="815" w:name="_Toc15308"/>
      <w:bookmarkStart w:id="816" w:name="_Toc480790545"/>
      <w:r>
        <w:rPr>
          <w:rFonts w:hint="eastAsia" w:ascii="宋体" w:hAnsi="宋体" w:cs="宋体"/>
          <w:snapToGrid w:val="0"/>
          <w:color w:val="auto"/>
          <w:sz w:val="24"/>
          <w:szCs w:val="22"/>
        </w:rPr>
        <w:t>15.变更</w:t>
      </w:r>
      <w:bookmarkEnd w:id="815"/>
      <w:r>
        <w:rPr>
          <w:rFonts w:hint="eastAsia" w:ascii="宋体" w:hAnsi="宋体" w:cs="宋体"/>
          <w:snapToGrid w:val="0"/>
          <w:color w:val="auto"/>
          <w:sz w:val="24"/>
          <w:szCs w:val="22"/>
        </w:rPr>
        <w:t>估价</w:t>
      </w:r>
      <w:bookmarkEnd w:id="816"/>
    </w:p>
    <w:p>
      <w:pPr>
        <w:spacing w:line="440" w:lineRule="exact"/>
        <w:rPr>
          <w:rFonts w:hint="eastAsia" w:ascii="宋体" w:hAnsi="宋体" w:cs="宋体"/>
          <w:color w:val="auto"/>
          <w:szCs w:val="21"/>
        </w:rPr>
      </w:pPr>
      <w:r>
        <w:rPr>
          <w:rFonts w:hint="eastAsia" w:ascii="宋体" w:hAnsi="宋体" w:cs="宋体"/>
          <w:color w:val="auto"/>
          <w:szCs w:val="21"/>
        </w:rPr>
        <w:t xml:space="preserve">    监理人收到承包人变更报价书后的14 天内，根据第15.1款约定的估价原则，但不得超过审计单位核准的设计变更预算。</w:t>
      </w:r>
    </w:p>
    <w:p>
      <w:pPr>
        <w:snapToGrid w:val="0"/>
        <w:spacing w:line="440" w:lineRule="exact"/>
        <w:rPr>
          <w:rFonts w:hint="eastAsia" w:ascii="宋体" w:hAnsi="宋体" w:cs="宋体"/>
          <w:b/>
          <w:color w:val="auto"/>
          <w:szCs w:val="21"/>
          <w:highlight w:val="none"/>
        </w:rPr>
      </w:pPr>
      <w:r>
        <w:rPr>
          <w:rFonts w:hint="eastAsia" w:ascii="宋体" w:hAnsi="宋体" w:cs="宋体"/>
          <w:b/>
          <w:color w:val="auto"/>
          <w:szCs w:val="21"/>
          <w:highlight w:val="none"/>
        </w:rPr>
        <w:t>15.4工程量变更的估价原则</w:t>
      </w:r>
    </w:p>
    <w:p>
      <w:pPr>
        <w:autoSpaceDE w:val="0"/>
        <w:autoSpaceDN w:val="0"/>
        <w:adjustRightInd w:val="0"/>
        <w:snapToGrid w:val="0"/>
        <w:spacing w:line="440" w:lineRule="exact"/>
        <w:ind w:firstLine="420" w:firstLineChars="200"/>
        <w:rPr>
          <w:rFonts w:hint="eastAsia" w:ascii="宋体" w:hAnsi="宋体" w:cs="宋体"/>
          <w:color w:val="auto"/>
          <w:szCs w:val="21"/>
        </w:rPr>
      </w:pPr>
      <w:r>
        <w:rPr>
          <w:rFonts w:hint="eastAsia" w:ascii="宋体" w:hAnsi="宋体" w:cs="宋体"/>
          <w:color w:val="auto"/>
          <w:szCs w:val="21"/>
        </w:rPr>
        <w:t>设计变更及增减工程量计价原则 ：</w:t>
      </w:r>
    </w:p>
    <w:p>
      <w:pPr>
        <w:spacing w:line="440" w:lineRule="exact"/>
        <w:ind w:firstLine="420" w:firstLineChars="200"/>
        <w:rPr>
          <w:rFonts w:hint="eastAsia" w:ascii="宋体" w:hAnsi="宋体" w:cs="宋体"/>
          <w:color w:val="auto"/>
        </w:rPr>
      </w:pPr>
      <w:r>
        <w:rPr>
          <w:rFonts w:hint="eastAsia" w:ascii="宋体" w:hAnsi="宋体" w:cs="宋体"/>
          <w:color w:val="auto"/>
          <w:szCs w:val="21"/>
        </w:rPr>
        <w:t>（1）</w:t>
      </w:r>
      <w:r>
        <w:rPr>
          <w:rFonts w:hint="eastAsia" w:ascii="宋体" w:hAnsi="宋体" w:cs="宋体"/>
          <w:color w:val="auto"/>
        </w:rPr>
        <w:t>本工程工程量必须经抽选人、中选人和监理人三方签证认可。</w:t>
      </w:r>
      <w:r>
        <w:rPr>
          <w:rFonts w:hint="eastAsia" w:ascii="宋体" w:hAnsi="宋体" w:cs="宋体"/>
          <w:color w:val="auto"/>
          <w:szCs w:val="21"/>
        </w:rPr>
        <w:t>增减（变更）</w:t>
      </w:r>
      <w:r>
        <w:rPr>
          <w:rFonts w:hint="eastAsia" w:ascii="宋体" w:hAnsi="宋体" w:cs="仿宋"/>
          <w:color w:val="auto"/>
          <w:szCs w:val="21"/>
        </w:rPr>
        <w:t>工程内容如有与已标价工程量清单中相同的子项或类似子项，则按已标价的相同子项或类似子项的综合单价执行（类似子项的综合单价由</w:t>
      </w:r>
      <w:r>
        <w:rPr>
          <w:rFonts w:hint="eastAsia" w:ascii="新宋体" w:hAnsi="新宋体" w:eastAsia="新宋体" w:cs="新宋体"/>
          <w:color w:val="auto"/>
          <w:kern w:val="0"/>
        </w:rPr>
        <w:t>发包</w:t>
      </w:r>
      <w:r>
        <w:rPr>
          <w:rFonts w:hint="eastAsia" w:ascii="宋体" w:hAnsi="宋体" w:cs="仿宋"/>
          <w:color w:val="auto"/>
          <w:szCs w:val="21"/>
        </w:rPr>
        <w:t>人审定）；</w:t>
      </w:r>
    </w:p>
    <w:p>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（2）增减（变更）工程内容如有与已标价工程量清单中不同的子项（既无相同子项，又无类似子项），则按照</w:t>
      </w:r>
      <w:r>
        <w:rPr>
          <w:rFonts w:hint="eastAsia" w:ascii="宋体" w:hAnsi="宋体" w:cs="宋体"/>
          <w:color w:val="auto"/>
          <w:szCs w:val="21"/>
          <w:lang w:eastAsia="zh-CN"/>
        </w:rPr>
        <w:t>交通运输部</w:t>
      </w:r>
      <w:r>
        <w:rPr>
          <w:rFonts w:hint="eastAsia" w:ascii="宋体" w:hAnsi="宋体" w:cs="宋体"/>
          <w:color w:val="auto"/>
          <w:szCs w:val="21"/>
        </w:rPr>
        <w:t>交公发</w:t>
      </w:r>
      <w:r>
        <w:rPr>
          <w:rFonts w:hint="eastAsia" w:ascii="宋体" w:hAnsi="宋体" w:cs="宋体"/>
          <w:color w:val="auto"/>
          <w:szCs w:val="21"/>
          <w:lang w:eastAsia="zh-CN"/>
        </w:rPr>
        <w:t>〔2018〕86号</w:t>
      </w:r>
      <w:r>
        <w:rPr>
          <w:rFonts w:hint="eastAsia" w:ascii="宋体" w:hAnsi="宋体" w:cs="宋体"/>
          <w:color w:val="auto"/>
          <w:szCs w:val="21"/>
        </w:rPr>
        <w:t>文发布的《公路工程基本建设项目概算预算编制办法》</w:t>
      </w:r>
      <w:r>
        <w:rPr>
          <w:rFonts w:hint="eastAsia" w:ascii="宋体" w:hAnsi="宋体" w:cs="宋体"/>
          <w:color w:val="auto"/>
          <w:szCs w:val="21"/>
          <w:lang w:eastAsia="zh-CN"/>
        </w:rPr>
        <w:t>（</w:t>
      </w:r>
      <w:r>
        <w:rPr>
          <w:rFonts w:hint="eastAsia" w:ascii="宋体" w:hAnsi="宋体" w:cs="宋体"/>
          <w:color w:val="auto"/>
          <w:szCs w:val="21"/>
        </w:rPr>
        <w:t>JTG 3830-2018）、《公路工程预算定额 》</w:t>
      </w:r>
      <w:r>
        <w:rPr>
          <w:rFonts w:hint="eastAsia" w:ascii="宋体" w:hAnsi="宋体" w:cs="宋体"/>
          <w:color w:val="auto"/>
          <w:szCs w:val="21"/>
          <w:lang w:eastAsia="zh-CN"/>
        </w:rPr>
        <w:t>（</w:t>
      </w:r>
      <w:r>
        <w:rPr>
          <w:rFonts w:hint="eastAsia" w:ascii="宋体" w:hAnsi="宋体" w:cs="宋体"/>
          <w:color w:val="auto"/>
          <w:szCs w:val="21"/>
        </w:rPr>
        <w:t>JTG/T 3832-2018）、《公路工程机械台班费用定额》</w:t>
      </w:r>
      <w:r>
        <w:rPr>
          <w:rFonts w:hint="eastAsia" w:ascii="宋体" w:hAnsi="宋体" w:cs="宋体"/>
          <w:color w:val="auto"/>
          <w:szCs w:val="21"/>
          <w:lang w:eastAsia="zh-CN"/>
        </w:rPr>
        <w:t>（</w:t>
      </w:r>
      <w:r>
        <w:rPr>
          <w:rFonts w:hint="eastAsia" w:ascii="宋体" w:hAnsi="宋体" w:cs="宋体"/>
          <w:color w:val="auto"/>
          <w:szCs w:val="21"/>
        </w:rPr>
        <w:t>JTG/T 3833-2018 ），交通运输部发《公路工程营业税改征增值税计价依据调整方案》（交办公路［2016]66号），交通运输部发［2019]26号《关于调整〈公路工程建设项目投资估算编制办法〉(JTG3820-2018）和〈公路工程建设项目概算预算编制办法〉(JTG3830-2018）中：“税金”有关规定的公告》，重庆市交通局《重庆市交通局关于发布重庆市公路工程补充性造价依据（2019-1）的通知》（渝交路〔2019〕29号）及相关配套文件计算后，下浮10%后结算。【其中：人工单价按渝交路</w:t>
      </w:r>
      <w:r>
        <w:rPr>
          <w:rFonts w:hint="eastAsia" w:ascii="宋体" w:hAnsi="宋体" w:cs="宋体"/>
          <w:color w:val="auto"/>
          <w:szCs w:val="21"/>
          <w:lang w:eastAsia="zh-CN"/>
        </w:rPr>
        <w:t>〔2019〕29号</w:t>
      </w:r>
      <w:r>
        <w:rPr>
          <w:rFonts w:hint="eastAsia" w:ascii="宋体" w:hAnsi="宋体" w:cs="宋体"/>
          <w:color w:val="auto"/>
          <w:szCs w:val="21"/>
        </w:rPr>
        <w:t>通知规定的101元/工日标准执行，材料单价参照</w:t>
      </w:r>
      <w:r>
        <w:rPr>
          <w:rFonts w:hint="eastAsia" w:ascii="宋体" w:hAnsi="宋体" w:cs="宋体"/>
          <w:color w:val="auto"/>
          <w:szCs w:val="21"/>
          <w:lang w:eastAsia="zh-CN"/>
        </w:rPr>
        <w:t>铜梁区2025年第8期《重庆市交通工程材料价格信息》，部分材料按当地市场询价及重庆市材料价计算</w:t>
      </w:r>
      <w:r>
        <w:rPr>
          <w:rFonts w:hint="eastAsia" w:ascii="宋体" w:hAnsi="宋体" w:cs="宋体"/>
          <w:color w:val="auto"/>
          <w:szCs w:val="21"/>
        </w:rPr>
        <w:t>】。</w:t>
      </w:r>
    </w:p>
    <w:p>
      <w:pPr>
        <w:autoSpaceDE w:val="0"/>
        <w:autoSpaceDN w:val="0"/>
        <w:adjustRightInd w:val="0"/>
        <w:snapToGrid w:val="0"/>
        <w:spacing w:line="440" w:lineRule="exact"/>
        <w:ind w:firstLine="420" w:firstLineChars="200"/>
        <w:rPr>
          <w:rFonts w:hint="eastAsia" w:ascii="宋体" w:hAnsi="宋体" w:cs="宋体"/>
          <w:color w:val="auto"/>
          <w:szCs w:val="21"/>
        </w:rPr>
      </w:pPr>
      <w:r>
        <w:rPr>
          <w:rFonts w:hint="eastAsia" w:ascii="宋体" w:hAnsi="宋体" w:cs="宋体"/>
          <w:color w:val="auto"/>
          <w:szCs w:val="21"/>
        </w:rPr>
        <w:t>3.安全生产费用结算办法：按《重庆市公路水运工程安全生产费用管理办法（试行）》（渝交委安</w:t>
      </w:r>
      <w:r>
        <w:rPr>
          <w:rFonts w:hint="eastAsia" w:ascii="宋体" w:hAnsi="宋体" w:cs="宋体"/>
          <w:color w:val="auto"/>
          <w:szCs w:val="21"/>
          <w:lang w:eastAsia="zh-CN"/>
        </w:rPr>
        <w:t>〔2014〕32号</w:t>
      </w:r>
      <w:r>
        <w:rPr>
          <w:rFonts w:hint="eastAsia" w:ascii="宋体" w:hAnsi="宋体" w:cs="宋体"/>
          <w:color w:val="auto"/>
          <w:szCs w:val="21"/>
        </w:rPr>
        <w:t>）执行。</w:t>
      </w:r>
    </w:p>
    <w:p>
      <w:pPr>
        <w:snapToGrid w:val="0"/>
        <w:spacing w:line="400" w:lineRule="exact"/>
        <w:rPr>
          <w:rFonts w:hint="eastAsia" w:ascii="宋体" w:hAnsi="宋体" w:cs="宋体"/>
          <w:b/>
          <w:color w:val="auto"/>
          <w:szCs w:val="21"/>
        </w:rPr>
      </w:pPr>
      <w:r>
        <w:rPr>
          <w:rFonts w:hint="eastAsia" w:ascii="宋体" w:hAnsi="宋体" w:cs="宋体"/>
          <w:b/>
          <w:color w:val="auto"/>
          <w:szCs w:val="21"/>
        </w:rPr>
        <w:t>15.5承包人的合理化建议</w:t>
      </w:r>
    </w:p>
    <w:p>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承包人提出的合理化建议缩短了工期，发包人按第11.6款的规定办理。</w:t>
      </w:r>
    </w:p>
    <w:p>
      <w:pPr>
        <w:pStyle w:val="5"/>
        <w:snapToGrid w:val="0"/>
        <w:spacing w:before="0" w:after="0" w:line="460" w:lineRule="exact"/>
        <w:rPr>
          <w:rFonts w:hint="eastAsia" w:ascii="宋体" w:hAnsi="宋体" w:cs="宋体"/>
          <w:snapToGrid w:val="0"/>
          <w:color w:val="auto"/>
          <w:sz w:val="24"/>
          <w:szCs w:val="22"/>
        </w:rPr>
      </w:pPr>
      <w:bookmarkStart w:id="817" w:name="_Toc480790546"/>
      <w:bookmarkStart w:id="818" w:name="_Toc1975"/>
      <w:r>
        <w:rPr>
          <w:rFonts w:hint="eastAsia" w:ascii="宋体" w:hAnsi="宋体" w:cs="宋体"/>
          <w:snapToGrid w:val="0"/>
          <w:color w:val="auto"/>
          <w:sz w:val="24"/>
          <w:szCs w:val="22"/>
        </w:rPr>
        <w:t>16.价格调整</w:t>
      </w:r>
      <w:bookmarkEnd w:id="817"/>
      <w:bookmarkEnd w:id="818"/>
    </w:p>
    <w:p>
      <w:pPr>
        <w:snapToGrid w:val="0"/>
        <w:spacing w:line="460" w:lineRule="exact"/>
        <w:rPr>
          <w:rFonts w:hint="eastAsia" w:ascii="宋体" w:hAnsi="宋体" w:cs="宋体"/>
          <w:b/>
          <w:color w:val="auto"/>
          <w:szCs w:val="21"/>
        </w:rPr>
      </w:pPr>
      <w:r>
        <w:rPr>
          <w:rFonts w:hint="eastAsia" w:ascii="宋体" w:hAnsi="宋体" w:cs="宋体"/>
          <w:b/>
          <w:color w:val="auto"/>
          <w:szCs w:val="21"/>
        </w:rPr>
        <w:t>16.1物价波动引起的价格调整</w:t>
      </w:r>
    </w:p>
    <w:p>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本款约定为：不调整</w:t>
      </w:r>
    </w:p>
    <w:p>
      <w:pPr>
        <w:pStyle w:val="5"/>
        <w:snapToGrid w:val="0"/>
        <w:spacing w:before="0" w:after="0" w:line="460" w:lineRule="exact"/>
        <w:rPr>
          <w:rFonts w:hint="eastAsia" w:ascii="宋体" w:hAnsi="宋体" w:cs="宋体"/>
          <w:snapToGrid w:val="0"/>
          <w:color w:val="auto"/>
          <w:sz w:val="24"/>
          <w:szCs w:val="22"/>
        </w:rPr>
      </w:pPr>
      <w:bookmarkStart w:id="819" w:name="_Toc14623"/>
      <w:bookmarkStart w:id="820" w:name="_Toc480790547"/>
      <w:r>
        <w:rPr>
          <w:rFonts w:hint="eastAsia" w:ascii="宋体" w:hAnsi="宋体" w:cs="宋体"/>
          <w:snapToGrid w:val="0"/>
          <w:color w:val="auto"/>
          <w:sz w:val="24"/>
          <w:szCs w:val="22"/>
        </w:rPr>
        <w:t>17.计量与支付</w:t>
      </w:r>
      <w:bookmarkEnd w:id="819"/>
      <w:bookmarkEnd w:id="820"/>
    </w:p>
    <w:p>
      <w:pPr>
        <w:snapToGrid w:val="0"/>
        <w:spacing w:line="460" w:lineRule="exact"/>
        <w:rPr>
          <w:rFonts w:hint="eastAsia" w:ascii="宋体" w:hAnsi="宋体" w:cs="宋体"/>
          <w:b/>
          <w:color w:val="auto"/>
          <w:szCs w:val="21"/>
        </w:rPr>
      </w:pPr>
      <w:bookmarkStart w:id="821" w:name="_Toc1376"/>
      <w:bookmarkStart w:id="822" w:name="_Toc480790548"/>
      <w:r>
        <w:rPr>
          <w:rFonts w:hint="eastAsia" w:ascii="宋体" w:hAnsi="宋体" w:cs="宋体"/>
          <w:b/>
          <w:color w:val="auto"/>
          <w:szCs w:val="21"/>
        </w:rPr>
        <w:t>17.1 计量</w:t>
      </w:r>
      <w:bookmarkEnd w:id="821"/>
      <w:bookmarkEnd w:id="822"/>
    </w:p>
    <w:p>
      <w:pPr>
        <w:spacing w:line="460" w:lineRule="exact"/>
        <w:rPr>
          <w:rFonts w:hint="eastAsia" w:ascii="宋体" w:hAnsi="宋体" w:cs="宋体"/>
          <w:color w:val="auto"/>
        </w:rPr>
      </w:pPr>
      <w:r>
        <w:rPr>
          <w:rFonts w:hint="eastAsia" w:ascii="宋体" w:hAnsi="宋体" w:cs="宋体"/>
          <w:color w:val="auto"/>
          <w:szCs w:val="21"/>
        </w:rPr>
        <w:t xml:space="preserve">    </w:t>
      </w:r>
      <w:r>
        <w:rPr>
          <w:rFonts w:hint="eastAsia" w:ascii="宋体" w:hAnsi="宋体" w:cs="宋体"/>
          <w:color w:val="auto"/>
          <w:spacing w:val="2"/>
          <w:szCs w:val="21"/>
        </w:rPr>
        <w:t>发包人代表参加监理的收方计量，做到</w:t>
      </w:r>
      <w:r>
        <w:rPr>
          <w:rFonts w:hint="eastAsia" w:ascii="宋体" w:hAnsi="宋体" w:cs="宋体"/>
          <w:color w:val="auto"/>
          <w:szCs w:val="21"/>
        </w:rPr>
        <w:t>发包人、承包人和监理人</w:t>
      </w:r>
      <w:r>
        <w:rPr>
          <w:rFonts w:hint="eastAsia" w:ascii="宋体" w:hAnsi="宋体" w:cs="宋体"/>
          <w:color w:val="auto"/>
          <w:spacing w:val="2"/>
          <w:szCs w:val="21"/>
        </w:rPr>
        <w:t>“三方到场计量”，并在原始的收方单上签字，一式叁份，三方各自保存，否则，计量无效。并且采集图片及摄影资料。</w:t>
      </w:r>
    </w:p>
    <w:p>
      <w:pPr>
        <w:snapToGrid w:val="0"/>
        <w:spacing w:line="460" w:lineRule="exact"/>
        <w:rPr>
          <w:rFonts w:hint="eastAsia" w:ascii="宋体" w:hAnsi="宋体" w:cs="宋体"/>
          <w:b/>
          <w:color w:val="auto"/>
          <w:szCs w:val="21"/>
        </w:rPr>
      </w:pPr>
      <w:r>
        <w:rPr>
          <w:rFonts w:hint="eastAsia" w:ascii="宋体" w:hAnsi="宋体" w:cs="宋体"/>
          <w:b/>
          <w:color w:val="auto"/>
          <w:szCs w:val="21"/>
        </w:rPr>
        <w:t>17.2 预付款</w:t>
      </w:r>
    </w:p>
    <w:p>
      <w:pPr>
        <w:spacing w:line="460" w:lineRule="exact"/>
        <w:ind w:firstLine="411" w:firstLineChars="196"/>
        <w:rPr>
          <w:rFonts w:hint="eastAsia" w:ascii="宋体" w:hAnsi="宋体" w:cs="宋体"/>
          <w:color w:val="auto"/>
          <w:szCs w:val="21"/>
        </w:rPr>
      </w:pPr>
      <w:r>
        <w:rPr>
          <w:rFonts w:hint="eastAsia" w:ascii="宋体" w:hAnsi="宋体" w:cs="宋体"/>
          <w:color w:val="auto"/>
          <w:szCs w:val="21"/>
        </w:rPr>
        <w:t>本工程不支付预付款。</w:t>
      </w:r>
    </w:p>
    <w:p>
      <w:pPr>
        <w:snapToGrid w:val="0"/>
        <w:spacing w:line="460" w:lineRule="exact"/>
        <w:rPr>
          <w:rFonts w:hint="eastAsia" w:ascii="宋体" w:hAnsi="宋体" w:cs="宋体"/>
          <w:b/>
          <w:color w:val="auto"/>
          <w:szCs w:val="21"/>
          <w:highlight w:val="none"/>
        </w:rPr>
      </w:pPr>
      <w:r>
        <w:rPr>
          <w:rFonts w:hint="eastAsia" w:ascii="宋体" w:hAnsi="宋体" w:cs="宋体"/>
          <w:b/>
          <w:color w:val="auto"/>
          <w:szCs w:val="21"/>
          <w:highlight w:val="none"/>
        </w:rPr>
        <w:t xml:space="preserve">17.3付款方式  </w:t>
      </w:r>
    </w:p>
    <w:p>
      <w:pPr>
        <w:snapToGrid w:val="0"/>
        <w:spacing w:line="460" w:lineRule="exact"/>
        <w:ind w:firstLine="428" w:firstLineChars="200"/>
        <w:rPr>
          <w:rFonts w:hint="eastAsia" w:ascii="宋体" w:hAnsi="宋体" w:eastAsia="宋体" w:cs="宋体"/>
          <w:color w:val="auto"/>
          <w:spacing w:val="2"/>
          <w:szCs w:val="21"/>
          <w:lang w:val="en-US" w:eastAsia="zh-CN"/>
        </w:rPr>
      </w:pPr>
      <w:bookmarkStart w:id="823" w:name="_Toc264797285"/>
      <w:bookmarkStart w:id="824" w:name="_Toc317156877"/>
      <w:bookmarkStart w:id="825" w:name="_Toc322559689"/>
      <w:r>
        <w:rPr>
          <w:rFonts w:hint="eastAsia" w:ascii="宋体" w:hAnsi="宋体" w:cs="宋体"/>
          <w:color w:val="auto"/>
          <w:spacing w:val="2"/>
          <w:szCs w:val="21"/>
          <w:lang w:val="en-US" w:eastAsia="zh-CN"/>
        </w:rPr>
        <w:t>本工程无预付款，竣工验收合格资金到位后支付至审定金额的97％，余下审定金额的3%作为工程质保金，缺陷责任期满后如无质量问题一次性无息付清。缺陷责任期为1年，从工程竣工验收合格之日起计算。</w:t>
      </w:r>
    </w:p>
    <w:p>
      <w:pPr>
        <w:snapToGrid w:val="0"/>
        <w:spacing w:line="460" w:lineRule="exact"/>
        <w:ind w:firstLine="428" w:firstLineChars="200"/>
        <w:rPr>
          <w:rFonts w:hint="eastAsia" w:ascii="宋体" w:hAnsi="宋体" w:eastAsia="宋体" w:cs="宋体"/>
          <w:color w:val="auto"/>
          <w:spacing w:val="2"/>
          <w:szCs w:val="21"/>
          <w:lang w:val="en-US" w:eastAsia="zh-CN"/>
        </w:rPr>
      </w:pPr>
      <w:r>
        <w:rPr>
          <w:rFonts w:hint="eastAsia" w:ascii="宋体" w:hAnsi="宋体" w:eastAsia="宋体" w:cs="宋体"/>
          <w:color w:val="auto"/>
          <w:spacing w:val="2"/>
          <w:szCs w:val="21"/>
          <w:lang w:val="en-US" w:eastAsia="zh-CN"/>
        </w:rPr>
        <w:t>注：所有工程款均支付至中标人基本账户。</w:t>
      </w:r>
    </w:p>
    <w:p>
      <w:pPr>
        <w:snapToGrid w:val="0"/>
        <w:spacing w:line="460" w:lineRule="exact"/>
        <w:rPr>
          <w:rFonts w:hint="eastAsia" w:ascii="宋体" w:hAnsi="宋体" w:cs="宋体"/>
          <w:b/>
          <w:color w:val="auto"/>
          <w:szCs w:val="21"/>
        </w:rPr>
      </w:pPr>
      <w:r>
        <w:rPr>
          <w:rFonts w:hint="eastAsia" w:ascii="宋体" w:hAnsi="宋体" w:cs="宋体"/>
          <w:b/>
          <w:color w:val="auto"/>
          <w:szCs w:val="21"/>
        </w:rPr>
        <w:t>17.6最终结</w:t>
      </w:r>
      <w:bookmarkEnd w:id="823"/>
      <w:bookmarkEnd w:id="824"/>
      <w:bookmarkEnd w:id="825"/>
      <w:r>
        <w:rPr>
          <w:rFonts w:hint="eastAsia" w:ascii="宋体" w:hAnsi="宋体" w:cs="宋体"/>
          <w:b/>
          <w:color w:val="auto"/>
          <w:szCs w:val="21"/>
        </w:rPr>
        <w:t>算</w:t>
      </w:r>
    </w:p>
    <w:p>
      <w:pPr>
        <w:tabs>
          <w:tab w:val="left" w:pos="3193"/>
        </w:tabs>
        <w:spacing w:line="460" w:lineRule="exact"/>
        <w:ind w:firstLine="420" w:firstLineChars="200"/>
        <w:rPr>
          <w:rFonts w:hint="eastAsia" w:hAnsi="宋体"/>
          <w:color w:val="auto"/>
          <w:spacing w:val="2"/>
          <w:szCs w:val="21"/>
        </w:rPr>
      </w:pPr>
      <w:bookmarkStart w:id="826" w:name="_Toc317156878"/>
      <w:bookmarkStart w:id="827" w:name="_Toc322559690"/>
      <w:bookmarkStart w:id="828" w:name="_Toc24414"/>
      <w:bookmarkStart w:id="829" w:name="_Toc325910639"/>
      <w:bookmarkStart w:id="830" w:name="_Toc480790549"/>
      <w:bookmarkStart w:id="831" w:name="_Toc264797286"/>
      <w:r>
        <w:rPr>
          <w:rFonts w:hint="eastAsia" w:ascii="宋体" w:hAnsi="宋体" w:cs="宋体"/>
          <w:color w:val="auto"/>
          <w:szCs w:val="21"/>
        </w:rPr>
        <w:t>最终结算以发包人委托的审计机构审核的金额为准。承包人要认真准确办理结算，若工程结算审减率在10%（含）以上的，则审计费用由承包人承担（审计费用按重庆市铜梁区审计局相关规定计算），并上缴重庆市铜梁区财政。</w:t>
      </w:r>
    </w:p>
    <w:p>
      <w:pPr>
        <w:pStyle w:val="5"/>
        <w:snapToGrid w:val="0"/>
        <w:spacing w:before="0" w:after="0" w:line="460" w:lineRule="exact"/>
        <w:rPr>
          <w:rFonts w:hint="eastAsia" w:ascii="宋体" w:hAnsi="宋体" w:cs="宋体"/>
          <w:snapToGrid w:val="0"/>
          <w:color w:val="auto"/>
          <w:sz w:val="24"/>
          <w:szCs w:val="24"/>
        </w:rPr>
      </w:pPr>
      <w:r>
        <w:rPr>
          <w:rFonts w:hint="eastAsia" w:ascii="宋体" w:hAnsi="宋体" w:cs="宋体"/>
          <w:snapToGrid w:val="0"/>
          <w:color w:val="auto"/>
          <w:sz w:val="24"/>
          <w:szCs w:val="24"/>
        </w:rPr>
        <w:t>18.</w:t>
      </w:r>
      <w:r>
        <w:rPr>
          <w:rFonts w:hint="eastAsia" w:ascii="宋体" w:hAnsi="宋体" w:cs="宋体"/>
          <w:color w:val="auto"/>
          <w:szCs w:val="21"/>
        </w:rPr>
        <w:t xml:space="preserve"> </w:t>
      </w:r>
      <w:r>
        <w:rPr>
          <w:rFonts w:hint="eastAsia" w:ascii="宋体" w:hAnsi="宋体" w:cs="宋体"/>
          <w:snapToGrid w:val="0"/>
          <w:color w:val="auto"/>
          <w:sz w:val="24"/>
          <w:szCs w:val="24"/>
        </w:rPr>
        <w:t>竣工验收</w:t>
      </w:r>
      <w:bookmarkEnd w:id="826"/>
      <w:bookmarkEnd w:id="827"/>
      <w:bookmarkEnd w:id="828"/>
      <w:bookmarkEnd w:id="829"/>
      <w:bookmarkEnd w:id="830"/>
      <w:bookmarkEnd w:id="831"/>
    </w:p>
    <w:p>
      <w:pPr>
        <w:pStyle w:val="6"/>
        <w:snapToGrid w:val="0"/>
        <w:spacing w:before="0" w:after="0" w:line="460" w:lineRule="exact"/>
        <w:rPr>
          <w:rFonts w:hint="eastAsia" w:ascii="宋体" w:hAnsi="宋体" w:eastAsia="宋体" w:cs="宋体"/>
          <w:color w:val="auto"/>
          <w:sz w:val="21"/>
          <w:szCs w:val="21"/>
        </w:rPr>
      </w:pPr>
      <w:r>
        <w:rPr>
          <w:rFonts w:hint="eastAsia" w:ascii="宋体" w:hAnsi="宋体" w:eastAsia="宋体" w:cs="宋体"/>
          <w:color w:val="auto"/>
          <w:sz w:val="21"/>
          <w:szCs w:val="21"/>
        </w:rPr>
        <w:t>18.2 竣工验收申请报告</w:t>
      </w:r>
    </w:p>
    <w:p>
      <w:pPr>
        <w:widowControl/>
        <w:spacing w:line="360" w:lineRule="auto"/>
        <w:ind w:firstLine="420" w:firstLineChars="200"/>
        <w:jc w:val="left"/>
        <w:rPr>
          <w:rFonts w:hint="eastAsia" w:ascii="宋体" w:hAnsi="宋体" w:cs="宋体"/>
          <w:color w:val="auto"/>
          <w:kern w:val="0"/>
          <w:szCs w:val="21"/>
          <w:lang w:bidi="ar"/>
        </w:rPr>
      </w:pPr>
      <w:r>
        <w:rPr>
          <w:rFonts w:hint="eastAsia" w:ascii="宋体" w:hAnsi="宋体" w:cs="宋体"/>
          <w:color w:val="auto"/>
          <w:kern w:val="0"/>
          <w:szCs w:val="21"/>
          <w:lang w:bidi="ar"/>
        </w:rPr>
        <w:t>本款第（2）项约定为：</w:t>
      </w:r>
    </w:p>
    <w:p>
      <w:pPr>
        <w:widowControl/>
        <w:spacing w:line="360" w:lineRule="auto"/>
        <w:ind w:firstLine="420" w:firstLineChars="200"/>
        <w:jc w:val="left"/>
        <w:rPr>
          <w:rFonts w:hint="eastAsia" w:ascii="宋体" w:hAnsi="宋体" w:cs="宋体"/>
          <w:color w:val="auto"/>
          <w:kern w:val="0"/>
          <w:szCs w:val="21"/>
          <w:lang w:bidi="ar"/>
        </w:rPr>
      </w:pPr>
      <w:r>
        <w:rPr>
          <w:rFonts w:hint="eastAsia" w:ascii="宋体" w:hAnsi="宋体" w:cs="宋体"/>
          <w:color w:val="auto"/>
          <w:kern w:val="0"/>
          <w:szCs w:val="21"/>
          <w:lang w:bidi="ar"/>
        </w:rPr>
        <w:t>竣工资料的内容：承包人应按照《公路工程竣（交）工验收办法》和相关规定编制竣工资料。</w:t>
      </w:r>
    </w:p>
    <w:p>
      <w:pPr>
        <w:widowControl/>
        <w:spacing w:line="360" w:lineRule="auto"/>
        <w:ind w:firstLine="420" w:firstLineChars="200"/>
        <w:jc w:val="left"/>
        <w:rPr>
          <w:rFonts w:hint="eastAsia" w:ascii="宋体" w:hAnsi="宋体" w:cs="宋体"/>
          <w:color w:val="auto"/>
          <w:kern w:val="0"/>
          <w:szCs w:val="21"/>
          <w:lang w:bidi="ar"/>
        </w:rPr>
      </w:pPr>
      <w:r>
        <w:rPr>
          <w:rFonts w:hint="eastAsia" w:ascii="宋体" w:hAnsi="宋体" w:cs="宋体"/>
          <w:color w:val="auto"/>
          <w:kern w:val="0"/>
          <w:szCs w:val="21"/>
          <w:lang w:bidi="ar"/>
        </w:rPr>
        <w:t>竣工资料的份数：</w:t>
      </w:r>
      <w:r>
        <w:rPr>
          <w:rFonts w:hint="eastAsia" w:ascii="宋体" w:hAnsi="宋体" w:cs="宋体"/>
          <w:color w:val="auto"/>
          <w:kern w:val="0"/>
          <w:szCs w:val="21"/>
          <w:u w:val="single"/>
          <w:lang w:bidi="ar"/>
        </w:rPr>
        <w:t>3份（另提供电子档一份）</w:t>
      </w:r>
      <w:r>
        <w:rPr>
          <w:rFonts w:hint="eastAsia" w:ascii="宋体" w:hAnsi="宋体" w:cs="宋体"/>
          <w:color w:val="auto"/>
          <w:kern w:val="0"/>
          <w:szCs w:val="21"/>
          <w:lang w:bidi="ar"/>
        </w:rPr>
        <w:t>。</w:t>
      </w:r>
    </w:p>
    <w:p>
      <w:pPr>
        <w:pStyle w:val="6"/>
        <w:snapToGrid w:val="0"/>
        <w:spacing w:before="0" w:after="0"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18.3 验收</w:t>
      </w:r>
    </w:p>
    <w:p>
      <w:pPr>
        <w:tabs>
          <w:tab w:val="left" w:pos="3193"/>
        </w:tabs>
        <w:spacing w:line="460" w:lineRule="exact"/>
        <w:ind w:firstLine="420" w:firstLineChars="200"/>
        <w:rPr>
          <w:rFonts w:hint="eastAsia" w:ascii="宋体" w:hAnsi="宋体" w:cs="宋体"/>
          <w:color w:val="auto"/>
          <w:szCs w:val="21"/>
        </w:rPr>
      </w:pPr>
      <w:r>
        <w:rPr>
          <w:rFonts w:hint="eastAsia" w:ascii="宋体" w:hAnsi="宋体" w:cs="宋体"/>
          <w:color w:val="auto"/>
          <w:szCs w:val="21"/>
        </w:rPr>
        <w:t>第18.3.2项补充：</w:t>
      </w:r>
    </w:p>
    <w:p>
      <w:pPr>
        <w:tabs>
          <w:tab w:val="left" w:pos="3193"/>
        </w:tabs>
        <w:spacing w:line="460" w:lineRule="exact"/>
        <w:ind w:firstLine="420" w:firstLineChars="200"/>
        <w:rPr>
          <w:rFonts w:hint="eastAsia" w:ascii="宋体" w:hAnsi="宋体" w:cs="宋体"/>
          <w:color w:val="auto"/>
          <w:szCs w:val="21"/>
        </w:rPr>
      </w:pPr>
      <w:r>
        <w:rPr>
          <w:rFonts w:hint="eastAsia" w:ascii="宋体" w:hAnsi="宋体" w:cs="宋体"/>
          <w:color w:val="auto"/>
          <w:szCs w:val="21"/>
        </w:rPr>
        <w:t>本工程实行交、竣工合并验收，由区交通局、质量监督机构、发包人等组成验收委员会，对本项目的工程质量进行评定，设计、施工、监理、养护等单位代表参加验收工作，但不作为验收委员会成员。承包人应按发包人的要求提交（竣）工资料，完成验收准备工作。</w:t>
      </w:r>
    </w:p>
    <w:p>
      <w:pPr>
        <w:tabs>
          <w:tab w:val="left" w:pos="3193"/>
        </w:tabs>
        <w:spacing w:line="460" w:lineRule="exact"/>
        <w:ind w:firstLine="420" w:firstLineChars="200"/>
        <w:rPr>
          <w:rFonts w:hint="eastAsia" w:ascii="宋体" w:hAnsi="宋体" w:cs="宋体"/>
          <w:color w:val="auto"/>
          <w:szCs w:val="21"/>
        </w:rPr>
      </w:pPr>
      <w:r>
        <w:rPr>
          <w:rFonts w:hint="eastAsia" w:ascii="宋体" w:hAnsi="宋体" w:cs="宋体"/>
          <w:color w:val="auto"/>
          <w:szCs w:val="21"/>
        </w:rPr>
        <w:t>第18.3.5项约定为：</w:t>
      </w:r>
    </w:p>
    <w:p>
      <w:pPr>
        <w:tabs>
          <w:tab w:val="left" w:pos="3193"/>
        </w:tabs>
        <w:spacing w:line="460" w:lineRule="exact"/>
        <w:ind w:firstLine="420" w:firstLineChars="200"/>
        <w:rPr>
          <w:rFonts w:hint="eastAsia" w:ascii="宋体" w:hAnsi="宋体" w:cs="宋体"/>
          <w:color w:val="auto"/>
          <w:szCs w:val="21"/>
        </w:rPr>
      </w:pPr>
      <w:r>
        <w:rPr>
          <w:rFonts w:hint="eastAsia" w:ascii="宋体" w:hAnsi="宋体" w:cs="宋体"/>
          <w:color w:val="auto"/>
          <w:szCs w:val="21"/>
        </w:rPr>
        <w:t>经验收合格工程的实际竣工日期，以最终提交竣工验收申请报告的日期为准。</w:t>
      </w:r>
    </w:p>
    <w:p>
      <w:pPr>
        <w:tabs>
          <w:tab w:val="left" w:pos="3193"/>
        </w:tabs>
        <w:spacing w:line="460" w:lineRule="exact"/>
        <w:ind w:firstLine="420" w:firstLineChars="200"/>
        <w:rPr>
          <w:rFonts w:hint="eastAsia" w:ascii="宋体" w:hAnsi="宋体" w:cs="宋体"/>
          <w:color w:val="auto"/>
          <w:szCs w:val="21"/>
        </w:rPr>
      </w:pPr>
      <w:r>
        <w:rPr>
          <w:rFonts w:hint="eastAsia" w:ascii="宋体" w:hAnsi="宋体" w:cs="宋体"/>
          <w:color w:val="auto"/>
          <w:szCs w:val="21"/>
        </w:rPr>
        <w:t>本款补充第18.3.7项：</w:t>
      </w:r>
    </w:p>
    <w:p>
      <w:pPr>
        <w:tabs>
          <w:tab w:val="left" w:pos="3193"/>
        </w:tabs>
        <w:spacing w:line="460" w:lineRule="exact"/>
        <w:ind w:firstLine="420" w:firstLineChars="200"/>
        <w:rPr>
          <w:rFonts w:hint="eastAsia" w:ascii="宋体" w:hAnsi="宋体" w:cs="宋体"/>
          <w:color w:val="auto"/>
          <w:szCs w:val="21"/>
        </w:rPr>
      </w:pPr>
      <w:r>
        <w:rPr>
          <w:rFonts w:hint="eastAsia" w:ascii="宋体" w:hAnsi="宋体" w:cs="宋体"/>
          <w:color w:val="auto"/>
          <w:szCs w:val="21"/>
        </w:rPr>
        <w:t>组织办理竣工验收的费用由发包人承担。但按照第18.3.4项规定达不到合格标准的竣工验收费用由承包人承担。</w:t>
      </w:r>
    </w:p>
    <w:p>
      <w:pPr>
        <w:tabs>
          <w:tab w:val="left" w:pos="3193"/>
        </w:tabs>
        <w:spacing w:line="460" w:lineRule="exact"/>
        <w:ind w:firstLine="420" w:firstLineChars="200"/>
        <w:rPr>
          <w:rFonts w:hint="eastAsia" w:ascii="宋体" w:hAnsi="宋体" w:cs="宋体"/>
          <w:color w:val="auto"/>
          <w:szCs w:val="21"/>
          <w:highlight w:val="yellow"/>
        </w:rPr>
      </w:pPr>
      <w:r>
        <w:rPr>
          <w:rFonts w:hint="eastAsia" w:ascii="宋体" w:hAnsi="宋体" w:cs="宋体"/>
          <w:color w:val="auto"/>
          <w:szCs w:val="21"/>
        </w:rPr>
        <w:t>本条补充第18.9款：</w:t>
      </w:r>
    </w:p>
    <w:p>
      <w:pPr>
        <w:snapToGrid w:val="0"/>
        <w:spacing w:line="460" w:lineRule="exact"/>
        <w:rPr>
          <w:rFonts w:hint="eastAsia" w:ascii="宋体" w:hAnsi="宋体" w:cs="宋体"/>
          <w:b/>
          <w:color w:val="auto"/>
          <w:szCs w:val="21"/>
        </w:rPr>
      </w:pPr>
      <w:r>
        <w:rPr>
          <w:rFonts w:hint="eastAsia" w:ascii="宋体" w:hAnsi="宋体" w:cs="宋体"/>
          <w:b/>
          <w:color w:val="auto"/>
          <w:szCs w:val="21"/>
        </w:rPr>
        <w:t>18.9竣工文件</w:t>
      </w:r>
    </w:p>
    <w:p>
      <w:pPr>
        <w:tabs>
          <w:tab w:val="left" w:pos="3193"/>
        </w:tabs>
        <w:spacing w:line="460" w:lineRule="exact"/>
        <w:ind w:firstLine="420" w:firstLineChars="200"/>
        <w:rPr>
          <w:rFonts w:hint="eastAsia" w:ascii="宋体" w:hAnsi="宋体" w:cs="宋体"/>
          <w:color w:val="auto"/>
          <w:szCs w:val="21"/>
        </w:rPr>
      </w:pPr>
      <w:r>
        <w:rPr>
          <w:rFonts w:hint="eastAsia" w:ascii="宋体" w:hAnsi="宋体" w:cs="宋体"/>
          <w:color w:val="auto"/>
          <w:szCs w:val="21"/>
        </w:rPr>
        <w:t>承包人应按照《公路工程竣（交）工验收办法》中的相关规定，在缺陷责任期内为竣工验收补充竣工资料，并在签发缺陷责任期终止证书之前提交。</w:t>
      </w:r>
    </w:p>
    <w:p>
      <w:pPr>
        <w:pStyle w:val="5"/>
        <w:snapToGrid w:val="0"/>
        <w:spacing w:before="0" w:after="0" w:line="460" w:lineRule="exact"/>
        <w:rPr>
          <w:rFonts w:hint="eastAsia" w:ascii="宋体" w:hAnsi="宋体" w:cs="宋体"/>
          <w:snapToGrid w:val="0"/>
          <w:color w:val="auto"/>
          <w:sz w:val="24"/>
          <w:szCs w:val="22"/>
        </w:rPr>
      </w:pPr>
      <w:bookmarkStart w:id="832" w:name="_Toc480790550"/>
      <w:bookmarkStart w:id="833" w:name="_Toc13458"/>
      <w:r>
        <w:rPr>
          <w:rFonts w:hint="eastAsia" w:ascii="宋体" w:hAnsi="宋体" w:cs="宋体"/>
          <w:snapToGrid w:val="0"/>
          <w:color w:val="auto"/>
          <w:sz w:val="24"/>
          <w:szCs w:val="22"/>
          <w:lang w:eastAsia="zh-CN"/>
        </w:rPr>
        <w:t>19.</w:t>
      </w:r>
      <w:r>
        <w:rPr>
          <w:rFonts w:hint="eastAsia" w:ascii="宋体" w:hAnsi="宋体" w:cs="宋体"/>
          <w:snapToGrid w:val="0"/>
          <w:color w:val="auto"/>
          <w:sz w:val="24"/>
          <w:szCs w:val="22"/>
        </w:rPr>
        <w:t>缺陷责任与保修责任</w:t>
      </w:r>
      <w:bookmarkEnd w:id="832"/>
      <w:bookmarkEnd w:id="833"/>
    </w:p>
    <w:p>
      <w:pPr>
        <w:snapToGrid w:val="0"/>
        <w:spacing w:line="460" w:lineRule="exact"/>
        <w:rPr>
          <w:rFonts w:hint="eastAsia" w:ascii="宋体" w:hAnsi="宋体" w:cs="宋体"/>
          <w:b/>
          <w:color w:val="auto"/>
          <w:szCs w:val="21"/>
        </w:rPr>
      </w:pPr>
      <w:r>
        <w:rPr>
          <w:rFonts w:hint="eastAsia" w:ascii="宋体" w:hAnsi="宋体" w:cs="宋体"/>
          <w:b/>
          <w:color w:val="auto"/>
          <w:szCs w:val="21"/>
        </w:rPr>
        <w:t>19.2缺陷责任</w:t>
      </w:r>
    </w:p>
    <w:p>
      <w:pPr>
        <w:tabs>
          <w:tab w:val="left" w:pos="3193"/>
        </w:tabs>
        <w:spacing w:line="460" w:lineRule="exact"/>
        <w:ind w:firstLine="420" w:firstLineChars="200"/>
        <w:rPr>
          <w:rFonts w:hint="eastAsia" w:ascii="宋体" w:hAnsi="宋体" w:cs="宋体"/>
          <w:color w:val="auto"/>
          <w:szCs w:val="21"/>
        </w:rPr>
      </w:pPr>
      <w:r>
        <w:rPr>
          <w:rFonts w:hint="eastAsia" w:ascii="宋体" w:hAnsi="宋体" w:cs="宋体"/>
          <w:color w:val="auto"/>
          <w:szCs w:val="21"/>
        </w:rPr>
        <w:t>第19.2.2项补充：</w:t>
      </w:r>
    </w:p>
    <w:p>
      <w:pPr>
        <w:tabs>
          <w:tab w:val="left" w:pos="3193"/>
        </w:tabs>
        <w:spacing w:line="460" w:lineRule="exact"/>
        <w:ind w:firstLine="420" w:firstLineChars="200"/>
        <w:rPr>
          <w:rFonts w:hint="eastAsia" w:ascii="宋体" w:hAnsi="宋体" w:cs="宋体"/>
          <w:color w:val="auto"/>
          <w:szCs w:val="21"/>
        </w:rPr>
      </w:pPr>
      <w:r>
        <w:rPr>
          <w:rFonts w:hint="eastAsia" w:ascii="宋体" w:hAnsi="宋体" w:cs="宋体"/>
          <w:color w:val="auto"/>
          <w:szCs w:val="21"/>
        </w:rPr>
        <w:t>在缺陷责任期内，承包人应尽快完成在竣工验收证书中写明的未完成工作，并完成对本工程缺陷的修复或监理人指令的修补工作。</w:t>
      </w:r>
    </w:p>
    <w:p>
      <w:pPr>
        <w:snapToGrid w:val="0"/>
        <w:spacing w:line="460" w:lineRule="exact"/>
        <w:rPr>
          <w:rFonts w:hint="eastAsia" w:ascii="宋体" w:hAnsi="宋体" w:cs="宋体"/>
          <w:b/>
          <w:color w:val="auto"/>
          <w:szCs w:val="21"/>
        </w:rPr>
      </w:pPr>
      <w:r>
        <w:rPr>
          <w:rFonts w:hint="eastAsia" w:ascii="宋体" w:hAnsi="宋体" w:cs="宋体"/>
          <w:b/>
          <w:color w:val="auto"/>
          <w:szCs w:val="21"/>
        </w:rPr>
        <w:t>19.5承包人的进入权</w:t>
      </w:r>
    </w:p>
    <w:p>
      <w:pPr>
        <w:tabs>
          <w:tab w:val="left" w:pos="3193"/>
        </w:tabs>
        <w:spacing w:line="460" w:lineRule="exact"/>
        <w:ind w:firstLine="420" w:firstLineChars="200"/>
        <w:rPr>
          <w:rFonts w:hint="eastAsia" w:ascii="宋体" w:hAnsi="宋体" w:cs="宋体"/>
          <w:color w:val="auto"/>
          <w:szCs w:val="21"/>
        </w:rPr>
      </w:pPr>
      <w:r>
        <w:rPr>
          <w:rFonts w:hint="eastAsia" w:ascii="宋体" w:hAnsi="宋体" w:cs="宋体"/>
          <w:color w:val="auto"/>
          <w:szCs w:val="21"/>
        </w:rPr>
        <w:t>本款补充：</w:t>
      </w:r>
    </w:p>
    <w:p>
      <w:pPr>
        <w:tabs>
          <w:tab w:val="left" w:pos="3193"/>
        </w:tabs>
        <w:spacing w:line="460" w:lineRule="exact"/>
        <w:ind w:firstLine="420" w:firstLineChars="200"/>
        <w:rPr>
          <w:rFonts w:hint="eastAsia" w:ascii="宋体" w:hAnsi="宋体" w:cs="宋体"/>
          <w:color w:val="auto"/>
          <w:szCs w:val="21"/>
        </w:rPr>
      </w:pPr>
      <w:r>
        <w:rPr>
          <w:rFonts w:hint="eastAsia" w:ascii="宋体" w:hAnsi="宋体" w:cs="宋体"/>
          <w:color w:val="auto"/>
          <w:szCs w:val="21"/>
        </w:rPr>
        <w:t>承包人在缺陷修复施工过程中，应服从管养单位的有关安全管理规定，由于承包人自身原因造成的人员伤亡、设备和材料的损毁及罚款等责任由承包人自负。</w:t>
      </w:r>
    </w:p>
    <w:p>
      <w:pPr>
        <w:snapToGrid w:val="0"/>
        <w:spacing w:line="460" w:lineRule="exact"/>
        <w:rPr>
          <w:rFonts w:hint="eastAsia" w:ascii="宋体" w:hAnsi="宋体" w:cs="宋体"/>
          <w:b/>
          <w:color w:val="auto"/>
          <w:szCs w:val="21"/>
        </w:rPr>
      </w:pPr>
      <w:r>
        <w:rPr>
          <w:rFonts w:hint="eastAsia" w:ascii="宋体" w:hAnsi="宋体" w:cs="宋体"/>
          <w:b/>
          <w:color w:val="auto"/>
          <w:szCs w:val="21"/>
        </w:rPr>
        <w:t>19.7保修责任</w:t>
      </w:r>
    </w:p>
    <w:p>
      <w:pPr>
        <w:tabs>
          <w:tab w:val="left" w:pos="3193"/>
        </w:tabs>
        <w:spacing w:line="460" w:lineRule="exact"/>
        <w:ind w:firstLine="420" w:firstLineChars="200"/>
        <w:rPr>
          <w:rFonts w:hint="eastAsia" w:ascii="宋体" w:hAnsi="宋体" w:cs="宋体"/>
          <w:color w:val="auto"/>
          <w:szCs w:val="21"/>
        </w:rPr>
      </w:pPr>
      <w:r>
        <w:rPr>
          <w:rFonts w:hint="eastAsia" w:ascii="宋体" w:hAnsi="宋体" w:cs="宋体"/>
          <w:color w:val="auto"/>
          <w:szCs w:val="21"/>
        </w:rPr>
        <w:t>本款细化为：</w:t>
      </w:r>
    </w:p>
    <w:p>
      <w:pPr>
        <w:tabs>
          <w:tab w:val="left" w:pos="3193"/>
        </w:tabs>
        <w:spacing w:line="460" w:lineRule="exact"/>
        <w:ind w:firstLine="420" w:firstLineChars="200"/>
        <w:rPr>
          <w:rFonts w:hint="eastAsia" w:ascii="宋体" w:hAnsi="宋体" w:cs="宋体"/>
          <w:color w:val="auto"/>
          <w:szCs w:val="21"/>
        </w:rPr>
      </w:pPr>
      <w:r>
        <w:rPr>
          <w:rFonts w:hint="eastAsia" w:ascii="宋体" w:hAnsi="宋体" w:cs="宋体"/>
          <w:color w:val="auto"/>
          <w:szCs w:val="21"/>
        </w:rPr>
        <w:t>（1）保修期自建设行业主管部门出具的工程竣工验收报告之日起计算，具体期限在项目专用合同条款数据表中约定。保修期与缺陷责任期重叠的期间内，承包人的保修责任同缺陷责任。在缺陷责任期满后的保修期内，承包人可不在工地留有办事人员和机械设备，但必须随时与发包人保持联系，在保修期内承包人应对由于施工质量原因造成的损坏自费进行修复。</w:t>
      </w:r>
    </w:p>
    <w:p>
      <w:pPr>
        <w:tabs>
          <w:tab w:val="left" w:pos="3193"/>
        </w:tabs>
        <w:spacing w:line="460" w:lineRule="exact"/>
        <w:ind w:firstLine="420" w:firstLineChars="200"/>
        <w:rPr>
          <w:rFonts w:hint="eastAsia" w:ascii="宋体" w:hAnsi="宋体" w:cs="宋体"/>
          <w:color w:val="auto"/>
          <w:szCs w:val="21"/>
        </w:rPr>
      </w:pPr>
      <w:r>
        <w:rPr>
          <w:rFonts w:hint="eastAsia" w:ascii="宋体" w:hAnsi="宋体" w:cs="宋体"/>
          <w:color w:val="auto"/>
          <w:szCs w:val="21"/>
        </w:rPr>
        <w:t>（2）在全部工程竣（交）工验收前，已经发包人提前验收的单位工程，其保修期的起算日期相应提前。</w:t>
      </w:r>
    </w:p>
    <w:p>
      <w:pPr>
        <w:tabs>
          <w:tab w:val="left" w:pos="3193"/>
        </w:tabs>
        <w:spacing w:line="460" w:lineRule="exact"/>
        <w:ind w:firstLine="420" w:firstLineChars="200"/>
        <w:rPr>
          <w:rFonts w:hint="eastAsia" w:ascii="宋体" w:hAnsi="宋体" w:cs="宋体"/>
          <w:color w:val="auto"/>
          <w:szCs w:val="21"/>
        </w:rPr>
      </w:pPr>
      <w:r>
        <w:rPr>
          <w:rFonts w:hint="eastAsia" w:ascii="宋体" w:hAnsi="宋体" w:cs="宋体"/>
          <w:color w:val="auto"/>
          <w:szCs w:val="21"/>
        </w:rPr>
        <w:t>（3）工程保修期终止后28天内，监理人签发保修期终止证书。</w:t>
      </w:r>
    </w:p>
    <w:p>
      <w:pPr>
        <w:tabs>
          <w:tab w:val="left" w:pos="3193"/>
        </w:tabs>
        <w:spacing w:line="460" w:lineRule="exact"/>
        <w:ind w:firstLine="420" w:firstLineChars="200"/>
        <w:rPr>
          <w:rFonts w:hint="eastAsia" w:ascii="宋体" w:hAnsi="宋体" w:cs="宋体"/>
          <w:color w:val="auto"/>
          <w:szCs w:val="21"/>
        </w:rPr>
      </w:pPr>
      <w:r>
        <w:rPr>
          <w:rFonts w:hint="eastAsia" w:ascii="宋体" w:hAnsi="宋体" w:cs="宋体"/>
          <w:color w:val="auto"/>
          <w:szCs w:val="21"/>
        </w:rPr>
        <w:t>（4）若承包人不履行保修义务和责任，则承包人应承担由于违约造成的法律后果，并由发包人将其违约行为上报省级交通主管部门，作为不良记录纳入公路建设</w:t>
      </w:r>
      <w:r>
        <w:rPr>
          <w:rFonts w:hint="eastAsia" w:ascii="宋体" w:hAnsi="宋体" w:cs="宋体"/>
          <w:color w:val="auto"/>
          <w:szCs w:val="21"/>
          <w:lang w:eastAsia="zh-CN"/>
        </w:rPr>
        <w:t>市场</w:t>
      </w:r>
      <w:r>
        <w:rPr>
          <w:rFonts w:hint="eastAsia" w:ascii="宋体" w:hAnsi="宋体" w:cs="宋体"/>
          <w:color w:val="auto"/>
          <w:szCs w:val="21"/>
        </w:rPr>
        <w:t>信用信息管理系统。</w:t>
      </w:r>
    </w:p>
    <w:p>
      <w:pPr>
        <w:pStyle w:val="5"/>
        <w:snapToGrid w:val="0"/>
        <w:spacing w:before="0" w:after="0" w:line="460" w:lineRule="exact"/>
        <w:rPr>
          <w:rFonts w:hint="eastAsia" w:ascii="宋体" w:hAnsi="宋体" w:cs="宋体"/>
          <w:snapToGrid w:val="0"/>
          <w:color w:val="auto"/>
          <w:sz w:val="24"/>
          <w:szCs w:val="22"/>
        </w:rPr>
      </w:pPr>
      <w:bookmarkStart w:id="834" w:name="_Toc480790551"/>
      <w:bookmarkStart w:id="835" w:name="_Toc27937"/>
      <w:r>
        <w:rPr>
          <w:rFonts w:hint="eastAsia" w:ascii="宋体" w:hAnsi="宋体" w:cs="宋体"/>
          <w:snapToGrid w:val="0"/>
          <w:color w:val="auto"/>
          <w:sz w:val="24"/>
          <w:szCs w:val="22"/>
        </w:rPr>
        <w:t>20.保险</w:t>
      </w:r>
      <w:bookmarkEnd w:id="834"/>
      <w:bookmarkEnd w:id="835"/>
    </w:p>
    <w:p>
      <w:pPr>
        <w:snapToGrid w:val="0"/>
        <w:spacing w:line="460" w:lineRule="exact"/>
        <w:rPr>
          <w:rFonts w:hint="eastAsia" w:ascii="宋体" w:hAnsi="宋体" w:cs="宋体"/>
          <w:b/>
          <w:color w:val="auto"/>
          <w:szCs w:val="21"/>
        </w:rPr>
      </w:pPr>
      <w:bookmarkStart w:id="836" w:name="_Toc317156887"/>
      <w:bookmarkStart w:id="837" w:name="_Toc264797295"/>
      <w:bookmarkStart w:id="838" w:name="_Toc322559699"/>
      <w:r>
        <w:rPr>
          <w:rFonts w:hint="eastAsia" w:ascii="宋体" w:hAnsi="宋体" w:cs="宋体"/>
          <w:b/>
          <w:color w:val="auto"/>
          <w:szCs w:val="21"/>
        </w:rPr>
        <w:t>20.1工程保险</w:t>
      </w:r>
      <w:bookmarkEnd w:id="836"/>
      <w:bookmarkEnd w:id="837"/>
      <w:bookmarkEnd w:id="838"/>
    </w:p>
    <w:p>
      <w:pPr>
        <w:spacing w:line="400" w:lineRule="exact"/>
        <w:ind w:firstLine="420" w:firstLineChars="200"/>
        <w:rPr>
          <w:rFonts w:hint="eastAsia" w:ascii="宋体" w:hAnsi="宋体" w:cs="宋体"/>
          <w:b/>
          <w:color w:val="auto"/>
          <w:u w:val="single"/>
        </w:rPr>
      </w:pPr>
      <w:r>
        <w:rPr>
          <w:rFonts w:hint="eastAsia" w:ascii="宋体" w:hAnsi="宋体" w:cs="宋体"/>
          <w:color w:val="auto"/>
        </w:rPr>
        <w:t xml:space="preserve">投保人： </w:t>
      </w:r>
      <w:r>
        <w:rPr>
          <w:rFonts w:hint="eastAsia" w:ascii="宋体" w:hAnsi="宋体" w:cs="宋体"/>
          <w:b/>
          <w:color w:val="auto"/>
          <w:u w:val="single"/>
        </w:rPr>
        <w:t>承包人以发包人和承包人的共同名义向双方同意的保险人足额投保，费用由承包人负责。</w:t>
      </w:r>
    </w:p>
    <w:p>
      <w:pPr>
        <w:spacing w:line="400" w:lineRule="exact"/>
        <w:ind w:firstLine="420" w:firstLineChars="200"/>
        <w:rPr>
          <w:rFonts w:hint="eastAsia" w:ascii="宋体" w:hAnsi="宋体" w:cs="宋体"/>
          <w:b/>
          <w:color w:val="auto"/>
          <w:u w:val="single"/>
        </w:rPr>
      </w:pPr>
      <w:r>
        <w:rPr>
          <w:rFonts w:hint="eastAsia" w:ascii="宋体" w:hAnsi="宋体" w:cs="宋体"/>
          <w:color w:val="auto"/>
        </w:rPr>
        <w:t xml:space="preserve">投保内容： </w:t>
      </w:r>
      <w:r>
        <w:rPr>
          <w:rFonts w:hint="eastAsia" w:ascii="宋体" w:hAnsi="宋体" w:cs="宋体"/>
          <w:b/>
          <w:color w:val="auto"/>
          <w:u w:val="single"/>
        </w:rPr>
        <w:t>按国家相关规定执行。</w:t>
      </w:r>
    </w:p>
    <w:p>
      <w:pPr>
        <w:snapToGrid w:val="0"/>
        <w:spacing w:line="460" w:lineRule="exact"/>
        <w:ind w:firstLine="420" w:firstLineChars="200"/>
        <w:rPr>
          <w:rFonts w:hint="eastAsia" w:ascii="宋体" w:hAnsi="宋体" w:cs="宋体"/>
          <w:color w:val="auto"/>
          <w:szCs w:val="21"/>
        </w:rPr>
      </w:pPr>
      <w:r>
        <w:rPr>
          <w:rFonts w:hint="eastAsia" w:ascii="宋体" w:hAnsi="宋体" w:cs="宋体"/>
          <w:color w:val="auto"/>
        </w:rPr>
        <w:t xml:space="preserve">保险金额、保险费率和保险期限： </w:t>
      </w:r>
      <w:r>
        <w:rPr>
          <w:rFonts w:hint="eastAsia" w:ascii="宋体" w:hAnsi="宋体" w:cs="宋体"/>
          <w:b/>
          <w:color w:val="auto"/>
          <w:u w:val="single"/>
        </w:rPr>
        <w:t>保险期限为从工程开工之日至竣工验收合格之日终止证书颁发前，其他详见保险凭证。</w:t>
      </w:r>
    </w:p>
    <w:p>
      <w:pPr>
        <w:snapToGrid w:val="0"/>
        <w:spacing w:line="460" w:lineRule="exact"/>
        <w:rPr>
          <w:rFonts w:hint="eastAsia" w:ascii="宋体" w:hAnsi="宋体" w:cs="宋体"/>
          <w:b/>
          <w:color w:val="auto"/>
          <w:szCs w:val="21"/>
        </w:rPr>
      </w:pPr>
      <w:bookmarkStart w:id="839" w:name="_Toc264797296"/>
      <w:bookmarkStart w:id="840" w:name="_Toc317156888"/>
      <w:bookmarkStart w:id="841" w:name="_Toc322559700"/>
      <w:r>
        <w:rPr>
          <w:rFonts w:hint="eastAsia" w:ascii="宋体" w:hAnsi="宋体" w:cs="宋体"/>
          <w:b/>
          <w:color w:val="auto"/>
          <w:szCs w:val="21"/>
        </w:rPr>
        <w:t>20.4 第三者责任险</w:t>
      </w:r>
      <w:bookmarkEnd w:id="839"/>
      <w:bookmarkEnd w:id="840"/>
      <w:bookmarkEnd w:id="841"/>
    </w:p>
    <w:p>
      <w:pPr>
        <w:snapToGrid w:val="0"/>
        <w:spacing w:line="460" w:lineRule="exact"/>
        <w:ind w:firstLine="420" w:firstLineChars="200"/>
        <w:rPr>
          <w:rFonts w:hint="eastAsia" w:ascii="宋体" w:hAnsi="宋体" w:cs="宋体"/>
          <w:color w:val="auto"/>
          <w:szCs w:val="21"/>
        </w:rPr>
      </w:pPr>
      <w:r>
        <w:rPr>
          <w:rFonts w:hint="eastAsia" w:ascii="宋体" w:hAnsi="宋体" w:cs="宋体"/>
          <w:color w:val="auto"/>
          <w:szCs w:val="21"/>
        </w:rPr>
        <w:t>20.4.2</w:t>
      </w:r>
      <w:bookmarkStart w:id="842" w:name="_Toc264797297"/>
      <w:bookmarkStart w:id="843" w:name="_Toc322559701"/>
      <w:bookmarkStart w:id="844" w:name="_Toc317156889"/>
      <w:r>
        <w:rPr>
          <w:rFonts w:hint="eastAsia" w:ascii="宋体" w:hAnsi="宋体" w:cs="宋体"/>
          <w:color w:val="auto"/>
          <w:szCs w:val="21"/>
        </w:rPr>
        <w:t>在缺陷责任期终止证书颁发前，承包</w:t>
      </w:r>
      <w:r>
        <w:rPr>
          <w:rFonts w:hint="eastAsia" w:ascii="宋体" w:hAnsi="宋体" w:cs="宋体"/>
          <w:color w:val="auto"/>
          <w:spacing w:val="2"/>
          <w:szCs w:val="21"/>
        </w:rPr>
        <w:t>人应以承包人和发包人的共同名义，投保第20.4.1 项约定的第三者责任险，第三方责任险的投保金额：100万元人民币，事故次数不限</w:t>
      </w:r>
      <w:r>
        <w:rPr>
          <w:rFonts w:hint="eastAsia" w:ascii="宋体" w:hAnsi="宋体" w:cs="宋体"/>
          <w:color w:val="auto"/>
          <w:szCs w:val="21"/>
        </w:rPr>
        <w:t>，其费用计入工程量清单第100章中工程保险费中。</w:t>
      </w:r>
    </w:p>
    <w:p>
      <w:pPr>
        <w:spacing w:line="400" w:lineRule="exact"/>
        <w:rPr>
          <w:rFonts w:hint="eastAsia" w:ascii="宋体" w:hAnsi="宋体" w:cs="宋体"/>
          <w:b/>
          <w:color w:val="auto"/>
        </w:rPr>
      </w:pPr>
      <w:r>
        <w:rPr>
          <w:rFonts w:hint="eastAsia" w:ascii="宋体" w:hAnsi="宋体" w:cs="宋体"/>
          <w:b/>
          <w:color w:val="auto"/>
        </w:rPr>
        <w:t>20.5 其他保险</w:t>
      </w:r>
    </w:p>
    <w:p>
      <w:pPr>
        <w:spacing w:line="400" w:lineRule="exact"/>
        <w:ind w:firstLine="420" w:firstLineChars="200"/>
        <w:rPr>
          <w:rFonts w:hint="eastAsia"/>
          <w:color w:val="auto"/>
        </w:rPr>
      </w:pPr>
      <w:r>
        <w:rPr>
          <w:rFonts w:hint="eastAsia" w:ascii="宋体" w:hAnsi="宋体" w:cs="宋体"/>
          <w:color w:val="auto"/>
        </w:rPr>
        <w:t xml:space="preserve">需要投保其他内容、保险金额、费率及期限等： </w:t>
      </w:r>
      <w:r>
        <w:rPr>
          <w:rFonts w:hint="eastAsia" w:ascii="宋体" w:hAnsi="宋体" w:cs="宋体"/>
          <w:b/>
          <w:color w:val="auto"/>
          <w:u w:val="single"/>
        </w:rPr>
        <w:t>由承包人负责。</w:t>
      </w:r>
    </w:p>
    <w:p>
      <w:pPr>
        <w:snapToGrid w:val="0"/>
        <w:spacing w:line="460" w:lineRule="exact"/>
        <w:rPr>
          <w:rFonts w:hint="eastAsia" w:ascii="宋体" w:hAnsi="宋体" w:cs="宋体"/>
          <w:b/>
          <w:color w:val="auto"/>
          <w:szCs w:val="21"/>
        </w:rPr>
      </w:pPr>
      <w:r>
        <w:rPr>
          <w:rFonts w:hint="eastAsia" w:ascii="宋体" w:hAnsi="宋体" w:cs="宋体"/>
          <w:b/>
          <w:color w:val="auto"/>
          <w:szCs w:val="21"/>
        </w:rPr>
        <w:t>20.6 对各项保险的一般要求</w:t>
      </w:r>
      <w:bookmarkEnd w:id="842"/>
      <w:bookmarkEnd w:id="843"/>
      <w:bookmarkEnd w:id="844"/>
    </w:p>
    <w:p>
      <w:pPr>
        <w:spacing w:line="400" w:lineRule="exact"/>
        <w:ind w:firstLine="420" w:firstLineChars="200"/>
        <w:rPr>
          <w:rFonts w:hint="eastAsia" w:ascii="宋体" w:hAnsi="宋体" w:cs="宋体"/>
          <w:color w:val="auto"/>
        </w:rPr>
      </w:pPr>
      <w:r>
        <w:rPr>
          <w:rFonts w:hint="eastAsia" w:ascii="宋体" w:hAnsi="宋体" w:cs="宋体"/>
          <w:color w:val="auto"/>
        </w:rPr>
        <w:t>20.6.1  保险凭证</w:t>
      </w:r>
    </w:p>
    <w:p>
      <w:pPr>
        <w:spacing w:line="400" w:lineRule="exact"/>
        <w:ind w:firstLine="420" w:firstLineChars="200"/>
        <w:rPr>
          <w:rFonts w:hint="eastAsia" w:ascii="宋体" w:hAnsi="宋体" w:cs="宋体"/>
          <w:color w:val="auto"/>
        </w:rPr>
      </w:pPr>
      <w:r>
        <w:rPr>
          <w:rFonts w:hint="eastAsia" w:ascii="宋体" w:hAnsi="宋体" w:cs="宋体"/>
          <w:color w:val="auto"/>
        </w:rPr>
        <w:t>保险条件：</w:t>
      </w:r>
      <w:r>
        <w:rPr>
          <w:rFonts w:hint="eastAsia" w:ascii="宋体" w:hAnsi="宋体" w:cs="宋体"/>
          <w:b/>
          <w:color w:val="auto"/>
          <w:u w:val="single"/>
        </w:rPr>
        <w:t>按国家相关规定和发包人要求执行。</w:t>
      </w:r>
    </w:p>
    <w:p>
      <w:pPr>
        <w:spacing w:line="400" w:lineRule="exact"/>
        <w:ind w:firstLine="420" w:firstLineChars="200"/>
        <w:rPr>
          <w:rFonts w:hint="eastAsia" w:ascii="宋体" w:hAnsi="宋体" w:cs="宋体"/>
          <w:color w:val="auto"/>
        </w:rPr>
      </w:pPr>
      <w:r>
        <w:rPr>
          <w:rFonts w:hint="eastAsia" w:ascii="宋体" w:hAnsi="宋体" w:cs="宋体"/>
          <w:color w:val="auto"/>
        </w:rPr>
        <w:t xml:space="preserve">承包人提交保险凭证的期限： </w:t>
      </w:r>
      <w:r>
        <w:rPr>
          <w:rFonts w:hint="eastAsia" w:ascii="宋体" w:hAnsi="宋体" w:cs="宋体"/>
          <w:b/>
          <w:color w:val="auto"/>
          <w:u w:val="single"/>
        </w:rPr>
        <w:t>工程开工前。</w:t>
      </w:r>
    </w:p>
    <w:p>
      <w:pPr>
        <w:spacing w:line="400" w:lineRule="exact"/>
        <w:ind w:firstLine="420" w:firstLineChars="200"/>
        <w:rPr>
          <w:rFonts w:hint="eastAsia" w:ascii="宋体" w:hAnsi="宋体" w:cs="宋体"/>
          <w:color w:val="auto"/>
        </w:rPr>
      </w:pPr>
      <w:r>
        <w:rPr>
          <w:rFonts w:hint="eastAsia" w:ascii="宋体" w:hAnsi="宋体" w:cs="宋体"/>
          <w:color w:val="auto"/>
        </w:rPr>
        <w:t>20.6.4  对各项保险的一般要求</w:t>
      </w:r>
    </w:p>
    <w:p>
      <w:pPr>
        <w:spacing w:line="400" w:lineRule="exact"/>
        <w:ind w:firstLine="420" w:firstLineChars="200"/>
        <w:rPr>
          <w:rFonts w:hint="eastAsia" w:ascii="宋体" w:hAnsi="宋体" w:cs="宋体"/>
          <w:color w:val="auto"/>
          <w:szCs w:val="21"/>
        </w:rPr>
      </w:pPr>
      <w:r>
        <w:rPr>
          <w:rFonts w:hint="eastAsia" w:ascii="宋体" w:hAnsi="宋体" w:cs="宋体"/>
          <w:color w:val="auto"/>
        </w:rPr>
        <w:t xml:space="preserve">保险金不足以补偿损失时，应由承包人负责补偿的范围与金额： </w:t>
      </w:r>
      <w:r>
        <w:rPr>
          <w:rFonts w:hint="eastAsia" w:ascii="宋体" w:hAnsi="宋体" w:cs="宋体"/>
          <w:b/>
          <w:color w:val="auto"/>
          <w:u w:val="single"/>
        </w:rPr>
        <w:t>以发包人和承包人共同名义投保的，当保险金不足以补偿损失时，由承包人负责补偿；发包人、承包人以各自名义投保的，保险金不足以补偿损失时，由各自</w:t>
      </w:r>
      <w:r>
        <w:rPr>
          <w:rFonts w:hint="eastAsia" w:ascii="宋体" w:hAnsi="宋体" w:cs="宋体"/>
          <w:b/>
          <w:color w:val="auto"/>
          <w:u w:val="single"/>
          <w:lang w:eastAsia="zh-CN"/>
        </w:rPr>
        <w:t>负责</w:t>
      </w:r>
      <w:r>
        <w:rPr>
          <w:rFonts w:hint="eastAsia" w:ascii="宋体" w:hAnsi="宋体" w:cs="宋体"/>
          <w:b/>
          <w:color w:val="auto"/>
          <w:u w:val="single"/>
        </w:rPr>
        <w:t>补偿。</w:t>
      </w:r>
    </w:p>
    <w:p>
      <w:pPr>
        <w:pStyle w:val="5"/>
        <w:snapToGrid w:val="0"/>
        <w:spacing w:before="0" w:after="0" w:line="460" w:lineRule="exact"/>
        <w:rPr>
          <w:rFonts w:hint="eastAsia" w:ascii="宋体" w:hAnsi="宋体" w:cs="宋体"/>
          <w:snapToGrid w:val="0"/>
          <w:color w:val="auto"/>
          <w:sz w:val="24"/>
          <w:szCs w:val="22"/>
        </w:rPr>
      </w:pPr>
      <w:bookmarkStart w:id="845" w:name="_Toc13798"/>
      <w:bookmarkStart w:id="846" w:name="_Toc480790552"/>
      <w:r>
        <w:rPr>
          <w:rFonts w:hint="eastAsia" w:ascii="宋体" w:hAnsi="宋体" w:cs="宋体"/>
          <w:snapToGrid w:val="0"/>
          <w:color w:val="auto"/>
          <w:sz w:val="24"/>
          <w:szCs w:val="22"/>
          <w:lang w:eastAsia="zh-CN"/>
        </w:rPr>
        <w:t>21.</w:t>
      </w:r>
      <w:r>
        <w:rPr>
          <w:rFonts w:hint="eastAsia" w:ascii="宋体" w:hAnsi="宋体" w:cs="宋体"/>
          <w:snapToGrid w:val="0"/>
          <w:color w:val="auto"/>
          <w:sz w:val="24"/>
          <w:szCs w:val="22"/>
        </w:rPr>
        <w:t>不可抗力</w:t>
      </w:r>
      <w:bookmarkEnd w:id="845"/>
      <w:bookmarkEnd w:id="846"/>
    </w:p>
    <w:p>
      <w:pPr>
        <w:snapToGrid w:val="0"/>
        <w:spacing w:line="460" w:lineRule="exact"/>
        <w:rPr>
          <w:rFonts w:hint="eastAsia" w:ascii="宋体" w:hAnsi="宋体" w:cs="宋体"/>
          <w:b/>
          <w:color w:val="auto"/>
          <w:szCs w:val="21"/>
        </w:rPr>
      </w:pPr>
      <w:r>
        <w:rPr>
          <w:rFonts w:hint="eastAsia" w:ascii="宋体" w:hAnsi="宋体" w:cs="宋体"/>
          <w:b/>
          <w:color w:val="auto"/>
          <w:szCs w:val="21"/>
        </w:rPr>
        <w:t>21.1不可抗力的确认</w:t>
      </w:r>
    </w:p>
    <w:p>
      <w:pPr>
        <w:tabs>
          <w:tab w:val="left" w:pos="3193"/>
        </w:tabs>
        <w:spacing w:line="460" w:lineRule="exact"/>
        <w:ind w:firstLine="420" w:firstLineChars="200"/>
        <w:rPr>
          <w:rFonts w:hint="eastAsia" w:ascii="宋体" w:hAnsi="宋体" w:cs="宋体"/>
          <w:color w:val="auto"/>
          <w:szCs w:val="21"/>
        </w:rPr>
      </w:pPr>
      <w:r>
        <w:rPr>
          <w:rFonts w:hint="eastAsia" w:ascii="宋体" w:hAnsi="宋体" w:cs="宋体"/>
          <w:color w:val="auto"/>
          <w:szCs w:val="21"/>
        </w:rPr>
        <w:t>21.1.1项细化为：</w:t>
      </w:r>
    </w:p>
    <w:p>
      <w:pPr>
        <w:tabs>
          <w:tab w:val="left" w:pos="3193"/>
        </w:tabs>
        <w:spacing w:line="460" w:lineRule="exact"/>
        <w:ind w:firstLine="420" w:firstLineChars="200"/>
        <w:rPr>
          <w:rFonts w:hint="eastAsia" w:ascii="宋体" w:hAnsi="宋体" w:cs="宋体"/>
          <w:color w:val="auto"/>
          <w:szCs w:val="21"/>
        </w:rPr>
      </w:pPr>
      <w:r>
        <w:rPr>
          <w:rFonts w:hint="eastAsia" w:ascii="宋体" w:hAnsi="宋体" w:cs="宋体"/>
          <w:color w:val="auto"/>
          <w:szCs w:val="21"/>
        </w:rPr>
        <w:t>不可抗力是指承包人和发包人在订立合同时不可预见，在工程施工过程中不可避免发生并不能克服的自然灾害和社会性突发事件。包括但不限于：</w:t>
      </w:r>
    </w:p>
    <w:p>
      <w:pPr>
        <w:spacing w:line="460" w:lineRule="exact"/>
        <w:rPr>
          <w:rFonts w:hint="eastAsia" w:ascii="宋体" w:hAnsi="宋体" w:cs="宋体"/>
          <w:color w:val="auto"/>
        </w:rPr>
      </w:pPr>
      <w:bookmarkStart w:id="847" w:name="_Toc372010130"/>
      <w:r>
        <w:rPr>
          <w:rFonts w:hint="eastAsia" w:ascii="宋体" w:hAnsi="宋体" w:cs="宋体"/>
          <w:color w:val="auto"/>
        </w:rPr>
        <w:t xml:space="preserve">    （1）地震、海啸、火山爆发、泥石流、暴雨（雪）、台风、龙卷风、水灾等自然灾害；</w:t>
      </w:r>
      <w:bookmarkEnd w:id="847"/>
    </w:p>
    <w:p>
      <w:pPr>
        <w:tabs>
          <w:tab w:val="left" w:pos="3193"/>
        </w:tabs>
        <w:spacing w:line="460" w:lineRule="exact"/>
        <w:ind w:firstLine="420" w:firstLineChars="200"/>
        <w:rPr>
          <w:rFonts w:hint="eastAsia" w:ascii="宋体" w:hAnsi="宋体" w:cs="宋体"/>
          <w:color w:val="auto"/>
          <w:szCs w:val="21"/>
        </w:rPr>
      </w:pPr>
      <w:r>
        <w:rPr>
          <w:rFonts w:hint="eastAsia" w:ascii="宋体" w:hAnsi="宋体" w:cs="宋体"/>
          <w:color w:val="auto"/>
          <w:szCs w:val="21"/>
        </w:rPr>
        <w:t>（2）战争、骚乱、暴动，但纯属承包人或其分包人派遣与雇用的人员由于本合同工程施工原因引起者除外；</w:t>
      </w:r>
    </w:p>
    <w:p>
      <w:pPr>
        <w:tabs>
          <w:tab w:val="left" w:pos="3193"/>
        </w:tabs>
        <w:spacing w:line="460" w:lineRule="exact"/>
        <w:ind w:firstLine="420" w:firstLineChars="200"/>
        <w:rPr>
          <w:rFonts w:hint="eastAsia" w:ascii="宋体" w:hAnsi="宋体" w:cs="宋体"/>
          <w:color w:val="auto"/>
          <w:szCs w:val="21"/>
        </w:rPr>
      </w:pPr>
      <w:r>
        <w:rPr>
          <w:rFonts w:hint="eastAsia" w:ascii="宋体" w:hAnsi="宋体" w:cs="宋体"/>
          <w:color w:val="auto"/>
          <w:szCs w:val="21"/>
        </w:rPr>
        <w:t>（3）核反应、辐射或放射性污染；</w:t>
      </w:r>
    </w:p>
    <w:p>
      <w:pPr>
        <w:tabs>
          <w:tab w:val="left" w:pos="3193"/>
        </w:tabs>
        <w:spacing w:line="460" w:lineRule="exact"/>
        <w:ind w:firstLine="420" w:firstLineChars="200"/>
        <w:rPr>
          <w:rFonts w:hint="eastAsia" w:ascii="宋体" w:hAnsi="宋体" w:cs="宋体"/>
          <w:color w:val="auto"/>
          <w:szCs w:val="21"/>
        </w:rPr>
      </w:pPr>
      <w:r>
        <w:rPr>
          <w:rFonts w:hint="eastAsia" w:ascii="宋体" w:hAnsi="宋体" w:cs="宋体"/>
          <w:color w:val="auto"/>
          <w:szCs w:val="21"/>
        </w:rPr>
        <w:t>（4）空中飞行物体降落或非发包人或承包人责任造成的爆炸、火灾；</w:t>
      </w:r>
    </w:p>
    <w:p>
      <w:pPr>
        <w:tabs>
          <w:tab w:val="left" w:pos="3193"/>
        </w:tabs>
        <w:spacing w:line="460" w:lineRule="exact"/>
        <w:ind w:firstLine="420" w:firstLineChars="200"/>
        <w:rPr>
          <w:rFonts w:hint="eastAsia" w:ascii="宋体" w:hAnsi="宋体" w:cs="宋体"/>
          <w:color w:val="auto"/>
          <w:szCs w:val="21"/>
        </w:rPr>
      </w:pPr>
      <w:r>
        <w:rPr>
          <w:rFonts w:hint="eastAsia" w:ascii="宋体" w:hAnsi="宋体" w:cs="宋体"/>
          <w:color w:val="auto"/>
          <w:szCs w:val="21"/>
        </w:rPr>
        <w:t>（5）瘟疫；</w:t>
      </w:r>
    </w:p>
    <w:p>
      <w:pPr>
        <w:tabs>
          <w:tab w:val="left" w:pos="3193"/>
        </w:tabs>
        <w:spacing w:line="460" w:lineRule="exact"/>
        <w:ind w:firstLine="420" w:firstLineChars="200"/>
        <w:rPr>
          <w:rFonts w:hint="eastAsia" w:ascii="宋体" w:hAnsi="宋体" w:cs="宋体"/>
          <w:color w:val="auto"/>
          <w:szCs w:val="21"/>
        </w:rPr>
      </w:pPr>
      <w:r>
        <w:rPr>
          <w:rFonts w:hint="eastAsia" w:ascii="宋体" w:hAnsi="宋体" w:cs="宋体"/>
          <w:color w:val="auto"/>
          <w:szCs w:val="21"/>
        </w:rPr>
        <w:t>（6）项目专用合同条款约定的其他情形。</w:t>
      </w:r>
    </w:p>
    <w:p>
      <w:pPr>
        <w:snapToGrid w:val="0"/>
        <w:spacing w:line="460" w:lineRule="exact"/>
        <w:rPr>
          <w:rFonts w:hint="eastAsia" w:ascii="宋体" w:hAnsi="宋体" w:cs="宋体"/>
          <w:b/>
          <w:color w:val="auto"/>
          <w:szCs w:val="21"/>
        </w:rPr>
      </w:pPr>
      <w:r>
        <w:rPr>
          <w:rFonts w:hint="eastAsia" w:ascii="宋体" w:hAnsi="宋体" w:cs="宋体"/>
          <w:b/>
          <w:color w:val="auto"/>
          <w:szCs w:val="21"/>
        </w:rPr>
        <w:t>21.3不可抗力后果及其处理</w:t>
      </w:r>
    </w:p>
    <w:p>
      <w:pPr>
        <w:tabs>
          <w:tab w:val="left" w:pos="3193"/>
        </w:tabs>
        <w:spacing w:line="460" w:lineRule="exact"/>
        <w:ind w:firstLine="420" w:firstLineChars="200"/>
        <w:rPr>
          <w:rFonts w:hint="eastAsia" w:ascii="宋体" w:hAnsi="宋体" w:cs="宋体"/>
          <w:color w:val="auto"/>
          <w:szCs w:val="21"/>
        </w:rPr>
      </w:pPr>
      <w:r>
        <w:rPr>
          <w:rFonts w:hint="eastAsia" w:ascii="宋体" w:hAnsi="宋体" w:cs="宋体"/>
          <w:color w:val="auto"/>
          <w:szCs w:val="21"/>
        </w:rPr>
        <w:t>21.3.4因不可抗力解除合同</w:t>
      </w:r>
    </w:p>
    <w:p>
      <w:pPr>
        <w:tabs>
          <w:tab w:val="left" w:pos="3193"/>
        </w:tabs>
        <w:spacing w:line="460" w:lineRule="exact"/>
        <w:ind w:firstLine="420" w:firstLineChars="200"/>
        <w:rPr>
          <w:rFonts w:hint="eastAsia" w:ascii="宋体" w:hAnsi="宋体" w:cs="宋体"/>
          <w:color w:val="auto"/>
          <w:szCs w:val="21"/>
        </w:rPr>
      </w:pPr>
      <w:r>
        <w:rPr>
          <w:rFonts w:hint="eastAsia" w:ascii="宋体" w:hAnsi="宋体" w:cs="宋体"/>
          <w:color w:val="auto"/>
          <w:szCs w:val="21"/>
        </w:rPr>
        <w:t>本项细化为：</w:t>
      </w:r>
    </w:p>
    <w:p>
      <w:pPr>
        <w:tabs>
          <w:tab w:val="left" w:pos="3193"/>
        </w:tabs>
        <w:spacing w:line="460" w:lineRule="exact"/>
        <w:ind w:firstLine="420" w:firstLineChars="200"/>
        <w:rPr>
          <w:rFonts w:hint="eastAsia" w:ascii="宋体" w:hAnsi="宋体" w:cs="宋体"/>
          <w:color w:val="auto"/>
          <w:szCs w:val="21"/>
        </w:rPr>
      </w:pPr>
      <w:r>
        <w:rPr>
          <w:rFonts w:hint="eastAsia" w:ascii="宋体" w:hAnsi="宋体" w:cs="宋体"/>
          <w:color w:val="auto"/>
          <w:szCs w:val="21"/>
        </w:rPr>
        <w:t>合同一方当事人因不可抗力不能履行合同的，应当及时通知对方解除合同。合同解除后，承包人应按照第22.2.5项约定撤离施工场地。已经订货的材料、设备由订货方负责退货或解除订货合同，不能退还的货款和因退货、解除订货合同发生的费用，由发包人承担，因未按时退货造成的损失由责任方承担。合同解除后的付款，参照第22.2.4 项约定，由监理人按第3.5款商定或确定，但由于解除合同应赔偿的承包人损失不予考虑。</w:t>
      </w:r>
    </w:p>
    <w:p>
      <w:pPr>
        <w:pStyle w:val="5"/>
        <w:snapToGrid w:val="0"/>
        <w:spacing w:before="0" w:after="0" w:line="460" w:lineRule="exact"/>
        <w:rPr>
          <w:rFonts w:hint="eastAsia" w:ascii="宋体" w:hAnsi="宋体" w:cs="宋体"/>
          <w:snapToGrid w:val="0"/>
          <w:color w:val="auto"/>
          <w:sz w:val="24"/>
          <w:szCs w:val="22"/>
        </w:rPr>
      </w:pPr>
      <w:bookmarkStart w:id="848" w:name="_Toc480790553"/>
      <w:bookmarkStart w:id="849" w:name="_Toc29552"/>
      <w:r>
        <w:rPr>
          <w:rFonts w:hint="eastAsia" w:ascii="宋体" w:hAnsi="宋体" w:cs="宋体"/>
          <w:snapToGrid w:val="0"/>
          <w:color w:val="auto"/>
          <w:sz w:val="24"/>
          <w:szCs w:val="22"/>
          <w:lang w:eastAsia="zh-CN"/>
        </w:rPr>
        <w:t>22.</w:t>
      </w:r>
      <w:r>
        <w:rPr>
          <w:rFonts w:hint="eastAsia" w:ascii="宋体" w:hAnsi="宋体" w:cs="宋体"/>
          <w:snapToGrid w:val="0"/>
          <w:color w:val="auto"/>
          <w:sz w:val="24"/>
          <w:szCs w:val="22"/>
        </w:rPr>
        <w:t>违约</w:t>
      </w:r>
      <w:bookmarkEnd w:id="848"/>
      <w:bookmarkEnd w:id="849"/>
    </w:p>
    <w:p>
      <w:pPr>
        <w:spacing w:line="460" w:lineRule="exact"/>
        <w:ind w:firstLine="539" w:firstLineChars="257"/>
        <w:rPr>
          <w:rFonts w:hint="eastAsia" w:ascii="宋体" w:hAnsi="宋体" w:cs="宋体"/>
          <w:color w:val="auto"/>
          <w:szCs w:val="21"/>
        </w:rPr>
      </w:pPr>
      <w:r>
        <w:rPr>
          <w:rFonts w:hint="eastAsia" w:ascii="宋体" w:hAnsi="宋体" w:cs="宋体"/>
          <w:color w:val="auto"/>
          <w:szCs w:val="21"/>
        </w:rPr>
        <w:t>22.1.1 (7)其他情况包括但不限于承包方提交的诚信行为承诺书中所罗列下列情形：</w:t>
      </w:r>
    </w:p>
    <w:p>
      <w:pPr>
        <w:spacing w:line="460" w:lineRule="exact"/>
        <w:ind w:firstLine="539" w:firstLineChars="257"/>
        <w:rPr>
          <w:rFonts w:hint="eastAsia" w:ascii="宋体" w:hAnsi="宋体" w:cs="宋体"/>
          <w:color w:val="auto"/>
          <w:szCs w:val="21"/>
        </w:rPr>
      </w:pPr>
      <w:r>
        <w:rPr>
          <w:rFonts w:hint="eastAsia" w:ascii="宋体" w:hAnsi="宋体" w:cs="宋体"/>
          <w:color w:val="auto"/>
          <w:szCs w:val="21"/>
        </w:rPr>
        <w:t>A.无正当原因停工十天或累计停工二十天以上，发包人有权解除合同，不退还履约保证金，承包人应立即清退出场。</w:t>
      </w:r>
    </w:p>
    <w:p>
      <w:pPr>
        <w:spacing w:line="460" w:lineRule="exact"/>
        <w:ind w:firstLine="539" w:firstLineChars="257"/>
        <w:rPr>
          <w:rFonts w:hint="eastAsia" w:ascii="宋体" w:hAnsi="宋体" w:cs="宋体"/>
          <w:color w:val="auto"/>
          <w:szCs w:val="21"/>
        </w:rPr>
      </w:pPr>
      <w:r>
        <w:rPr>
          <w:rFonts w:hint="eastAsia" w:ascii="宋体" w:hAnsi="宋体" w:cs="宋体"/>
          <w:color w:val="auto"/>
          <w:szCs w:val="21"/>
        </w:rPr>
        <w:t>B.恶意低价中选，施工期间以合同价款不足，拒不执行或拖延执行合同。</w:t>
      </w:r>
    </w:p>
    <w:p>
      <w:pPr>
        <w:spacing w:line="460" w:lineRule="exact"/>
        <w:ind w:firstLine="539" w:firstLineChars="257"/>
        <w:rPr>
          <w:rFonts w:hint="eastAsia" w:ascii="宋体" w:hAnsi="宋体" w:cs="宋体"/>
          <w:color w:val="auto"/>
          <w:szCs w:val="21"/>
        </w:rPr>
      </w:pPr>
      <w:r>
        <w:rPr>
          <w:rFonts w:hint="eastAsia" w:ascii="宋体" w:hAnsi="宋体" w:cs="宋体"/>
          <w:color w:val="auto"/>
          <w:szCs w:val="21"/>
        </w:rPr>
        <w:t>C.施工过程中，分项分部工程验收不合格拒不整改或整改后仍无法达到质量要求。</w:t>
      </w:r>
    </w:p>
    <w:p>
      <w:pPr>
        <w:spacing w:line="460" w:lineRule="exact"/>
        <w:ind w:firstLine="539" w:firstLineChars="257"/>
        <w:rPr>
          <w:rFonts w:hint="eastAsia" w:ascii="宋体" w:hAnsi="宋体" w:cs="宋体"/>
          <w:color w:val="auto"/>
          <w:szCs w:val="21"/>
        </w:rPr>
      </w:pPr>
      <w:r>
        <w:rPr>
          <w:rFonts w:hint="eastAsia" w:ascii="宋体" w:hAnsi="宋体" w:cs="宋体"/>
          <w:color w:val="auto"/>
          <w:szCs w:val="21"/>
        </w:rPr>
        <w:t>D.施工组织不力，又拒不整改或整改措施不力，致使工程已明显无法在规定工期内完成。</w:t>
      </w:r>
    </w:p>
    <w:p>
      <w:pPr>
        <w:spacing w:line="460" w:lineRule="exact"/>
        <w:ind w:firstLine="539" w:firstLineChars="257"/>
        <w:rPr>
          <w:rFonts w:hint="eastAsia" w:ascii="宋体" w:hAnsi="宋体" w:cs="宋体"/>
          <w:color w:val="auto"/>
          <w:szCs w:val="21"/>
        </w:rPr>
      </w:pPr>
      <w:r>
        <w:rPr>
          <w:rFonts w:hint="eastAsia" w:ascii="宋体" w:hAnsi="宋体" w:cs="宋体"/>
          <w:color w:val="auto"/>
          <w:szCs w:val="21"/>
        </w:rPr>
        <w:t>E.中选后不按期签订施工合同，不按抽选文件要求缴纳保证金，恶意低价中选，拒不执行或拖延执行合同的行为。</w:t>
      </w:r>
    </w:p>
    <w:p>
      <w:pPr>
        <w:spacing w:line="460" w:lineRule="exact"/>
        <w:ind w:firstLine="539" w:firstLineChars="257"/>
        <w:rPr>
          <w:rFonts w:hint="eastAsia" w:ascii="宋体" w:hAnsi="宋体" w:cs="宋体"/>
          <w:color w:val="auto"/>
          <w:szCs w:val="21"/>
        </w:rPr>
      </w:pPr>
      <w:r>
        <w:rPr>
          <w:rFonts w:hint="eastAsia" w:ascii="宋体" w:hAnsi="宋体" w:cs="宋体"/>
          <w:color w:val="auto"/>
          <w:szCs w:val="21"/>
        </w:rPr>
        <w:t>F.擅自变更项目经理、技术负责人和其他技术人员。</w:t>
      </w:r>
    </w:p>
    <w:p>
      <w:pPr>
        <w:spacing w:line="460" w:lineRule="exact"/>
        <w:ind w:firstLine="539" w:firstLineChars="257"/>
        <w:rPr>
          <w:rFonts w:hint="eastAsia" w:ascii="宋体" w:hAnsi="宋体" w:cs="宋体"/>
          <w:color w:val="auto"/>
          <w:szCs w:val="21"/>
        </w:rPr>
      </w:pPr>
      <w:r>
        <w:rPr>
          <w:rFonts w:hint="eastAsia" w:ascii="宋体" w:hAnsi="宋体" w:cs="宋体"/>
          <w:color w:val="auto"/>
          <w:szCs w:val="21"/>
        </w:rPr>
        <w:t>G.施工期间发生较大安全事故或三级重大质量事故。</w:t>
      </w:r>
    </w:p>
    <w:p>
      <w:pPr>
        <w:spacing w:line="460" w:lineRule="exact"/>
        <w:ind w:firstLine="539" w:firstLineChars="257"/>
        <w:rPr>
          <w:rFonts w:hint="eastAsia" w:ascii="宋体" w:hAnsi="宋体" w:cs="宋体"/>
          <w:color w:val="auto"/>
          <w:szCs w:val="21"/>
        </w:rPr>
      </w:pPr>
      <w:r>
        <w:rPr>
          <w:rFonts w:hint="eastAsia" w:ascii="宋体" w:hAnsi="宋体" w:cs="宋体"/>
          <w:color w:val="auto"/>
          <w:szCs w:val="21"/>
        </w:rPr>
        <w:t>H.施工组织不力，管理不善，进度缓慢或对公共秩序造成较大影响，又拒不整改或整改措施不力。</w:t>
      </w:r>
    </w:p>
    <w:p>
      <w:pPr>
        <w:spacing w:line="460" w:lineRule="exact"/>
        <w:ind w:firstLine="539" w:firstLineChars="257"/>
        <w:rPr>
          <w:rFonts w:hint="eastAsia" w:ascii="宋体" w:hAnsi="宋体" w:cs="宋体"/>
          <w:color w:val="auto"/>
          <w:szCs w:val="21"/>
        </w:rPr>
      </w:pPr>
      <w:r>
        <w:rPr>
          <w:rFonts w:hint="eastAsia" w:ascii="宋体" w:hAnsi="宋体" w:cs="宋体"/>
          <w:color w:val="auto"/>
          <w:szCs w:val="21"/>
        </w:rPr>
        <w:t>I.施工过程中，分项分部工程验收不合格拒不整改或整改后仍无法达到质量要求，以及因质量原因不能通过竣工验收。</w:t>
      </w:r>
    </w:p>
    <w:p>
      <w:pPr>
        <w:spacing w:line="460" w:lineRule="exact"/>
        <w:ind w:firstLine="539" w:firstLineChars="257"/>
        <w:rPr>
          <w:rFonts w:hint="eastAsia" w:ascii="宋体" w:hAnsi="宋体" w:cs="宋体"/>
          <w:color w:val="auto"/>
          <w:szCs w:val="21"/>
        </w:rPr>
      </w:pPr>
      <w:r>
        <w:rPr>
          <w:rFonts w:hint="eastAsia" w:ascii="宋体" w:hAnsi="宋体" w:cs="宋体"/>
          <w:color w:val="auto"/>
          <w:szCs w:val="21"/>
        </w:rPr>
        <w:t>J.项目经理、主要技术负责人要求一周在5天以上，不在5天也算违约处理。</w:t>
      </w:r>
    </w:p>
    <w:p>
      <w:pPr>
        <w:spacing w:line="460" w:lineRule="exact"/>
        <w:rPr>
          <w:rFonts w:hint="eastAsia" w:ascii="宋体" w:hAnsi="宋体" w:cs="宋体"/>
          <w:color w:val="auto"/>
        </w:rPr>
      </w:pPr>
      <w:bookmarkStart w:id="850" w:name="_Toc333404558"/>
      <w:bookmarkStart w:id="851" w:name="_Toc330980496"/>
      <w:r>
        <w:rPr>
          <w:rFonts w:hint="eastAsia" w:ascii="宋体" w:hAnsi="宋体" w:cs="宋体"/>
          <w:color w:val="auto"/>
        </w:rPr>
        <w:t xml:space="preserve">     </w:t>
      </w:r>
      <w:r>
        <w:rPr>
          <w:rFonts w:hint="eastAsia" w:ascii="宋体" w:hAnsi="宋体" w:cs="宋体"/>
          <w:color w:val="auto"/>
          <w:szCs w:val="21"/>
        </w:rPr>
        <w:t xml:space="preserve"> 22.1.2  </w:t>
      </w:r>
      <w:r>
        <w:rPr>
          <w:rFonts w:hint="eastAsia" w:ascii="宋体" w:hAnsi="宋体" w:cs="宋体"/>
          <w:color w:val="auto"/>
        </w:rPr>
        <w:t>对承包人违约的处理</w:t>
      </w:r>
      <w:bookmarkEnd w:id="850"/>
      <w:bookmarkEnd w:id="851"/>
    </w:p>
    <w:p>
      <w:pPr>
        <w:spacing w:line="460" w:lineRule="exact"/>
        <w:ind w:firstLine="539" w:firstLineChars="257"/>
        <w:rPr>
          <w:rFonts w:hint="eastAsia" w:ascii="宋体" w:hAnsi="宋体" w:cs="宋体"/>
          <w:color w:val="auto"/>
          <w:szCs w:val="21"/>
        </w:rPr>
      </w:pPr>
      <w:r>
        <w:rPr>
          <w:rFonts w:hint="eastAsia" w:ascii="宋体" w:hAnsi="宋体" w:cs="宋体"/>
          <w:color w:val="auto"/>
          <w:szCs w:val="21"/>
        </w:rPr>
        <w:t>增加以下（4) 、(5) 、</w:t>
      </w:r>
      <w:r>
        <w:rPr>
          <w:rFonts w:hint="eastAsia" w:ascii="宋体" w:hAnsi="宋体" w:cs="宋体"/>
          <w:color w:val="auto"/>
          <w:szCs w:val="21"/>
          <w:lang w:eastAsia="zh-CN"/>
        </w:rPr>
        <w:t>（</w:t>
      </w:r>
      <w:r>
        <w:rPr>
          <w:rFonts w:hint="eastAsia" w:ascii="宋体" w:hAnsi="宋体" w:cs="宋体"/>
          <w:color w:val="auto"/>
          <w:szCs w:val="21"/>
        </w:rPr>
        <w:t>6) 条：</w:t>
      </w:r>
    </w:p>
    <w:p>
      <w:pPr>
        <w:spacing w:line="460" w:lineRule="exact"/>
        <w:ind w:firstLine="539" w:firstLineChars="257"/>
        <w:rPr>
          <w:rFonts w:hint="eastAsia" w:ascii="宋体" w:hAnsi="宋体" w:cs="宋体"/>
          <w:color w:val="auto"/>
          <w:szCs w:val="21"/>
        </w:rPr>
      </w:pPr>
      <w:r>
        <w:rPr>
          <w:rFonts w:hint="eastAsia" w:ascii="宋体" w:hAnsi="宋体" w:cs="宋体"/>
          <w:color w:val="auto"/>
          <w:szCs w:val="21"/>
        </w:rPr>
        <w:t>(4)承包人发生专用条款22.1.1.(7)中约定的违约情况时，发包人按有关法律、《诚信行为承诺书》处理。</w:t>
      </w:r>
    </w:p>
    <w:p>
      <w:pPr>
        <w:spacing w:line="460" w:lineRule="exact"/>
        <w:ind w:firstLine="539" w:firstLineChars="257"/>
        <w:rPr>
          <w:rFonts w:hint="eastAsia" w:ascii="宋体" w:hAnsi="宋体" w:cs="宋体"/>
          <w:color w:val="auto"/>
          <w:szCs w:val="21"/>
        </w:rPr>
      </w:pPr>
      <w:r>
        <w:rPr>
          <w:rFonts w:hint="eastAsia" w:ascii="宋体" w:hAnsi="宋体" w:cs="宋体"/>
          <w:color w:val="auto"/>
          <w:szCs w:val="21"/>
          <w:lang w:eastAsia="zh-CN"/>
        </w:rPr>
        <w:t>（</w:t>
      </w:r>
      <w:r>
        <w:rPr>
          <w:rFonts w:hint="eastAsia" w:ascii="宋体" w:hAnsi="宋体" w:cs="宋体"/>
          <w:color w:val="auto"/>
          <w:szCs w:val="21"/>
        </w:rPr>
        <w:t>5)本工程必须达到一次验收达到合格标准，如不能一次验收达到合格标准，承包人除必须返修达到合格标准外，承担合同签约价</w:t>
      </w:r>
      <w:r>
        <w:rPr>
          <w:rFonts w:hint="eastAsia" w:ascii="宋体" w:hAnsi="宋体" w:cs="宋体"/>
          <w:color w:val="auto"/>
          <w:szCs w:val="21"/>
          <w:u w:val="single"/>
        </w:rPr>
        <w:t xml:space="preserve"> 5% </w:t>
      </w:r>
      <w:r>
        <w:rPr>
          <w:rFonts w:hint="eastAsia" w:ascii="宋体" w:hAnsi="宋体" w:cs="宋体"/>
          <w:color w:val="auto"/>
          <w:szCs w:val="21"/>
        </w:rPr>
        <w:t>的违约金。返修后仍不能合格，应继续返工，直到返修合格，所发生的费用由承包人负责。承包人还应按上述工期延误违约责任支付违约金。</w:t>
      </w:r>
    </w:p>
    <w:p>
      <w:pPr>
        <w:spacing w:line="460" w:lineRule="exact"/>
        <w:ind w:firstLine="539" w:firstLineChars="257"/>
        <w:rPr>
          <w:rFonts w:hint="eastAsia" w:ascii="宋体" w:hAnsi="宋体" w:cs="宋体"/>
          <w:color w:val="auto"/>
          <w:szCs w:val="21"/>
        </w:rPr>
      </w:pPr>
      <w:bookmarkStart w:id="852" w:name="_Toc333404559"/>
      <w:bookmarkStart w:id="853" w:name="_Toc330980497"/>
      <w:r>
        <w:rPr>
          <w:rFonts w:hint="eastAsia" w:ascii="宋体" w:hAnsi="宋体" w:cs="宋体"/>
          <w:color w:val="auto"/>
          <w:szCs w:val="21"/>
        </w:rPr>
        <w:t>(6) 对承包人其他违约责任处理</w:t>
      </w:r>
      <w:bookmarkEnd w:id="852"/>
      <w:bookmarkEnd w:id="853"/>
    </w:p>
    <w:p>
      <w:pPr>
        <w:spacing w:line="460" w:lineRule="exact"/>
        <w:ind w:firstLine="539" w:firstLineChars="257"/>
        <w:rPr>
          <w:rFonts w:hint="eastAsia" w:ascii="宋体" w:hAnsi="宋体" w:cs="宋体"/>
          <w:color w:val="auto"/>
          <w:szCs w:val="21"/>
        </w:rPr>
      </w:pPr>
      <w:r>
        <w:rPr>
          <w:rFonts w:hint="eastAsia" w:ascii="宋体" w:hAnsi="宋体" w:cs="宋体"/>
          <w:color w:val="auto"/>
          <w:szCs w:val="21"/>
        </w:rPr>
        <w:t>A.如因承包人原因，造成拖欠民工工资，发包人</w:t>
      </w:r>
      <w:r>
        <w:rPr>
          <w:rFonts w:hint="eastAsia" w:ascii="宋体" w:hAnsi="宋体" w:cs="宋体"/>
          <w:color w:val="auto"/>
          <w:szCs w:val="21"/>
          <w:lang w:eastAsia="zh-CN"/>
        </w:rPr>
        <w:t>有权</w:t>
      </w:r>
      <w:r>
        <w:rPr>
          <w:rFonts w:hint="eastAsia" w:ascii="宋体" w:hAnsi="宋体" w:cs="宋体"/>
          <w:color w:val="auto"/>
          <w:szCs w:val="21"/>
        </w:rPr>
        <w:t>从承包人履约保证金中支付。每发生一次从承包人承担工程结算总价的0.5%作违约金。</w:t>
      </w:r>
    </w:p>
    <w:p>
      <w:pPr>
        <w:spacing w:line="460" w:lineRule="exact"/>
        <w:ind w:firstLine="539" w:firstLineChars="257"/>
        <w:rPr>
          <w:rFonts w:hint="eastAsia" w:ascii="宋体" w:hAnsi="宋体" w:cs="宋体"/>
          <w:color w:val="auto"/>
          <w:szCs w:val="21"/>
        </w:rPr>
      </w:pPr>
      <w:r>
        <w:rPr>
          <w:rFonts w:hint="eastAsia" w:ascii="宋体" w:hAnsi="宋体" w:cs="宋体"/>
          <w:color w:val="auto"/>
          <w:szCs w:val="21"/>
        </w:rPr>
        <w:t>B.承包人必须在竣工验收合格10日内，做竣工</w:t>
      </w:r>
      <w:r>
        <w:rPr>
          <w:rFonts w:hint="eastAsia" w:ascii="宋体" w:hAnsi="宋体" w:cs="宋体"/>
          <w:color w:val="auto"/>
          <w:szCs w:val="21"/>
          <w:lang w:eastAsia="zh-CN"/>
        </w:rPr>
        <w:t>现场</w:t>
      </w:r>
      <w:r>
        <w:rPr>
          <w:rFonts w:hint="eastAsia" w:ascii="宋体" w:hAnsi="宋体" w:cs="宋体"/>
          <w:color w:val="auto"/>
          <w:szCs w:val="21"/>
        </w:rPr>
        <w:t>清理，向发包人移交工程场地。否则发包人由此造成的结算和支付延误由承包人负责。</w:t>
      </w:r>
    </w:p>
    <w:p>
      <w:pPr>
        <w:spacing w:line="460" w:lineRule="exact"/>
        <w:ind w:firstLine="539" w:firstLineChars="257"/>
        <w:rPr>
          <w:rFonts w:hint="eastAsia" w:ascii="宋体" w:hAnsi="宋体" w:cs="宋体"/>
          <w:color w:val="auto"/>
          <w:szCs w:val="21"/>
        </w:rPr>
      </w:pPr>
      <w:r>
        <w:rPr>
          <w:rFonts w:hint="eastAsia" w:ascii="宋体" w:hAnsi="宋体" w:cs="宋体"/>
          <w:color w:val="auto"/>
          <w:szCs w:val="21"/>
        </w:rPr>
        <w:t>C.项目经理及技术负责人工作时间因公外出，必须事前向发包人现场负责人通报，如不通报处承包人1000元/次的违约金。未经发包人同意，不得擅自更改参选文件中所报的项目经理、技术负责人，若发包人认可承包人申请的项目经理及技术负责人变更，处承包人20000元/人</w:t>
      </w:r>
      <w:r>
        <w:rPr>
          <w:rFonts w:hint="eastAsia" w:ascii="宋体" w:hAnsi="宋体" w:cs="宋体"/>
          <w:color w:val="auto"/>
          <w:szCs w:val="21"/>
          <w:lang w:eastAsia="zh-CN"/>
        </w:rPr>
        <w:t>。</w:t>
      </w:r>
      <w:r>
        <w:rPr>
          <w:rFonts w:hint="eastAsia" w:ascii="宋体" w:hAnsi="宋体" w:cs="宋体"/>
          <w:color w:val="auto"/>
          <w:szCs w:val="21"/>
        </w:rPr>
        <w:t>次的违约金，若发包人不认可承包人申请的项目经理及技术负责人变更，则承包人不得擅自变更。</w:t>
      </w:r>
    </w:p>
    <w:p>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22.1.4 合同解除后实际完成工程结算方式：路基土石方按审计单位有关文件价格结算。其他工程只计已完成工程量所需的材料、人工和台班三项费用。材料、人工和台班耗量按定额计算，人工费、台班费价格按定额计算，但人工费不按市场价调差。材料单价由当地审计部门审定。结算价款须送当地审计部门审计后支付。</w:t>
      </w:r>
    </w:p>
    <w:p>
      <w:pPr>
        <w:pStyle w:val="5"/>
        <w:snapToGrid w:val="0"/>
        <w:spacing w:before="0" w:after="0" w:line="460" w:lineRule="exact"/>
        <w:rPr>
          <w:rFonts w:hint="eastAsia" w:ascii="宋体" w:hAnsi="宋体" w:cs="宋体"/>
          <w:snapToGrid w:val="0"/>
          <w:color w:val="auto"/>
          <w:sz w:val="24"/>
          <w:szCs w:val="22"/>
        </w:rPr>
      </w:pPr>
      <w:bookmarkStart w:id="854" w:name="_Toc26035"/>
      <w:bookmarkStart w:id="855" w:name="_Toc480790554"/>
      <w:r>
        <w:rPr>
          <w:rFonts w:hint="eastAsia" w:ascii="宋体" w:hAnsi="宋体" w:cs="宋体"/>
          <w:snapToGrid w:val="0"/>
          <w:color w:val="auto"/>
          <w:sz w:val="24"/>
          <w:szCs w:val="22"/>
        </w:rPr>
        <w:t>23.索赔</w:t>
      </w:r>
      <w:bookmarkEnd w:id="854"/>
      <w:bookmarkEnd w:id="855"/>
    </w:p>
    <w:p>
      <w:pPr>
        <w:pStyle w:val="6"/>
        <w:snapToGrid w:val="0"/>
        <w:spacing w:before="0" w:after="0" w:line="460" w:lineRule="exact"/>
        <w:rPr>
          <w:rFonts w:hint="eastAsia" w:ascii="宋体" w:hAnsi="宋体" w:eastAsia="宋体" w:cs="宋体"/>
          <w:snapToGrid w:val="0"/>
          <w:color w:val="auto"/>
          <w:sz w:val="24"/>
          <w:szCs w:val="24"/>
        </w:rPr>
      </w:pPr>
      <w:bookmarkStart w:id="856" w:name="_Toc264797303"/>
      <w:bookmarkStart w:id="857" w:name="_Toc322559707"/>
      <w:bookmarkStart w:id="858" w:name="_Toc317156895"/>
      <w:r>
        <w:rPr>
          <w:rFonts w:hint="eastAsia" w:ascii="宋体" w:hAnsi="宋体" w:eastAsia="宋体" w:cs="宋体"/>
          <w:snapToGrid w:val="0"/>
          <w:color w:val="auto"/>
          <w:sz w:val="24"/>
          <w:szCs w:val="24"/>
        </w:rPr>
        <w:t>23.1承包人索赔的提出</w:t>
      </w:r>
      <w:bookmarkEnd w:id="856"/>
      <w:bookmarkEnd w:id="857"/>
      <w:bookmarkEnd w:id="858"/>
    </w:p>
    <w:p>
      <w:pPr>
        <w:tabs>
          <w:tab w:val="left" w:pos="3193"/>
        </w:tabs>
        <w:spacing w:line="460" w:lineRule="exact"/>
        <w:ind w:firstLine="420" w:firstLineChars="200"/>
        <w:rPr>
          <w:rFonts w:hint="eastAsia" w:ascii="宋体" w:hAnsi="宋体" w:cs="宋体"/>
          <w:color w:val="auto"/>
          <w:szCs w:val="21"/>
        </w:rPr>
      </w:pPr>
      <w:r>
        <w:rPr>
          <w:rFonts w:hint="eastAsia" w:ascii="宋体" w:hAnsi="宋体" w:cs="宋体"/>
          <w:color w:val="auto"/>
          <w:szCs w:val="21"/>
        </w:rPr>
        <w:t>本款第（4）项细化为：</w:t>
      </w:r>
    </w:p>
    <w:p>
      <w:pPr>
        <w:tabs>
          <w:tab w:val="left" w:pos="3193"/>
        </w:tabs>
        <w:spacing w:line="460" w:lineRule="exact"/>
        <w:ind w:firstLine="420" w:firstLineChars="200"/>
        <w:rPr>
          <w:rFonts w:hint="eastAsia" w:ascii="宋体" w:hAnsi="宋体" w:cs="宋体"/>
          <w:color w:val="auto"/>
          <w:szCs w:val="21"/>
        </w:rPr>
      </w:pPr>
      <w:r>
        <w:rPr>
          <w:rFonts w:hint="eastAsia" w:ascii="宋体" w:hAnsi="宋体" w:cs="宋体"/>
          <w:color w:val="auto"/>
          <w:szCs w:val="21"/>
        </w:rPr>
        <w:t>（4）在索赔事件影响结束后的28天内，承包人应向监理人递交最终索赔通知书，说明最终要求索赔的追加付款金额和（或）延长的工期，并附必要的记录和证明材料。</w:t>
      </w:r>
    </w:p>
    <w:p>
      <w:pPr>
        <w:pStyle w:val="6"/>
        <w:snapToGrid w:val="0"/>
        <w:spacing w:before="0" w:after="0" w:line="460" w:lineRule="exact"/>
        <w:rPr>
          <w:rFonts w:hint="eastAsia" w:ascii="宋体" w:hAnsi="宋体" w:eastAsia="宋体" w:cs="宋体"/>
          <w:snapToGrid w:val="0"/>
          <w:color w:val="auto"/>
          <w:sz w:val="24"/>
          <w:szCs w:val="24"/>
        </w:rPr>
      </w:pPr>
      <w:bookmarkStart w:id="859" w:name="_Toc317156896"/>
      <w:bookmarkStart w:id="860" w:name="_Toc322559708"/>
      <w:bookmarkStart w:id="861" w:name="_Toc264797304"/>
      <w:r>
        <w:rPr>
          <w:rFonts w:hint="eastAsia" w:ascii="宋体" w:hAnsi="宋体" w:eastAsia="宋体" w:cs="宋体"/>
          <w:snapToGrid w:val="0"/>
          <w:color w:val="auto"/>
          <w:sz w:val="24"/>
          <w:szCs w:val="24"/>
        </w:rPr>
        <w:t>23.2承包人索赔处理程序</w:t>
      </w:r>
      <w:bookmarkEnd w:id="859"/>
      <w:bookmarkEnd w:id="860"/>
      <w:bookmarkEnd w:id="861"/>
    </w:p>
    <w:p>
      <w:pPr>
        <w:tabs>
          <w:tab w:val="left" w:pos="3193"/>
        </w:tabs>
        <w:spacing w:line="460" w:lineRule="exact"/>
        <w:ind w:firstLine="420" w:firstLineChars="200"/>
        <w:rPr>
          <w:rFonts w:hint="eastAsia" w:ascii="宋体" w:hAnsi="宋体" w:cs="宋体"/>
          <w:color w:val="auto"/>
          <w:szCs w:val="21"/>
        </w:rPr>
      </w:pPr>
      <w:r>
        <w:rPr>
          <w:rFonts w:hint="eastAsia" w:ascii="宋体" w:hAnsi="宋体" w:cs="宋体"/>
          <w:color w:val="auto"/>
          <w:szCs w:val="21"/>
        </w:rPr>
        <w:t>本款第（2）项细化为：</w:t>
      </w:r>
    </w:p>
    <w:p>
      <w:pPr>
        <w:tabs>
          <w:tab w:val="left" w:pos="3193"/>
        </w:tabs>
        <w:spacing w:line="460" w:lineRule="exact"/>
        <w:ind w:firstLine="420" w:firstLineChars="200"/>
        <w:rPr>
          <w:rFonts w:hint="eastAsia" w:ascii="宋体" w:hAnsi="宋体" w:cs="宋体"/>
          <w:color w:val="auto"/>
          <w:szCs w:val="21"/>
        </w:rPr>
      </w:pPr>
      <w:r>
        <w:rPr>
          <w:rFonts w:hint="eastAsia" w:ascii="宋体" w:hAnsi="宋体" w:cs="宋体"/>
          <w:color w:val="auto"/>
          <w:szCs w:val="21"/>
        </w:rPr>
        <w:t>（2）监理人应按第3.5款商定或确定追加的付款和（或）延长的工期，并在收到上述索赔通知书或有关索赔的进一步证明材料后的42天内，将索赔处理结果报发包人批准后答复承包人。如果承包人提出的索赔要求未能遵守第23.1（2）～（4）项规定，则承包人只限于索赔由监理人按当时记当予以核实的那部分款额外负担和（或）工期延长天数。</w:t>
      </w:r>
    </w:p>
    <w:p>
      <w:pPr>
        <w:pStyle w:val="5"/>
        <w:snapToGrid w:val="0"/>
        <w:spacing w:before="0" w:after="0" w:line="460" w:lineRule="exact"/>
        <w:rPr>
          <w:rFonts w:hint="eastAsia" w:ascii="宋体" w:hAnsi="宋体" w:cs="宋体"/>
          <w:snapToGrid w:val="0"/>
          <w:color w:val="auto"/>
          <w:sz w:val="24"/>
          <w:szCs w:val="22"/>
        </w:rPr>
      </w:pPr>
      <w:bookmarkStart w:id="862" w:name="_Toc30452"/>
      <w:bookmarkStart w:id="863" w:name="_Toc480790555"/>
      <w:r>
        <w:rPr>
          <w:rFonts w:hint="eastAsia" w:ascii="宋体" w:hAnsi="宋体" w:cs="宋体"/>
          <w:snapToGrid w:val="0"/>
          <w:color w:val="auto"/>
          <w:sz w:val="24"/>
          <w:szCs w:val="22"/>
        </w:rPr>
        <w:t>24.争议的解决</w:t>
      </w:r>
      <w:bookmarkEnd w:id="862"/>
      <w:bookmarkEnd w:id="863"/>
    </w:p>
    <w:p>
      <w:pPr>
        <w:pStyle w:val="6"/>
        <w:snapToGrid w:val="0"/>
        <w:spacing w:before="0" w:after="0" w:line="460" w:lineRule="exact"/>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24.1 争议的解决方式</w:t>
      </w:r>
    </w:p>
    <w:p>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争议的解决方式：向重庆市铜梁区人民法院起诉。</w:t>
      </w:r>
    </w:p>
    <w:p>
      <w:pPr>
        <w:pStyle w:val="5"/>
        <w:snapToGrid w:val="0"/>
        <w:spacing w:before="0" w:after="0" w:line="460" w:lineRule="exact"/>
        <w:rPr>
          <w:rFonts w:hint="eastAsia" w:ascii="宋体" w:hAnsi="宋体" w:cs="宋体"/>
          <w:snapToGrid w:val="0"/>
          <w:color w:val="auto"/>
          <w:sz w:val="24"/>
          <w:szCs w:val="22"/>
        </w:rPr>
      </w:pPr>
      <w:bookmarkStart w:id="864" w:name="_Toc480790556"/>
      <w:bookmarkStart w:id="865" w:name="_Toc4359"/>
      <w:r>
        <w:rPr>
          <w:rFonts w:hint="eastAsia" w:ascii="宋体" w:hAnsi="宋体" w:cs="宋体"/>
          <w:snapToGrid w:val="0"/>
          <w:color w:val="auto"/>
          <w:sz w:val="24"/>
          <w:szCs w:val="22"/>
        </w:rPr>
        <w:t>25.补充条款</w:t>
      </w:r>
      <w:bookmarkEnd w:id="864"/>
      <w:bookmarkEnd w:id="865"/>
    </w:p>
    <w:p>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25.1承包人应在施工中注意排查地下管线，做到安全文明施工。发现地下管网等安全隐患时应采取措施加以保护。对突发隐患险情应积极组织力量排危抢险，并同时联络有关单位施救并及时通报监理单位和发包人。</w:t>
      </w:r>
    </w:p>
    <w:p>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25.2施工中实际发生的工程量和工程细目可能与抽选（合同）的工程量清单不一致，所以发包人有权对任何工程细目和工程量进行调整，承包人应无条件接受，不得停工、索赔和解除合同，否则应视为承包人严重违约。</w:t>
      </w:r>
    </w:p>
    <w:p>
      <w:pPr>
        <w:tabs>
          <w:tab w:val="left" w:pos="3000"/>
          <w:tab w:val="left" w:pos="3280"/>
          <w:tab w:val="left" w:pos="6120"/>
          <w:tab w:val="left" w:pos="7540"/>
          <w:tab w:val="left" w:pos="8320"/>
        </w:tabs>
        <w:autoSpaceDE w:val="0"/>
        <w:autoSpaceDN w:val="0"/>
        <w:adjustRightInd w:val="0"/>
        <w:spacing w:line="460" w:lineRule="exact"/>
        <w:ind w:firstLine="420"/>
        <w:rPr>
          <w:rFonts w:hint="eastAsia" w:ascii="宋体" w:hAnsi="宋体" w:cs="宋体"/>
          <w:color w:val="auto"/>
          <w:szCs w:val="21"/>
        </w:rPr>
      </w:pPr>
      <w:r>
        <w:rPr>
          <w:rFonts w:hint="eastAsia" w:ascii="宋体" w:hAnsi="宋体" w:cs="宋体"/>
          <w:color w:val="auto"/>
          <w:szCs w:val="21"/>
        </w:rPr>
        <w:t>25.3发包人的主要权利义务：</w:t>
      </w:r>
    </w:p>
    <w:p>
      <w:pPr>
        <w:tabs>
          <w:tab w:val="left" w:pos="3000"/>
          <w:tab w:val="left" w:pos="3280"/>
          <w:tab w:val="left" w:pos="6120"/>
          <w:tab w:val="left" w:pos="7540"/>
          <w:tab w:val="left" w:pos="8320"/>
        </w:tabs>
        <w:autoSpaceDE w:val="0"/>
        <w:autoSpaceDN w:val="0"/>
        <w:adjustRightInd w:val="0"/>
        <w:spacing w:line="460" w:lineRule="exact"/>
        <w:ind w:firstLine="420"/>
        <w:rPr>
          <w:rFonts w:hint="eastAsia" w:ascii="宋体" w:hAnsi="宋体" w:cs="宋体"/>
          <w:color w:val="auto"/>
          <w:szCs w:val="21"/>
        </w:rPr>
      </w:pPr>
      <w:r>
        <w:rPr>
          <w:rFonts w:hint="eastAsia" w:ascii="宋体" w:hAnsi="宋体" w:cs="宋体"/>
          <w:color w:val="auto"/>
          <w:szCs w:val="21"/>
          <w:lang w:eastAsia="zh-CN"/>
        </w:rPr>
        <w:t>1.</w:t>
      </w:r>
      <w:r>
        <w:rPr>
          <w:rFonts w:hint="eastAsia" w:ascii="宋体" w:hAnsi="宋体" w:cs="宋体"/>
          <w:color w:val="auto"/>
          <w:szCs w:val="21"/>
        </w:rPr>
        <w:t>完成工程立项、勘察、设计等施工图审查备案前的工作。</w:t>
      </w:r>
    </w:p>
    <w:p>
      <w:pPr>
        <w:tabs>
          <w:tab w:val="left" w:pos="3000"/>
          <w:tab w:val="left" w:pos="3280"/>
          <w:tab w:val="left" w:pos="6120"/>
          <w:tab w:val="left" w:pos="7540"/>
          <w:tab w:val="left" w:pos="8320"/>
        </w:tabs>
        <w:autoSpaceDE w:val="0"/>
        <w:autoSpaceDN w:val="0"/>
        <w:adjustRightInd w:val="0"/>
        <w:spacing w:line="460" w:lineRule="exact"/>
        <w:ind w:firstLine="420"/>
        <w:rPr>
          <w:rFonts w:hint="eastAsia" w:ascii="宋体" w:hAnsi="宋体" w:cs="宋体"/>
          <w:color w:val="auto"/>
          <w:szCs w:val="21"/>
        </w:rPr>
      </w:pPr>
      <w:r>
        <w:rPr>
          <w:rFonts w:hint="eastAsia" w:ascii="宋体" w:hAnsi="宋体" w:cs="宋体"/>
          <w:color w:val="auto"/>
          <w:szCs w:val="21"/>
          <w:lang w:eastAsia="zh-CN"/>
        </w:rPr>
        <w:t>2.</w:t>
      </w:r>
      <w:r>
        <w:rPr>
          <w:rFonts w:hint="eastAsia" w:ascii="宋体" w:hAnsi="宋体" w:cs="宋体"/>
          <w:color w:val="auto"/>
          <w:szCs w:val="21"/>
        </w:rPr>
        <w:t>确定勘察设计、监理单位。</w:t>
      </w:r>
    </w:p>
    <w:p>
      <w:pPr>
        <w:tabs>
          <w:tab w:val="left" w:pos="3000"/>
          <w:tab w:val="left" w:pos="3280"/>
          <w:tab w:val="left" w:pos="6120"/>
          <w:tab w:val="left" w:pos="7540"/>
          <w:tab w:val="left" w:pos="8320"/>
        </w:tabs>
        <w:autoSpaceDE w:val="0"/>
        <w:autoSpaceDN w:val="0"/>
        <w:adjustRightInd w:val="0"/>
        <w:spacing w:line="460" w:lineRule="exact"/>
        <w:ind w:firstLine="420"/>
        <w:rPr>
          <w:rFonts w:hint="eastAsia" w:ascii="宋体" w:hAnsi="宋体" w:cs="宋体"/>
          <w:color w:val="auto"/>
          <w:szCs w:val="21"/>
        </w:rPr>
      </w:pPr>
      <w:r>
        <w:rPr>
          <w:rFonts w:hint="eastAsia" w:ascii="宋体" w:hAnsi="宋体" w:cs="宋体"/>
          <w:color w:val="auto"/>
          <w:szCs w:val="21"/>
          <w:lang w:eastAsia="zh-CN"/>
        </w:rPr>
        <w:t>3.</w:t>
      </w:r>
      <w:r>
        <w:rPr>
          <w:rFonts w:hint="eastAsia" w:ascii="宋体" w:hAnsi="宋体" w:cs="宋体"/>
          <w:color w:val="auto"/>
          <w:szCs w:val="21"/>
        </w:rPr>
        <w:t>委托有资质的造价机构对本工程进行概算审查、工程全过程造价管理和结（决）算审查。</w:t>
      </w:r>
    </w:p>
    <w:p>
      <w:pPr>
        <w:tabs>
          <w:tab w:val="left" w:pos="3000"/>
          <w:tab w:val="left" w:pos="3280"/>
          <w:tab w:val="left" w:pos="6120"/>
          <w:tab w:val="left" w:pos="7540"/>
          <w:tab w:val="left" w:pos="8320"/>
        </w:tabs>
        <w:autoSpaceDE w:val="0"/>
        <w:autoSpaceDN w:val="0"/>
        <w:adjustRightInd w:val="0"/>
        <w:spacing w:line="440" w:lineRule="exact"/>
        <w:ind w:firstLine="420"/>
        <w:rPr>
          <w:rFonts w:hint="eastAsia" w:ascii="宋体" w:hAnsi="宋体" w:cs="宋体"/>
          <w:color w:val="auto"/>
          <w:szCs w:val="21"/>
        </w:rPr>
      </w:pPr>
      <w:r>
        <w:rPr>
          <w:rFonts w:hint="eastAsia" w:ascii="宋体" w:hAnsi="宋体" w:cs="宋体"/>
          <w:color w:val="auto"/>
          <w:szCs w:val="21"/>
          <w:lang w:eastAsia="zh-CN"/>
        </w:rPr>
        <w:t>4.</w:t>
      </w:r>
      <w:r>
        <w:rPr>
          <w:rFonts w:hint="eastAsia" w:ascii="宋体" w:hAnsi="宋体" w:cs="宋体"/>
          <w:color w:val="auto"/>
          <w:szCs w:val="21"/>
        </w:rPr>
        <w:t>完成本项目的征地、房屋及其他拆迁工作。</w:t>
      </w:r>
    </w:p>
    <w:p>
      <w:pPr>
        <w:tabs>
          <w:tab w:val="left" w:pos="3000"/>
          <w:tab w:val="left" w:pos="3280"/>
          <w:tab w:val="left" w:pos="6120"/>
          <w:tab w:val="left" w:pos="7540"/>
          <w:tab w:val="left" w:pos="8320"/>
        </w:tabs>
        <w:autoSpaceDE w:val="0"/>
        <w:autoSpaceDN w:val="0"/>
        <w:adjustRightInd w:val="0"/>
        <w:spacing w:line="440" w:lineRule="exact"/>
        <w:ind w:firstLine="420"/>
        <w:rPr>
          <w:rFonts w:hint="eastAsia" w:ascii="宋体" w:hAnsi="宋体" w:cs="宋体"/>
          <w:color w:val="auto"/>
          <w:szCs w:val="21"/>
        </w:rPr>
      </w:pPr>
      <w:r>
        <w:rPr>
          <w:rFonts w:hint="eastAsia" w:ascii="宋体" w:hAnsi="宋体" w:cs="宋体"/>
          <w:color w:val="auto"/>
          <w:szCs w:val="21"/>
          <w:lang w:eastAsia="zh-CN"/>
        </w:rPr>
        <w:t>5.</w:t>
      </w:r>
      <w:r>
        <w:rPr>
          <w:rFonts w:hint="eastAsia" w:ascii="宋体" w:hAnsi="宋体" w:cs="宋体"/>
          <w:color w:val="auto"/>
          <w:szCs w:val="21"/>
        </w:rPr>
        <w:t>监管建设项目进度，促使承包人在合</w:t>
      </w:r>
      <w:bookmarkStart w:id="991" w:name="_GoBack"/>
      <w:bookmarkEnd w:id="991"/>
      <w:r>
        <w:rPr>
          <w:rFonts w:hint="eastAsia" w:ascii="宋体" w:hAnsi="宋体" w:cs="宋体"/>
          <w:color w:val="auto"/>
          <w:szCs w:val="21"/>
        </w:rPr>
        <w:t>同工期内完成项目建设。</w:t>
      </w:r>
    </w:p>
    <w:p>
      <w:pPr>
        <w:tabs>
          <w:tab w:val="left" w:pos="3000"/>
          <w:tab w:val="left" w:pos="3280"/>
          <w:tab w:val="left" w:pos="6120"/>
          <w:tab w:val="left" w:pos="7540"/>
          <w:tab w:val="left" w:pos="8320"/>
        </w:tabs>
        <w:autoSpaceDE w:val="0"/>
        <w:autoSpaceDN w:val="0"/>
        <w:adjustRightInd w:val="0"/>
        <w:spacing w:line="440" w:lineRule="exact"/>
        <w:ind w:firstLine="420"/>
        <w:rPr>
          <w:rFonts w:hint="eastAsia" w:ascii="宋体" w:hAnsi="宋体" w:cs="宋体"/>
          <w:color w:val="auto"/>
          <w:szCs w:val="21"/>
        </w:rPr>
      </w:pPr>
      <w:r>
        <w:rPr>
          <w:rFonts w:hint="eastAsia" w:ascii="宋体" w:hAnsi="宋体" w:cs="宋体"/>
          <w:color w:val="auto"/>
          <w:szCs w:val="21"/>
          <w:lang w:eastAsia="zh-CN"/>
        </w:rPr>
        <w:t>6.</w:t>
      </w:r>
      <w:r>
        <w:rPr>
          <w:rFonts w:hint="eastAsia" w:ascii="宋体" w:hAnsi="宋体" w:cs="宋体"/>
          <w:color w:val="auto"/>
          <w:szCs w:val="21"/>
        </w:rPr>
        <w:t>按工程进度要求、监督本工程进度情况，定期或不定期抽查工程质量，抽查本工程监理部门的有关资料。</w:t>
      </w:r>
    </w:p>
    <w:p>
      <w:pPr>
        <w:tabs>
          <w:tab w:val="left" w:pos="3000"/>
          <w:tab w:val="left" w:pos="3280"/>
          <w:tab w:val="left" w:pos="6120"/>
          <w:tab w:val="left" w:pos="7540"/>
          <w:tab w:val="left" w:pos="8320"/>
        </w:tabs>
        <w:autoSpaceDE w:val="0"/>
        <w:autoSpaceDN w:val="0"/>
        <w:adjustRightInd w:val="0"/>
        <w:spacing w:line="440" w:lineRule="exact"/>
        <w:ind w:firstLine="420"/>
        <w:rPr>
          <w:rFonts w:hint="eastAsia" w:ascii="宋体" w:hAnsi="宋体" w:cs="宋体"/>
          <w:color w:val="auto"/>
          <w:szCs w:val="21"/>
        </w:rPr>
      </w:pPr>
      <w:r>
        <w:rPr>
          <w:rFonts w:hint="eastAsia" w:ascii="宋体" w:hAnsi="宋体" w:cs="宋体"/>
          <w:color w:val="auto"/>
          <w:szCs w:val="21"/>
          <w:lang w:eastAsia="zh-CN"/>
        </w:rPr>
        <w:t>7.</w:t>
      </w:r>
      <w:r>
        <w:rPr>
          <w:rFonts w:hint="eastAsia" w:ascii="宋体" w:hAnsi="宋体" w:cs="宋体"/>
          <w:color w:val="auto"/>
          <w:szCs w:val="21"/>
        </w:rPr>
        <w:t>负责本项目投资控制工作，审定项目建设过程中新增建设内容和施工图重大设计变更内容，配合并接收审查单位对该项目的审查工作。</w:t>
      </w:r>
    </w:p>
    <w:p>
      <w:pPr>
        <w:tabs>
          <w:tab w:val="left" w:pos="3000"/>
          <w:tab w:val="left" w:pos="3280"/>
          <w:tab w:val="left" w:pos="6120"/>
          <w:tab w:val="left" w:pos="7540"/>
          <w:tab w:val="left" w:pos="8320"/>
        </w:tabs>
        <w:autoSpaceDE w:val="0"/>
        <w:autoSpaceDN w:val="0"/>
        <w:adjustRightInd w:val="0"/>
        <w:spacing w:line="440" w:lineRule="exact"/>
        <w:ind w:firstLine="420"/>
        <w:rPr>
          <w:rFonts w:hint="eastAsia" w:ascii="宋体" w:hAnsi="宋体" w:cs="宋体"/>
          <w:color w:val="auto"/>
          <w:szCs w:val="21"/>
        </w:rPr>
      </w:pPr>
      <w:r>
        <w:rPr>
          <w:rFonts w:hint="eastAsia" w:ascii="宋体" w:hAnsi="宋体" w:cs="宋体"/>
          <w:color w:val="auto"/>
          <w:szCs w:val="21"/>
          <w:lang w:eastAsia="zh-CN"/>
        </w:rPr>
        <w:t>8.</w:t>
      </w:r>
      <w:r>
        <w:rPr>
          <w:rFonts w:hint="eastAsia" w:ascii="宋体" w:hAnsi="宋体" w:cs="宋体"/>
          <w:color w:val="auto"/>
          <w:szCs w:val="21"/>
        </w:rPr>
        <w:t>审定工程建设组织大纲，并监督承包人按批准的建设进度计划实施。</w:t>
      </w:r>
    </w:p>
    <w:p>
      <w:pPr>
        <w:tabs>
          <w:tab w:val="left" w:pos="3000"/>
          <w:tab w:val="left" w:pos="3280"/>
          <w:tab w:val="left" w:pos="6120"/>
          <w:tab w:val="left" w:pos="7540"/>
          <w:tab w:val="left" w:pos="8320"/>
        </w:tabs>
        <w:autoSpaceDE w:val="0"/>
        <w:autoSpaceDN w:val="0"/>
        <w:adjustRightInd w:val="0"/>
        <w:spacing w:line="440" w:lineRule="exact"/>
        <w:ind w:firstLine="420"/>
        <w:rPr>
          <w:rFonts w:hint="eastAsia" w:ascii="宋体" w:hAnsi="宋体" w:cs="宋体"/>
          <w:color w:val="auto"/>
          <w:szCs w:val="21"/>
        </w:rPr>
      </w:pPr>
      <w:r>
        <w:rPr>
          <w:rFonts w:hint="eastAsia" w:ascii="宋体" w:hAnsi="宋体" w:cs="宋体"/>
          <w:color w:val="auto"/>
          <w:szCs w:val="21"/>
          <w:lang w:eastAsia="zh-CN"/>
        </w:rPr>
        <w:t>9.</w:t>
      </w:r>
      <w:r>
        <w:rPr>
          <w:rFonts w:hint="eastAsia" w:ascii="宋体" w:hAnsi="宋体" w:cs="宋体"/>
          <w:color w:val="auto"/>
          <w:szCs w:val="21"/>
        </w:rPr>
        <w:t>协调承包人与本工程相关部门的工作。</w:t>
      </w:r>
    </w:p>
    <w:p>
      <w:pPr>
        <w:tabs>
          <w:tab w:val="left" w:pos="3000"/>
          <w:tab w:val="left" w:pos="3280"/>
          <w:tab w:val="left" w:pos="6120"/>
          <w:tab w:val="left" w:pos="7540"/>
          <w:tab w:val="left" w:pos="8320"/>
        </w:tabs>
        <w:autoSpaceDE w:val="0"/>
        <w:autoSpaceDN w:val="0"/>
        <w:adjustRightInd w:val="0"/>
        <w:spacing w:line="440" w:lineRule="exact"/>
        <w:ind w:firstLine="420"/>
        <w:rPr>
          <w:rFonts w:hint="eastAsia" w:ascii="宋体" w:hAnsi="宋体" w:cs="宋体"/>
          <w:color w:val="auto"/>
          <w:szCs w:val="21"/>
        </w:rPr>
      </w:pPr>
      <w:r>
        <w:rPr>
          <w:rFonts w:hint="eastAsia" w:ascii="宋体" w:hAnsi="宋体" w:cs="宋体"/>
          <w:color w:val="auto"/>
          <w:szCs w:val="21"/>
          <w:lang w:eastAsia="zh-CN"/>
        </w:rPr>
        <w:t>10.</w:t>
      </w:r>
      <w:r>
        <w:rPr>
          <w:rFonts w:hint="eastAsia" w:ascii="宋体" w:hAnsi="宋体" w:cs="宋体"/>
          <w:color w:val="auto"/>
          <w:szCs w:val="21"/>
        </w:rPr>
        <w:t>委派项目管理人员处理相关事项。</w:t>
      </w:r>
    </w:p>
    <w:p>
      <w:pPr>
        <w:tabs>
          <w:tab w:val="left" w:pos="3000"/>
          <w:tab w:val="left" w:pos="3280"/>
          <w:tab w:val="left" w:pos="6120"/>
          <w:tab w:val="left" w:pos="7540"/>
          <w:tab w:val="left" w:pos="8320"/>
        </w:tabs>
        <w:autoSpaceDE w:val="0"/>
        <w:autoSpaceDN w:val="0"/>
        <w:adjustRightInd w:val="0"/>
        <w:spacing w:line="440" w:lineRule="exact"/>
        <w:ind w:firstLine="420"/>
        <w:rPr>
          <w:rFonts w:hint="eastAsia" w:ascii="宋体" w:hAnsi="宋体" w:cs="宋体"/>
          <w:color w:val="auto"/>
          <w:szCs w:val="21"/>
        </w:rPr>
      </w:pPr>
      <w:r>
        <w:rPr>
          <w:rFonts w:hint="eastAsia" w:ascii="宋体" w:hAnsi="宋体" w:cs="宋体"/>
          <w:color w:val="auto"/>
          <w:szCs w:val="21"/>
        </w:rPr>
        <w:t>25.4承包人的主要义务与违约责任：</w:t>
      </w:r>
    </w:p>
    <w:p>
      <w:pPr>
        <w:tabs>
          <w:tab w:val="left" w:pos="3000"/>
          <w:tab w:val="left" w:pos="3280"/>
          <w:tab w:val="left" w:pos="6120"/>
          <w:tab w:val="left" w:pos="7540"/>
          <w:tab w:val="left" w:pos="8320"/>
        </w:tabs>
        <w:autoSpaceDE w:val="0"/>
        <w:autoSpaceDN w:val="0"/>
        <w:adjustRightInd w:val="0"/>
        <w:spacing w:line="440" w:lineRule="exact"/>
        <w:ind w:firstLine="420"/>
        <w:rPr>
          <w:rFonts w:hint="eastAsia" w:ascii="宋体" w:hAnsi="宋体" w:cs="宋体"/>
          <w:color w:val="auto"/>
          <w:szCs w:val="21"/>
        </w:rPr>
      </w:pPr>
      <w:r>
        <w:rPr>
          <w:rFonts w:hint="eastAsia" w:ascii="宋体" w:hAnsi="宋体" w:cs="宋体"/>
          <w:color w:val="auto"/>
          <w:szCs w:val="21"/>
          <w:lang w:eastAsia="zh-CN"/>
        </w:rPr>
        <w:t>1.</w:t>
      </w:r>
      <w:r>
        <w:rPr>
          <w:rFonts w:hint="eastAsia" w:ascii="宋体" w:hAnsi="宋体" w:cs="宋体"/>
          <w:color w:val="auto"/>
          <w:szCs w:val="21"/>
        </w:rPr>
        <w:t>负责工程建设施工并达到相关质量验收合格标准，全额承担因工程质量返工造成的经济损失，按国家有关法规政策承担各种安全责任。</w:t>
      </w:r>
    </w:p>
    <w:p>
      <w:pPr>
        <w:tabs>
          <w:tab w:val="left" w:pos="3000"/>
          <w:tab w:val="left" w:pos="3280"/>
          <w:tab w:val="left" w:pos="6120"/>
          <w:tab w:val="left" w:pos="7540"/>
          <w:tab w:val="left" w:pos="8320"/>
        </w:tabs>
        <w:autoSpaceDE w:val="0"/>
        <w:autoSpaceDN w:val="0"/>
        <w:adjustRightInd w:val="0"/>
        <w:spacing w:line="440" w:lineRule="exact"/>
        <w:ind w:firstLine="420"/>
        <w:rPr>
          <w:rFonts w:hint="eastAsia" w:ascii="宋体" w:hAnsi="宋体" w:cs="宋体"/>
          <w:color w:val="auto"/>
          <w:szCs w:val="21"/>
        </w:rPr>
      </w:pPr>
      <w:r>
        <w:rPr>
          <w:rFonts w:hint="eastAsia" w:ascii="宋体" w:hAnsi="宋体" w:cs="宋体"/>
          <w:color w:val="auto"/>
          <w:szCs w:val="21"/>
          <w:lang w:eastAsia="zh-CN"/>
        </w:rPr>
        <w:t>2.</w:t>
      </w:r>
      <w:r>
        <w:rPr>
          <w:rFonts w:hint="eastAsia" w:ascii="宋体" w:hAnsi="宋体" w:cs="宋体"/>
          <w:color w:val="auto"/>
          <w:szCs w:val="21"/>
        </w:rPr>
        <w:t>配备能满足本项目实施要求的具有投资、建设、管理和施工经验的管理和技术人员，负责工程建设全过程管理、组织、协调，以确保工程质量符合国家、重庆市的有关技术标准和要求，对工程进度、质量、投资、安全和文明施工负责。</w:t>
      </w:r>
    </w:p>
    <w:p>
      <w:pPr>
        <w:tabs>
          <w:tab w:val="left" w:pos="3000"/>
          <w:tab w:val="left" w:pos="3280"/>
          <w:tab w:val="left" w:pos="6120"/>
          <w:tab w:val="left" w:pos="7540"/>
          <w:tab w:val="left" w:pos="8320"/>
        </w:tabs>
        <w:autoSpaceDE w:val="0"/>
        <w:autoSpaceDN w:val="0"/>
        <w:adjustRightInd w:val="0"/>
        <w:spacing w:line="440" w:lineRule="exact"/>
        <w:ind w:firstLine="420"/>
        <w:rPr>
          <w:rFonts w:hint="eastAsia" w:ascii="宋体" w:hAnsi="宋体" w:cs="宋体"/>
          <w:color w:val="auto"/>
          <w:szCs w:val="21"/>
        </w:rPr>
      </w:pPr>
      <w:r>
        <w:rPr>
          <w:rFonts w:hint="eastAsia" w:ascii="宋体" w:hAnsi="宋体" w:cs="宋体"/>
          <w:color w:val="auto"/>
          <w:szCs w:val="21"/>
          <w:lang w:eastAsia="zh-CN"/>
        </w:rPr>
        <w:t>3.</w:t>
      </w:r>
      <w:r>
        <w:rPr>
          <w:rFonts w:hint="eastAsia" w:ascii="宋体" w:hAnsi="宋体" w:cs="宋体"/>
          <w:color w:val="auto"/>
          <w:szCs w:val="21"/>
        </w:rPr>
        <w:t>依法筹集和足额到位项目所需建设资金，编制资金使用计划，报发包人审批，确保建设资金按使用计划及时到位。</w:t>
      </w:r>
    </w:p>
    <w:p>
      <w:pPr>
        <w:tabs>
          <w:tab w:val="left" w:pos="3000"/>
          <w:tab w:val="left" w:pos="3280"/>
          <w:tab w:val="left" w:pos="6120"/>
          <w:tab w:val="left" w:pos="7540"/>
          <w:tab w:val="left" w:pos="8320"/>
        </w:tabs>
        <w:autoSpaceDE w:val="0"/>
        <w:autoSpaceDN w:val="0"/>
        <w:adjustRightInd w:val="0"/>
        <w:spacing w:line="440" w:lineRule="exact"/>
        <w:ind w:firstLine="420"/>
        <w:rPr>
          <w:rFonts w:hint="eastAsia" w:ascii="宋体" w:hAnsi="宋体" w:cs="宋体"/>
          <w:color w:val="auto"/>
          <w:szCs w:val="21"/>
        </w:rPr>
      </w:pPr>
      <w:r>
        <w:rPr>
          <w:rFonts w:hint="eastAsia" w:ascii="宋体" w:hAnsi="宋体" w:cs="宋体"/>
          <w:color w:val="auto"/>
          <w:szCs w:val="21"/>
          <w:lang w:eastAsia="zh-CN"/>
        </w:rPr>
        <w:t>4.</w:t>
      </w:r>
      <w:r>
        <w:rPr>
          <w:rFonts w:hint="eastAsia" w:ascii="宋体" w:hAnsi="宋体" w:cs="宋体"/>
          <w:color w:val="auto"/>
          <w:szCs w:val="21"/>
        </w:rPr>
        <w:t>对发包人前期已经完成的所有工作成果和委托事项，承包人应无条件接受。</w:t>
      </w:r>
    </w:p>
    <w:p>
      <w:pPr>
        <w:tabs>
          <w:tab w:val="left" w:pos="3000"/>
          <w:tab w:val="left" w:pos="3280"/>
          <w:tab w:val="left" w:pos="6120"/>
          <w:tab w:val="left" w:pos="7540"/>
          <w:tab w:val="left" w:pos="8320"/>
        </w:tabs>
        <w:autoSpaceDE w:val="0"/>
        <w:autoSpaceDN w:val="0"/>
        <w:adjustRightInd w:val="0"/>
        <w:spacing w:line="440" w:lineRule="exact"/>
        <w:ind w:firstLine="420"/>
        <w:rPr>
          <w:rFonts w:hint="eastAsia" w:ascii="宋体" w:hAnsi="宋体" w:cs="宋体"/>
          <w:color w:val="auto"/>
          <w:szCs w:val="21"/>
        </w:rPr>
      </w:pPr>
      <w:r>
        <w:rPr>
          <w:rFonts w:hint="eastAsia" w:ascii="宋体" w:hAnsi="宋体" w:cs="宋体"/>
          <w:color w:val="auto"/>
          <w:szCs w:val="21"/>
          <w:lang w:eastAsia="zh-CN"/>
        </w:rPr>
        <w:t>5.</w:t>
      </w:r>
      <w:r>
        <w:rPr>
          <w:rFonts w:hint="eastAsia" w:ascii="宋体" w:hAnsi="宋体" w:cs="宋体"/>
          <w:color w:val="auto"/>
          <w:szCs w:val="21"/>
        </w:rPr>
        <w:t>根据相关合同约定向本工程相关单位支付合同款。</w:t>
      </w:r>
    </w:p>
    <w:p>
      <w:pPr>
        <w:tabs>
          <w:tab w:val="left" w:pos="3000"/>
          <w:tab w:val="left" w:pos="3280"/>
          <w:tab w:val="left" w:pos="6120"/>
          <w:tab w:val="left" w:pos="7540"/>
          <w:tab w:val="left" w:pos="8320"/>
        </w:tabs>
        <w:autoSpaceDE w:val="0"/>
        <w:autoSpaceDN w:val="0"/>
        <w:adjustRightInd w:val="0"/>
        <w:spacing w:line="440" w:lineRule="exact"/>
        <w:ind w:firstLine="420"/>
        <w:rPr>
          <w:rFonts w:hint="eastAsia" w:ascii="宋体" w:hAnsi="宋体" w:cs="宋体"/>
          <w:color w:val="auto"/>
          <w:szCs w:val="21"/>
        </w:rPr>
      </w:pPr>
      <w:r>
        <w:rPr>
          <w:rFonts w:hint="eastAsia" w:ascii="宋体" w:hAnsi="宋体" w:cs="宋体"/>
          <w:color w:val="auto"/>
          <w:szCs w:val="21"/>
          <w:lang w:eastAsia="zh-CN"/>
        </w:rPr>
        <w:t>6.</w:t>
      </w:r>
      <w:r>
        <w:rPr>
          <w:rFonts w:hint="eastAsia" w:ascii="宋体" w:hAnsi="宋体" w:cs="宋体"/>
          <w:color w:val="auto"/>
          <w:szCs w:val="21"/>
        </w:rPr>
        <w:t>负责办理工程建设相关手续，交纳相关费用。</w:t>
      </w:r>
    </w:p>
    <w:p>
      <w:pPr>
        <w:tabs>
          <w:tab w:val="left" w:pos="3000"/>
          <w:tab w:val="left" w:pos="3280"/>
          <w:tab w:val="left" w:pos="6120"/>
          <w:tab w:val="left" w:pos="7540"/>
          <w:tab w:val="left" w:pos="8320"/>
        </w:tabs>
        <w:autoSpaceDE w:val="0"/>
        <w:autoSpaceDN w:val="0"/>
        <w:adjustRightInd w:val="0"/>
        <w:spacing w:line="440" w:lineRule="exact"/>
        <w:ind w:firstLine="420"/>
        <w:rPr>
          <w:rFonts w:hint="eastAsia" w:ascii="宋体" w:hAnsi="宋体" w:cs="宋体"/>
          <w:color w:val="auto"/>
          <w:szCs w:val="21"/>
        </w:rPr>
      </w:pPr>
      <w:r>
        <w:rPr>
          <w:rFonts w:hint="eastAsia" w:ascii="宋体" w:hAnsi="宋体" w:cs="宋体"/>
          <w:color w:val="auto"/>
          <w:szCs w:val="21"/>
          <w:lang w:eastAsia="zh-CN"/>
        </w:rPr>
        <w:t>7.</w:t>
      </w:r>
      <w:r>
        <w:rPr>
          <w:rFonts w:hint="eastAsia" w:ascii="宋体" w:hAnsi="宋体" w:cs="宋体"/>
          <w:color w:val="auto"/>
          <w:szCs w:val="21"/>
        </w:rPr>
        <w:t>按设计文件组织工程建设，实施项目管理，负责组织工程竣工验收、资料归档并移交。</w:t>
      </w:r>
    </w:p>
    <w:p>
      <w:pPr>
        <w:tabs>
          <w:tab w:val="left" w:pos="3000"/>
          <w:tab w:val="left" w:pos="3280"/>
          <w:tab w:val="left" w:pos="6120"/>
          <w:tab w:val="left" w:pos="7540"/>
          <w:tab w:val="left" w:pos="8320"/>
        </w:tabs>
        <w:autoSpaceDE w:val="0"/>
        <w:autoSpaceDN w:val="0"/>
        <w:adjustRightInd w:val="0"/>
        <w:spacing w:line="440" w:lineRule="exact"/>
        <w:ind w:firstLine="420"/>
        <w:rPr>
          <w:rFonts w:hint="eastAsia" w:ascii="宋体" w:hAnsi="宋体" w:cs="宋体"/>
          <w:color w:val="auto"/>
          <w:szCs w:val="21"/>
        </w:rPr>
      </w:pPr>
      <w:r>
        <w:rPr>
          <w:rFonts w:hint="eastAsia" w:ascii="宋体" w:hAnsi="宋体" w:cs="宋体"/>
          <w:color w:val="auto"/>
          <w:szCs w:val="21"/>
          <w:lang w:eastAsia="zh-CN"/>
        </w:rPr>
        <w:t>8.</w:t>
      </w:r>
      <w:r>
        <w:rPr>
          <w:rFonts w:hint="eastAsia" w:ascii="宋体" w:hAnsi="宋体" w:cs="宋体"/>
          <w:color w:val="auto"/>
          <w:szCs w:val="21"/>
        </w:rPr>
        <w:t>配合并接受发包人及其委托的审计（或审查）机构对项目建设全过程的审计（或审查）监督。</w:t>
      </w:r>
    </w:p>
    <w:p>
      <w:pPr>
        <w:tabs>
          <w:tab w:val="left" w:pos="3000"/>
          <w:tab w:val="left" w:pos="3280"/>
          <w:tab w:val="left" w:pos="6120"/>
          <w:tab w:val="left" w:pos="7540"/>
          <w:tab w:val="left" w:pos="8320"/>
        </w:tabs>
        <w:autoSpaceDE w:val="0"/>
        <w:autoSpaceDN w:val="0"/>
        <w:adjustRightInd w:val="0"/>
        <w:spacing w:line="440" w:lineRule="exact"/>
        <w:ind w:firstLine="420"/>
        <w:rPr>
          <w:rFonts w:hint="eastAsia" w:ascii="宋体" w:hAnsi="宋体" w:cs="宋体"/>
          <w:color w:val="auto"/>
          <w:szCs w:val="21"/>
          <w:u w:val="single"/>
        </w:rPr>
      </w:pPr>
      <w:r>
        <w:rPr>
          <w:rFonts w:hint="eastAsia" w:ascii="宋体" w:hAnsi="宋体" w:cs="宋体"/>
          <w:color w:val="auto"/>
          <w:szCs w:val="21"/>
          <w:lang w:eastAsia="zh-CN"/>
        </w:rPr>
        <w:t>9.</w:t>
      </w:r>
      <w:r>
        <w:rPr>
          <w:rFonts w:hint="eastAsia" w:ascii="宋体" w:hAnsi="宋体" w:cs="宋体"/>
          <w:color w:val="auto"/>
          <w:szCs w:val="21"/>
        </w:rPr>
        <w:t>投保建设期的相关保险，并缴纳因实施本合同项目所产生的一切税费。</w:t>
      </w:r>
    </w:p>
    <w:p>
      <w:pPr>
        <w:tabs>
          <w:tab w:val="left" w:pos="3000"/>
          <w:tab w:val="left" w:pos="3280"/>
          <w:tab w:val="left" w:pos="6120"/>
          <w:tab w:val="left" w:pos="7540"/>
          <w:tab w:val="left" w:pos="8320"/>
        </w:tabs>
        <w:autoSpaceDE w:val="0"/>
        <w:autoSpaceDN w:val="0"/>
        <w:adjustRightInd w:val="0"/>
        <w:spacing w:line="440" w:lineRule="exact"/>
        <w:ind w:firstLine="420"/>
        <w:rPr>
          <w:rFonts w:hint="eastAsia" w:ascii="宋体" w:hAnsi="宋体" w:cs="宋体"/>
          <w:color w:val="auto"/>
          <w:szCs w:val="21"/>
        </w:rPr>
      </w:pPr>
      <w:r>
        <w:rPr>
          <w:rFonts w:hint="eastAsia" w:ascii="宋体" w:hAnsi="宋体" w:cs="宋体"/>
          <w:color w:val="auto"/>
          <w:szCs w:val="21"/>
          <w:lang w:eastAsia="zh-CN"/>
        </w:rPr>
        <w:t>10.</w:t>
      </w:r>
      <w:r>
        <w:rPr>
          <w:rFonts w:hint="eastAsia" w:ascii="宋体" w:hAnsi="宋体" w:cs="宋体"/>
          <w:color w:val="auto"/>
          <w:szCs w:val="21"/>
        </w:rPr>
        <w:t>严格按照与工程建设相关的规范、标准、法律、法规等完成工程建设，确保质量和工期，负责组织工程竣工验收、资料归档，组织工程验收及移交工作。</w:t>
      </w:r>
    </w:p>
    <w:p>
      <w:pPr>
        <w:tabs>
          <w:tab w:val="left" w:pos="3000"/>
          <w:tab w:val="left" w:pos="3280"/>
          <w:tab w:val="left" w:pos="6120"/>
          <w:tab w:val="left" w:pos="7540"/>
          <w:tab w:val="left" w:pos="8320"/>
        </w:tabs>
        <w:autoSpaceDE w:val="0"/>
        <w:autoSpaceDN w:val="0"/>
        <w:adjustRightInd w:val="0"/>
        <w:spacing w:line="440" w:lineRule="exact"/>
        <w:ind w:firstLine="420"/>
        <w:rPr>
          <w:rFonts w:hint="eastAsia" w:ascii="宋体" w:hAnsi="宋体" w:cs="宋体"/>
          <w:color w:val="auto"/>
          <w:szCs w:val="21"/>
        </w:rPr>
      </w:pPr>
      <w:r>
        <w:rPr>
          <w:rFonts w:hint="eastAsia" w:ascii="宋体" w:hAnsi="宋体" w:cs="宋体"/>
          <w:color w:val="auto"/>
          <w:szCs w:val="21"/>
          <w:lang w:eastAsia="zh-CN"/>
        </w:rPr>
        <w:t>11.</w:t>
      </w:r>
      <w:r>
        <w:rPr>
          <w:rFonts w:hint="eastAsia" w:ascii="宋体" w:hAnsi="宋体" w:cs="宋体"/>
          <w:color w:val="auto"/>
          <w:szCs w:val="21"/>
        </w:rPr>
        <w:t>接受政府主管部门的监管。</w:t>
      </w:r>
    </w:p>
    <w:p>
      <w:pPr>
        <w:tabs>
          <w:tab w:val="left" w:pos="3000"/>
          <w:tab w:val="left" w:pos="3280"/>
          <w:tab w:val="left" w:pos="6120"/>
          <w:tab w:val="left" w:pos="7540"/>
          <w:tab w:val="left" w:pos="8320"/>
        </w:tabs>
        <w:autoSpaceDE w:val="0"/>
        <w:autoSpaceDN w:val="0"/>
        <w:adjustRightInd w:val="0"/>
        <w:spacing w:line="440" w:lineRule="exact"/>
        <w:ind w:firstLine="420"/>
        <w:rPr>
          <w:rFonts w:hint="eastAsia" w:ascii="宋体" w:hAnsi="宋体" w:cs="宋体"/>
          <w:color w:val="auto"/>
          <w:szCs w:val="21"/>
        </w:rPr>
      </w:pPr>
      <w:r>
        <w:rPr>
          <w:rFonts w:hint="eastAsia" w:ascii="宋体" w:hAnsi="宋体" w:cs="宋体"/>
          <w:color w:val="auto"/>
          <w:szCs w:val="21"/>
          <w:lang w:eastAsia="zh-CN"/>
        </w:rPr>
        <w:t>12.</w:t>
      </w:r>
      <w:r>
        <w:rPr>
          <w:rFonts w:hint="eastAsia" w:ascii="宋体" w:hAnsi="宋体" w:cs="宋体"/>
          <w:color w:val="auto"/>
          <w:szCs w:val="21"/>
        </w:rPr>
        <w:t>履</w:t>
      </w:r>
      <w:r>
        <w:rPr>
          <w:rFonts w:hint="eastAsia" w:ascii="宋体" w:hAnsi="宋体" w:cs="宋体"/>
          <w:color w:val="auto"/>
          <w:szCs w:val="21"/>
          <w:lang w:eastAsia="zh-CN"/>
        </w:rPr>
        <w:t>行质</w:t>
      </w:r>
      <w:r>
        <w:rPr>
          <w:rFonts w:hint="eastAsia" w:ascii="宋体" w:hAnsi="宋体" w:cs="宋体"/>
          <w:color w:val="auto"/>
          <w:szCs w:val="21"/>
        </w:rPr>
        <w:t>量管理相关规定，承包人的法定代表人对工程质量实行终身负责制。</w:t>
      </w:r>
    </w:p>
    <w:p>
      <w:pPr>
        <w:tabs>
          <w:tab w:val="left" w:pos="3000"/>
          <w:tab w:val="left" w:pos="3280"/>
          <w:tab w:val="left" w:pos="6120"/>
          <w:tab w:val="left" w:pos="7540"/>
          <w:tab w:val="left" w:pos="8320"/>
        </w:tabs>
        <w:autoSpaceDE w:val="0"/>
        <w:autoSpaceDN w:val="0"/>
        <w:adjustRightInd w:val="0"/>
        <w:spacing w:line="440" w:lineRule="exact"/>
        <w:ind w:firstLine="420"/>
        <w:rPr>
          <w:rFonts w:hint="eastAsia" w:ascii="宋体" w:hAnsi="宋体" w:cs="宋体"/>
          <w:color w:val="auto"/>
          <w:szCs w:val="21"/>
        </w:rPr>
      </w:pPr>
      <w:r>
        <w:rPr>
          <w:rFonts w:hint="eastAsia" w:ascii="宋体" w:hAnsi="宋体" w:cs="宋体"/>
          <w:color w:val="auto"/>
          <w:szCs w:val="21"/>
          <w:lang w:eastAsia="zh-CN"/>
        </w:rPr>
        <w:t>13.</w:t>
      </w:r>
      <w:r>
        <w:rPr>
          <w:rFonts w:hint="eastAsia" w:ascii="宋体" w:hAnsi="宋体" w:cs="宋体"/>
          <w:color w:val="auto"/>
          <w:szCs w:val="21"/>
        </w:rPr>
        <w:t>基于平等自愿、相互信任原则，结算价经审计单位审定后，作为本合同建安工程费结算的依据。本合同签订后，即表示合同双方对此项内容无条件认可。</w:t>
      </w:r>
    </w:p>
    <w:p>
      <w:pPr>
        <w:pStyle w:val="5"/>
        <w:snapToGrid w:val="0"/>
        <w:spacing w:before="0" w:after="0" w:line="460" w:lineRule="exact"/>
        <w:rPr>
          <w:rFonts w:hint="eastAsia" w:ascii="宋体" w:hAnsi="宋体" w:cs="宋体"/>
          <w:b w:val="0"/>
          <w:color w:val="auto"/>
          <w:sz w:val="21"/>
          <w:szCs w:val="21"/>
        </w:rPr>
      </w:pPr>
      <w:r>
        <w:rPr>
          <w:rFonts w:hint="eastAsia" w:ascii="宋体" w:hAnsi="宋体" w:cs="宋体"/>
          <w:b w:val="0"/>
          <w:color w:val="auto"/>
          <w:sz w:val="21"/>
          <w:szCs w:val="21"/>
        </w:rPr>
        <w:t xml:space="preserve">    </w:t>
      </w:r>
      <w:bookmarkStart w:id="866" w:name="_Toc480790557"/>
      <w:r>
        <w:rPr>
          <w:rFonts w:hint="eastAsia" w:ascii="宋体" w:hAnsi="宋体" w:cs="宋体"/>
          <w:b w:val="0"/>
          <w:color w:val="auto"/>
          <w:sz w:val="21"/>
          <w:szCs w:val="21"/>
        </w:rPr>
        <w:t>25.5 项目资金、质量、进度、安全、结算的监控措施</w:t>
      </w:r>
      <w:bookmarkEnd w:id="866"/>
    </w:p>
    <w:p>
      <w:pPr>
        <w:tabs>
          <w:tab w:val="left" w:pos="3000"/>
          <w:tab w:val="left" w:pos="3280"/>
          <w:tab w:val="left" w:pos="6120"/>
          <w:tab w:val="left" w:pos="7540"/>
          <w:tab w:val="left" w:pos="8320"/>
        </w:tabs>
        <w:autoSpaceDE w:val="0"/>
        <w:autoSpaceDN w:val="0"/>
        <w:adjustRightInd w:val="0"/>
        <w:spacing w:line="440" w:lineRule="exact"/>
        <w:ind w:firstLine="420"/>
        <w:rPr>
          <w:rFonts w:hint="eastAsia" w:ascii="宋体" w:hAnsi="宋体" w:cs="宋体"/>
          <w:color w:val="auto"/>
          <w:szCs w:val="21"/>
        </w:rPr>
      </w:pPr>
      <w:r>
        <w:rPr>
          <w:rFonts w:hint="eastAsia" w:ascii="宋体" w:hAnsi="宋体" w:cs="宋体"/>
          <w:color w:val="auto"/>
          <w:szCs w:val="21"/>
        </w:rPr>
        <w:t>25.5.1 发包人每月25日检查承包人对工程进度、质量及安全的管理，一旦发现承包人因资金短缺或施工组织不力等造成工期延误，或存在严重质量问题，或发生连续的安全责任事故，发包人有权责令其整改直至清退出场。</w:t>
      </w:r>
    </w:p>
    <w:p>
      <w:pPr>
        <w:tabs>
          <w:tab w:val="left" w:pos="3000"/>
          <w:tab w:val="left" w:pos="3280"/>
          <w:tab w:val="left" w:pos="6120"/>
          <w:tab w:val="left" w:pos="7540"/>
          <w:tab w:val="left" w:pos="8320"/>
        </w:tabs>
        <w:autoSpaceDE w:val="0"/>
        <w:autoSpaceDN w:val="0"/>
        <w:adjustRightInd w:val="0"/>
        <w:spacing w:line="440" w:lineRule="exact"/>
        <w:ind w:firstLine="420"/>
        <w:rPr>
          <w:rFonts w:hint="eastAsia" w:ascii="宋体" w:hAnsi="宋体" w:cs="宋体"/>
          <w:color w:val="auto"/>
          <w:szCs w:val="21"/>
        </w:rPr>
      </w:pPr>
      <w:r>
        <w:rPr>
          <w:rFonts w:hint="eastAsia" w:ascii="宋体" w:hAnsi="宋体" w:cs="宋体"/>
          <w:color w:val="auto"/>
          <w:szCs w:val="21"/>
        </w:rPr>
        <w:t xml:space="preserve"> 25.5.2 承包人应在工程竣工验收合格日起 90 天内办理完工程结算审核。</w:t>
      </w:r>
    </w:p>
    <w:p>
      <w:pPr>
        <w:pStyle w:val="6"/>
        <w:snapToGrid w:val="0"/>
        <w:spacing w:before="0" w:after="0" w:line="440" w:lineRule="exact"/>
        <w:rPr>
          <w:rFonts w:hint="eastAsia" w:ascii="宋体" w:hAnsi="宋体" w:eastAsia="宋体" w:cs="宋体"/>
          <w:b w:val="0"/>
          <w:snapToGrid w:val="0"/>
          <w:color w:val="auto"/>
          <w:sz w:val="21"/>
          <w:szCs w:val="21"/>
        </w:rPr>
      </w:pPr>
      <w:r>
        <w:rPr>
          <w:rFonts w:hint="eastAsia" w:ascii="宋体" w:hAnsi="宋体" w:eastAsia="宋体" w:cs="宋体"/>
          <w:b w:val="0"/>
          <w:snapToGrid w:val="0"/>
          <w:color w:val="auto"/>
          <w:sz w:val="21"/>
          <w:szCs w:val="21"/>
        </w:rPr>
        <w:t xml:space="preserve">     25.6 项目移交程序：双方应在工程移交前一个月举行会议，并就工程详细的移交程序达成一致意见。</w:t>
      </w:r>
    </w:p>
    <w:p>
      <w:pPr>
        <w:tabs>
          <w:tab w:val="left" w:pos="3000"/>
          <w:tab w:val="left" w:pos="3280"/>
          <w:tab w:val="left" w:pos="6120"/>
          <w:tab w:val="left" w:pos="7540"/>
          <w:tab w:val="left" w:pos="8320"/>
        </w:tabs>
        <w:autoSpaceDE w:val="0"/>
        <w:autoSpaceDN w:val="0"/>
        <w:adjustRightInd w:val="0"/>
        <w:spacing w:line="440" w:lineRule="exact"/>
        <w:ind w:firstLine="420"/>
        <w:rPr>
          <w:rFonts w:hint="eastAsia" w:ascii="宋体" w:hAnsi="宋体" w:cs="宋体"/>
          <w:color w:val="auto"/>
          <w:szCs w:val="21"/>
        </w:rPr>
      </w:pPr>
      <w:r>
        <w:rPr>
          <w:rFonts w:hint="eastAsia" w:ascii="宋体" w:hAnsi="宋体" w:cs="宋体"/>
          <w:color w:val="auto"/>
          <w:szCs w:val="21"/>
        </w:rPr>
        <w:t>a.完成合同内约定的所有工程。</w:t>
      </w:r>
    </w:p>
    <w:p>
      <w:pPr>
        <w:tabs>
          <w:tab w:val="left" w:pos="3000"/>
          <w:tab w:val="left" w:pos="3280"/>
          <w:tab w:val="left" w:pos="6120"/>
          <w:tab w:val="left" w:pos="7540"/>
          <w:tab w:val="left" w:pos="8320"/>
        </w:tabs>
        <w:autoSpaceDE w:val="0"/>
        <w:autoSpaceDN w:val="0"/>
        <w:adjustRightInd w:val="0"/>
        <w:spacing w:line="440" w:lineRule="exact"/>
        <w:ind w:firstLine="420"/>
        <w:rPr>
          <w:rFonts w:hint="eastAsia" w:ascii="宋体" w:hAnsi="宋体" w:cs="宋体"/>
          <w:color w:val="auto"/>
          <w:szCs w:val="21"/>
        </w:rPr>
      </w:pPr>
      <w:r>
        <w:rPr>
          <w:rFonts w:hint="eastAsia" w:ascii="宋体" w:hAnsi="宋体" w:cs="宋体"/>
          <w:color w:val="auto"/>
          <w:szCs w:val="21"/>
        </w:rPr>
        <w:t>b.完成所有工程档案的专项验收并移交档案馆。</w:t>
      </w:r>
    </w:p>
    <w:p>
      <w:pPr>
        <w:tabs>
          <w:tab w:val="left" w:pos="3000"/>
          <w:tab w:val="left" w:pos="3280"/>
          <w:tab w:val="left" w:pos="6120"/>
          <w:tab w:val="left" w:pos="7540"/>
          <w:tab w:val="left" w:pos="8320"/>
        </w:tabs>
        <w:autoSpaceDE w:val="0"/>
        <w:autoSpaceDN w:val="0"/>
        <w:adjustRightInd w:val="0"/>
        <w:spacing w:line="440" w:lineRule="exact"/>
        <w:ind w:firstLine="420"/>
        <w:rPr>
          <w:rFonts w:hint="eastAsia" w:ascii="宋体" w:hAnsi="宋体" w:cs="宋体"/>
          <w:color w:val="auto"/>
          <w:szCs w:val="21"/>
        </w:rPr>
      </w:pPr>
      <w:r>
        <w:rPr>
          <w:rFonts w:hint="eastAsia" w:ascii="宋体" w:hAnsi="宋体" w:cs="宋体"/>
          <w:color w:val="auto"/>
          <w:szCs w:val="21"/>
        </w:rPr>
        <w:t>c.经过初步验收合格，对初步验收各方提出的问题进行了整改，并验收合格。</w:t>
      </w:r>
    </w:p>
    <w:p>
      <w:pPr>
        <w:tabs>
          <w:tab w:val="left" w:pos="3000"/>
          <w:tab w:val="left" w:pos="3280"/>
          <w:tab w:val="left" w:pos="6120"/>
          <w:tab w:val="left" w:pos="7540"/>
          <w:tab w:val="left" w:pos="8320"/>
        </w:tabs>
        <w:autoSpaceDE w:val="0"/>
        <w:autoSpaceDN w:val="0"/>
        <w:adjustRightInd w:val="0"/>
        <w:spacing w:line="440" w:lineRule="exact"/>
        <w:ind w:firstLine="420"/>
        <w:rPr>
          <w:rFonts w:hint="eastAsia" w:ascii="宋体" w:hAnsi="宋体" w:cs="宋体"/>
          <w:color w:val="auto"/>
          <w:szCs w:val="21"/>
        </w:rPr>
      </w:pPr>
      <w:r>
        <w:rPr>
          <w:rFonts w:hint="eastAsia" w:ascii="宋体" w:hAnsi="宋体" w:cs="宋体"/>
          <w:color w:val="auto"/>
          <w:szCs w:val="21"/>
        </w:rPr>
        <w:t>d.甲方组织的竣工验收合格。</w:t>
      </w:r>
    </w:p>
    <w:p>
      <w:pPr>
        <w:tabs>
          <w:tab w:val="left" w:pos="3000"/>
          <w:tab w:val="left" w:pos="3280"/>
          <w:tab w:val="left" w:pos="6120"/>
          <w:tab w:val="left" w:pos="7540"/>
          <w:tab w:val="left" w:pos="8320"/>
        </w:tabs>
        <w:autoSpaceDE w:val="0"/>
        <w:autoSpaceDN w:val="0"/>
        <w:adjustRightInd w:val="0"/>
        <w:spacing w:line="440" w:lineRule="exact"/>
        <w:ind w:firstLine="420"/>
        <w:rPr>
          <w:rFonts w:hint="eastAsia" w:ascii="宋体" w:hAnsi="宋体" w:cs="宋体"/>
          <w:color w:val="auto"/>
          <w:szCs w:val="21"/>
        </w:rPr>
      </w:pPr>
      <w:r>
        <w:rPr>
          <w:rFonts w:hint="eastAsia" w:ascii="宋体" w:hAnsi="宋体" w:cs="宋体"/>
          <w:color w:val="auto"/>
          <w:szCs w:val="21"/>
        </w:rPr>
        <w:t>e.移交竣工文件和固定资产表。办理固定资产移交手续。</w:t>
      </w:r>
    </w:p>
    <w:p>
      <w:pPr>
        <w:tabs>
          <w:tab w:val="left" w:pos="5010"/>
        </w:tabs>
        <w:autoSpaceDE w:val="0"/>
        <w:autoSpaceDN w:val="0"/>
        <w:adjustRightInd w:val="0"/>
        <w:snapToGrid w:val="0"/>
        <w:spacing w:line="440" w:lineRule="exact"/>
        <w:ind w:firstLine="570"/>
        <w:rPr>
          <w:rFonts w:hint="eastAsia" w:ascii="宋体" w:hAnsi="宋体" w:cs="宋体"/>
          <w:color w:val="auto"/>
          <w:szCs w:val="21"/>
        </w:rPr>
      </w:pPr>
      <w:r>
        <w:rPr>
          <w:rFonts w:hint="eastAsia" w:ascii="宋体" w:hAnsi="宋体" w:cs="宋体"/>
          <w:color w:val="auto"/>
          <w:szCs w:val="21"/>
        </w:rPr>
        <w:t>25.7　项目建设过程中，因承包人资金不到位等原因引起项目停工等现象，承包人除承担20万元每次的违约金外，还承担由此给发包人带来的其他损失。</w:t>
      </w:r>
    </w:p>
    <w:p>
      <w:pPr>
        <w:tabs>
          <w:tab w:val="left" w:pos="3000"/>
          <w:tab w:val="left" w:pos="3280"/>
          <w:tab w:val="left" w:pos="6120"/>
          <w:tab w:val="left" w:pos="7540"/>
          <w:tab w:val="left" w:pos="8320"/>
        </w:tabs>
        <w:autoSpaceDE w:val="0"/>
        <w:autoSpaceDN w:val="0"/>
        <w:adjustRightInd w:val="0"/>
        <w:spacing w:line="440" w:lineRule="exact"/>
        <w:ind w:firstLine="420"/>
        <w:rPr>
          <w:rFonts w:hint="eastAsia" w:ascii="宋体" w:hAnsi="宋体" w:cs="宋体"/>
          <w:color w:val="auto"/>
          <w:szCs w:val="21"/>
        </w:rPr>
      </w:pPr>
      <w:r>
        <w:rPr>
          <w:rFonts w:hint="eastAsia" w:ascii="宋体" w:hAnsi="宋体" w:cs="宋体"/>
          <w:color w:val="auto"/>
          <w:szCs w:val="21"/>
        </w:rPr>
        <w:t>承包人必须按月支付人工费，若因承包人资金不到位等原因导致拖欠民工工资，发包人有权从履约保证金扣除，直接支付人工工资，承包人还承担由此给发包人带来的其他损失。</w:t>
      </w:r>
    </w:p>
    <w:p>
      <w:pPr>
        <w:tabs>
          <w:tab w:val="left" w:pos="5010"/>
        </w:tabs>
        <w:autoSpaceDE w:val="0"/>
        <w:autoSpaceDN w:val="0"/>
        <w:adjustRightInd w:val="0"/>
        <w:snapToGrid w:val="0"/>
        <w:spacing w:line="440" w:lineRule="exact"/>
        <w:ind w:firstLine="570"/>
        <w:rPr>
          <w:rFonts w:hint="eastAsia" w:ascii="宋体" w:hAnsi="宋体" w:cs="宋体"/>
          <w:color w:val="auto"/>
          <w:szCs w:val="21"/>
        </w:rPr>
      </w:pPr>
      <w:r>
        <w:rPr>
          <w:rFonts w:hint="eastAsia" w:ascii="宋体" w:hAnsi="宋体" w:cs="宋体"/>
          <w:color w:val="auto"/>
          <w:szCs w:val="21"/>
        </w:rPr>
        <w:t>25.8 承包人在施工过程中涉及的设计变更、签证与计量、材料价格核定以及工程款和竣工结算审核等工作，需严格按发包人相关管理办法以及程序执行。</w:t>
      </w:r>
    </w:p>
    <w:p>
      <w:pPr>
        <w:tabs>
          <w:tab w:val="left" w:pos="5010"/>
        </w:tabs>
        <w:autoSpaceDE w:val="0"/>
        <w:autoSpaceDN w:val="0"/>
        <w:adjustRightInd w:val="0"/>
        <w:snapToGrid w:val="0"/>
        <w:spacing w:line="440" w:lineRule="exact"/>
        <w:ind w:firstLine="570"/>
        <w:rPr>
          <w:rFonts w:hint="eastAsia" w:ascii="宋体" w:hAnsi="宋体" w:cs="宋体"/>
          <w:color w:val="auto"/>
          <w:szCs w:val="21"/>
        </w:rPr>
      </w:pPr>
      <w:r>
        <w:rPr>
          <w:rFonts w:hint="eastAsia" w:ascii="宋体" w:hAnsi="宋体" w:cs="宋体"/>
          <w:color w:val="auto"/>
          <w:szCs w:val="21"/>
        </w:rPr>
        <w:t>25.9 本合同未尽事宜，由双方另行协商解决。</w:t>
      </w:r>
    </w:p>
    <w:p>
      <w:pPr>
        <w:tabs>
          <w:tab w:val="left" w:pos="5010"/>
        </w:tabs>
        <w:autoSpaceDE w:val="0"/>
        <w:autoSpaceDN w:val="0"/>
        <w:adjustRightInd w:val="0"/>
        <w:snapToGrid w:val="0"/>
        <w:spacing w:line="440" w:lineRule="exact"/>
        <w:ind w:firstLine="570"/>
        <w:rPr>
          <w:rFonts w:hint="eastAsia" w:ascii="宋体" w:hAnsi="宋体" w:cs="宋体"/>
          <w:color w:val="auto"/>
          <w:szCs w:val="21"/>
        </w:rPr>
      </w:pPr>
      <w:r>
        <w:rPr>
          <w:rFonts w:hint="eastAsia" w:ascii="宋体" w:hAnsi="宋体" w:cs="宋体"/>
          <w:color w:val="auto"/>
          <w:szCs w:val="21"/>
        </w:rPr>
        <w:t>26.补充条款</w:t>
      </w:r>
    </w:p>
    <w:p>
      <w:pPr>
        <w:tabs>
          <w:tab w:val="left" w:pos="5010"/>
        </w:tabs>
        <w:autoSpaceDE w:val="0"/>
        <w:autoSpaceDN w:val="0"/>
        <w:adjustRightInd w:val="0"/>
        <w:snapToGrid w:val="0"/>
        <w:spacing w:line="440" w:lineRule="exact"/>
        <w:ind w:firstLine="570"/>
        <w:rPr>
          <w:rFonts w:hint="eastAsia" w:ascii="宋体" w:hAnsi="宋体" w:cs="宋体"/>
          <w:color w:val="auto"/>
          <w:szCs w:val="21"/>
        </w:rPr>
      </w:pPr>
      <w:r>
        <w:rPr>
          <w:rFonts w:hint="eastAsia" w:ascii="宋体" w:hAnsi="宋体" w:cs="宋体"/>
          <w:color w:val="auto"/>
          <w:szCs w:val="21"/>
        </w:rPr>
        <w:t xml:space="preserve"> 在进度款支付时，发包人因进度款未按时支付，承包人不得以任何方式停工。</w:t>
      </w:r>
    </w:p>
    <w:p>
      <w:pPr>
        <w:spacing w:line="460" w:lineRule="exact"/>
        <w:ind w:firstLine="210" w:firstLineChars="100"/>
        <w:rPr>
          <w:rFonts w:hint="eastAsia" w:ascii="宋体" w:hAnsi="宋体" w:cs="宋体"/>
          <w:color w:val="auto"/>
        </w:rPr>
      </w:pPr>
      <w:r>
        <w:rPr>
          <w:rFonts w:hint="eastAsia" w:ascii="宋体" w:hAnsi="宋体" w:cs="宋体"/>
          <w:color w:val="auto"/>
        </w:rPr>
        <w:t>发包人：</w:t>
      </w:r>
      <w:r>
        <w:rPr>
          <w:rFonts w:hint="eastAsia" w:ascii="宋体" w:hAnsi="宋体" w:cs="宋体"/>
          <w:snapToGrid w:val="0"/>
          <w:color w:val="auto"/>
          <w:kern w:val="0"/>
          <w:szCs w:val="21"/>
          <w:u w:val="single"/>
        </w:rPr>
        <w:t xml:space="preserve"> </w:t>
      </w:r>
      <w:r>
        <w:rPr>
          <w:rFonts w:hint="eastAsia" w:ascii="宋体" w:hAnsi="宋体" w:cs="宋体"/>
          <w:b/>
          <w:snapToGrid w:val="0"/>
          <w:color w:val="auto"/>
          <w:kern w:val="0"/>
          <w:szCs w:val="21"/>
          <w:u w:val="single"/>
        </w:rPr>
        <w:t xml:space="preserve">                           （</w:t>
      </w:r>
      <w:r>
        <w:rPr>
          <w:rFonts w:hint="eastAsia" w:ascii="宋体" w:hAnsi="宋体" w:cs="宋体"/>
          <w:color w:val="auto"/>
        </w:rPr>
        <w:t>公章）　　承包人：</w:t>
      </w:r>
      <w:r>
        <w:rPr>
          <w:rFonts w:hint="eastAsia" w:ascii="宋体" w:hAnsi="宋体" w:cs="宋体"/>
          <w:color w:val="auto"/>
          <w:u w:val="single"/>
        </w:rPr>
        <w:t>　　　　　　　　　　　（</w:t>
      </w:r>
      <w:r>
        <w:rPr>
          <w:rFonts w:hint="eastAsia" w:ascii="宋体" w:hAnsi="宋体" w:cs="宋体"/>
          <w:color w:val="auto"/>
        </w:rPr>
        <w:t>公章）</w:t>
      </w:r>
    </w:p>
    <w:p>
      <w:pPr>
        <w:spacing w:line="460" w:lineRule="exact"/>
        <w:ind w:firstLine="210" w:firstLineChars="100"/>
        <w:rPr>
          <w:rFonts w:hint="eastAsia" w:ascii="宋体" w:hAnsi="宋体" w:cs="宋体"/>
          <w:color w:val="auto"/>
        </w:rPr>
      </w:pPr>
      <w:r>
        <w:rPr>
          <w:rFonts w:hint="eastAsia" w:ascii="宋体" w:hAnsi="宋体" w:cs="宋体"/>
          <w:color w:val="auto"/>
        </w:rPr>
        <w:t>地址：</w:t>
      </w:r>
      <w:r>
        <w:rPr>
          <w:rFonts w:hint="eastAsia" w:ascii="宋体" w:hAnsi="宋体" w:cs="宋体"/>
          <w:b/>
          <w:snapToGrid w:val="0"/>
          <w:color w:val="auto"/>
          <w:kern w:val="0"/>
          <w:szCs w:val="21"/>
          <w:u w:val="single"/>
        </w:rPr>
        <w:t xml:space="preserve">                              </w:t>
      </w:r>
      <w:r>
        <w:rPr>
          <w:rFonts w:hint="eastAsia" w:ascii="宋体" w:hAnsi="宋体" w:cs="宋体"/>
          <w:snapToGrid w:val="0"/>
          <w:color w:val="auto"/>
          <w:kern w:val="0"/>
          <w:szCs w:val="21"/>
          <w:u w:val="single"/>
        </w:rPr>
        <w:t xml:space="preserve">     </w:t>
      </w:r>
      <w:r>
        <w:rPr>
          <w:rFonts w:hint="eastAsia" w:ascii="宋体" w:hAnsi="宋体" w:cs="宋体"/>
          <w:color w:val="auto"/>
        </w:rPr>
        <w:t xml:space="preserve">     地址：</w:t>
      </w:r>
      <w:r>
        <w:rPr>
          <w:rFonts w:hint="eastAsia" w:ascii="宋体" w:hAnsi="宋体" w:cs="宋体"/>
          <w:color w:val="auto"/>
          <w:u w:val="single"/>
        </w:rPr>
        <w:t>　　　　　　　　　</w:t>
      </w:r>
    </w:p>
    <w:p>
      <w:pPr>
        <w:spacing w:line="460" w:lineRule="exact"/>
        <w:ind w:firstLine="210" w:firstLineChars="100"/>
        <w:rPr>
          <w:rFonts w:hint="eastAsia" w:ascii="宋体" w:hAnsi="宋体" w:cs="宋体"/>
          <w:color w:val="auto"/>
        </w:rPr>
      </w:pPr>
      <w:r>
        <w:rPr>
          <w:rFonts w:hint="eastAsia" w:ascii="宋体" w:hAnsi="宋体" w:cs="宋体"/>
          <w:color w:val="auto"/>
        </w:rPr>
        <w:t>法定代表人或其　　　　　　　　　　　　　      法定代表人或其</w:t>
      </w:r>
    </w:p>
    <w:p>
      <w:pPr>
        <w:spacing w:line="460" w:lineRule="exact"/>
        <w:ind w:firstLine="210" w:firstLineChars="100"/>
        <w:rPr>
          <w:rFonts w:hint="eastAsia" w:ascii="宋体" w:hAnsi="宋体" w:cs="宋体"/>
          <w:color w:val="auto"/>
        </w:rPr>
      </w:pPr>
      <w:r>
        <w:rPr>
          <w:rFonts w:hint="eastAsia" w:ascii="宋体" w:hAnsi="宋体" w:cs="宋体"/>
          <w:color w:val="auto"/>
        </w:rPr>
        <w:t>委托代理人：</w:t>
      </w:r>
      <w:r>
        <w:rPr>
          <w:rFonts w:hint="eastAsia" w:ascii="宋体" w:hAnsi="宋体" w:cs="宋体"/>
          <w:color w:val="auto"/>
          <w:u w:val="single"/>
        </w:rPr>
        <w:t>　　　　　　　　　（</w:t>
      </w:r>
      <w:r>
        <w:rPr>
          <w:rFonts w:hint="eastAsia" w:ascii="宋体" w:hAnsi="宋体" w:cs="宋体"/>
          <w:color w:val="auto"/>
        </w:rPr>
        <w:t>签字）　　      委托代理人：</w:t>
      </w:r>
      <w:r>
        <w:rPr>
          <w:rFonts w:hint="eastAsia" w:ascii="宋体" w:hAnsi="宋体" w:cs="宋体"/>
          <w:color w:val="auto"/>
          <w:u w:val="single"/>
        </w:rPr>
        <w:t>　　　　　　　　　（</w:t>
      </w:r>
      <w:r>
        <w:rPr>
          <w:rFonts w:hint="eastAsia" w:ascii="宋体" w:hAnsi="宋体" w:cs="宋体"/>
          <w:color w:val="auto"/>
        </w:rPr>
        <w:t>签字）</w:t>
      </w:r>
    </w:p>
    <w:p>
      <w:pPr>
        <w:spacing w:line="460" w:lineRule="exact"/>
        <w:ind w:firstLine="210" w:firstLineChars="100"/>
        <w:rPr>
          <w:rFonts w:hint="eastAsia" w:ascii="宋体" w:hAnsi="宋体" w:cs="宋体"/>
          <w:color w:val="auto"/>
          <w:u w:val="single"/>
        </w:rPr>
      </w:pPr>
      <w:r>
        <w:rPr>
          <w:rFonts w:hint="eastAsia" w:ascii="宋体" w:hAnsi="宋体" w:cs="宋体"/>
          <w:color w:val="auto"/>
        </w:rPr>
        <w:t>电话：</w:t>
      </w:r>
      <w:r>
        <w:rPr>
          <w:rFonts w:hint="eastAsia" w:ascii="宋体" w:hAnsi="宋体" w:cs="宋体"/>
          <w:color w:val="auto"/>
          <w:u w:val="single"/>
        </w:rPr>
        <w:t>　</w:t>
      </w:r>
      <w:r>
        <w:rPr>
          <w:rFonts w:hint="eastAsia" w:ascii="宋体" w:hAnsi="宋体" w:cs="宋体"/>
          <w:snapToGrid w:val="0"/>
          <w:color w:val="auto"/>
          <w:kern w:val="0"/>
          <w:szCs w:val="21"/>
          <w:u w:val="single"/>
        </w:rPr>
        <w:t xml:space="preserve">               　　</w:t>
      </w:r>
      <w:r>
        <w:rPr>
          <w:rFonts w:hint="eastAsia" w:ascii="宋体" w:hAnsi="宋体" w:cs="宋体"/>
          <w:color w:val="auto"/>
          <w:u w:val="single"/>
        </w:rPr>
        <w:t xml:space="preserve">　　　 </w:t>
      </w:r>
      <w:r>
        <w:rPr>
          <w:rFonts w:hint="eastAsia" w:ascii="宋体" w:hAnsi="宋体" w:cs="宋体"/>
          <w:color w:val="auto"/>
        </w:rPr>
        <w:t>　　　      电话：</w:t>
      </w:r>
      <w:r>
        <w:rPr>
          <w:rFonts w:hint="eastAsia" w:ascii="宋体" w:hAnsi="宋体" w:cs="宋体"/>
          <w:color w:val="auto"/>
          <w:u w:val="single"/>
        </w:rPr>
        <w:t xml:space="preserve">　                         </w:t>
      </w:r>
    </w:p>
    <w:p>
      <w:pPr>
        <w:spacing w:line="460" w:lineRule="exact"/>
        <w:ind w:firstLine="210" w:firstLineChars="100"/>
        <w:rPr>
          <w:rFonts w:hint="eastAsia" w:ascii="宋体" w:hAnsi="宋体" w:cs="宋体"/>
          <w:color w:val="auto"/>
        </w:rPr>
      </w:pPr>
      <w:r>
        <w:rPr>
          <w:rFonts w:hint="eastAsia" w:ascii="宋体" w:hAnsi="宋体" w:cs="宋体"/>
          <w:color w:val="auto"/>
        </w:rPr>
        <w:t>传真：</w:t>
      </w:r>
      <w:r>
        <w:rPr>
          <w:rFonts w:hint="eastAsia" w:ascii="宋体" w:hAnsi="宋体" w:cs="宋体"/>
          <w:color w:val="auto"/>
          <w:u w:val="single"/>
        </w:rPr>
        <w:t>　　　　　　　　　　　　　</w:t>
      </w:r>
      <w:r>
        <w:rPr>
          <w:rFonts w:hint="eastAsia" w:ascii="宋体" w:hAnsi="宋体" w:cs="宋体"/>
          <w:color w:val="auto"/>
        </w:rPr>
        <w:t>　　　　      传真：____________________________</w:t>
      </w:r>
    </w:p>
    <w:p>
      <w:pPr>
        <w:spacing w:line="460" w:lineRule="exact"/>
        <w:ind w:firstLine="210" w:firstLineChars="100"/>
        <w:rPr>
          <w:rFonts w:hint="eastAsia" w:ascii="宋体" w:hAnsi="宋体" w:cs="宋体"/>
          <w:color w:val="auto"/>
        </w:rPr>
      </w:pPr>
      <w:r>
        <w:rPr>
          <w:rFonts w:hint="eastAsia" w:ascii="宋体" w:hAnsi="宋体" w:cs="宋体"/>
          <w:color w:val="auto"/>
        </w:rPr>
        <w:t>开户银行：</w:t>
      </w:r>
      <w:r>
        <w:rPr>
          <w:rFonts w:hint="eastAsia" w:ascii="宋体" w:hAnsi="宋体" w:cs="宋体"/>
          <w:color w:val="auto"/>
          <w:u w:val="single"/>
        </w:rPr>
        <w:t xml:space="preserve">                </w:t>
      </w:r>
      <w:r>
        <w:rPr>
          <w:rFonts w:hint="eastAsia" w:ascii="宋体" w:hAnsi="宋体" w:cs="宋体"/>
          <w:color w:val="auto"/>
        </w:rPr>
        <w:t>　　　　            开户银行：_________________________</w:t>
      </w:r>
    </w:p>
    <w:p>
      <w:pPr>
        <w:spacing w:line="460" w:lineRule="exact"/>
        <w:ind w:firstLine="210" w:firstLineChars="100"/>
        <w:rPr>
          <w:rFonts w:hint="eastAsia" w:ascii="宋体" w:hAnsi="宋体" w:cs="宋体"/>
          <w:color w:val="auto"/>
        </w:rPr>
      </w:pPr>
      <w:r>
        <w:rPr>
          <w:rFonts w:hint="eastAsia" w:ascii="宋体" w:hAnsi="宋体" w:cs="宋体"/>
          <w:color w:val="auto"/>
        </w:rPr>
        <w:t>账号：</w:t>
      </w:r>
      <w:r>
        <w:rPr>
          <w:rFonts w:hint="eastAsia" w:ascii="宋体" w:hAnsi="宋体" w:cs="宋体"/>
          <w:color w:val="auto"/>
          <w:u w:val="single"/>
        </w:rPr>
        <w:t xml:space="preserve">　                  </w:t>
      </w:r>
      <w:r>
        <w:rPr>
          <w:rFonts w:hint="eastAsia" w:ascii="宋体" w:hAnsi="宋体" w:cs="宋体"/>
          <w:color w:val="auto"/>
        </w:rPr>
        <w:t>　　　　            账号：____________________________</w:t>
      </w:r>
    </w:p>
    <w:p>
      <w:pPr>
        <w:spacing w:line="460" w:lineRule="exact"/>
        <w:ind w:firstLine="210" w:firstLineChars="100"/>
        <w:rPr>
          <w:rFonts w:hint="eastAsia" w:ascii="宋体" w:hAnsi="宋体" w:cs="宋体"/>
          <w:color w:val="auto"/>
        </w:rPr>
      </w:pPr>
      <w:r>
        <w:rPr>
          <w:rFonts w:hint="eastAsia" w:ascii="宋体" w:hAnsi="宋体" w:cs="宋体"/>
          <w:color w:val="auto"/>
        </w:rPr>
        <w:t>邮政编码：</w:t>
      </w:r>
      <w:r>
        <w:rPr>
          <w:rFonts w:hint="eastAsia" w:ascii="宋体" w:hAnsi="宋体" w:cs="宋体"/>
          <w:color w:val="auto"/>
          <w:u w:val="single"/>
        </w:rPr>
        <w:t>　          　　　</w:t>
      </w:r>
      <w:r>
        <w:rPr>
          <w:rFonts w:hint="eastAsia" w:ascii="宋体" w:hAnsi="宋体" w:cs="宋体"/>
          <w:color w:val="auto"/>
        </w:rPr>
        <w:t xml:space="preserve">　　　         　 邮政编码：_______________________ </w:t>
      </w:r>
    </w:p>
    <w:p>
      <w:pPr>
        <w:tabs>
          <w:tab w:val="left" w:pos="5010"/>
        </w:tabs>
        <w:autoSpaceDE w:val="0"/>
        <w:autoSpaceDN w:val="0"/>
        <w:adjustRightInd w:val="0"/>
        <w:snapToGrid w:val="0"/>
        <w:spacing w:line="460" w:lineRule="exact"/>
        <w:ind w:firstLine="3717" w:firstLineChars="1770"/>
        <w:rPr>
          <w:rFonts w:hint="eastAsia" w:ascii="宋体" w:hAnsi="宋体" w:eastAsia="宋体" w:cs="宋体"/>
          <w:color w:val="auto"/>
          <w:szCs w:val="21"/>
          <w:lang w:eastAsia="zh-CN"/>
        </w:rPr>
      </w:pPr>
      <w:r>
        <w:rPr>
          <w:rFonts w:hint="eastAsia" w:ascii="宋体" w:hAnsi="宋体" w:cs="宋体"/>
          <w:color w:val="auto"/>
          <w:szCs w:val="21"/>
        </w:rPr>
        <w:t xml:space="preserve">   年</w:t>
      </w:r>
      <w:r>
        <w:rPr>
          <w:rFonts w:hint="eastAsia" w:ascii="宋体" w:hAnsi="宋体" w:cs="宋体"/>
          <w:color w:val="auto"/>
          <w:szCs w:val="21"/>
          <w:lang w:val="en-US" w:eastAsia="zh-CN"/>
        </w:rPr>
        <w:t xml:space="preserve">  </w:t>
      </w:r>
      <w:r>
        <w:rPr>
          <w:rFonts w:hint="eastAsia" w:ascii="宋体" w:hAnsi="宋体" w:cs="宋体"/>
          <w:color w:val="auto"/>
          <w:szCs w:val="21"/>
          <w:lang w:eastAsia="zh-CN"/>
        </w:rPr>
        <w:t>月</w:t>
      </w:r>
      <w:r>
        <w:rPr>
          <w:rFonts w:hint="eastAsia" w:ascii="宋体" w:hAnsi="宋体" w:cs="宋体"/>
          <w:color w:val="auto"/>
          <w:szCs w:val="21"/>
          <w:lang w:val="en-US" w:eastAsia="zh-CN"/>
        </w:rPr>
        <w:t xml:space="preserve">  </w:t>
      </w:r>
      <w:r>
        <w:rPr>
          <w:rFonts w:hint="eastAsia" w:ascii="宋体" w:hAnsi="宋体" w:cs="宋体"/>
          <w:color w:val="auto"/>
          <w:szCs w:val="21"/>
          <w:lang w:eastAsia="zh-CN"/>
        </w:rPr>
        <w:t>日</w:t>
      </w:r>
    </w:p>
    <w:p>
      <w:pPr>
        <w:spacing w:line="500" w:lineRule="exact"/>
        <w:jc w:val="center"/>
        <w:rPr>
          <w:rFonts w:ascii="宋体"/>
          <w:b/>
          <w:color w:val="auto"/>
          <w:sz w:val="28"/>
          <w:szCs w:val="28"/>
          <w:highlight w:val="none"/>
        </w:rPr>
      </w:pPr>
      <w:r>
        <w:rPr>
          <w:rFonts w:ascii="宋体"/>
          <w:b/>
          <w:color w:val="auto"/>
          <w:sz w:val="28"/>
          <w:szCs w:val="28"/>
        </w:rPr>
        <w:br w:type="page"/>
      </w:r>
      <w:r>
        <w:rPr>
          <w:rFonts w:ascii="宋体"/>
          <w:b/>
          <w:color w:val="auto"/>
          <w:sz w:val="28"/>
          <w:szCs w:val="28"/>
          <w:highlight w:val="none"/>
        </w:rPr>
        <w:t>B</w:t>
      </w:r>
      <w:r>
        <w:rPr>
          <w:rFonts w:hint="eastAsia" w:ascii="宋体"/>
          <w:b/>
          <w:color w:val="auto"/>
          <w:sz w:val="28"/>
          <w:szCs w:val="28"/>
          <w:highlight w:val="none"/>
        </w:rPr>
        <w:t>.项目专用合同条款</w:t>
      </w:r>
      <w:bookmarkEnd w:id="768"/>
      <w:bookmarkEnd w:id="769"/>
    </w:p>
    <w:tbl>
      <w:tblPr>
        <w:tblStyle w:val="52"/>
        <w:tblW w:w="9639" w:type="dxa"/>
        <w:jc w:val="center"/>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729"/>
        <w:gridCol w:w="1484"/>
        <w:gridCol w:w="7426"/>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54" w:hRule="exact"/>
          <w:tblHeader/>
          <w:jc w:val="center"/>
        </w:trPr>
        <w:tc>
          <w:tcPr>
            <w:tcW w:w="729" w:type="dxa"/>
            <w:noWrap w:val="0"/>
            <w:vAlign w:val="center"/>
          </w:tcPr>
          <w:p>
            <w:pPr>
              <w:jc w:val="center"/>
              <w:rPr>
                <w:b/>
                <w:color w:val="auto"/>
                <w:sz w:val="20"/>
              </w:rPr>
            </w:pPr>
            <w:r>
              <w:rPr>
                <w:rFonts w:hint="eastAsia" w:hAnsi="宋体"/>
                <w:b/>
                <w:color w:val="auto"/>
                <w:sz w:val="20"/>
              </w:rPr>
              <w:t>序号</w:t>
            </w:r>
          </w:p>
        </w:tc>
        <w:tc>
          <w:tcPr>
            <w:tcW w:w="1484" w:type="dxa"/>
            <w:noWrap w:val="0"/>
            <w:vAlign w:val="center"/>
          </w:tcPr>
          <w:p>
            <w:pPr>
              <w:jc w:val="center"/>
              <w:rPr>
                <w:b/>
                <w:color w:val="auto"/>
                <w:sz w:val="20"/>
              </w:rPr>
            </w:pPr>
            <w:r>
              <w:rPr>
                <w:rFonts w:hint="eastAsia" w:hAnsi="宋体"/>
                <w:b/>
                <w:color w:val="auto"/>
                <w:sz w:val="20"/>
              </w:rPr>
              <w:t>条款号</w:t>
            </w:r>
          </w:p>
        </w:tc>
        <w:tc>
          <w:tcPr>
            <w:tcW w:w="7426" w:type="dxa"/>
            <w:noWrap w:val="0"/>
            <w:vAlign w:val="center"/>
          </w:tcPr>
          <w:p>
            <w:pPr>
              <w:jc w:val="center"/>
              <w:rPr>
                <w:b/>
                <w:color w:val="auto"/>
                <w:sz w:val="20"/>
              </w:rPr>
            </w:pPr>
            <w:r>
              <w:rPr>
                <w:rFonts w:hint="eastAsia" w:hAnsi="宋体"/>
                <w:b/>
                <w:color w:val="auto"/>
                <w:sz w:val="20"/>
              </w:rPr>
              <w:t>信息或数据</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794" w:hRule="exact"/>
          <w:tblHeader/>
          <w:jc w:val="center"/>
        </w:trPr>
        <w:tc>
          <w:tcPr>
            <w:tcW w:w="729" w:type="dxa"/>
            <w:noWrap w:val="0"/>
            <w:vAlign w:val="center"/>
          </w:tcPr>
          <w:p>
            <w:pPr>
              <w:jc w:val="center"/>
              <w:rPr>
                <w:color w:val="auto"/>
                <w:sz w:val="20"/>
              </w:rPr>
            </w:pPr>
            <w:r>
              <w:rPr>
                <w:color w:val="auto"/>
                <w:sz w:val="20"/>
              </w:rPr>
              <w:t>1</w:t>
            </w:r>
          </w:p>
        </w:tc>
        <w:tc>
          <w:tcPr>
            <w:tcW w:w="1484" w:type="dxa"/>
            <w:noWrap w:val="0"/>
            <w:vAlign w:val="center"/>
          </w:tcPr>
          <w:p>
            <w:pPr>
              <w:jc w:val="center"/>
              <w:rPr>
                <w:color w:val="auto"/>
                <w:sz w:val="20"/>
              </w:rPr>
            </w:pPr>
            <w:r>
              <w:rPr>
                <w:color w:val="auto"/>
                <w:sz w:val="20"/>
              </w:rPr>
              <w:t>1.1.2.2</w:t>
            </w:r>
          </w:p>
        </w:tc>
        <w:tc>
          <w:tcPr>
            <w:tcW w:w="7426" w:type="dxa"/>
            <w:noWrap w:val="0"/>
            <w:vAlign w:val="center"/>
          </w:tcPr>
          <w:p>
            <w:pPr>
              <w:rPr>
                <w:rFonts w:hint="eastAsia" w:ascii="宋体" w:hAnsi="宋体" w:eastAsia="宋体" w:cs="宋体"/>
                <w:b/>
                <w:color w:val="auto"/>
                <w:szCs w:val="21"/>
                <w:u w:val="single"/>
                <w:lang w:eastAsia="zh-CN"/>
              </w:rPr>
            </w:pPr>
            <w:r>
              <w:rPr>
                <w:rFonts w:hint="eastAsia" w:hAnsi="宋体"/>
                <w:color w:val="auto"/>
                <w:sz w:val="20"/>
              </w:rPr>
              <w:t>发</w:t>
            </w:r>
            <w:r>
              <w:rPr>
                <w:color w:val="auto"/>
                <w:sz w:val="20"/>
              </w:rPr>
              <w:t xml:space="preserve"> </w:t>
            </w:r>
            <w:r>
              <w:rPr>
                <w:rFonts w:hint="eastAsia" w:hAnsi="宋体"/>
                <w:color w:val="auto"/>
                <w:sz w:val="20"/>
              </w:rPr>
              <w:t>包</w:t>
            </w:r>
            <w:r>
              <w:rPr>
                <w:color w:val="auto"/>
                <w:sz w:val="20"/>
              </w:rPr>
              <w:t xml:space="preserve"> </w:t>
            </w:r>
            <w:r>
              <w:rPr>
                <w:rFonts w:hint="eastAsia" w:hAnsi="宋体"/>
                <w:color w:val="auto"/>
                <w:sz w:val="20"/>
              </w:rPr>
              <w:t>人：</w:t>
            </w:r>
            <w:r>
              <w:rPr>
                <w:rFonts w:hint="eastAsia" w:ascii="宋体" w:hAnsi="宋体" w:cs="宋体"/>
                <w:b/>
                <w:color w:val="auto"/>
                <w:szCs w:val="21"/>
                <w:u w:val="single"/>
                <w:lang w:eastAsia="zh-CN"/>
              </w:rPr>
              <w:t>重庆市铜梁区福果镇人民政府</w:t>
            </w:r>
          </w:p>
          <w:p>
            <w:pPr>
              <w:rPr>
                <w:color w:val="auto"/>
                <w:sz w:val="20"/>
              </w:rPr>
            </w:pPr>
            <w:r>
              <w:rPr>
                <w:rFonts w:hint="eastAsia" w:hAnsi="宋体"/>
                <w:color w:val="auto"/>
                <w:sz w:val="20"/>
              </w:rPr>
              <w:t>地</w:t>
            </w:r>
            <w:r>
              <w:rPr>
                <w:color w:val="auto"/>
                <w:sz w:val="20"/>
              </w:rPr>
              <w:t xml:space="preserve">    </w:t>
            </w:r>
            <w:r>
              <w:rPr>
                <w:rFonts w:hint="eastAsia" w:cs="仿宋"/>
                <w:snapToGrid w:val="0"/>
                <w:color w:val="auto"/>
                <w:kern w:val="0"/>
                <w:szCs w:val="21"/>
              </w:rPr>
              <w:t>址：</w:t>
            </w:r>
          </w:p>
          <w:p>
            <w:pPr>
              <w:rPr>
                <w:color w:val="auto"/>
                <w:sz w:val="20"/>
              </w:rPr>
            </w:pPr>
            <w:r>
              <w:rPr>
                <w:color w:val="auto"/>
                <w:sz w:val="20"/>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794" w:hRule="exact"/>
          <w:tblHeader/>
          <w:jc w:val="center"/>
        </w:trPr>
        <w:tc>
          <w:tcPr>
            <w:tcW w:w="729" w:type="dxa"/>
            <w:noWrap w:val="0"/>
            <w:vAlign w:val="center"/>
          </w:tcPr>
          <w:p>
            <w:pPr>
              <w:jc w:val="center"/>
              <w:rPr>
                <w:color w:val="auto"/>
                <w:sz w:val="20"/>
              </w:rPr>
            </w:pPr>
            <w:r>
              <w:rPr>
                <w:color w:val="auto"/>
                <w:sz w:val="20"/>
              </w:rPr>
              <w:t>2</w:t>
            </w:r>
          </w:p>
        </w:tc>
        <w:tc>
          <w:tcPr>
            <w:tcW w:w="1484" w:type="dxa"/>
            <w:noWrap w:val="0"/>
            <w:vAlign w:val="center"/>
          </w:tcPr>
          <w:p>
            <w:pPr>
              <w:jc w:val="center"/>
              <w:rPr>
                <w:color w:val="auto"/>
                <w:sz w:val="20"/>
              </w:rPr>
            </w:pPr>
            <w:r>
              <w:rPr>
                <w:color w:val="auto"/>
                <w:sz w:val="20"/>
              </w:rPr>
              <w:t>1.1.2.6</w:t>
            </w:r>
          </w:p>
        </w:tc>
        <w:tc>
          <w:tcPr>
            <w:tcW w:w="7426" w:type="dxa"/>
            <w:noWrap w:val="0"/>
            <w:vAlign w:val="center"/>
          </w:tcPr>
          <w:p>
            <w:pPr>
              <w:rPr>
                <w:color w:val="auto"/>
                <w:sz w:val="20"/>
              </w:rPr>
            </w:pPr>
            <w:r>
              <w:rPr>
                <w:rFonts w:hint="eastAsia" w:hAnsi="宋体"/>
                <w:color w:val="auto"/>
                <w:sz w:val="20"/>
              </w:rPr>
              <w:t>监</w:t>
            </w:r>
            <w:r>
              <w:rPr>
                <w:color w:val="auto"/>
                <w:sz w:val="20"/>
              </w:rPr>
              <w:t xml:space="preserve"> </w:t>
            </w:r>
            <w:r>
              <w:rPr>
                <w:rFonts w:hint="eastAsia" w:hAnsi="宋体"/>
                <w:color w:val="auto"/>
                <w:sz w:val="20"/>
              </w:rPr>
              <w:t>理</w:t>
            </w:r>
            <w:r>
              <w:rPr>
                <w:color w:val="auto"/>
                <w:sz w:val="20"/>
              </w:rPr>
              <w:t xml:space="preserve"> </w:t>
            </w:r>
            <w:r>
              <w:rPr>
                <w:rFonts w:hint="eastAsia" w:hAnsi="宋体"/>
                <w:color w:val="auto"/>
                <w:sz w:val="20"/>
              </w:rPr>
              <w:t>人：</w:t>
            </w:r>
          </w:p>
          <w:p>
            <w:pPr>
              <w:rPr>
                <w:color w:val="auto"/>
                <w:sz w:val="20"/>
              </w:rPr>
            </w:pPr>
            <w:r>
              <w:rPr>
                <w:rFonts w:hint="eastAsia" w:hAnsi="宋体"/>
                <w:color w:val="auto"/>
                <w:sz w:val="20"/>
              </w:rPr>
              <w:t>地</w:t>
            </w:r>
            <w:r>
              <w:rPr>
                <w:color w:val="auto"/>
                <w:sz w:val="20"/>
              </w:rPr>
              <w:t xml:space="preserve">    </w:t>
            </w:r>
            <w:r>
              <w:rPr>
                <w:rFonts w:hint="eastAsia" w:hAnsi="宋体"/>
                <w:color w:val="auto"/>
                <w:sz w:val="20"/>
              </w:rPr>
              <w:t>址：</w:t>
            </w:r>
            <w:r>
              <w:rPr>
                <w:color w:val="auto"/>
                <w:sz w:val="20"/>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67" w:hRule="exact"/>
          <w:tblHeader/>
          <w:jc w:val="center"/>
        </w:trPr>
        <w:tc>
          <w:tcPr>
            <w:tcW w:w="729" w:type="dxa"/>
            <w:noWrap w:val="0"/>
            <w:vAlign w:val="center"/>
          </w:tcPr>
          <w:p>
            <w:pPr>
              <w:jc w:val="center"/>
              <w:rPr>
                <w:color w:val="auto"/>
                <w:sz w:val="20"/>
              </w:rPr>
            </w:pPr>
            <w:r>
              <w:rPr>
                <w:color w:val="auto"/>
                <w:sz w:val="20"/>
              </w:rPr>
              <w:t>3</w:t>
            </w:r>
          </w:p>
        </w:tc>
        <w:tc>
          <w:tcPr>
            <w:tcW w:w="1484" w:type="dxa"/>
            <w:noWrap w:val="0"/>
            <w:vAlign w:val="center"/>
          </w:tcPr>
          <w:p>
            <w:pPr>
              <w:jc w:val="center"/>
              <w:rPr>
                <w:color w:val="auto"/>
                <w:sz w:val="20"/>
              </w:rPr>
            </w:pPr>
            <w:r>
              <w:rPr>
                <w:color w:val="auto"/>
                <w:sz w:val="20"/>
              </w:rPr>
              <w:t>1.1.4.5</w:t>
            </w:r>
          </w:p>
        </w:tc>
        <w:tc>
          <w:tcPr>
            <w:tcW w:w="7426" w:type="dxa"/>
            <w:noWrap w:val="0"/>
            <w:vAlign w:val="center"/>
          </w:tcPr>
          <w:p>
            <w:pPr>
              <w:rPr>
                <w:rFonts w:hint="default" w:eastAsia="宋体"/>
                <w:color w:val="auto"/>
                <w:sz w:val="20"/>
                <w:lang w:val="en-US" w:eastAsia="zh-CN"/>
              </w:rPr>
            </w:pPr>
            <w:r>
              <w:rPr>
                <w:rFonts w:hint="eastAsia" w:hAnsi="宋体"/>
                <w:color w:val="auto"/>
                <w:sz w:val="20"/>
              </w:rPr>
              <w:t>缺陷责任期：竣工验收合格之日</w:t>
            </w:r>
            <w:r>
              <w:rPr>
                <w:rFonts w:hAnsi="宋体"/>
                <w:color w:val="auto"/>
                <w:sz w:val="20"/>
              </w:rPr>
              <w:t>起计算</w:t>
            </w:r>
            <w:r>
              <w:rPr>
                <w:rFonts w:hint="eastAsia"/>
                <w:color w:val="auto"/>
                <w:sz w:val="20"/>
                <w:u w:val="single"/>
                <w:lang w:val="en-US" w:eastAsia="zh-CN"/>
              </w:rPr>
              <w:t>12</w:t>
            </w:r>
            <w:r>
              <w:rPr>
                <w:rFonts w:hint="eastAsia"/>
                <w:color w:val="auto"/>
                <w:sz w:val="20"/>
                <w:u w:val="none"/>
                <w:lang w:val="en-US" w:eastAsia="zh-CN"/>
              </w:rPr>
              <w:t>个月</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937" w:hRule="atLeast"/>
          <w:tblHeader/>
          <w:jc w:val="center"/>
        </w:trPr>
        <w:tc>
          <w:tcPr>
            <w:tcW w:w="729" w:type="dxa"/>
            <w:noWrap w:val="0"/>
            <w:vAlign w:val="center"/>
          </w:tcPr>
          <w:p>
            <w:pPr>
              <w:jc w:val="center"/>
              <w:rPr>
                <w:color w:val="auto"/>
                <w:sz w:val="20"/>
              </w:rPr>
            </w:pPr>
            <w:r>
              <w:rPr>
                <w:color w:val="auto"/>
                <w:sz w:val="20"/>
              </w:rPr>
              <w:t>4</w:t>
            </w:r>
          </w:p>
        </w:tc>
        <w:tc>
          <w:tcPr>
            <w:tcW w:w="1484" w:type="dxa"/>
            <w:noWrap w:val="0"/>
            <w:vAlign w:val="center"/>
          </w:tcPr>
          <w:p>
            <w:pPr>
              <w:jc w:val="center"/>
              <w:rPr>
                <w:color w:val="auto"/>
                <w:sz w:val="20"/>
              </w:rPr>
            </w:pPr>
            <w:r>
              <w:rPr>
                <w:color w:val="auto"/>
                <w:sz w:val="20"/>
              </w:rPr>
              <w:t>1.6.3</w:t>
            </w:r>
          </w:p>
        </w:tc>
        <w:tc>
          <w:tcPr>
            <w:tcW w:w="7426" w:type="dxa"/>
            <w:noWrap w:val="0"/>
            <w:vAlign w:val="center"/>
          </w:tcPr>
          <w:p>
            <w:pPr>
              <w:rPr>
                <w:color w:val="auto"/>
                <w:sz w:val="20"/>
              </w:rPr>
            </w:pPr>
            <w:r>
              <w:rPr>
                <w:rFonts w:hint="eastAsia" w:hAnsi="宋体"/>
                <w:color w:val="auto"/>
                <w:sz w:val="20"/>
              </w:rPr>
              <w:t>图纸需要修改和补充的，应由监理人取得发包人同意后，在该项工程或工程相应部位施工前</w:t>
            </w:r>
            <w:r>
              <w:rPr>
                <w:color w:val="auto"/>
                <w:sz w:val="20"/>
                <w:u w:val="single"/>
              </w:rPr>
              <w:t xml:space="preserve">  3  </w:t>
            </w:r>
            <w:r>
              <w:rPr>
                <w:rFonts w:hint="eastAsia" w:hAnsi="宋体"/>
                <w:color w:val="auto"/>
                <w:sz w:val="20"/>
              </w:rPr>
              <w:t>天签发图纸修改图给承包人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1127" w:hRule="atLeast"/>
          <w:tblHeader/>
          <w:jc w:val="center"/>
        </w:trPr>
        <w:tc>
          <w:tcPr>
            <w:tcW w:w="729" w:type="dxa"/>
            <w:noWrap w:val="0"/>
            <w:vAlign w:val="center"/>
          </w:tcPr>
          <w:p>
            <w:pPr>
              <w:jc w:val="center"/>
              <w:rPr>
                <w:color w:val="auto"/>
                <w:sz w:val="20"/>
              </w:rPr>
            </w:pPr>
            <w:r>
              <w:rPr>
                <w:color w:val="auto"/>
                <w:sz w:val="20"/>
              </w:rPr>
              <w:t>5</w:t>
            </w:r>
          </w:p>
        </w:tc>
        <w:tc>
          <w:tcPr>
            <w:tcW w:w="1484" w:type="dxa"/>
            <w:noWrap w:val="0"/>
            <w:vAlign w:val="center"/>
          </w:tcPr>
          <w:p>
            <w:pPr>
              <w:jc w:val="center"/>
              <w:rPr>
                <w:color w:val="auto"/>
                <w:sz w:val="20"/>
              </w:rPr>
            </w:pPr>
            <w:r>
              <w:rPr>
                <w:color w:val="auto"/>
                <w:sz w:val="20"/>
              </w:rPr>
              <w:t>3.1.1</w:t>
            </w:r>
          </w:p>
        </w:tc>
        <w:tc>
          <w:tcPr>
            <w:tcW w:w="7426" w:type="dxa"/>
            <w:noWrap w:val="0"/>
            <w:vAlign w:val="center"/>
          </w:tcPr>
          <w:p>
            <w:pPr>
              <w:rPr>
                <w:color w:val="auto"/>
                <w:sz w:val="20"/>
              </w:rPr>
            </w:pPr>
            <w:r>
              <w:rPr>
                <w:rFonts w:hint="eastAsia" w:hAnsi="宋体"/>
                <w:color w:val="auto"/>
                <w:sz w:val="20"/>
              </w:rPr>
              <w:t>监理人在行使下列权利前需要经发包人事先批准：</w:t>
            </w:r>
          </w:p>
          <w:p>
            <w:pPr>
              <w:rPr>
                <w:color w:val="auto"/>
                <w:sz w:val="20"/>
              </w:rPr>
            </w:pPr>
            <w:r>
              <w:rPr>
                <w:rFonts w:hint="eastAsia" w:hAnsi="宋体"/>
                <w:color w:val="auto"/>
                <w:sz w:val="20"/>
              </w:rPr>
              <w:t>（</w:t>
            </w:r>
            <w:r>
              <w:rPr>
                <w:color w:val="auto"/>
                <w:sz w:val="20"/>
              </w:rPr>
              <w:t>6</w:t>
            </w:r>
            <w:r>
              <w:rPr>
                <w:rFonts w:hint="eastAsia" w:hAnsi="宋体"/>
                <w:color w:val="auto"/>
                <w:sz w:val="20"/>
              </w:rPr>
              <w:t>）根据第</w:t>
            </w:r>
            <w:r>
              <w:rPr>
                <w:color w:val="auto"/>
                <w:sz w:val="20"/>
              </w:rPr>
              <w:t>15.3</w:t>
            </w:r>
            <w:r>
              <w:rPr>
                <w:rFonts w:hint="eastAsia" w:hAnsi="宋体"/>
                <w:color w:val="auto"/>
                <w:sz w:val="20"/>
              </w:rPr>
              <w:t>款发出的变更指示，其单项工程变更涉及的金额超过了该单项工程签约时合同价的</w:t>
            </w:r>
            <w:r>
              <w:rPr>
                <w:color w:val="auto"/>
                <w:sz w:val="20"/>
                <w:u w:val="single"/>
              </w:rPr>
              <w:t xml:space="preserve">   /  </w:t>
            </w:r>
            <w:r>
              <w:rPr>
                <w:color w:val="auto"/>
                <w:sz w:val="20"/>
              </w:rPr>
              <w:t>%</w:t>
            </w:r>
            <w:r>
              <w:rPr>
                <w:rFonts w:hint="eastAsia" w:hAnsi="宋体"/>
                <w:color w:val="auto"/>
                <w:sz w:val="20"/>
              </w:rPr>
              <w:t>或累计变更超过了签约合同价的</w:t>
            </w:r>
            <w:r>
              <w:rPr>
                <w:color w:val="auto"/>
                <w:sz w:val="20"/>
                <w:u w:val="single"/>
              </w:rPr>
              <w:t xml:space="preserve">   /  </w:t>
            </w:r>
            <w:r>
              <w:rPr>
                <w:color w:val="auto"/>
                <w:sz w:val="20"/>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1134" w:hRule="exact"/>
          <w:tblHeader/>
          <w:jc w:val="center"/>
        </w:trPr>
        <w:tc>
          <w:tcPr>
            <w:tcW w:w="729" w:type="dxa"/>
            <w:noWrap w:val="0"/>
            <w:vAlign w:val="center"/>
          </w:tcPr>
          <w:p>
            <w:pPr>
              <w:jc w:val="center"/>
              <w:rPr>
                <w:color w:val="auto"/>
                <w:sz w:val="20"/>
              </w:rPr>
            </w:pPr>
            <w:r>
              <w:rPr>
                <w:color w:val="auto"/>
                <w:sz w:val="20"/>
              </w:rPr>
              <w:t>6</w:t>
            </w:r>
          </w:p>
        </w:tc>
        <w:tc>
          <w:tcPr>
            <w:tcW w:w="1484" w:type="dxa"/>
            <w:noWrap w:val="0"/>
            <w:vAlign w:val="center"/>
          </w:tcPr>
          <w:p>
            <w:pPr>
              <w:jc w:val="center"/>
              <w:rPr>
                <w:color w:val="auto"/>
                <w:sz w:val="20"/>
              </w:rPr>
            </w:pPr>
            <w:r>
              <w:rPr>
                <w:color w:val="auto"/>
                <w:sz w:val="20"/>
              </w:rPr>
              <w:t>5.2.4</w:t>
            </w:r>
          </w:p>
        </w:tc>
        <w:tc>
          <w:tcPr>
            <w:tcW w:w="7426" w:type="dxa"/>
            <w:noWrap w:val="0"/>
            <w:vAlign w:val="center"/>
          </w:tcPr>
          <w:p>
            <w:pPr>
              <w:rPr>
                <w:color w:val="auto"/>
                <w:sz w:val="20"/>
                <w:u w:val="single"/>
              </w:rPr>
            </w:pPr>
            <w:r>
              <w:rPr>
                <w:rFonts w:hint="eastAsia" w:hAnsi="宋体"/>
                <w:color w:val="auto"/>
                <w:sz w:val="20"/>
              </w:rPr>
              <w:t>发包人是否提供材料或工程设备：</w:t>
            </w:r>
            <w:r>
              <w:rPr>
                <w:rFonts w:hint="eastAsia" w:hAnsi="宋体"/>
                <w:color w:val="auto"/>
                <w:sz w:val="20"/>
                <w:u w:val="single"/>
              </w:rPr>
              <w:t>否</w:t>
            </w:r>
          </w:p>
          <w:p>
            <w:pPr>
              <w:rPr>
                <w:color w:val="auto"/>
                <w:sz w:val="20"/>
              </w:rPr>
            </w:pPr>
            <w:r>
              <w:rPr>
                <w:rFonts w:hint="eastAsia" w:hAnsi="宋体"/>
                <w:color w:val="auto"/>
                <w:sz w:val="20"/>
              </w:rPr>
              <w:t>如发包人负责提供部分材料或工程设备，相关规定如下：</w:t>
            </w:r>
            <w:r>
              <w:rPr>
                <w:color w:val="auto"/>
                <w:sz w:val="20"/>
                <w:u w:val="single"/>
              </w:rPr>
              <w:t xml:space="preserve">   /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1134" w:hRule="exact"/>
          <w:tblHeader/>
          <w:jc w:val="center"/>
        </w:trPr>
        <w:tc>
          <w:tcPr>
            <w:tcW w:w="729" w:type="dxa"/>
            <w:noWrap w:val="0"/>
            <w:vAlign w:val="center"/>
          </w:tcPr>
          <w:p>
            <w:pPr>
              <w:jc w:val="center"/>
              <w:rPr>
                <w:color w:val="auto"/>
                <w:sz w:val="20"/>
              </w:rPr>
            </w:pPr>
            <w:r>
              <w:rPr>
                <w:color w:val="auto"/>
                <w:sz w:val="20"/>
              </w:rPr>
              <w:t>7</w:t>
            </w:r>
          </w:p>
        </w:tc>
        <w:tc>
          <w:tcPr>
            <w:tcW w:w="1484" w:type="dxa"/>
            <w:noWrap w:val="0"/>
            <w:vAlign w:val="center"/>
          </w:tcPr>
          <w:p>
            <w:pPr>
              <w:jc w:val="center"/>
              <w:rPr>
                <w:color w:val="auto"/>
                <w:sz w:val="20"/>
              </w:rPr>
            </w:pPr>
            <w:r>
              <w:rPr>
                <w:color w:val="auto"/>
                <w:sz w:val="20"/>
              </w:rPr>
              <w:t>6.2</w:t>
            </w:r>
          </w:p>
        </w:tc>
        <w:tc>
          <w:tcPr>
            <w:tcW w:w="7426" w:type="dxa"/>
            <w:noWrap w:val="0"/>
            <w:vAlign w:val="center"/>
          </w:tcPr>
          <w:p>
            <w:pPr>
              <w:rPr>
                <w:color w:val="auto"/>
                <w:sz w:val="20"/>
              </w:rPr>
            </w:pPr>
            <w:r>
              <w:rPr>
                <w:rFonts w:hint="eastAsia" w:hAnsi="宋体"/>
                <w:color w:val="auto"/>
                <w:sz w:val="20"/>
              </w:rPr>
              <w:t>发包人是否提供施工设备和临时设施：</w:t>
            </w:r>
            <w:r>
              <w:rPr>
                <w:rFonts w:hint="eastAsia" w:hAnsi="宋体"/>
                <w:color w:val="auto"/>
                <w:sz w:val="20"/>
                <w:u w:val="single"/>
              </w:rPr>
              <w:t>否</w:t>
            </w:r>
          </w:p>
          <w:p>
            <w:pPr>
              <w:rPr>
                <w:color w:val="auto"/>
                <w:sz w:val="20"/>
              </w:rPr>
            </w:pPr>
            <w:r>
              <w:rPr>
                <w:rFonts w:hint="eastAsia" w:hAnsi="宋体"/>
                <w:color w:val="auto"/>
                <w:sz w:val="20"/>
              </w:rPr>
              <w:t>如发包人负责提供部分施工设备和临时设施，相关规定如下：</w:t>
            </w:r>
            <w:r>
              <w:rPr>
                <w:color w:val="auto"/>
                <w:sz w:val="20"/>
                <w:u w:val="single"/>
              </w:rPr>
              <w:t xml:space="preserve">    /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1134" w:hRule="exact"/>
          <w:tblHeader/>
          <w:jc w:val="center"/>
        </w:trPr>
        <w:tc>
          <w:tcPr>
            <w:tcW w:w="729" w:type="dxa"/>
            <w:noWrap w:val="0"/>
            <w:vAlign w:val="center"/>
          </w:tcPr>
          <w:p>
            <w:pPr>
              <w:jc w:val="center"/>
              <w:rPr>
                <w:color w:val="auto"/>
                <w:sz w:val="20"/>
              </w:rPr>
            </w:pPr>
            <w:r>
              <w:rPr>
                <w:color w:val="auto"/>
                <w:sz w:val="20"/>
              </w:rPr>
              <w:t>8</w:t>
            </w:r>
          </w:p>
        </w:tc>
        <w:tc>
          <w:tcPr>
            <w:tcW w:w="1484" w:type="dxa"/>
            <w:noWrap w:val="0"/>
            <w:vAlign w:val="center"/>
          </w:tcPr>
          <w:p>
            <w:pPr>
              <w:jc w:val="center"/>
              <w:rPr>
                <w:color w:val="auto"/>
                <w:sz w:val="20"/>
              </w:rPr>
            </w:pPr>
            <w:r>
              <w:rPr>
                <w:color w:val="auto"/>
                <w:sz w:val="20"/>
              </w:rPr>
              <w:t>8.1.1</w:t>
            </w:r>
          </w:p>
        </w:tc>
        <w:tc>
          <w:tcPr>
            <w:tcW w:w="7426" w:type="dxa"/>
            <w:noWrap w:val="0"/>
            <w:vAlign w:val="center"/>
          </w:tcPr>
          <w:p>
            <w:pPr>
              <w:rPr>
                <w:color w:val="auto"/>
                <w:sz w:val="20"/>
              </w:rPr>
            </w:pPr>
            <w:r>
              <w:rPr>
                <w:rFonts w:hint="eastAsia" w:hAnsi="宋体"/>
                <w:color w:val="auto"/>
                <w:sz w:val="20"/>
              </w:rPr>
              <w:t>发包人提供测量基准点、</w:t>
            </w:r>
            <w:r>
              <w:rPr>
                <w:rFonts w:hint="eastAsia" w:hAnsi="宋体"/>
                <w:color w:val="auto"/>
                <w:sz w:val="20"/>
                <w:lang w:eastAsia="zh-CN"/>
              </w:rPr>
              <w:t>基准线</w:t>
            </w:r>
            <w:r>
              <w:rPr>
                <w:rFonts w:hint="eastAsia" w:hAnsi="宋体"/>
                <w:color w:val="auto"/>
                <w:sz w:val="20"/>
              </w:rPr>
              <w:t>和水准点及其书面资料的期限：</w:t>
            </w:r>
            <w:r>
              <w:rPr>
                <w:color w:val="auto"/>
                <w:sz w:val="20"/>
                <w:u w:val="single"/>
              </w:rPr>
              <w:t xml:space="preserve">   /    </w:t>
            </w:r>
          </w:p>
          <w:p>
            <w:pPr>
              <w:rPr>
                <w:color w:val="auto"/>
                <w:sz w:val="20"/>
              </w:rPr>
            </w:pPr>
            <w:r>
              <w:rPr>
                <w:rFonts w:hint="eastAsia" w:hAnsi="宋体"/>
                <w:color w:val="auto"/>
                <w:sz w:val="20"/>
              </w:rPr>
              <w:t>承包人将施工控制网资料报送监理人审批的期限：</w:t>
            </w:r>
            <w:r>
              <w:rPr>
                <w:color w:val="auto"/>
                <w:sz w:val="20"/>
                <w:u w:val="single"/>
              </w:rPr>
              <w:t xml:space="preserve">   3</w:t>
            </w:r>
            <w:r>
              <w:rPr>
                <w:rFonts w:hint="eastAsia" w:hAnsi="宋体"/>
                <w:color w:val="auto"/>
                <w:sz w:val="20"/>
                <w:u w:val="single"/>
              </w:rPr>
              <w:t>日</w:t>
            </w:r>
            <w:r>
              <w:rPr>
                <w:color w:val="auto"/>
                <w:sz w:val="20"/>
                <w:u w:val="single"/>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67" w:hRule="exact"/>
          <w:tblHeader/>
          <w:jc w:val="center"/>
        </w:trPr>
        <w:tc>
          <w:tcPr>
            <w:tcW w:w="729" w:type="dxa"/>
            <w:noWrap w:val="0"/>
            <w:vAlign w:val="center"/>
          </w:tcPr>
          <w:p>
            <w:pPr>
              <w:jc w:val="center"/>
              <w:rPr>
                <w:color w:val="auto"/>
                <w:sz w:val="20"/>
              </w:rPr>
            </w:pPr>
            <w:r>
              <w:rPr>
                <w:color w:val="auto"/>
                <w:sz w:val="20"/>
              </w:rPr>
              <w:t>9</w:t>
            </w:r>
          </w:p>
        </w:tc>
        <w:tc>
          <w:tcPr>
            <w:tcW w:w="1484" w:type="dxa"/>
            <w:noWrap w:val="0"/>
            <w:vAlign w:val="center"/>
          </w:tcPr>
          <w:p>
            <w:pPr>
              <w:jc w:val="center"/>
              <w:rPr>
                <w:color w:val="auto"/>
                <w:sz w:val="20"/>
              </w:rPr>
            </w:pPr>
            <w:r>
              <w:rPr>
                <w:color w:val="auto"/>
                <w:sz w:val="20"/>
              </w:rPr>
              <w:t>11.5</w:t>
            </w:r>
          </w:p>
        </w:tc>
        <w:tc>
          <w:tcPr>
            <w:tcW w:w="7426" w:type="dxa"/>
            <w:noWrap w:val="0"/>
            <w:vAlign w:val="center"/>
          </w:tcPr>
          <w:p>
            <w:pPr>
              <w:rPr>
                <w:color w:val="auto"/>
                <w:sz w:val="20"/>
              </w:rPr>
            </w:pPr>
            <w:r>
              <w:rPr>
                <w:rFonts w:hint="eastAsia" w:hAnsi="宋体"/>
                <w:color w:val="auto"/>
                <w:sz w:val="20"/>
              </w:rPr>
              <w:t>逾期交工违约金：</w:t>
            </w:r>
            <w:r>
              <w:rPr>
                <w:color w:val="auto"/>
                <w:sz w:val="20"/>
                <w:u w:val="single"/>
              </w:rPr>
              <w:t xml:space="preserve"> 1000 </w:t>
            </w:r>
            <w:r>
              <w:rPr>
                <w:rFonts w:hint="eastAsia" w:hAnsi="宋体"/>
                <w:color w:val="auto"/>
                <w:sz w:val="20"/>
              </w:rPr>
              <w:t>元</w:t>
            </w:r>
            <w:r>
              <w:rPr>
                <w:color w:val="auto"/>
                <w:sz w:val="20"/>
              </w:rPr>
              <w:t>/</w:t>
            </w:r>
            <w:r>
              <w:rPr>
                <w:rFonts w:hint="eastAsia" w:hAnsi="宋体"/>
                <w:color w:val="auto"/>
                <w:sz w:val="20"/>
              </w:rPr>
              <w:t>天</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67" w:hRule="exact"/>
          <w:tblHeader/>
          <w:jc w:val="center"/>
        </w:trPr>
        <w:tc>
          <w:tcPr>
            <w:tcW w:w="729" w:type="dxa"/>
            <w:noWrap w:val="0"/>
            <w:vAlign w:val="center"/>
          </w:tcPr>
          <w:p>
            <w:pPr>
              <w:jc w:val="center"/>
              <w:rPr>
                <w:color w:val="auto"/>
                <w:sz w:val="20"/>
              </w:rPr>
            </w:pPr>
            <w:r>
              <w:rPr>
                <w:color w:val="auto"/>
                <w:sz w:val="20"/>
              </w:rPr>
              <w:t>10</w:t>
            </w:r>
          </w:p>
        </w:tc>
        <w:tc>
          <w:tcPr>
            <w:tcW w:w="1484" w:type="dxa"/>
            <w:noWrap w:val="0"/>
            <w:vAlign w:val="center"/>
          </w:tcPr>
          <w:p>
            <w:pPr>
              <w:jc w:val="center"/>
              <w:rPr>
                <w:color w:val="auto"/>
                <w:sz w:val="20"/>
              </w:rPr>
            </w:pPr>
            <w:r>
              <w:rPr>
                <w:color w:val="auto"/>
                <w:sz w:val="20"/>
              </w:rPr>
              <w:t>11.5</w:t>
            </w:r>
          </w:p>
        </w:tc>
        <w:tc>
          <w:tcPr>
            <w:tcW w:w="7426" w:type="dxa"/>
            <w:noWrap w:val="0"/>
            <w:vAlign w:val="center"/>
          </w:tcPr>
          <w:p>
            <w:pPr>
              <w:rPr>
                <w:color w:val="auto"/>
                <w:sz w:val="20"/>
              </w:rPr>
            </w:pPr>
            <w:r>
              <w:rPr>
                <w:rFonts w:hint="eastAsia" w:hAnsi="宋体"/>
                <w:color w:val="auto"/>
                <w:sz w:val="20"/>
              </w:rPr>
              <w:t>逾期交工违约金限额：</w:t>
            </w:r>
            <w:r>
              <w:rPr>
                <w:color w:val="auto"/>
                <w:sz w:val="20"/>
                <w:u w:val="single"/>
              </w:rPr>
              <w:t xml:space="preserve">  10  </w:t>
            </w:r>
            <w:r>
              <w:rPr>
                <w:color w:val="auto"/>
                <w:sz w:val="20"/>
              </w:rPr>
              <w:t>%</w:t>
            </w:r>
            <w:r>
              <w:rPr>
                <w:rFonts w:hint="eastAsia" w:hAnsi="宋体"/>
                <w:color w:val="auto"/>
                <w:sz w:val="20"/>
              </w:rPr>
              <w:t>签约合同价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67" w:hRule="exact"/>
          <w:tblHeader/>
          <w:jc w:val="center"/>
        </w:trPr>
        <w:tc>
          <w:tcPr>
            <w:tcW w:w="729" w:type="dxa"/>
            <w:noWrap w:val="0"/>
            <w:vAlign w:val="center"/>
          </w:tcPr>
          <w:p>
            <w:pPr>
              <w:jc w:val="center"/>
              <w:rPr>
                <w:color w:val="auto"/>
                <w:sz w:val="20"/>
              </w:rPr>
            </w:pPr>
            <w:r>
              <w:rPr>
                <w:color w:val="auto"/>
                <w:sz w:val="20"/>
              </w:rPr>
              <w:t>11</w:t>
            </w:r>
          </w:p>
        </w:tc>
        <w:tc>
          <w:tcPr>
            <w:tcW w:w="1484" w:type="dxa"/>
            <w:noWrap w:val="0"/>
            <w:vAlign w:val="center"/>
          </w:tcPr>
          <w:p>
            <w:pPr>
              <w:jc w:val="center"/>
              <w:rPr>
                <w:color w:val="auto"/>
                <w:sz w:val="20"/>
              </w:rPr>
            </w:pPr>
            <w:r>
              <w:rPr>
                <w:color w:val="auto"/>
                <w:sz w:val="20"/>
              </w:rPr>
              <w:t>11.6</w:t>
            </w:r>
          </w:p>
        </w:tc>
        <w:tc>
          <w:tcPr>
            <w:tcW w:w="7426" w:type="dxa"/>
            <w:noWrap w:val="0"/>
            <w:vAlign w:val="center"/>
          </w:tcPr>
          <w:p>
            <w:pPr>
              <w:rPr>
                <w:color w:val="auto"/>
                <w:sz w:val="20"/>
              </w:rPr>
            </w:pPr>
            <w:r>
              <w:rPr>
                <w:rFonts w:hint="eastAsia" w:hAnsi="宋体"/>
                <w:color w:val="auto"/>
                <w:sz w:val="20"/>
              </w:rPr>
              <w:t>提前交工的奖金：</w:t>
            </w:r>
            <w:r>
              <w:rPr>
                <w:color w:val="auto"/>
                <w:sz w:val="20"/>
                <w:u w:val="single"/>
              </w:rPr>
              <w:t xml:space="preserve"> / </w:t>
            </w:r>
            <w:r>
              <w:rPr>
                <w:rFonts w:hint="eastAsia" w:hAnsi="宋体"/>
                <w:color w:val="auto"/>
                <w:sz w:val="20"/>
              </w:rPr>
              <w:t>元</w:t>
            </w:r>
            <w:r>
              <w:rPr>
                <w:color w:val="auto"/>
                <w:sz w:val="20"/>
              </w:rPr>
              <w:t>/</w:t>
            </w:r>
            <w:r>
              <w:rPr>
                <w:rFonts w:hint="eastAsia" w:hAnsi="宋体"/>
                <w:color w:val="auto"/>
                <w:sz w:val="20"/>
              </w:rPr>
              <w:t>天</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67" w:hRule="exact"/>
          <w:tblHeader/>
          <w:jc w:val="center"/>
        </w:trPr>
        <w:tc>
          <w:tcPr>
            <w:tcW w:w="729" w:type="dxa"/>
            <w:noWrap w:val="0"/>
            <w:vAlign w:val="center"/>
          </w:tcPr>
          <w:p>
            <w:pPr>
              <w:jc w:val="center"/>
              <w:rPr>
                <w:color w:val="auto"/>
                <w:sz w:val="20"/>
              </w:rPr>
            </w:pPr>
            <w:r>
              <w:rPr>
                <w:color w:val="auto"/>
                <w:sz w:val="20"/>
              </w:rPr>
              <w:t>12</w:t>
            </w:r>
          </w:p>
        </w:tc>
        <w:tc>
          <w:tcPr>
            <w:tcW w:w="1484" w:type="dxa"/>
            <w:noWrap w:val="0"/>
            <w:vAlign w:val="center"/>
          </w:tcPr>
          <w:p>
            <w:pPr>
              <w:jc w:val="center"/>
              <w:rPr>
                <w:color w:val="auto"/>
                <w:sz w:val="20"/>
              </w:rPr>
            </w:pPr>
            <w:r>
              <w:rPr>
                <w:color w:val="auto"/>
                <w:sz w:val="20"/>
              </w:rPr>
              <w:t>11.6</w:t>
            </w:r>
          </w:p>
        </w:tc>
        <w:tc>
          <w:tcPr>
            <w:tcW w:w="7426" w:type="dxa"/>
            <w:noWrap w:val="0"/>
            <w:vAlign w:val="center"/>
          </w:tcPr>
          <w:p>
            <w:pPr>
              <w:rPr>
                <w:color w:val="auto"/>
                <w:sz w:val="20"/>
              </w:rPr>
            </w:pPr>
            <w:r>
              <w:rPr>
                <w:rFonts w:hint="eastAsia" w:hAnsi="宋体"/>
                <w:color w:val="auto"/>
                <w:sz w:val="20"/>
              </w:rPr>
              <w:t>提前交工的奖金限额：</w:t>
            </w:r>
            <w:r>
              <w:rPr>
                <w:color w:val="auto"/>
                <w:sz w:val="20"/>
                <w:u w:val="single"/>
              </w:rPr>
              <w:t xml:space="preserve"> / </w:t>
            </w:r>
            <w:r>
              <w:rPr>
                <w:color w:val="auto"/>
                <w:sz w:val="20"/>
              </w:rPr>
              <w:t>%</w:t>
            </w:r>
            <w:r>
              <w:rPr>
                <w:rFonts w:hint="eastAsia" w:hAnsi="宋体"/>
                <w:color w:val="auto"/>
                <w:sz w:val="20"/>
              </w:rPr>
              <w:t>签约合同价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1134" w:hRule="exact"/>
          <w:tblHeader/>
          <w:jc w:val="center"/>
        </w:trPr>
        <w:tc>
          <w:tcPr>
            <w:tcW w:w="729" w:type="dxa"/>
            <w:noWrap w:val="0"/>
            <w:vAlign w:val="center"/>
          </w:tcPr>
          <w:p>
            <w:pPr>
              <w:jc w:val="center"/>
              <w:rPr>
                <w:color w:val="auto"/>
                <w:sz w:val="20"/>
              </w:rPr>
            </w:pPr>
            <w:r>
              <w:rPr>
                <w:color w:val="auto"/>
                <w:sz w:val="20"/>
              </w:rPr>
              <w:t>13</w:t>
            </w:r>
          </w:p>
        </w:tc>
        <w:tc>
          <w:tcPr>
            <w:tcW w:w="1484" w:type="dxa"/>
            <w:noWrap w:val="0"/>
            <w:vAlign w:val="center"/>
          </w:tcPr>
          <w:p>
            <w:pPr>
              <w:jc w:val="center"/>
              <w:rPr>
                <w:color w:val="auto"/>
                <w:sz w:val="20"/>
              </w:rPr>
            </w:pPr>
            <w:r>
              <w:rPr>
                <w:color w:val="auto"/>
                <w:sz w:val="20"/>
              </w:rPr>
              <w:t>15.2.2</w:t>
            </w:r>
          </w:p>
        </w:tc>
        <w:tc>
          <w:tcPr>
            <w:tcW w:w="7426" w:type="dxa"/>
            <w:noWrap w:val="0"/>
            <w:vAlign w:val="center"/>
          </w:tcPr>
          <w:p>
            <w:pPr>
              <w:rPr>
                <w:color w:val="auto"/>
                <w:sz w:val="20"/>
              </w:rPr>
            </w:pPr>
            <w:r>
              <w:rPr>
                <w:rFonts w:hint="eastAsia" w:hAnsi="宋体"/>
                <w:color w:val="auto"/>
                <w:sz w:val="20"/>
              </w:rPr>
              <w:t>承包人提出的合理化建议降低了合同价格或者提高了工程经济效益的，发包人按所节约成本的</w:t>
            </w:r>
            <w:r>
              <w:rPr>
                <w:color w:val="auto"/>
                <w:sz w:val="20"/>
                <w:u w:val="single"/>
              </w:rPr>
              <w:t xml:space="preserve"> / </w:t>
            </w:r>
            <w:r>
              <w:rPr>
                <w:color w:val="auto"/>
                <w:sz w:val="20"/>
              </w:rPr>
              <w:t>%</w:t>
            </w:r>
            <w:r>
              <w:rPr>
                <w:rFonts w:hint="eastAsia" w:hAnsi="宋体"/>
                <w:color w:val="auto"/>
                <w:sz w:val="20"/>
              </w:rPr>
              <w:t>或增加收益的</w:t>
            </w:r>
            <w:r>
              <w:rPr>
                <w:color w:val="auto"/>
                <w:sz w:val="20"/>
                <w:u w:val="single"/>
              </w:rPr>
              <w:t xml:space="preserve">  /  </w:t>
            </w:r>
            <w:r>
              <w:rPr>
                <w:color w:val="auto"/>
                <w:sz w:val="20"/>
              </w:rPr>
              <w:t>%</w:t>
            </w:r>
            <w:r>
              <w:rPr>
                <w:rFonts w:hint="eastAsia" w:hAnsi="宋体"/>
                <w:color w:val="auto"/>
                <w:sz w:val="20"/>
              </w:rPr>
              <w:t>给予奖励</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712" w:hRule="exact"/>
          <w:tblHeader/>
          <w:jc w:val="center"/>
        </w:trPr>
        <w:tc>
          <w:tcPr>
            <w:tcW w:w="729" w:type="dxa"/>
            <w:noWrap w:val="0"/>
            <w:vAlign w:val="center"/>
          </w:tcPr>
          <w:p>
            <w:pPr>
              <w:jc w:val="center"/>
              <w:rPr>
                <w:color w:val="auto"/>
                <w:sz w:val="20"/>
              </w:rPr>
            </w:pPr>
            <w:r>
              <w:rPr>
                <w:color w:val="auto"/>
                <w:sz w:val="20"/>
              </w:rPr>
              <w:t>14</w:t>
            </w:r>
          </w:p>
        </w:tc>
        <w:tc>
          <w:tcPr>
            <w:tcW w:w="1484" w:type="dxa"/>
            <w:noWrap w:val="0"/>
            <w:vAlign w:val="center"/>
          </w:tcPr>
          <w:p>
            <w:pPr>
              <w:jc w:val="center"/>
              <w:rPr>
                <w:color w:val="auto"/>
                <w:sz w:val="20"/>
              </w:rPr>
            </w:pPr>
            <w:r>
              <w:rPr>
                <w:color w:val="auto"/>
                <w:sz w:val="20"/>
              </w:rPr>
              <w:t>16.1</w:t>
            </w:r>
          </w:p>
        </w:tc>
        <w:tc>
          <w:tcPr>
            <w:tcW w:w="7426" w:type="dxa"/>
            <w:noWrap w:val="0"/>
            <w:vAlign w:val="center"/>
          </w:tcPr>
          <w:p>
            <w:pPr>
              <w:spacing w:line="400" w:lineRule="exact"/>
              <w:rPr>
                <w:color w:val="auto"/>
                <w:sz w:val="20"/>
              </w:rPr>
            </w:pPr>
            <w:r>
              <w:rPr>
                <w:rFonts w:hint="eastAsia" w:hAnsi="宋体"/>
                <w:color w:val="auto"/>
                <w:sz w:val="20"/>
              </w:rPr>
              <w:t>合同期内不调价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67" w:hRule="exact"/>
          <w:tblHeader/>
          <w:jc w:val="center"/>
        </w:trPr>
        <w:tc>
          <w:tcPr>
            <w:tcW w:w="729" w:type="dxa"/>
            <w:noWrap w:val="0"/>
            <w:vAlign w:val="center"/>
          </w:tcPr>
          <w:p>
            <w:pPr>
              <w:jc w:val="center"/>
              <w:rPr>
                <w:color w:val="auto"/>
                <w:sz w:val="20"/>
              </w:rPr>
            </w:pPr>
            <w:r>
              <w:rPr>
                <w:color w:val="auto"/>
                <w:sz w:val="20"/>
              </w:rPr>
              <w:t>15</w:t>
            </w:r>
          </w:p>
        </w:tc>
        <w:tc>
          <w:tcPr>
            <w:tcW w:w="1484" w:type="dxa"/>
            <w:noWrap w:val="0"/>
            <w:vAlign w:val="center"/>
          </w:tcPr>
          <w:p>
            <w:pPr>
              <w:jc w:val="center"/>
              <w:rPr>
                <w:color w:val="auto"/>
                <w:sz w:val="20"/>
              </w:rPr>
            </w:pPr>
            <w:r>
              <w:rPr>
                <w:color w:val="auto"/>
                <w:sz w:val="20"/>
              </w:rPr>
              <w:t>17.2.1</w:t>
            </w:r>
          </w:p>
        </w:tc>
        <w:tc>
          <w:tcPr>
            <w:tcW w:w="7426" w:type="dxa"/>
            <w:noWrap w:val="0"/>
            <w:vAlign w:val="center"/>
          </w:tcPr>
          <w:p>
            <w:pPr>
              <w:rPr>
                <w:color w:val="auto"/>
                <w:sz w:val="20"/>
              </w:rPr>
            </w:pPr>
            <w:r>
              <w:rPr>
                <w:rFonts w:hint="eastAsia" w:hAnsi="宋体"/>
                <w:color w:val="auto"/>
                <w:sz w:val="20"/>
              </w:rPr>
              <w:t>开工预付款金额：</w:t>
            </w:r>
            <w:r>
              <w:rPr>
                <w:rFonts w:hint="eastAsia" w:hAnsi="宋体"/>
                <w:color w:val="auto"/>
                <w:sz w:val="20"/>
                <w:u w:val="single"/>
              </w:rPr>
              <w:t>无</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67" w:hRule="exact"/>
          <w:tblHeader/>
          <w:jc w:val="center"/>
        </w:trPr>
        <w:tc>
          <w:tcPr>
            <w:tcW w:w="729" w:type="dxa"/>
            <w:noWrap w:val="0"/>
            <w:vAlign w:val="center"/>
          </w:tcPr>
          <w:p>
            <w:pPr>
              <w:jc w:val="center"/>
              <w:rPr>
                <w:color w:val="auto"/>
                <w:sz w:val="20"/>
              </w:rPr>
            </w:pPr>
            <w:r>
              <w:rPr>
                <w:color w:val="auto"/>
                <w:sz w:val="20"/>
              </w:rPr>
              <w:t>16</w:t>
            </w:r>
          </w:p>
        </w:tc>
        <w:tc>
          <w:tcPr>
            <w:tcW w:w="1484" w:type="dxa"/>
            <w:noWrap w:val="0"/>
            <w:vAlign w:val="center"/>
          </w:tcPr>
          <w:p>
            <w:pPr>
              <w:jc w:val="center"/>
              <w:rPr>
                <w:color w:val="auto"/>
                <w:sz w:val="20"/>
              </w:rPr>
            </w:pPr>
            <w:r>
              <w:rPr>
                <w:color w:val="auto"/>
                <w:sz w:val="20"/>
              </w:rPr>
              <w:t>17.2.1</w:t>
            </w:r>
          </w:p>
        </w:tc>
        <w:tc>
          <w:tcPr>
            <w:tcW w:w="7426" w:type="dxa"/>
            <w:noWrap w:val="0"/>
            <w:vAlign w:val="center"/>
          </w:tcPr>
          <w:p>
            <w:pPr>
              <w:rPr>
                <w:color w:val="auto"/>
                <w:sz w:val="20"/>
              </w:rPr>
            </w:pPr>
            <w:r>
              <w:rPr>
                <w:rFonts w:hint="eastAsia" w:hAnsi="宋体"/>
                <w:color w:val="auto"/>
                <w:sz w:val="20"/>
              </w:rPr>
              <w:t>材料、设备预付款比例：</w:t>
            </w:r>
            <w:r>
              <w:rPr>
                <w:color w:val="auto"/>
                <w:sz w:val="20"/>
                <w:u w:val="single"/>
              </w:rPr>
              <w:t xml:space="preserve">  /  </w:t>
            </w:r>
            <w:r>
              <w:rPr>
                <w:rFonts w:hint="eastAsia" w:hAnsi="宋体"/>
                <w:color w:val="auto"/>
                <w:sz w:val="20"/>
              </w:rPr>
              <w:t>等主要材料、设备单据所列费用的</w:t>
            </w:r>
            <w:r>
              <w:rPr>
                <w:color w:val="auto"/>
                <w:sz w:val="20"/>
                <w:u w:val="single"/>
              </w:rPr>
              <w:t xml:space="preserve">  /  </w:t>
            </w:r>
            <w:r>
              <w:rPr>
                <w:color w:val="auto"/>
                <w:sz w:val="20"/>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54" w:hRule="exact"/>
          <w:tblHeader/>
          <w:jc w:val="center"/>
        </w:trPr>
        <w:tc>
          <w:tcPr>
            <w:tcW w:w="729" w:type="dxa"/>
            <w:noWrap w:val="0"/>
            <w:vAlign w:val="center"/>
          </w:tcPr>
          <w:p>
            <w:pPr>
              <w:jc w:val="center"/>
              <w:rPr>
                <w:b/>
                <w:color w:val="auto"/>
                <w:sz w:val="20"/>
              </w:rPr>
            </w:pPr>
            <w:r>
              <w:rPr>
                <w:rFonts w:hint="eastAsia" w:hAnsi="宋体"/>
                <w:b/>
                <w:color w:val="auto"/>
                <w:sz w:val="20"/>
              </w:rPr>
              <w:t>序号</w:t>
            </w:r>
          </w:p>
        </w:tc>
        <w:tc>
          <w:tcPr>
            <w:tcW w:w="1484" w:type="dxa"/>
            <w:noWrap w:val="0"/>
            <w:vAlign w:val="center"/>
          </w:tcPr>
          <w:p>
            <w:pPr>
              <w:jc w:val="center"/>
              <w:rPr>
                <w:b/>
                <w:color w:val="auto"/>
                <w:sz w:val="20"/>
              </w:rPr>
            </w:pPr>
            <w:r>
              <w:rPr>
                <w:rFonts w:hint="eastAsia" w:hAnsi="宋体"/>
                <w:b/>
                <w:color w:val="auto"/>
                <w:sz w:val="20"/>
              </w:rPr>
              <w:t>条款号</w:t>
            </w:r>
          </w:p>
        </w:tc>
        <w:tc>
          <w:tcPr>
            <w:tcW w:w="7426" w:type="dxa"/>
            <w:noWrap w:val="0"/>
            <w:vAlign w:val="center"/>
          </w:tcPr>
          <w:p>
            <w:pPr>
              <w:jc w:val="center"/>
              <w:rPr>
                <w:b/>
                <w:color w:val="auto"/>
                <w:sz w:val="20"/>
              </w:rPr>
            </w:pPr>
            <w:r>
              <w:rPr>
                <w:rFonts w:hint="eastAsia" w:hAnsi="宋体"/>
                <w:b/>
                <w:color w:val="auto"/>
                <w:sz w:val="20"/>
              </w:rPr>
              <w:t>信息或数据</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67" w:hRule="exact"/>
          <w:tblHeader/>
          <w:jc w:val="center"/>
        </w:trPr>
        <w:tc>
          <w:tcPr>
            <w:tcW w:w="729" w:type="dxa"/>
            <w:noWrap w:val="0"/>
            <w:vAlign w:val="center"/>
          </w:tcPr>
          <w:p>
            <w:pPr>
              <w:jc w:val="center"/>
              <w:rPr>
                <w:color w:val="auto"/>
                <w:sz w:val="20"/>
              </w:rPr>
            </w:pPr>
            <w:r>
              <w:rPr>
                <w:color w:val="auto"/>
                <w:sz w:val="20"/>
              </w:rPr>
              <w:t>19</w:t>
            </w:r>
          </w:p>
        </w:tc>
        <w:tc>
          <w:tcPr>
            <w:tcW w:w="1484" w:type="dxa"/>
            <w:noWrap w:val="0"/>
            <w:vAlign w:val="center"/>
          </w:tcPr>
          <w:p>
            <w:pPr>
              <w:jc w:val="center"/>
              <w:rPr>
                <w:color w:val="auto"/>
                <w:sz w:val="20"/>
              </w:rPr>
            </w:pPr>
            <w:r>
              <w:rPr>
                <w:color w:val="auto"/>
                <w:sz w:val="20"/>
              </w:rPr>
              <w:t>17.3.3</w:t>
            </w:r>
            <w:r>
              <w:rPr>
                <w:rFonts w:hint="eastAsia" w:hAnsi="宋体"/>
                <w:color w:val="auto"/>
                <w:sz w:val="20"/>
              </w:rPr>
              <w:t>（</w:t>
            </w:r>
            <w:r>
              <w:rPr>
                <w:color w:val="auto"/>
                <w:sz w:val="20"/>
              </w:rPr>
              <w:t>2</w:t>
            </w:r>
            <w:r>
              <w:rPr>
                <w:rFonts w:hint="eastAsia"/>
                <w:color w:val="auto"/>
                <w:sz w:val="20"/>
                <w:lang w:eastAsia="zh-CN"/>
              </w:rPr>
              <w:t>)</w:t>
            </w:r>
          </w:p>
        </w:tc>
        <w:tc>
          <w:tcPr>
            <w:tcW w:w="7426" w:type="dxa"/>
            <w:noWrap w:val="0"/>
            <w:vAlign w:val="center"/>
          </w:tcPr>
          <w:p>
            <w:pPr>
              <w:rPr>
                <w:color w:val="auto"/>
                <w:sz w:val="20"/>
              </w:rPr>
            </w:pPr>
            <w:r>
              <w:rPr>
                <w:rFonts w:hint="eastAsia" w:hAnsi="宋体"/>
                <w:color w:val="auto"/>
                <w:sz w:val="20"/>
              </w:rPr>
              <w:t>逾期付款违约金的利率：</w:t>
            </w:r>
            <w:r>
              <w:rPr>
                <w:color w:val="auto"/>
                <w:sz w:val="20"/>
                <w:u w:val="single"/>
              </w:rPr>
              <w:t xml:space="preserve">  /  </w:t>
            </w:r>
            <w:r>
              <w:rPr>
                <w:color w:val="auto"/>
                <w:sz w:val="20"/>
              </w:rPr>
              <w:t>‰/</w:t>
            </w:r>
            <w:r>
              <w:rPr>
                <w:rFonts w:hint="eastAsia" w:hAnsi="宋体"/>
                <w:color w:val="auto"/>
                <w:sz w:val="20"/>
              </w:rPr>
              <w:t>天</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67" w:hRule="exact"/>
          <w:tblHeader/>
          <w:jc w:val="center"/>
        </w:trPr>
        <w:tc>
          <w:tcPr>
            <w:tcW w:w="729" w:type="dxa"/>
            <w:noWrap w:val="0"/>
            <w:vAlign w:val="center"/>
          </w:tcPr>
          <w:p>
            <w:pPr>
              <w:jc w:val="center"/>
              <w:rPr>
                <w:color w:val="auto"/>
                <w:sz w:val="20"/>
              </w:rPr>
            </w:pPr>
            <w:r>
              <w:rPr>
                <w:color w:val="auto"/>
                <w:sz w:val="20"/>
              </w:rPr>
              <w:t>20</w:t>
            </w:r>
          </w:p>
        </w:tc>
        <w:tc>
          <w:tcPr>
            <w:tcW w:w="1484" w:type="dxa"/>
            <w:noWrap w:val="0"/>
            <w:vAlign w:val="center"/>
          </w:tcPr>
          <w:p>
            <w:pPr>
              <w:jc w:val="center"/>
              <w:rPr>
                <w:color w:val="auto"/>
                <w:sz w:val="20"/>
              </w:rPr>
            </w:pPr>
            <w:r>
              <w:rPr>
                <w:color w:val="auto"/>
                <w:sz w:val="20"/>
              </w:rPr>
              <w:t>17.4.1</w:t>
            </w:r>
          </w:p>
        </w:tc>
        <w:tc>
          <w:tcPr>
            <w:tcW w:w="7426" w:type="dxa"/>
            <w:noWrap w:val="0"/>
            <w:vAlign w:val="center"/>
          </w:tcPr>
          <w:p>
            <w:pPr>
              <w:rPr>
                <w:color w:val="auto"/>
                <w:sz w:val="20"/>
              </w:rPr>
            </w:pPr>
            <w:r>
              <w:rPr>
                <w:rFonts w:hint="eastAsia" w:hAnsi="宋体"/>
                <w:color w:val="auto"/>
                <w:sz w:val="20"/>
              </w:rPr>
              <w:t>质量保证金百分比：</w:t>
            </w:r>
            <w:r>
              <w:rPr>
                <w:rFonts w:hint="eastAsia" w:hAnsi="宋体"/>
                <w:color w:val="auto"/>
                <w:sz w:val="20"/>
                <w:lang w:val="en-US" w:eastAsia="zh-CN"/>
              </w:rPr>
              <w:t>结算</w:t>
            </w:r>
            <w:r>
              <w:rPr>
                <w:rFonts w:hint="eastAsia" w:hAnsi="宋体"/>
                <w:color w:val="auto"/>
                <w:sz w:val="20"/>
              </w:rPr>
              <w:t>审定金额的3</w:t>
            </w:r>
            <w:r>
              <w:rPr>
                <w:color w:val="auto"/>
                <w:sz w:val="20"/>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67" w:hRule="exact"/>
          <w:tblHeader/>
          <w:jc w:val="center"/>
        </w:trPr>
        <w:tc>
          <w:tcPr>
            <w:tcW w:w="729" w:type="dxa"/>
            <w:noWrap w:val="0"/>
            <w:vAlign w:val="center"/>
          </w:tcPr>
          <w:p>
            <w:pPr>
              <w:jc w:val="center"/>
              <w:rPr>
                <w:color w:val="auto"/>
                <w:sz w:val="20"/>
              </w:rPr>
            </w:pPr>
            <w:r>
              <w:rPr>
                <w:color w:val="auto"/>
                <w:sz w:val="20"/>
              </w:rPr>
              <w:t>22</w:t>
            </w:r>
          </w:p>
        </w:tc>
        <w:tc>
          <w:tcPr>
            <w:tcW w:w="1484" w:type="dxa"/>
            <w:noWrap w:val="0"/>
            <w:vAlign w:val="center"/>
          </w:tcPr>
          <w:p>
            <w:pPr>
              <w:jc w:val="center"/>
              <w:rPr>
                <w:color w:val="auto"/>
                <w:sz w:val="20"/>
              </w:rPr>
            </w:pPr>
            <w:r>
              <w:rPr>
                <w:color w:val="auto"/>
                <w:sz w:val="20"/>
              </w:rPr>
              <w:t>17.5.1</w:t>
            </w:r>
          </w:p>
        </w:tc>
        <w:tc>
          <w:tcPr>
            <w:tcW w:w="7426" w:type="dxa"/>
            <w:noWrap w:val="0"/>
            <w:vAlign w:val="center"/>
          </w:tcPr>
          <w:p>
            <w:pPr>
              <w:rPr>
                <w:color w:val="auto"/>
                <w:sz w:val="20"/>
              </w:rPr>
            </w:pPr>
            <w:r>
              <w:rPr>
                <w:rFonts w:hint="eastAsia" w:hAnsi="宋体"/>
                <w:color w:val="auto"/>
                <w:sz w:val="20"/>
              </w:rPr>
              <w:t>承包人向监理人提交竣（交）工付款申请单（包括相关证明材料）的份数：</w:t>
            </w:r>
            <w:r>
              <w:rPr>
                <w:color w:val="auto"/>
                <w:sz w:val="20"/>
                <w:u w:val="single"/>
              </w:rPr>
              <w:t xml:space="preserve">  3  </w:t>
            </w:r>
            <w:r>
              <w:rPr>
                <w:rFonts w:hint="eastAsia" w:hAnsi="宋体"/>
                <w:color w:val="auto"/>
                <w:sz w:val="20"/>
              </w:rPr>
              <w:t>份</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67" w:hRule="exact"/>
          <w:tblHeader/>
          <w:jc w:val="center"/>
        </w:trPr>
        <w:tc>
          <w:tcPr>
            <w:tcW w:w="729" w:type="dxa"/>
            <w:noWrap w:val="0"/>
            <w:vAlign w:val="center"/>
          </w:tcPr>
          <w:p>
            <w:pPr>
              <w:jc w:val="center"/>
              <w:rPr>
                <w:color w:val="auto"/>
                <w:sz w:val="20"/>
              </w:rPr>
            </w:pPr>
            <w:r>
              <w:rPr>
                <w:color w:val="auto"/>
                <w:sz w:val="20"/>
              </w:rPr>
              <w:t>23</w:t>
            </w:r>
          </w:p>
        </w:tc>
        <w:tc>
          <w:tcPr>
            <w:tcW w:w="1484" w:type="dxa"/>
            <w:noWrap w:val="0"/>
            <w:vAlign w:val="center"/>
          </w:tcPr>
          <w:p>
            <w:pPr>
              <w:jc w:val="center"/>
              <w:rPr>
                <w:color w:val="auto"/>
                <w:sz w:val="20"/>
              </w:rPr>
            </w:pPr>
            <w:r>
              <w:rPr>
                <w:color w:val="auto"/>
                <w:sz w:val="20"/>
              </w:rPr>
              <w:t>17.6.1</w:t>
            </w:r>
          </w:p>
        </w:tc>
        <w:tc>
          <w:tcPr>
            <w:tcW w:w="7426" w:type="dxa"/>
            <w:noWrap w:val="0"/>
            <w:vAlign w:val="center"/>
          </w:tcPr>
          <w:p>
            <w:pPr>
              <w:rPr>
                <w:color w:val="auto"/>
                <w:sz w:val="20"/>
              </w:rPr>
            </w:pPr>
            <w:r>
              <w:rPr>
                <w:rFonts w:hint="eastAsia" w:hAnsi="宋体"/>
                <w:color w:val="auto"/>
                <w:sz w:val="20"/>
              </w:rPr>
              <w:t>承包人向监理人提交最终结清申请单（包括相关证明材料）的份数：</w:t>
            </w:r>
            <w:r>
              <w:rPr>
                <w:color w:val="auto"/>
                <w:sz w:val="20"/>
                <w:u w:val="single"/>
              </w:rPr>
              <w:t xml:space="preserve">   3  </w:t>
            </w:r>
            <w:r>
              <w:rPr>
                <w:rFonts w:hint="eastAsia" w:hAnsi="宋体"/>
                <w:color w:val="auto"/>
                <w:sz w:val="20"/>
              </w:rPr>
              <w:t>份</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67" w:hRule="exact"/>
          <w:tblHeader/>
          <w:jc w:val="center"/>
        </w:trPr>
        <w:tc>
          <w:tcPr>
            <w:tcW w:w="729" w:type="dxa"/>
            <w:noWrap w:val="0"/>
            <w:vAlign w:val="center"/>
          </w:tcPr>
          <w:p>
            <w:pPr>
              <w:jc w:val="center"/>
              <w:rPr>
                <w:color w:val="auto"/>
                <w:sz w:val="20"/>
              </w:rPr>
            </w:pPr>
            <w:r>
              <w:rPr>
                <w:color w:val="auto"/>
                <w:sz w:val="20"/>
              </w:rPr>
              <w:t>24</w:t>
            </w:r>
          </w:p>
        </w:tc>
        <w:tc>
          <w:tcPr>
            <w:tcW w:w="1484" w:type="dxa"/>
            <w:noWrap w:val="0"/>
            <w:vAlign w:val="center"/>
          </w:tcPr>
          <w:p>
            <w:pPr>
              <w:jc w:val="center"/>
              <w:rPr>
                <w:color w:val="auto"/>
                <w:sz w:val="20"/>
              </w:rPr>
            </w:pPr>
            <w:r>
              <w:rPr>
                <w:color w:val="auto"/>
                <w:sz w:val="20"/>
              </w:rPr>
              <w:t>18.2</w:t>
            </w:r>
          </w:p>
        </w:tc>
        <w:tc>
          <w:tcPr>
            <w:tcW w:w="7426" w:type="dxa"/>
            <w:noWrap w:val="0"/>
            <w:vAlign w:val="center"/>
          </w:tcPr>
          <w:p>
            <w:pPr>
              <w:rPr>
                <w:color w:val="auto"/>
                <w:sz w:val="20"/>
              </w:rPr>
            </w:pPr>
            <w:r>
              <w:rPr>
                <w:rFonts w:hint="eastAsia" w:hAnsi="宋体"/>
                <w:color w:val="auto"/>
                <w:sz w:val="20"/>
              </w:rPr>
              <w:t>竣工资料的份数：</w:t>
            </w:r>
            <w:r>
              <w:rPr>
                <w:color w:val="auto"/>
                <w:sz w:val="20"/>
                <w:u w:val="single"/>
              </w:rPr>
              <w:t xml:space="preserve"> 4</w:t>
            </w:r>
            <w:r>
              <w:rPr>
                <w:rFonts w:hint="eastAsia" w:hAnsi="宋体"/>
                <w:color w:val="auto"/>
                <w:sz w:val="20"/>
              </w:rPr>
              <w:t>份</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1134" w:hRule="exact"/>
          <w:tblHeader/>
          <w:jc w:val="center"/>
        </w:trPr>
        <w:tc>
          <w:tcPr>
            <w:tcW w:w="729" w:type="dxa"/>
            <w:noWrap w:val="0"/>
            <w:vAlign w:val="center"/>
          </w:tcPr>
          <w:p>
            <w:pPr>
              <w:jc w:val="center"/>
              <w:rPr>
                <w:color w:val="auto"/>
                <w:sz w:val="20"/>
              </w:rPr>
            </w:pPr>
            <w:r>
              <w:rPr>
                <w:color w:val="auto"/>
                <w:sz w:val="20"/>
              </w:rPr>
              <w:t>25</w:t>
            </w:r>
          </w:p>
        </w:tc>
        <w:tc>
          <w:tcPr>
            <w:tcW w:w="1484" w:type="dxa"/>
            <w:noWrap w:val="0"/>
            <w:vAlign w:val="center"/>
          </w:tcPr>
          <w:p>
            <w:pPr>
              <w:jc w:val="center"/>
              <w:rPr>
                <w:color w:val="auto"/>
                <w:sz w:val="20"/>
              </w:rPr>
            </w:pPr>
            <w:r>
              <w:rPr>
                <w:color w:val="auto"/>
                <w:sz w:val="20"/>
              </w:rPr>
              <w:t>18.5.1</w:t>
            </w:r>
          </w:p>
        </w:tc>
        <w:tc>
          <w:tcPr>
            <w:tcW w:w="7426" w:type="dxa"/>
            <w:noWrap w:val="0"/>
            <w:vAlign w:val="center"/>
          </w:tcPr>
          <w:p>
            <w:pPr>
              <w:rPr>
                <w:color w:val="auto"/>
                <w:sz w:val="20"/>
                <w:u w:val="single"/>
              </w:rPr>
            </w:pPr>
            <w:r>
              <w:rPr>
                <w:rFonts w:hint="eastAsia" w:hAnsi="宋体"/>
                <w:color w:val="auto"/>
                <w:sz w:val="20"/>
              </w:rPr>
              <w:t>单位工程或工程设备是否需投入施工期运行：</w:t>
            </w:r>
            <w:r>
              <w:rPr>
                <w:rFonts w:hint="eastAsia" w:hAnsi="宋体"/>
                <w:color w:val="auto"/>
                <w:sz w:val="20"/>
                <w:u w:val="single"/>
              </w:rPr>
              <w:t>否</w:t>
            </w:r>
          </w:p>
          <w:p>
            <w:pPr>
              <w:rPr>
                <w:color w:val="auto"/>
                <w:sz w:val="20"/>
              </w:rPr>
            </w:pPr>
            <w:r>
              <w:rPr>
                <w:rFonts w:hint="eastAsia" w:hAnsi="宋体"/>
                <w:color w:val="auto"/>
                <w:sz w:val="20"/>
              </w:rPr>
              <w:t>如单位工程或工程设备需要进行施工期运行，需要施工期运行的单位工程或工程设备规定如下：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1134" w:hRule="exact"/>
          <w:tblHeader/>
          <w:jc w:val="center"/>
        </w:trPr>
        <w:tc>
          <w:tcPr>
            <w:tcW w:w="729" w:type="dxa"/>
            <w:noWrap w:val="0"/>
            <w:vAlign w:val="center"/>
          </w:tcPr>
          <w:p>
            <w:pPr>
              <w:jc w:val="center"/>
              <w:rPr>
                <w:color w:val="auto"/>
                <w:sz w:val="20"/>
              </w:rPr>
            </w:pPr>
            <w:r>
              <w:rPr>
                <w:color w:val="auto"/>
                <w:sz w:val="20"/>
              </w:rPr>
              <w:t>26</w:t>
            </w:r>
          </w:p>
        </w:tc>
        <w:tc>
          <w:tcPr>
            <w:tcW w:w="1484" w:type="dxa"/>
            <w:noWrap w:val="0"/>
            <w:vAlign w:val="center"/>
          </w:tcPr>
          <w:p>
            <w:pPr>
              <w:jc w:val="center"/>
              <w:rPr>
                <w:color w:val="auto"/>
                <w:sz w:val="20"/>
              </w:rPr>
            </w:pPr>
            <w:r>
              <w:rPr>
                <w:color w:val="auto"/>
                <w:sz w:val="20"/>
              </w:rPr>
              <w:t>18.6.1</w:t>
            </w:r>
          </w:p>
        </w:tc>
        <w:tc>
          <w:tcPr>
            <w:tcW w:w="7426" w:type="dxa"/>
            <w:noWrap w:val="0"/>
            <w:vAlign w:val="center"/>
          </w:tcPr>
          <w:p>
            <w:pPr>
              <w:rPr>
                <w:color w:val="auto"/>
                <w:sz w:val="20"/>
                <w:u w:val="single"/>
              </w:rPr>
            </w:pPr>
            <w:r>
              <w:rPr>
                <w:rFonts w:hint="eastAsia" w:hAnsi="宋体"/>
                <w:color w:val="auto"/>
                <w:sz w:val="20"/>
              </w:rPr>
              <w:t>本工程及工程设备是否进行试运行：</w:t>
            </w:r>
            <w:r>
              <w:rPr>
                <w:rFonts w:hint="eastAsia" w:hAnsi="宋体"/>
                <w:color w:val="auto"/>
                <w:sz w:val="20"/>
                <w:u w:val="single"/>
              </w:rPr>
              <w:t>否</w:t>
            </w:r>
          </w:p>
          <w:p>
            <w:pPr>
              <w:rPr>
                <w:color w:val="auto"/>
                <w:sz w:val="20"/>
              </w:rPr>
            </w:pPr>
            <w:r>
              <w:rPr>
                <w:rFonts w:hint="eastAsia" w:hAnsi="宋体"/>
                <w:color w:val="auto"/>
                <w:sz w:val="20"/>
              </w:rPr>
              <w:t>如本工程及工程设备需要进行试运行，试运行的具体规定如下：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67" w:hRule="exact"/>
          <w:tblHeader/>
          <w:jc w:val="center"/>
        </w:trPr>
        <w:tc>
          <w:tcPr>
            <w:tcW w:w="729" w:type="dxa"/>
            <w:noWrap w:val="0"/>
            <w:vAlign w:val="center"/>
          </w:tcPr>
          <w:p>
            <w:pPr>
              <w:jc w:val="center"/>
              <w:rPr>
                <w:color w:val="auto"/>
                <w:sz w:val="20"/>
              </w:rPr>
            </w:pPr>
            <w:r>
              <w:rPr>
                <w:color w:val="auto"/>
                <w:sz w:val="20"/>
              </w:rPr>
              <w:t>27</w:t>
            </w:r>
          </w:p>
        </w:tc>
        <w:tc>
          <w:tcPr>
            <w:tcW w:w="1484" w:type="dxa"/>
            <w:noWrap w:val="0"/>
            <w:vAlign w:val="center"/>
          </w:tcPr>
          <w:p>
            <w:pPr>
              <w:jc w:val="center"/>
              <w:rPr>
                <w:color w:val="auto"/>
                <w:sz w:val="20"/>
              </w:rPr>
            </w:pPr>
            <w:r>
              <w:rPr>
                <w:color w:val="auto"/>
                <w:sz w:val="20"/>
              </w:rPr>
              <w:t>19.7</w:t>
            </w:r>
          </w:p>
        </w:tc>
        <w:tc>
          <w:tcPr>
            <w:tcW w:w="7426" w:type="dxa"/>
            <w:noWrap w:val="0"/>
            <w:vAlign w:val="center"/>
          </w:tcPr>
          <w:p>
            <w:pPr>
              <w:rPr>
                <w:color w:val="auto"/>
                <w:sz w:val="20"/>
              </w:rPr>
            </w:pPr>
            <w:r>
              <w:rPr>
                <w:rFonts w:hint="eastAsia" w:hAnsi="宋体"/>
                <w:color w:val="auto"/>
                <w:sz w:val="20"/>
              </w:rPr>
              <w:t>保修期：竣工验收合格之日</w:t>
            </w:r>
            <w:r>
              <w:rPr>
                <w:rFonts w:hAnsi="宋体"/>
                <w:color w:val="auto"/>
                <w:sz w:val="20"/>
              </w:rPr>
              <w:t>起计算</w:t>
            </w:r>
            <w:r>
              <w:rPr>
                <w:color w:val="auto"/>
                <w:sz w:val="20"/>
                <w:u w:val="single"/>
              </w:rPr>
              <w:t xml:space="preserve"> </w:t>
            </w:r>
            <w:r>
              <w:rPr>
                <w:rFonts w:hint="eastAsia"/>
                <w:color w:val="auto"/>
                <w:sz w:val="20"/>
                <w:u w:val="single"/>
                <w:lang w:val="en-US" w:eastAsia="zh-CN"/>
              </w:rPr>
              <w:t>2</w:t>
            </w:r>
            <w:r>
              <w:rPr>
                <w:color w:val="auto"/>
                <w:sz w:val="20"/>
                <w:u w:val="single"/>
              </w:rPr>
              <w:t xml:space="preserve"> </w:t>
            </w:r>
            <w:r>
              <w:rPr>
                <w:rFonts w:hAnsi="宋体"/>
                <w:color w:val="auto"/>
                <w:sz w:val="20"/>
              </w:rPr>
              <w:t>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851" w:hRule="exact"/>
          <w:tblHeader/>
          <w:jc w:val="center"/>
        </w:trPr>
        <w:tc>
          <w:tcPr>
            <w:tcW w:w="729" w:type="dxa"/>
            <w:noWrap w:val="0"/>
            <w:vAlign w:val="center"/>
          </w:tcPr>
          <w:p>
            <w:pPr>
              <w:jc w:val="center"/>
              <w:rPr>
                <w:color w:val="auto"/>
                <w:sz w:val="20"/>
              </w:rPr>
            </w:pPr>
            <w:r>
              <w:rPr>
                <w:color w:val="auto"/>
                <w:sz w:val="20"/>
              </w:rPr>
              <w:t>28</w:t>
            </w:r>
          </w:p>
        </w:tc>
        <w:tc>
          <w:tcPr>
            <w:tcW w:w="1484" w:type="dxa"/>
            <w:noWrap w:val="0"/>
            <w:vAlign w:val="center"/>
          </w:tcPr>
          <w:p>
            <w:pPr>
              <w:jc w:val="center"/>
              <w:rPr>
                <w:color w:val="auto"/>
                <w:sz w:val="20"/>
              </w:rPr>
            </w:pPr>
            <w:r>
              <w:rPr>
                <w:color w:val="auto"/>
                <w:sz w:val="20"/>
              </w:rPr>
              <w:t>24.1</w:t>
            </w:r>
          </w:p>
        </w:tc>
        <w:tc>
          <w:tcPr>
            <w:tcW w:w="7426" w:type="dxa"/>
            <w:noWrap w:val="0"/>
            <w:vAlign w:val="center"/>
          </w:tcPr>
          <w:p>
            <w:pPr>
              <w:rPr>
                <w:color w:val="auto"/>
                <w:sz w:val="20"/>
                <w:u w:val="single"/>
              </w:rPr>
            </w:pPr>
            <w:r>
              <w:rPr>
                <w:rFonts w:hint="eastAsia" w:hAnsi="宋体"/>
                <w:color w:val="auto"/>
                <w:sz w:val="20"/>
              </w:rPr>
              <w:t>争议的最终解决方式：向重庆市铜梁区人民法院起诉</w:t>
            </w:r>
          </w:p>
        </w:tc>
      </w:tr>
    </w:tbl>
    <w:p>
      <w:pPr>
        <w:pStyle w:val="5"/>
        <w:snapToGrid w:val="0"/>
        <w:spacing w:before="156" w:beforeLines="50" w:after="0" w:line="360" w:lineRule="auto"/>
        <w:rPr>
          <w:snapToGrid w:val="0"/>
          <w:color w:val="auto"/>
          <w:sz w:val="28"/>
          <w:szCs w:val="24"/>
        </w:rPr>
      </w:pPr>
      <w:r>
        <w:rPr>
          <w:rFonts w:ascii="宋体" w:cs="仿宋"/>
          <w:snapToGrid w:val="0"/>
          <w:color w:val="auto"/>
        </w:rPr>
        <w:br w:type="page"/>
      </w:r>
      <w:bookmarkStart w:id="867" w:name="_Toc2942"/>
      <w:bookmarkStart w:id="868" w:name="_Toc480790558"/>
      <w:bookmarkStart w:id="869" w:name="_Toc325910649"/>
      <w:r>
        <w:rPr>
          <w:rFonts w:hint="eastAsia" w:hAnsi="宋体"/>
          <w:snapToGrid w:val="0"/>
          <w:color w:val="auto"/>
          <w:sz w:val="24"/>
          <w:szCs w:val="24"/>
        </w:rPr>
        <w:t>附件一：安全生产合同</w:t>
      </w:r>
      <w:bookmarkEnd w:id="867"/>
      <w:bookmarkEnd w:id="868"/>
    </w:p>
    <w:p>
      <w:pPr>
        <w:jc w:val="center"/>
        <w:rPr>
          <w:rFonts w:hint="eastAsia" w:hAnsi="宋体"/>
          <w:color w:val="auto"/>
          <w:sz w:val="32"/>
          <w:szCs w:val="32"/>
        </w:rPr>
      </w:pPr>
      <w:r>
        <w:rPr>
          <w:rFonts w:hint="eastAsia" w:hAnsi="宋体"/>
          <w:b/>
          <w:color w:val="auto"/>
          <w:sz w:val="32"/>
          <w:szCs w:val="32"/>
        </w:rPr>
        <w:t>安全生产合同</w:t>
      </w:r>
    </w:p>
    <w:p>
      <w:pPr>
        <w:spacing w:line="440" w:lineRule="exact"/>
        <w:ind w:firstLine="482"/>
        <w:rPr>
          <w:color w:val="auto"/>
          <w:szCs w:val="21"/>
        </w:rPr>
      </w:pPr>
      <w:r>
        <w:rPr>
          <w:rFonts w:hint="eastAsia" w:hAnsi="宋体"/>
          <w:color w:val="auto"/>
          <w:szCs w:val="21"/>
        </w:rPr>
        <w:t>为</w:t>
      </w:r>
      <w:r>
        <w:rPr>
          <w:rFonts w:hint="eastAsia" w:hAnsi="宋体"/>
          <w:b/>
          <w:bCs/>
          <w:color w:val="auto"/>
          <w:szCs w:val="21"/>
          <w:u w:val="single"/>
          <w:lang w:eastAsia="zh-CN"/>
        </w:rPr>
        <w:t>2025年度福果镇农村公路护栏建设项目</w:t>
      </w:r>
      <w:r>
        <w:rPr>
          <w:rFonts w:hint="eastAsia" w:hAnsi="宋体"/>
          <w:color w:val="auto"/>
          <w:szCs w:val="21"/>
          <w:u w:val="single"/>
        </w:rPr>
        <w:t xml:space="preserve"> </w:t>
      </w:r>
      <w:r>
        <w:rPr>
          <w:rFonts w:hint="eastAsia" w:hAnsi="宋体"/>
          <w:color w:val="auto"/>
          <w:szCs w:val="21"/>
        </w:rPr>
        <w:t>施工合同的实施过程中创造安全、高效的施工环境，切实搞好本项目的安全管理工作，本项目发包人</w:t>
      </w:r>
      <w:bookmarkStart w:id="870" w:name="_Toc330980504"/>
      <w:r>
        <w:rPr>
          <w:rFonts w:hint="eastAsia"/>
          <w:color w:val="auto"/>
          <w:szCs w:val="21"/>
          <w:u w:val="single"/>
          <w:lang w:eastAsia="zh-CN"/>
        </w:rPr>
        <w:t>重庆市铜梁区福果镇人民政府</w:t>
      </w:r>
      <w:r>
        <w:rPr>
          <w:rFonts w:hint="eastAsia" w:hAnsi="宋体"/>
          <w:color w:val="auto"/>
          <w:szCs w:val="21"/>
        </w:rPr>
        <w:t>（发包人名称，以下简称</w:t>
      </w:r>
      <w:r>
        <w:rPr>
          <w:rFonts w:hint="eastAsia" w:ascii="宋体" w:hAnsi="宋体" w:cs="宋体"/>
          <w:color w:val="auto"/>
          <w:szCs w:val="21"/>
        </w:rPr>
        <w:t>“</w:t>
      </w:r>
      <w:r>
        <w:rPr>
          <w:rFonts w:hint="eastAsia" w:hAnsi="宋体"/>
          <w:color w:val="auto"/>
          <w:szCs w:val="21"/>
        </w:rPr>
        <w:t>发包人</w:t>
      </w:r>
      <w:r>
        <w:rPr>
          <w:rFonts w:hint="eastAsia" w:ascii="宋体" w:hAnsi="宋体" w:cs="宋体"/>
          <w:color w:val="auto"/>
          <w:szCs w:val="21"/>
        </w:rPr>
        <w:t>”</w:t>
      </w:r>
      <w:r>
        <w:rPr>
          <w:rFonts w:hint="eastAsia" w:hAnsi="宋体"/>
          <w:color w:val="auto"/>
          <w:szCs w:val="21"/>
        </w:rPr>
        <w:t>）与承包人</w:t>
      </w:r>
      <w:r>
        <w:rPr>
          <w:color w:val="auto"/>
          <w:szCs w:val="21"/>
          <w:u w:val="single"/>
        </w:rPr>
        <w:t xml:space="preserve">          </w:t>
      </w:r>
      <w:r>
        <w:rPr>
          <w:rFonts w:hint="eastAsia" w:hAnsi="宋体"/>
          <w:color w:val="auto"/>
          <w:szCs w:val="21"/>
        </w:rPr>
        <w:t>（承包人名称，以下简称</w:t>
      </w:r>
      <w:r>
        <w:rPr>
          <w:rFonts w:hint="eastAsia" w:ascii="宋体" w:hAnsi="宋体" w:cs="宋体"/>
          <w:color w:val="auto"/>
          <w:szCs w:val="21"/>
        </w:rPr>
        <w:t>“</w:t>
      </w:r>
      <w:r>
        <w:rPr>
          <w:rFonts w:hint="eastAsia" w:hAnsi="宋体"/>
          <w:color w:val="auto"/>
          <w:szCs w:val="21"/>
        </w:rPr>
        <w:t>承包人</w:t>
      </w:r>
      <w:r>
        <w:rPr>
          <w:rFonts w:hint="eastAsia" w:ascii="宋体" w:hAnsi="宋体" w:cs="宋体"/>
          <w:color w:val="auto"/>
          <w:szCs w:val="21"/>
        </w:rPr>
        <w:t>”</w:t>
      </w:r>
      <w:r>
        <w:rPr>
          <w:rFonts w:hint="eastAsia" w:hAnsi="宋体"/>
          <w:color w:val="auto"/>
          <w:szCs w:val="21"/>
        </w:rPr>
        <w:t>）特此签订安全生产合同：</w:t>
      </w:r>
    </w:p>
    <w:p>
      <w:pPr>
        <w:spacing w:line="440" w:lineRule="exact"/>
        <w:ind w:firstLine="482"/>
        <w:rPr>
          <w:color w:val="auto"/>
          <w:szCs w:val="21"/>
        </w:rPr>
      </w:pPr>
      <w:r>
        <w:rPr>
          <w:color w:val="auto"/>
          <w:szCs w:val="21"/>
        </w:rPr>
        <w:t>1</w:t>
      </w:r>
      <w:r>
        <w:rPr>
          <w:rFonts w:hint="eastAsia" w:ascii="宋体" w:hAnsi="宋体" w:cs="宋体"/>
          <w:color w:val="auto"/>
          <w:szCs w:val="21"/>
        </w:rPr>
        <w:t>.</w:t>
      </w:r>
      <w:r>
        <w:rPr>
          <w:rFonts w:hint="eastAsia" w:hAnsi="宋体"/>
          <w:color w:val="auto"/>
          <w:szCs w:val="21"/>
        </w:rPr>
        <w:t>发包人职责</w:t>
      </w:r>
      <w:bookmarkEnd w:id="870"/>
    </w:p>
    <w:p>
      <w:pPr>
        <w:spacing w:line="440" w:lineRule="exact"/>
        <w:ind w:firstLine="482"/>
        <w:rPr>
          <w:color w:val="auto"/>
          <w:szCs w:val="21"/>
        </w:rPr>
      </w:pPr>
      <w:r>
        <w:rPr>
          <w:rFonts w:hint="eastAsia" w:hAnsi="宋体"/>
          <w:color w:val="auto"/>
          <w:szCs w:val="21"/>
        </w:rPr>
        <w:t>（</w:t>
      </w:r>
      <w:r>
        <w:rPr>
          <w:color w:val="auto"/>
          <w:szCs w:val="21"/>
        </w:rPr>
        <w:t>1</w:t>
      </w:r>
      <w:r>
        <w:rPr>
          <w:rFonts w:hint="eastAsia" w:hAnsi="宋体"/>
          <w:color w:val="auto"/>
          <w:szCs w:val="21"/>
        </w:rPr>
        <w:t>）严格遵守国家有关安全生产的法律法规，认真执行工程承包合同中的有关安全要求。</w:t>
      </w:r>
    </w:p>
    <w:p>
      <w:pPr>
        <w:spacing w:line="440" w:lineRule="exact"/>
        <w:ind w:firstLine="482"/>
        <w:rPr>
          <w:color w:val="auto"/>
          <w:szCs w:val="21"/>
        </w:rPr>
      </w:pPr>
      <w:r>
        <w:rPr>
          <w:rFonts w:hint="eastAsia" w:hAnsi="宋体"/>
          <w:color w:val="auto"/>
          <w:szCs w:val="21"/>
        </w:rPr>
        <w:t>（</w:t>
      </w:r>
      <w:r>
        <w:rPr>
          <w:color w:val="auto"/>
          <w:szCs w:val="21"/>
        </w:rPr>
        <w:t>2</w:t>
      </w:r>
      <w:r>
        <w:rPr>
          <w:rFonts w:hint="eastAsia" w:hAnsi="宋体"/>
          <w:color w:val="auto"/>
          <w:szCs w:val="21"/>
        </w:rPr>
        <w:t>）按照</w:t>
      </w:r>
      <w:r>
        <w:rPr>
          <w:color w:val="auto"/>
          <w:szCs w:val="21"/>
        </w:rPr>
        <w:t>“</w:t>
      </w:r>
      <w:r>
        <w:rPr>
          <w:rFonts w:hint="eastAsia" w:hAnsi="宋体"/>
          <w:color w:val="auto"/>
          <w:szCs w:val="21"/>
        </w:rPr>
        <w:t>安全第一、预防为主</w:t>
      </w:r>
      <w:r>
        <w:rPr>
          <w:color w:val="auto"/>
          <w:szCs w:val="21"/>
        </w:rPr>
        <w:t>”</w:t>
      </w:r>
      <w:r>
        <w:rPr>
          <w:rFonts w:hint="eastAsia" w:hAnsi="宋体"/>
          <w:color w:val="auto"/>
          <w:szCs w:val="21"/>
        </w:rPr>
        <w:t>和坚持</w:t>
      </w:r>
      <w:r>
        <w:rPr>
          <w:color w:val="auto"/>
          <w:szCs w:val="21"/>
        </w:rPr>
        <w:t>“</w:t>
      </w:r>
      <w:r>
        <w:rPr>
          <w:rFonts w:hint="eastAsia" w:hAnsi="宋体"/>
          <w:color w:val="auto"/>
          <w:szCs w:val="21"/>
        </w:rPr>
        <w:t>管生产必须管安全</w:t>
      </w:r>
      <w:r>
        <w:rPr>
          <w:color w:val="auto"/>
          <w:szCs w:val="21"/>
        </w:rPr>
        <w:t>”</w:t>
      </w:r>
      <w:r>
        <w:rPr>
          <w:rFonts w:hint="eastAsia" w:hAnsi="宋体"/>
          <w:color w:val="auto"/>
          <w:szCs w:val="21"/>
        </w:rPr>
        <w:t>的原则进行安全生产管理，做到生产与安全工作同时计划、布置、检查、总结和评比。</w:t>
      </w:r>
    </w:p>
    <w:p>
      <w:pPr>
        <w:spacing w:line="440" w:lineRule="exact"/>
        <w:ind w:firstLine="482"/>
        <w:rPr>
          <w:color w:val="auto"/>
          <w:szCs w:val="21"/>
        </w:rPr>
      </w:pPr>
      <w:r>
        <w:rPr>
          <w:rFonts w:hint="eastAsia" w:hAnsi="宋体"/>
          <w:color w:val="auto"/>
          <w:szCs w:val="21"/>
        </w:rPr>
        <w:t>（</w:t>
      </w:r>
      <w:r>
        <w:rPr>
          <w:color w:val="auto"/>
          <w:szCs w:val="21"/>
        </w:rPr>
        <w:t>3</w:t>
      </w:r>
      <w:r>
        <w:rPr>
          <w:rFonts w:hint="eastAsia" w:hAnsi="宋体"/>
          <w:color w:val="auto"/>
          <w:szCs w:val="21"/>
        </w:rPr>
        <w:t>）重要的安全设施必须坚持与主体工程</w:t>
      </w:r>
      <w:r>
        <w:rPr>
          <w:color w:val="auto"/>
          <w:szCs w:val="21"/>
        </w:rPr>
        <w:t>“</w:t>
      </w:r>
      <w:r>
        <w:rPr>
          <w:rFonts w:hint="eastAsia" w:hAnsi="宋体"/>
          <w:color w:val="auto"/>
          <w:szCs w:val="21"/>
        </w:rPr>
        <w:t>三同时</w:t>
      </w:r>
      <w:r>
        <w:rPr>
          <w:color w:val="auto"/>
          <w:szCs w:val="21"/>
        </w:rPr>
        <w:t>”</w:t>
      </w:r>
      <w:r>
        <w:rPr>
          <w:rFonts w:hint="eastAsia" w:hAnsi="宋体"/>
          <w:color w:val="auto"/>
          <w:szCs w:val="21"/>
        </w:rPr>
        <w:t>的原则，即：同时设计、审批，同时施工，同时验收，投入使用。</w:t>
      </w:r>
    </w:p>
    <w:p>
      <w:pPr>
        <w:spacing w:line="360" w:lineRule="auto"/>
        <w:ind w:firstLine="482"/>
        <w:rPr>
          <w:color w:val="auto"/>
          <w:szCs w:val="21"/>
        </w:rPr>
      </w:pPr>
      <w:r>
        <w:rPr>
          <w:rFonts w:hint="eastAsia" w:hAnsi="宋体"/>
          <w:color w:val="auto"/>
          <w:szCs w:val="21"/>
        </w:rPr>
        <w:t>（</w:t>
      </w:r>
      <w:r>
        <w:rPr>
          <w:color w:val="auto"/>
          <w:szCs w:val="21"/>
        </w:rPr>
        <w:t>4</w:t>
      </w:r>
      <w:r>
        <w:rPr>
          <w:rFonts w:hint="eastAsia" w:hAnsi="宋体"/>
          <w:color w:val="auto"/>
          <w:szCs w:val="21"/>
        </w:rPr>
        <w:t>）定期召开安全生产调度会，及时传达</w:t>
      </w:r>
      <w:r>
        <w:rPr>
          <w:rFonts w:hint="eastAsia" w:hAnsi="宋体"/>
          <w:color w:val="auto"/>
          <w:szCs w:val="21"/>
          <w:lang w:eastAsia="zh-CN"/>
        </w:rPr>
        <w:t>中央和地方</w:t>
      </w:r>
      <w:r>
        <w:rPr>
          <w:rFonts w:hint="eastAsia" w:hAnsi="宋体"/>
          <w:color w:val="auto"/>
          <w:szCs w:val="21"/>
        </w:rPr>
        <w:t>有关安全生产的精神。</w:t>
      </w:r>
    </w:p>
    <w:p>
      <w:pPr>
        <w:spacing w:line="360" w:lineRule="auto"/>
        <w:ind w:firstLine="482"/>
        <w:rPr>
          <w:color w:val="auto"/>
          <w:szCs w:val="21"/>
        </w:rPr>
      </w:pPr>
      <w:r>
        <w:rPr>
          <w:rFonts w:hint="eastAsia" w:hAnsi="宋体"/>
          <w:color w:val="auto"/>
          <w:szCs w:val="21"/>
        </w:rPr>
        <w:t>（</w:t>
      </w:r>
      <w:r>
        <w:rPr>
          <w:color w:val="auto"/>
          <w:szCs w:val="21"/>
        </w:rPr>
        <w:t>5</w:t>
      </w:r>
      <w:r>
        <w:rPr>
          <w:rFonts w:hint="eastAsia" w:hAnsi="宋体"/>
          <w:color w:val="auto"/>
          <w:szCs w:val="21"/>
        </w:rPr>
        <w:t>）组织对承包人施工现场进行安全生产检查，监督承包人及时处理发现的各种安全隐患。</w:t>
      </w:r>
    </w:p>
    <w:p>
      <w:pPr>
        <w:pStyle w:val="269"/>
        <w:spacing w:line="360" w:lineRule="auto"/>
        <w:rPr>
          <w:color w:val="auto"/>
          <w:szCs w:val="21"/>
        </w:rPr>
      </w:pPr>
      <w:bookmarkStart w:id="871" w:name="_Toc330980505"/>
      <w:bookmarkStart w:id="872" w:name="_Toc333404566"/>
      <w:r>
        <w:rPr>
          <w:color w:val="auto"/>
          <w:szCs w:val="21"/>
        </w:rPr>
        <w:t xml:space="preserve">      </w:t>
      </w:r>
      <w:r>
        <w:rPr>
          <w:rFonts w:hint="eastAsia" w:ascii="宋体" w:hAnsi="宋体" w:cs="宋体"/>
          <w:color w:val="auto"/>
          <w:szCs w:val="21"/>
        </w:rPr>
        <w:t>2.</w:t>
      </w:r>
      <w:r>
        <w:rPr>
          <w:rFonts w:hint="eastAsia" w:hAnsi="宋体"/>
          <w:color w:val="auto"/>
          <w:szCs w:val="21"/>
        </w:rPr>
        <w:t>承包人职责</w:t>
      </w:r>
      <w:bookmarkEnd w:id="871"/>
      <w:bookmarkEnd w:id="872"/>
    </w:p>
    <w:p>
      <w:pPr>
        <w:spacing w:line="440" w:lineRule="exact"/>
        <w:ind w:firstLine="482"/>
        <w:rPr>
          <w:color w:val="auto"/>
          <w:szCs w:val="21"/>
        </w:rPr>
      </w:pPr>
      <w:r>
        <w:rPr>
          <w:rFonts w:hint="eastAsia" w:hAnsi="宋体"/>
          <w:color w:val="auto"/>
          <w:szCs w:val="21"/>
        </w:rPr>
        <w:t>（</w:t>
      </w:r>
      <w:r>
        <w:rPr>
          <w:color w:val="auto"/>
          <w:szCs w:val="21"/>
        </w:rPr>
        <w:t>1</w:t>
      </w:r>
      <w:r>
        <w:rPr>
          <w:rFonts w:hint="eastAsia" w:hAnsi="宋体"/>
          <w:color w:val="auto"/>
          <w:szCs w:val="21"/>
        </w:rPr>
        <w:t>）严格遵守《中华人民共和国安全生产法》、《建设工程安全生产管理条例》等国家有关安全生产的法律法规、《公路水运工程安全生产监督管理办法》、《公路工程施工安全技术规程》</w:t>
      </w:r>
      <w:r>
        <w:rPr>
          <w:rFonts w:hint="eastAsia" w:hAnsi="宋体"/>
          <w:color w:val="auto"/>
          <w:szCs w:val="21"/>
          <w:lang w:eastAsia="zh-CN"/>
        </w:rPr>
        <w:t>、</w:t>
      </w:r>
      <w:r>
        <w:rPr>
          <w:rFonts w:hint="eastAsia" w:hAnsi="宋体"/>
          <w:color w:val="auto"/>
          <w:szCs w:val="21"/>
        </w:rPr>
        <w:t>《公路筑养路机械操作规程》等有关安全生产的规定。认真执行工程承包合同中的有关安全要求。</w:t>
      </w:r>
    </w:p>
    <w:p>
      <w:pPr>
        <w:spacing w:line="440" w:lineRule="exact"/>
        <w:ind w:firstLine="482"/>
        <w:rPr>
          <w:color w:val="auto"/>
          <w:szCs w:val="21"/>
        </w:rPr>
      </w:pPr>
      <w:r>
        <w:rPr>
          <w:rFonts w:hint="eastAsia" w:hAnsi="宋体"/>
          <w:color w:val="auto"/>
          <w:szCs w:val="21"/>
        </w:rPr>
        <w:t>（</w:t>
      </w:r>
      <w:r>
        <w:rPr>
          <w:color w:val="auto"/>
          <w:szCs w:val="21"/>
        </w:rPr>
        <w:t>2</w:t>
      </w:r>
      <w:r>
        <w:rPr>
          <w:rFonts w:hint="eastAsia" w:hAnsi="宋体"/>
          <w:color w:val="auto"/>
          <w:szCs w:val="21"/>
        </w:rPr>
        <w:t>）坚持</w:t>
      </w:r>
      <w:r>
        <w:rPr>
          <w:color w:val="auto"/>
          <w:szCs w:val="21"/>
        </w:rPr>
        <w:t>“</w:t>
      </w:r>
      <w:r>
        <w:rPr>
          <w:rFonts w:hint="eastAsia" w:hAnsi="宋体"/>
          <w:color w:val="auto"/>
          <w:szCs w:val="21"/>
        </w:rPr>
        <w:t>安全第一、预防为主</w:t>
      </w:r>
      <w:r>
        <w:rPr>
          <w:color w:val="auto"/>
          <w:szCs w:val="21"/>
        </w:rPr>
        <w:t>”</w:t>
      </w:r>
      <w:r>
        <w:rPr>
          <w:rFonts w:hint="eastAsia" w:hAnsi="宋体"/>
          <w:color w:val="auto"/>
          <w:szCs w:val="21"/>
        </w:rPr>
        <w:t>和</w:t>
      </w:r>
      <w:r>
        <w:rPr>
          <w:color w:val="auto"/>
          <w:szCs w:val="21"/>
        </w:rPr>
        <w:t>“</w:t>
      </w:r>
      <w:r>
        <w:rPr>
          <w:rFonts w:hint="eastAsia" w:hAnsi="宋体"/>
          <w:color w:val="auto"/>
          <w:szCs w:val="21"/>
        </w:rPr>
        <w:t>管生产必须管安全</w:t>
      </w:r>
      <w:r>
        <w:rPr>
          <w:color w:val="auto"/>
          <w:szCs w:val="21"/>
        </w:rPr>
        <w:t>”</w:t>
      </w:r>
      <w:r>
        <w:rPr>
          <w:rFonts w:hint="eastAsia" w:hAnsi="宋体"/>
          <w:color w:val="auto"/>
          <w:szCs w:val="21"/>
        </w:rPr>
        <w:t>的原则，加强安全生产宣传教育，增强全员安全生产意识，建立健全各项安全生产的管理机构和安全生产管理制度，配备专职及兼职安全检查人员，有组织有领导的开展安全生产活动。各级领导、工程技术人员、生产管理人员和具体操作人员，必须熟悉和遵守本合同的各项规定，做到生产与安全工作同时计划、布置、检查、总结和评比。</w:t>
      </w:r>
    </w:p>
    <w:p>
      <w:pPr>
        <w:spacing w:line="440" w:lineRule="exact"/>
        <w:ind w:firstLine="482"/>
        <w:rPr>
          <w:color w:val="auto"/>
          <w:szCs w:val="21"/>
        </w:rPr>
      </w:pPr>
      <w:r>
        <w:rPr>
          <w:rFonts w:hint="eastAsia" w:hAnsi="宋体"/>
          <w:color w:val="auto"/>
          <w:szCs w:val="21"/>
        </w:rPr>
        <w:t>（</w:t>
      </w:r>
      <w:r>
        <w:rPr>
          <w:color w:val="auto"/>
          <w:szCs w:val="21"/>
        </w:rPr>
        <w:t>3</w:t>
      </w:r>
      <w:r>
        <w:rPr>
          <w:rFonts w:hint="eastAsia" w:hAnsi="宋体"/>
          <w:color w:val="auto"/>
          <w:szCs w:val="21"/>
        </w:rPr>
        <w:t>）建立健全安全生产责任制。从派往项目实施的项目经理到生产工人（包括临时聘请的民工）的安全生产管理系统必须做到纵向到底，一环不漏；各职能部门、人员的安全生产责任制做到横向到边，人人有责。项目经理是安全生产的第一责任人。现场设置的安全机构，应按《公路水运工程安全生产监督管理办法》规定的最低数量和资质条件配备专职安全生产管理人员，专职负责所有员工的安全和治安保卫工作及预防事故的发生。安全机构人员有权按有关规定发布指令，并采取保护性措施防止事故发生。</w:t>
      </w:r>
    </w:p>
    <w:p>
      <w:pPr>
        <w:spacing w:line="440" w:lineRule="exact"/>
        <w:ind w:firstLine="482"/>
        <w:rPr>
          <w:color w:val="auto"/>
          <w:szCs w:val="21"/>
        </w:rPr>
      </w:pPr>
      <w:r>
        <w:rPr>
          <w:rFonts w:hint="eastAsia" w:hAnsi="宋体"/>
          <w:color w:val="auto"/>
          <w:szCs w:val="21"/>
        </w:rPr>
        <w:t>（</w:t>
      </w:r>
      <w:r>
        <w:rPr>
          <w:color w:val="auto"/>
          <w:szCs w:val="21"/>
        </w:rPr>
        <w:t>4</w:t>
      </w:r>
      <w:r>
        <w:rPr>
          <w:rFonts w:hint="eastAsia" w:hAnsi="宋体"/>
          <w:color w:val="auto"/>
          <w:szCs w:val="21"/>
        </w:rPr>
        <w:t>）承包人在任何时候都应采取各种合理的预防措施，防止其员工发生任何违法、违禁、暴力或妨碍治安的行为。</w:t>
      </w:r>
    </w:p>
    <w:p>
      <w:pPr>
        <w:spacing w:line="440" w:lineRule="exact"/>
        <w:ind w:firstLine="482"/>
        <w:rPr>
          <w:color w:val="auto"/>
          <w:szCs w:val="21"/>
        </w:rPr>
      </w:pPr>
      <w:r>
        <w:rPr>
          <w:rFonts w:hint="eastAsia" w:hAnsi="宋体"/>
          <w:color w:val="auto"/>
          <w:szCs w:val="21"/>
        </w:rPr>
        <w:t>（</w:t>
      </w:r>
      <w:r>
        <w:rPr>
          <w:color w:val="auto"/>
          <w:szCs w:val="21"/>
        </w:rPr>
        <w:t>5</w:t>
      </w:r>
      <w:r>
        <w:rPr>
          <w:rFonts w:hint="eastAsia" w:hAnsi="宋体"/>
          <w:color w:val="auto"/>
          <w:szCs w:val="21"/>
        </w:rPr>
        <w:t>）承包人必须具有劳动安全管理部门颁发的安全生产考核合格证书，参加施工的人员，必须接受安全技术教育，熟知和遵守本工种的各项安全技术操作规程，定期进行安全技术考核，合格者方准上岗操作。对于从事电气、起重、</w:t>
      </w:r>
      <w:r>
        <w:rPr>
          <w:rFonts w:hint="eastAsia" w:hAnsi="宋体"/>
          <w:color w:val="auto"/>
          <w:szCs w:val="21"/>
          <w:lang w:eastAsia="zh-CN"/>
        </w:rPr>
        <w:t>建筑限高</w:t>
      </w:r>
      <w:r>
        <w:rPr>
          <w:rFonts w:hint="eastAsia" w:hAnsi="宋体"/>
          <w:color w:val="auto"/>
          <w:szCs w:val="21"/>
        </w:rPr>
        <w:t>架设作业、锅炉、压力容器、焊接、机动车船艇驾驶、爆破、潜水、瓦斯检验等特殊工种的人员，经过专业培训，获得《安全操作合格证》后，方准持证上岗。施工现场如出现特种作业无证操作现象时，项目经理必须承担管理责任。</w:t>
      </w:r>
    </w:p>
    <w:p>
      <w:pPr>
        <w:spacing w:line="440" w:lineRule="exact"/>
        <w:ind w:firstLine="482"/>
        <w:rPr>
          <w:color w:val="auto"/>
          <w:szCs w:val="21"/>
        </w:rPr>
      </w:pPr>
      <w:r>
        <w:rPr>
          <w:rFonts w:hint="eastAsia" w:hAnsi="宋体"/>
          <w:color w:val="auto"/>
          <w:szCs w:val="21"/>
        </w:rPr>
        <w:t>（</w:t>
      </w:r>
      <w:r>
        <w:rPr>
          <w:color w:val="auto"/>
          <w:szCs w:val="21"/>
        </w:rPr>
        <w:t>6</w:t>
      </w:r>
      <w:r>
        <w:rPr>
          <w:rFonts w:hint="eastAsia" w:hAnsi="宋体"/>
          <w:color w:val="auto"/>
          <w:szCs w:val="21"/>
        </w:rPr>
        <w:t>）对于易燃易爆的材料除应专门妥善保管之外，还应配备有足够的消防设施，所有施工人员熟悉消防设备的性能和使用方法；承包人不得将任何种类的爆炸物给予、易货或以其他方式转让给任何其他人，或允许、容忍上述同样行为。</w:t>
      </w:r>
    </w:p>
    <w:p>
      <w:pPr>
        <w:spacing w:line="440" w:lineRule="exact"/>
        <w:ind w:firstLine="482"/>
        <w:rPr>
          <w:color w:val="auto"/>
          <w:szCs w:val="21"/>
        </w:rPr>
      </w:pPr>
      <w:r>
        <w:rPr>
          <w:rFonts w:hint="eastAsia" w:hAnsi="宋体"/>
          <w:color w:val="auto"/>
          <w:szCs w:val="21"/>
        </w:rPr>
        <w:t>（</w:t>
      </w:r>
      <w:r>
        <w:rPr>
          <w:color w:val="auto"/>
          <w:szCs w:val="21"/>
        </w:rPr>
        <w:t>7</w:t>
      </w:r>
      <w:r>
        <w:rPr>
          <w:rFonts w:hint="eastAsia" w:hAnsi="宋体"/>
          <w:color w:val="auto"/>
          <w:szCs w:val="21"/>
        </w:rPr>
        <w:t>）操作人员上岗，必须按规定穿戴防护用品。施工负责人和安全检查员应随时检查劳动防护用品的穿戴情况，不按规定穿戴防护用品的人员不得上岗。</w:t>
      </w:r>
    </w:p>
    <w:p>
      <w:pPr>
        <w:spacing w:line="440" w:lineRule="exact"/>
        <w:ind w:firstLine="482"/>
        <w:rPr>
          <w:color w:val="auto"/>
          <w:szCs w:val="21"/>
        </w:rPr>
      </w:pPr>
      <w:r>
        <w:rPr>
          <w:rFonts w:hint="eastAsia" w:hAnsi="宋体"/>
          <w:color w:val="auto"/>
          <w:szCs w:val="21"/>
        </w:rPr>
        <w:t>（</w:t>
      </w:r>
      <w:r>
        <w:rPr>
          <w:color w:val="auto"/>
          <w:szCs w:val="21"/>
        </w:rPr>
        <w:t>8</w:t>
      </w:r>
      <w:r>
        <w:rPr>
          <w:rFonts w:hint="eastAsia" w:hAnsi="宋体"/>
          <w:color w:val="auto"/>
          <w:szCs w:val="21"/>
        </w:rPr>
        <w:t>）所有施工机具设备和高空作业的设备均应定期检查，并有安全员的签字记录，保证其经常处于完好状态；不合格的机具、设备和劳动保护用品严禁使用。</w:t>
      </w:r>
    </w:p>
    <w:p>
      <w:pPr>
        <w:spacing w:line="440" w:lineRule="exact"/>
        <w:ind w:firstLine="482"/>
        <w:rPr>
          <w:color w:val="auto"/>
          <w:szCs w:val="21"/>
        </w:rPr>
      </w:pPr>
      <w:r>
        <w:rPr>
          <w:rFonts w:hint="eastAsia" w:hAnsi="宋体"/>
          <w:color w:val="auto"/>
          <w:szCs w:val="21"/>
        </w:rPr>
        <w:t>（</w:t>
      </w:r>
      <w:r>
        <w:rPr>
          <w:color w:val="auto"/>
          <w:szCs w:val="21"/>
        </w:rPr>
        <w:t>9</w:t>
      </w:r>
      <w:r>
        <w:rPr>
          <w:rFonts w:hint="eastAsia" w:hAnsi="宋体"/>
          <w:color w:val="auto"/>
          <w:szCs w:val="21"/>
        </w:rPr>
        <w:t>）施工中采用新技术、新工艺、新设备、新材料时，必须制定相应的安全技术措施，施工现场必须具有相关的安全标志牌。</w:t>
      </w:r>
    </w:p>
    <w:p>
      <w:pPr>
        <w:spacing w:line="440" w:lineRule="exact"/>
        <w:ind w:firstLine="482"/>
        <w:rPr>
          <w:color w:val="auto"/>
          <w:szCs w:val="21"/>
        </w:rPr>
      </w:pPr>
      <w:r>
        <w:rPr>
          <w:rFonts w:hint="eastAsia" w:hAnsi="宋体"/>
          <w:color w:val="auto"/>
          <w:szCs w:val="21"/>
        </w:rPr>
        <w:t>（</w:t>
      </w:r>
      <w:r>
        <w:rPr>
          <w:color w:val="auto"/>
          <w:szCs w:val="21"/>
        </w:rPr>
        <w:t>10</w:t>
      </w:r>
      <w:r>
        <w:rPr>
          <w:rFonts w:hint="eastAsia" w:hAnsi="宋体"/>
          <w:color w:val="auto"/>
          <w:szCs w:val="21"/>
        </w:rPr>
        <w:t>）承包人必须按照本工程项目特点，组织制定本工程实施中的生产安全事故应急救援预案；如果发生安全事故，应按照《国务院关于特大安全事故行政责任追究的规定》以及其他有关规定，及时上报有关部门，并坚持</w:t>
      </w:r>
      <w:r>
        <w:rPr>
          <w:color w:val="auto"/>
          <w:szCs w:val="21"/>
        </w:rPr>
        <w:t>“</w:t>
      </w:r>
      <w:r>
        <w:rPr>
          <w:rFonts w:hint="eastAsia" w:hAnsi="宋体"/>
          <w:color w:val="auto"/>
          <w:szCs w:val="21"/>
        </w:rPr>
        <w:t>四不放过</w:t>
      </w:r>
      <w:r>
        <w:rPr>
          <w:color w:val="auto"/>
          <w:szCs w:val="21"/>
        </w:rPr>
        <w:t>”</w:t>
      </w:r>
      <w:r>
        <w:rPr>
          <w:rFonts w:hint="eastAsia" w:hAnsi="宋体"/>
          <w:color w:val="auto"/>
          <w:szCs w:val="21"/>
        </w:rPr>
        <w:t>的原则，严肃处理相关责任人。</w:t>
      </w:r>
    </w:p>
    <w:p>
      <w:pPr>
        <w:spacing w:line="440" w:lineRule="exact"/>
        <w:ind w:firstLine="482"/>
        <w:rPr>
          <w:color w:val="auto"/>
          <w:szCs w:val="21"/>
        </w:rPr>
      </w:pPr>
      <w:r>
        <w:rPr>
          <w:rFonts w:hint="eastAsia" w:hAnsi="宋体"/>
          <w:color w:val="auto"/>
          <w:szCs w:val="21"/>
        </w:rPr>
        <w:t>（</w:t>
      </w:r>
      <w:r>
        <w:rPr>
          <w:color w:val="auto"/>
          <w:szCs w:val="21"/>
        </w:rPr>
        <w:t>11</w:t>
      </w:r>
      <w:r>
        <w:rPr>
          <w:rFonts w:hint="eastAsia" w:hAnsi="宋体"/>
          <w:color w:val="auto"/>
          <w:szCs w:val="21"/>
        </w:rPr>
        <w:t>）安全生产费用按照《公路水运工程安全生产监督管理办法》的相关规定使用和管理。</w:t>
      </w:r>
    </w:p>
    <w:p>
      <w:pPr>
        <w:spacing w:line="400" w:lineRule="exact"/>
        <w:ind w:firstLine="420" w:firstLineChars="200"/>
        <w:rPr>
          <w:color w:val="auto"/>
          <w:szCs w:val="21"/>
        </w:rPr>
      </w:pPr>
      <w:r>
        <w:rPr>
          <w:rFonts w:hint="eastAsia" w:ascii="宋体" w:hAnsi="宋体" w:cs="宋体"/>
          <w:color w:val="auto"/>
          <w:szCs w:val="21"/>
        </w:rPr>
        <w:t>3.</w:t>
      </w:r>
      <w:r>
        <w:rPr>
          <w:rFonts w:hint="eastAsia" w:hAnsi="宋体"/>
          <w:color w:val="auto"/>
          <w:szCs w:val="21"/>
        </w:rPr>
        <w:t>违约责任</w:t>
      </w:r>
    </w:p>
    <w:p>
      <w:pPr>
        <w:spacing w:line="440" w:lineRule="exact"/>
        <w:ind w:firstLine="482"/>
        <w:rPr>
          <w:color w:val="auto"/>
          <w:szCs w:val="21"/>
        </w:rPr>
      </w:pPr>
      <w:r>
        <w:rPr>
          <w:rFonts w:hint="eastAsia" w:hAnsi="宋体"/>
          <w:color w:val="auto"/>
          <w:szCs w:val="21"/>
        </w:rPr>
        <w:t>如因发包人或承包人违约造成安全事故，将依法追究责任。</w:t>
      </w:r>
    </w:p>
    <w:p>
      <w:pPr>
        <w:spacing w:line="440" w:lineRule="exact"/>
        <w:ind w:firstLine="482"/>
        <w:rPr>
          <w:color w:val="auto"/>
          <w:szCs w:val="21"/>
        </w:rPr>
      </w:pPr>
      <w:r>
        <w:rPr>
          <w:color w:val="auto"/>
          <w:szCs w:val="21"/>
        </w:rPr>
        <w:t>4</w:t>
      </w:r>
      <w:r>
        <w:rPr>
          <w:rFonts w:hint="eastAsia" w:hAnsi="宋体"/>
          <w:color w:val="auto"/>
          <w:szCs w:val="21"/>
        </w:rPr>
        <w:t>．本合同由双方法定代表人或其授权的代理人签署并加盖单位公章后生效，全部工程竣工验收后失效。</w:t>
      </w:r>
    </w:p>
    <w:p>
      <w:pPr>
        <w:spacing w:line="440" w:lineRule="exact"/>
        <w:ind w:firstLine="482"/>
        <w:rPr>
          <w:color w:val="auto"/>
          <w:szCs w:val="21"/>
        </w:rPr>
      </w:pPr>
      <w:r>
        <w:rPr>
          <w:rFonts w:hint="eastAsia"/>
          <w:color w:val="auto"/>
          <w:szCs w:val="21"/>
          <w:lang w:eastAsia="zh-CN"/>
        </w:rPr>
        <w:t>5.</w:t>
      </w:r>
      <w:r>
        <w:rPr>
          <w:rFonts w:hint="eastAsia" w:hAnsi="宋体"/>
          <w:color w:val="auto"/>
          <w:szCs w:val="21"/>
        </w:rPr>
        <w:t>本合同正本二份、副本</w:t>
      </w:r>
      <w:r>
        <w:rPr>
          <w:color w:val="auto"/>
          <w:szCs w:val="21"/>
          <w:u w:val="single"/>
        </w:rPr>
        <w:t xml:space="preserve"> </w:t>
      </w:r>
      <w:r>
        <w:rPr>
          <w:rFonts w:hint="eastAsia"/>
          <w:color w:val="auto"/>
          <w:szCs w:val="21"/>
          <w:u w:val="single"/>
        </w:rPr>
        <w:t>肆</w:t>
      </w:r>
      <w:r>
        <w:rPr>
          <w:color w:val="auto"/>
          <w:szCs w:val="21"/>
          <w:u w:val="single"/>
        </w:rPr>
        <w:t xml:space="preserve">  </w:t>
      </w:r>
      <w:r>
        <w:rPr>
          <w:rFonts w:hint="eastAsia" w:hAnsi="宋体"/>
          <w:color w:val="auto"/>
          <w:szCs w:val="21"/>
        </w:rPr>
        <w:t>份，合同双方各执正本一份，副本</w:t>
      </w:r>
      <w:r>
        <w:rPr>
          <w:color w:val="auto"/>
          <w:szCs w:val="21"/>
          <w:u w:val="single"/>
        </w:rPr>
        <w:t xml:space="preserve">  </w:t>
      </w:r>
      <w:r>
        <w:rPr>
          <w:rFonts w:hint="eastAsia"/>
          <w:color w:val="auto"/>
          <w:szCs w:val="21"/>
          <w:u w:val="single"/>
        </w:rPr>
        <w:t>贰</w:t>
      </w:r>
      <w:r>
        <w:rPr>
          <w:color w:val="auto"/>
          <w:szCs w:val="21"/>
          <w:u w:val="single"/>
        </w:rPr>
        <w:t xml:space="preserve">  </w:t>
      </w:r>
      <w:r>
        <w:rPr>
          <w:rFonts w:hint="eastAsia" w:hAnsi="宋体"/>
          <w:color w:val="auto"/>
          <w:szCs w:val="21"/>
        </w:rPr>
        <w:t>份，当正本与副本的内容不一致时，以正本为准。</w:t>
      </w:r>
    </w:p>
    <w:p>
      <w:pPr>
        <w:spacing w:line="440" w:lineRule="exact"/>
        <w:rPr>
          <w:rFonts w:hint="eastAsia" w:hAnsi="宋体"/>
          <w:color w:val="auto"/>
          <w:szCs w:val="21"/>
        </w:rPr>
      </w:pPr>
    </w:p>
    <w:p>
      <w:pPr>
        <w:spacing w:line="440" w:lineRule="exact"/>
        <w:rPr>
          <w:color w:val="auto"/>
          <w:szCs w:val="21"/>
        </w:rPr>
      </w:pPr>
      <w:r>
        <w:rPr>
          <w:rFonts w:hint="eastAsia" w:hAnsi="宋体"/>
          <w:color w:val="auto"/>
          <w:szCs w:val="21"/>
        </w:rPr>
        <w:t>发包人：</w:t>
      </w:r>
      <w:r>
        <w:rPr>
          <w:color w:val="auto"/>
          <w:szCs w:val="21"/>
          <w:u w:val="single"/>
        </w:rPr>
        <w:t xml:space="preserve"> </w:t>
      </w:r>
      <w:r>
        <w:rPr>
          <w:rFonts w:hint="eastAsia" w:cs="仿宋"/>
          <w:b/>
          <w:snapToGrid w:val="0"/>
          <w:color w:val="auto"/>
          <w:kern w:val="0"/>
          <w:szCs w:val="21"/>
          <w:u w:val="single"/>
        </w:rPr>
        <w:t xml:space="preserve">                          </w:t>
      </w:r>
      <w:r>
        <w:rPr>
          <w:rFonts w:hint="eastAsia" w:hAnsi="宋体"/>
          <w:color w:val="auto"/>
          <w:szCs w:val="21"/>
        </w:rPr>
        <w:t>（单位盖章）</w:t>
      </w:r>
      <w:r>
        <w:rPr>
          <w:color w:val="auto"/>
          <w:szCs w:val="21"/>
        </w:rPr>
        <w:t xml:space="preserve">   </w:t>
      </w:r>
      <w:r>
        <w:rPr>
          <w:rFonts w:hint="eastAsia" w:hAnsi="宋体"/>
          <w:color w:val="auto"/>
          <w:szCs w:val="21"/>
        </w:rPr>
        <w:t>承包人：</w:t>
      </w:r>
      <w:r>
        <w:rPr>
          <w:color w:val="auto"/>
          <w:szCs w:val="21"/>
          <w:u w:val="single"/>
        </w:rPr>
        <w:t xml:space="preserve">                </w:t>
      </w:r>
      <w:r>
        <w:rPr>
          <w:rFonts w:hint="eastAsia" w:hAnsi="宋体"/>
          <w:color w:val="auto"/>
          <w:szCs w:val="21"/>
        </w:rPr>
        <w:t>（单位盖章）</w:t>
      </w:r>
    </w:p>
    <w:p>
      <w:pPr>
        <w:spacing w:line="440" w:lineRule="exact"/>
        <w:rPr>
          <w:color w:val="auto"/>
          <w:szCs w:val="21"/>
        </w:rPr>
      </w:pPr>
      <w:r>
        <w:rPr>
          <w:rFonts w:hint="eastAsia" w:hAnsi="宋体"/>
          <w:color w:val="auto"/>
          <w:szCs w:val="21"/>
        </w:rPr>
        <w:t>法定代表人或其授权代理人：</w:t>
      </w:r>
      <w:r>
        <w:rPr>
          <w:color w:val="auto"/>
          <w:szCs w:val="21"/>
          <w:u w:val="single"/>
        </w:rPr>
        <w:t xml:space="preserve">      </w:t>
      </w:r>
      <w:r>
        <w:rPr>
          <w:rFonts w:hint="eastAsia" w:hAnsi="宋体"/>
          <w:color w:val="auto"/>
          <w:szCs w:val="21"/>
        </w:rPr>
        <w:t>（签字）</w:t>
      </w:r>
      <w:r>
        <w:rPr>
          <w:rFonts w:hAnsi="宋体"/>
          <w:color w:val="auto"/>
          <w:szCs w:val="21"/>
        </w:rPr>
        <w:t xml:space="preserve">         </w:t>
      </w:r>
      <w:r>
        <w:rPr>
          <w:rFonts w:hint="eastAsia" w:hAnsi="宋体"/>
          <w:color w:val="auto"/>
          <w:szCs w:val="21"/>
        </w:rPr>
        <w:t>法定代表人或其授权代理人：</w:t>
      </w:r>
      <w:r>
        <w:rPr>
          <w:color w:val="auto"/>
          <w:szCs w:val="21"/>
          <w:u w:val="single"/>
        </w:rPr>
        <w:t xml:space="preserve">    </w:t>
      </w:r>
      <w:r>
        <w:rPr>
          <w:rFonts w:hint="eastAsia" w:hAnsi="宋体"/>
          <w:color w:val="auto"/>
          <w:szCs w:val="21"/>
        </w:rPr>
        <w:t>（签字）</w:t>
      </w:r>
    </w:p>
    <w:p>
      <w:pPr>
        <w:spacing w:line="440" w:lineRule="exact"/>
        <w:ind w:firstLine="482"/>
        <w:rPr>
          <w:color w:val="auto"/>
          <w:szCs w:val="21"/>
        </w:rPr>
      </w:pPr>
      <w:r>
        <w:rPr>
          <w:color w:val="auto"/>
          <w:szCs w:val="21"/>
        </w:rPr>
        <w:t xml:space="preserve">           </w:t>
      </w:r>
    </w:p>
    <w:p>
      <w:pPr>
        <w:spacing w:line="440" w:lineRule="exact"/>
        <w:ind w:firstLine="1108" w:firstLineChars="528"/>
        <w:rPr>
          <w:color w:val="auto"/>
          <w:szCs w:val="21"/>
        </w:rPr>
      </w:pPr>
      <w:r>
        <w:rPr>
          <w:color w:val="auto"/>
          <w:szCs w:val="21"/>
        </w:rPr>
        <w:t xml:space="preserve">   </w:t>
      </w:r>
      <w:r>
        <w:rPr>
          <w:color w:val="auto"/>
          <w:szCs w:val="21"/>
          <w:u w:val="single"/>
        </w:rPr>
        <w:t xml:space="preserve"> </w:t>
      </w:r>
      <w:r>
        <w:rPr>
          <w:rFonts w:hint="eastAsia"/>
          <w:color w:val="auto"/>
          <w:szCs w:val="21"/>
          <w:u w:val="single"/>
        </w:rPr>
        <w:t xml:space="preserve">     </w:t>
      </w:r>
      <w:r>
        <w:rPr>
          <w:color w:val="auto"/>
          <w:szCs w:val="21"/>
          <w:u w:val="single"/>
        </w:rPr>
        <w:t xml:space="preserve"> </w:t>
      </w:r>
      <w:r>
        <w:rPr>
          <w:rFonts w:hint="eastAsia" w:hAnsi="宋体"/>
          <w:color w:val="auto"/>
          <w:szCs w:val="21"/>
        </w:rPr>
        <w:t>年</w:t>
      </w:r>
      <w:r>
        <w:rPr>
          <w:color w:val="auto"/>
          <w:szCs w:val="21"/>
          <w:u w:val="single"/>
        </w:rPr>
        <w:t xml:space="preserve">     </w:t>
      </w:r>
      <w:r>
        <w:rPr>
          <w:rFonts w:hint="eastAsia" w:hAnsi="宋体"/>
          <w:color w:val="auto"/>
          <w:szCs w:val="21"/>
        </w:rPr>
        <w:t>月</w:t>
      </w:r>
      <w:r>
        <w:rPr>
          <w:color w:val="auto"/>
          <w:szCs w:val="21"/>
          <w:u w:val="single"/>
        </w:rPr>
        <w:t xml:space="preserve">    </w:t>
      </w:r>
      <w:r>
        <w:rPr>
          <w:rFonts w:hint="eastAsia" w:hAnsi="宋体"/>
          <w:color w:val="auto"/>
          <w:szCs w:val="21"/>
        </w:rPr>
        <w:t>日</w:t>
      </w:r>
      <w:r>
        <w:rPr>
          <w:color w:val="auto"/>
          <w:szCs w:val="21"/>
        </w:rPr>
        <w:t xml:space="preserve">                   </w:t>
      </w:r>
      <w:r>
        <w:rPr>
          <w:color w:val="auto"/>
          <w:szCs w:val="21"/>
          <w:u w:val="single"/>
        </w:rPr>
        <w:t xml:space="preserve"> </w:t>
      </w:r>
      <w:r>
        <w:rPr>
          <w:rFonts w:hint="eastAsia"/>
          <w:color w:val="auto"/>
          <w:szCs w:val="21"/>
          <w:u w:val="single"/>
        </w:rPr>
        <w:t xml:space="preserve">     </w:t>
      </w:r>
      <w:r>
        <w:rPr>
          <w:rFonts w:hint="eastAsia" w:hAnsi="宋体"/>
          <w:color w:val="auto"/>
          <w:szCs w:val="21"/>
        </w:rPr>
        <w:t>年</w:t>
      </w:r>
      <w:r>
        <w:rPr>
          <w:color w:val="auto"/>
          <w:szCs w:val="21"/>
          <w:u w:val="single"/>
        </w:rPr>
        <w:t xml:space="preserve">     </w:t>
      </w:r>
      <w:r>
        <w:rPr>
          <w:rFonts w:hint="eastAsia" w:hAnsi="宋体"/>
          <w:color w:val="auto"/>
          <w:szCs w:val="21"/>
        </w:rPr>
        <w:t>月</w:t>
      </w:r>
      <w:r>
        <w:rPr>
          <w:color w:val="auto"/>
          <w:szCs w:val="21"/>
          <w:u w:val="single"/>
        </w:rPr>
        <w:t xml:space="preserve">    </w:t>
      </w:r>
      <w:r>
        <w:rPr>
          <w:rFonts w:hint="eastAsia" w:hAnsi="宋体"/>
          <w:color w:val="auto"/>
          <w:szCs w:val="21"/>
        </w:rPr>
        <w:t>日</w:t>
      </w:r>
    </w:p>
    <w:p>
      <w:pPr>
        <w:spacing w:line="440" w:lineRule="exact"/>
        <w:ind w:firstLine="482"/>
        <w:rPr>
          <w:color w:val="auto"/>
          <w:szCs w:val="21"/>
        </w:rPr>
      </w:pPr>
    </w:p>
    <w:p>
      <w:pPr>
        <w:spacing w:line="440" w:lineRule="exact"/>
        <w:ind w:firstLine="482"/>
        <w:rPr>
          <w:color w:val="auto"/>
          <w:szCs w:val="21"/>
        </w:rPr>
      </w:pPr>
    </w:p>
    <w:p>
      <w:pPr>
        <w:spacing w:line="440" w:lineRule="exact"/>
        <w:ind w:firstLine="482"/>
        <w:rPr>
          <w:color w:val="auto"/>
          <w:szCs w:val="21"/>
        </w:rPr>
      </w:pPr>
    </w:p>
    <w:p>
      <w:pPr>
        <w:pStyle w:val="2"/>
        <w:rPr>
          <w:color w:val="auto"/>
          <w:szCs w:val="21"/>
        </w:rPr>
      </w:pPr>
    </w:p>
    <w:p>
      <w:pPr>
        <w:rPr>
          <w:color w:val="auto"/>
          <w:szCs w:val="21"/>
        </w:rPr>
      </w:pPr>
    </w:p>
    <w:p>
      <w:pPr>
        <w:pStyle w:val="2"/>
        <w:rPr>
          <w:color w:val="auto"/>
          <w:szCs w:val="21"/>
        </w:rPr>
      </w:pPr>
    </w:p>
    <w:p>
      <w:pPr>
        <w:rPr>
          <w:color w:val="auto"/>
        </w:rPr>
      </w:pPr>
    </w:p>
    <w:p>
      <w:pPr>
        <w:spacing w:line="440" w:lineRule="exact"/>
        <w:rPr>
          <w:color w:val="auto"/>
          <w:szCs w:val="21"/>
        </w:rPr>
      </w:pPr>
    </w:p>
    <w:bookmarkEnd w:id="869"/>
    <w:p>
      <w:pPr>
        <w:pStyle w:val="3"/>
        <w:spacing w:before="156" w:beforeLines="50" w:after="156" w:afterLines="50" w:line="400" w:lineRule="exact"/>
        <w:rPr>
          <w:rFonts w:hint="eastAsia" w:ascii="宋体" w:hAnsi="宋体" w:cs="宋体"/>
          <w:color w:val="auto"/>
          <w:sz w:val="24"/>
          <w:szCs w:val="24"/>
        </w:rPr>
      </w:pPr>
      <w:bookmarkStart w:id="873" w:name="_Toc234382945"/>
      <w:bookmarkStart w:id="874" w:name="_Toc480790559"/>
      <w:bookmarkStart w:id="875" w:name="_Toc448913855"/>
      <w:r>
        <w:rPr>
          <w:rFonts w:hint="eastAsia" w:ascii="宋体" w:hAnsi="宋体" w:cs="宋体"/>
          <w:color w:val="auto"/>
          <w:sz w:val="24"/>
          <w:szCs w:val="24"/>
        </w:rPr>
        <w:t>附件二   廉政合同</w:t>
      </w:r>
      <w:bookmarkEnd w:id="873"/>
      <w:bookmarkEnd w:id="874"/>
      <w:bookmarkEnd w:id="875"/>
    </w:p>
    <w:p>
      <w:pPr>
        <w:spacing w:before="120" w:after="120"/>
        <w:jc w:val="center"/>
        <w:rPr>
          <w:rFonts w:hint="eastAsia" w:ascii="宋体" w:hAnsi="宋体" w:cs="宋体"/>
          <w:b/>
          <w:color w:val="auto"/>
          <w:sz w:val="32"/>
          <w:szCs w:val="32"/>
        </w:rPr>
      </w:pPr>
      <w:r>
        <w:rPr>
          <w:rFonts w:hint="eastAsia" w:ascii="宋体" w:hAnsi="宋体" w:cs="宋体"/>
          <w:b/>
          <w:color w:val="auto"/>
          <w:sz w:val="32"/>
          <w:szCs w:val="32"/>
        </w:rPr>
        <w:t>廉政合同</w:t>
      </w:r>
    </w:p>
    <w:p>
      <w:pPr>
        <w:spacing w:line="440" w:lineRule="exact"/>
        <w:ind w:firstLine="482"/>
        <w:rPr>
          <w:rFonts w:hAnsi="宋体"/>
          <w:color w:val="auto"/>
          <w:szCs w:val="21"/>
        </w:rPr>
      </w:pPr>
      <w:r>
        <w:rPr>
          <w:rFonts w:hint="eastAsia" w:hAnsi="宋体"/>
          <w:color w:val="auto"/>
          <w:szCs w:val="21"/>
        </w:rPr>
        <w:t>根据《关于在交通基础设施建设中加强廉政建设的若干意见》以及有关工程建设、廉政建设的规定，为做好工程建设中的党风廉政建设，保证工程建设高效优质，保证建设资金的安全和有效使用以及投资效益，</w:t>
      </w:r>
      <w:r>
        <w:rPr>
          <w:rFonts w:hint="eastAsia" w:ascii="宋体" w:hAnsi="宋体" w:cs="MingLiU"/>
          <w:snapToGrid w:val="0"/>
          <w:color w:val="auto"/>
          <w:kern w:val="0"/>
          <w:szCs w:val="21"/>
          <w:u w:val="single"/>
          <w:lang w:eastAsia="zh-CN"/>
        </w:rPr>
        <w:t>2025年度福果镇农村公路护栏建设项目</w:t>
      </w:r>
      <w:r>
        <w:rPr>
          <w:rFonts w:hint="eastAsia" w:ascii="宋体" w:hAnsi="宋体" w:cs="MingLiU"/>
          <w:snapToGrid w:val="0"/>
          <w:color w:val="auto"/>
          <w:kern w:val="0"/>
          <w:szCs w:val="21"/>
          <w:u w:val="single"/>
        </w:rPr>
        <w:t xml:space="preserve"> </w:t>
      </w:r>
      <w:r>
        <w:rPr>
          <w:rFonts w:hint="eastAsia" w:hAnsi="宋体"/>
          <w:color w:val="auto"/>
          <w:szCs w:val="21"/>
        </w:rPr>
        <w:t>项目法人</w:t>
      </w:r>
      <w:r>
        <w:rPr>
          <w:rFonts w:hint="eastAsia" w:hAnsi="宋体"/>
          <w:color w:val="auto"/>
          <w:szCs w:val="21"/>
          <w:u w:val="single"/>
        </w:rPr>
        <w:t xml:space="preserve"> </w:t>
      </w:r>
      <w:r>
        <w:rPr>
          <w:rFonts w:hint="eastAsia" w:hAnsi="宋体"/>
          <w:color w:val="auto"/>
          <w:szCs w:val="21"/>
          <w:u w:val="single"/>
          <w:lang w:eastAsia="zh-CN"/>
        </w:rPr>
        <w:t>重庆市铜梁区福果镇人民政府</w:t>
      </w:r>
      <w:r>
        <w:rPr>
          <w:rFonts w:hint="eastAsia" w:hAnsi="宋体"/>
          <w:color w:val="auto"/>
          <w:szCs w:val="21"/>
          <w:u w:val="single"/>
        </w:rPr>
        <w:t xml:space="preserve"> </w:t>
      </w:r>
      <w:r>
        <w:rPr>
          <w:rFonts w:hint="eastAsia" w:hAnsi="宋体"/>
          <w:color w:val="auto"/>
          <w:szCs w:val="21"/>
        </w:rPr>
        <w:t>（项目法人名称，以下简称“发包人”）与该项目的施工单位</w:t>
      </w:r>
      <w:r>
        <w:rPr>
          <w:rFonts w:hAnsi="宋体"/>
          <w:color w:val="auto"/>
          <w:szCs w:val="21"/>
          <w:u w:val="single"/>
        </w:rPr>
        <w:t xml:space="preserve">   </w:t>
      </w:r>
      <w:r>
        <w:rPr>
          <w:rFonts w:hint="eastAsia" w:hAnsi="宋体"/>
          <w:color w:val="auto"/>
          <w:szCs w:val="21"/>
          <w:u w:val="single"/>
        </w:rPr>
        <w:t xml:space="preserve">   </w:t>
      </w:r>
      <w:r>
        <w:rPr>
          <w:rFonts w:hAnsi="宋体"/>
          <w:color w:val="auto"/>
          <w:szCs w:val="21"/>
          <w:u w:val="single"/>
        </w:rPr>
        <w:t xml:space="preserve">   </w:t>
      </w:r>
      <w:r>
        <w:rPr>
          <w:rFonts w:hint="eastAsia" w:hAnsi="宋体"/>
          <w:color w:val="auto"/>
          <w:szCs w:val="21"/>
        </w:rPr>
        <w:t>（施工单位名称，以下简称“承包人”），特订立如下合同。</w:t>
      </w:r>
    </w:p>
    <w:p>
      <w:pPr>
        <w:spacing w:line="440" w:lineRule="exact"/>
        <w:ind w:firstLine="482"/>
        <w:rPr>
          <w:rFonts w:hAnsi="宋体"/>
          <w:color w:val="auto"/>
          <w:szCs w:val="21"/>
        </w:rPr>
      </w:pPr>
      <w:r>
        <w:rPr>
          <w:rFonts w:hint="eastAsia" w:hAnsi="宋体"/>
          <w:color w:val="auto"/>
          <w:szCs w:val="21"/>
          <w:lang w:eastAsia="zh-CN"/>
        </w:rPr>
        <w:t>1.</w:t>
      </w:r>
      <w:r>
        <w:rPr>
          <w:rFonts w:hint="eastAsia" w:hAnsi="宋体"/>
          <w:color w:val="auto"/>
          <w:szCs w:val="21"/>
        </w:rPr>
        <w:t>发包人和承包人双方的权利和义务</w:t>
      </w:r>
    </w:p>
    <w:p>
      <w:pPr>
        <w:spacing w:line="440" w:lineRule="exact"/>
        <w:ind w:firstLine="482"/>
        <w:rPr>
          <w:rFonts w:hAnsi="宋体"/>
          <w:color w:val="auto"/>
          <w:szCs w:val="21"/>
        </w:rPr>
      </w:pPr>
      <w:r>
        <w:rPr>
          <w:rFonts w:hint="eastAsia" w:hAnsi="宋体"/>
          <w:color w:val="auto"/>
          <w:szCs w:val="21"/>
        </w:rPr>
        <w:t>（</w:t>
      </w:r>
      <w:r>
        <w:rPr>
          <w:rFonts w:hAnsi="宋体"/>
          <w:color w:val="auto"/>
          <w:szCs w:val="21"/>
        </w:rPr>
        <w:t>1</w:t>
      </w:r>
      <w:r>
        <w:rPr>
          <w:rFonts w:hint="eastAsia" w:hAnsi="宋体"/>
          <w:color w:val="auto"/>
          <w:szCs w:val="21"/>
        </w:rPr>
        <w:t>）严格遵守党的政策规定和国家有关法律法规及交通运输部的有关规定。</w:t>
      </w:r>
    </w:p>
    <w:p>
      <w:pPr>
        <w:spacing w:line="440" w:lineRule="exact"/>
        <w:ind w:firstLine="482"/>
        <w:rPr>
          <w:rFonts w:hAnsi="宋体"/>
          <w:color w:val="auto"/>
          <w:szCs w:val="21"/>
        </w:rPr>
      </w:pPr>
      <w:r>
        <w:rPr>
          <w:rFonts w:hint="eastAsia" w:hAnsi="宋体"/>
          <w:color w:val="auto"/>
          <w:szCs w:val="21"/>
        </w:rPr>
        <w:t>（</w:t>
      </w:r>
      <w:r>
        <w:rPr>
          <w:rFonts w:hAnsi="宋体"/>
          <w:color w:val="auto"/>
          <w:szCs w:val="21"/>
        </w:rPr>
        <w:t>2</w:t>
      </w:r>
      <w:r>
        <w:rPr>
          <w:rFonts w:hint="eastAsia" w:hAnsi="宋体"/>
          <w:color w:val="auto"/>
          <w:szCs w:val="21"/>
        </w:rPr>
        <w:t>）严格执行</w:t>
      </w:r>
      <w:r>
        <w:rPr>
          <w:rFonts w:hint="eastAsia" w:hAnsi="宋体"/>
          <w:color w:val="auto"/>
          <w:szCs w:val="21"/>
          <w:u w:val="single"/>
          <w:lang w:eastAsia="zh-CN"/>
        </w:rPr>
        <w:t>2025年度福果镇农村公路护栏建设项目</w:t>
      </w:r>
      <w:r>
        <w:rPr>
          <w:rFonts w:hint="eastAsia" w:hAnsi="宋体"/>
          <w:color w:val="auto"/>
          <w:szCs w:val="21"/>
          <w:u w:val="single"/>
        </w:rPr>
        <w:t xml:space="preserve"> </w:t>
      </w:r>
      <w:r>
        <w:rPr>
          <w:rFonts w:hint="eastAsia" w:hAnsi="宋体"/>
          <w:color w:val="auto"/>
          <w:szCs w:val="21"/>
        </w:rPr>
        <w:t>施工合同文件，自觉按合同办事。</w:t>
      </w:r>
    </w:p>
    <w:p>
      <w:pPr>
        <w:spacing w:line="440" w:lineRule="exact"/>
        <w:ind w:firstLine="482"/>
        <w:rPr>
          <w:rFonts w:hAnsi="宋体"/>
          <w:color w:val="auto"/>
          <w:szCs w:val="21"/>
        </w:rPr>
      </w:pPr>
      <w:r>
        <w:rPr>
          <w:rFonts w:hint="eastAsia" w:hAnsi="宋体"/>
          <w:color w:val="auto"/>
          <w:szCs w:val="21"/>
        </w:rPr>
        <w:t>（</w:t>
      </w:r>
      <w:r>
        <w:rPr>
          <w:rFonts w:hAnsi="宋体"/>
          <w:color w:val="auto"/>
          <w:szCs w:val="21"/>
        </w:rPr>
        <w:t>3</w:t>
      </w:r>
      <w:r>
        <w:rPr>
          <w:rFonts w:hint="eastAsia" w:hAnsi="宋体"/>
          <w:color w:val="auto"/>
          <w:szCs w:val="21"/>
        </w:rPr>
        <w:t>）双方的业务活动坚持公开、公正、诚信、透明的原则（法律认定的商业秘密和合同文件另有规定除外），不得损害国家和集体利益，不得违反工程建设管理规章制度。</w:t>
      </w:r>
    </w:p>
    <w:p>
      <w:pPr>
        <w:spacing w:line="440" w:lineRule="exact"/>
        <w:ind w:firstLine="482"/>
        <w:rPr>
          <w:rFonts w:hAnsi="宋体"/>
          <w:color w:val="auto"/>
          <w:szCs w:val="21"/>
        </w:rPr>
      </w:pPr>
      <w:r>
        <w:rPr>
          <w:rFonts w:hint="eastAsia" w:hAnsi="宋体"/>
          <w:color w:val="auto"/>
          <w:szCs w:val="21"/>
        </w:rPr>
        <w:t>（</w:t>
      </w:r>
      <w:r>
        <w:rPr>
          <w:rFonts w:hAnsi="宋体"/>
          <w:color w:val="auto"/>
          <w:szCs w:val="21"/>
        </w:rPr>
        <w:t>4</w:t>
      </w:r>
      <w:r>
        <w:rPr>
          <w:rFonts w:hint="eastAsia" w:hAnsi="宋体"/>
          <w:color w:val="auto"/>
          <w:szCs w:val="21"/>
        </w:rPr>
        <w:t>）建立健全廉政制度，开展廉政教育，设立廉政告示牌，公布举报电话，监督并认真查处违法违纪行为。</w:t>
      </w:r>
    </w:p>
    <w:p>
      <w:pPr>
        <w:spacing w:line="440" w:lineRule="exact"/>
        <w:ind w:firstLine="482"/>
        <w:rPr>
          <w:rFonts w:hAnsi="宋体"/>
          <w:color w:val="auto"/>
          <w:szCs w:val="21"/>
        </w:rPr>
      </w:pPr>
      <w:r>
        <w:rPr>
          <w:rFonts w:hint="eastAsia" w:hAnsi="宋体"/>
          <w:color w:val="auto"/>
          <w:szCs w:val="21"/>
        </w:rPr>
        <w:t>（</w:t>
      </w:r>
      <w:r>
        <w:rPr>
          <w:rFonts w:hAnsi="宋体"/>
          <w:color w:val="auto"/>
          <w:szCs w:val="21"/>
        </w:rPr>
        <w:t>5</w:t>
      </w:r>
      <w:r>
        <w:rPr>
          <w:rFonts w:hint="eastAsia" w:hAnsi="宋体"/>
          <w:color w:val="auto"/>
          <w:szCs w:val="21"/>
        </w:rPr>
        <w:t>）发现对方在业务活动中有违反廉政规定的行为，有及时提醒对方纠正的权利和义务。</w:t>
      </w:r>
    </w:p>
    <w:p>
      <w:pPr>
        <w:spacing w:line="440" w:lineRule="exact"/>
        <w:ind w:firstLine="482"/>
        <w:rPr>
          <w:rFonts w:hAnsi="宋体"/>
          <w:color w:val="auto"/>
          <w:szCs w:val="21"/>
        </w:rPr>
      </w:pPr>
      <w:r>
        <w:rPr>
          <w:rFonts w:hint="eastAsia" w:hAnsi="宋体"/>
          <w:color w:val="auto"/>
          <w:szCs w:val="21"/>
        </w:rPr>
        <w:t>（</w:t>
      </w:r>
      <w:r>
        <w:rPr>
          <w:rFonts w:hAnsi="宋体"/>
          <w:color w:val="auto"/>
          <w:szCs w:val="21"/>
        </w:rPr>
        <w:t>6</w:t>
      </w:r>
      <w:r>
        <w:rPr>
          <w:rFonts w:hint="eastAsia" w:hAnsi="宋体"/>
          <w:color w:val="auto"/>
          <w:szCs w:val="21"/>
        </w:rPr>
        <w:t>）发现对方严重违反本合同义务条款的行为，有向其上级有关部门举报、建议给予处理并要求告知处理结果的权利。</w:t>
      </w:r>
    </w:p>
    <w:p>
      <w:pPr>
        <w:spacing w:line="440" w:lineRule="exact"/>
        <w:ind w:firstLine="482"/>
        <w:rPr>
          <w:rFonts w:hAnsi="宋体"/>
          <w:color w:val="auto"/>
          <w:szCs w:val="21"/>
        </w:rPr>
      </w:pPr>
      <w:r>
        <w:rPr>
          <w:rFonts w:hint="eastAsia" w:hAnsi="宋体"/>
          <w:color w:val="auto"/>
          <w:szCs w:val="21"/>
          <w:lang w:eastAsia="zh-CN"/>
        </w:rPr>
        <w:t>2.</w:t>
      </w:r>
      <w:r>
        <w:rPr>
          <w:rFonts w:hint="eastAsia" w:hAnsi="宋体"/>
          <w:color w:val="auto"/>
          <w:szCs w:val="21"/>
        </w:rPr>
        <w:t>发包人的义务</w:t>
      </w:r>
    </w:p>
    <w:p>
      <w:pPr>
        <w:spacing w:line="440" w:lineRule="exact"/>
        <w:ind w:firstLine="482"/>
        <w:rPr>
          <w:rFonts w:hAnsi="宋体"/>
          <w:color w:val="auto"/>
          <w:szCs w:val="21"/>
        </w:rPr>
      </w:pPr>
      <w:r>
        <w:rPr>
          <w:rFonts w:hint="eastAsia" w:hAnsi="宋体"/>
          <w:color w:val="auto"/>
          <w:szCs w:val="21"/>
        </w:rPr>
        <w:t>（</w:t>
      </w:r>
      <w:r>
        <w:rPr>
          <w:rFonts w:hAnsi="宋体"/>
          <w:color w:val="auto"/>
          <w:szCs w:val="21"/>
        </w:rPr>
        <w:t>1</w:t>
      </w:r>
      <w:r>
        <w:rPr>
          <w:rFonts w:hint="eastAsia" w:hAnsi="宋体"/>
          <w:color w:val="auto"/>
          <w:szCs w:val="21"/>
        </w:rPr>
        <w:t>）发包人及其工作人员不得索要或接受承包人的礼金、有价证券和贵重物品，不得让承包人报销任何应由发包人或发包人工作人员个人支付的费用等。</w:t>
      </w:r>
    </w:p>
    <w:p>
      <w:pPr>
        <w:spacing w:line="440" w:lineRule="exact"/>
        <w:ind w:firstLine="482"/>
        <w:rPr>
          <w:rFonts w:hAnsi="宋体"/>
          <w:color w:val="auto"/>
          <w:szCs w:val="21"/>
        </w:rPr>
      </w:pPr>
      <w:r>
        <w:rPr>
          <w:rFonts w:hint="eastAsia" w:hAnsi="宋体"/>
          <w:color w:val="auto"/>
          <w:szCs w:val="21"/>
        </w:rPr>
        <w:t>（</w:t>
      </w:r>
      <w:r>
        <w:rPr>
          <w:rFonts w:hAnsi="宋体"/>
          <w:color w:val="auto"/>
          <w:szCs w:val="21"/>
        </w:rPr>
        <w:t>2</w:t>
      </w:r>
      <w:r>
        <w:rPr>
          <w:rFonts w:hint="eastAsia" w:hAnsi="宋体"/>
          <w:color w:val="auto"/>
          <w:szCs w:val="21"/>
        </w:rPr>
        <w:t>）发包人工作人员不得参加承包人安排的超标准宴请和娱乐活动；不得接受承包人提供的通讯工具、交通工具和高档办公用品等。</w:t>
      </w:r>
    </w:p>
    <w:p>
      <w:pPr>
        <w:spacing w:line="440" w:lineRule="exact"/>
        <w:ind w:firstLine="482"/>
        <w:rPr>
          <w:rFonts w:hAnsi="宋体"/>
          <w:color w:val="auto"/>
          <w:szCs w:val="21"/>
        </w:rPr>
      </w:pPr>
      <w:r>
        <w:rPr>
          <w:rFonts w:hint="eastAsia" w:hAnsi="宋体"/>
          <w:color w:val="auto"/>
          <w:szCs w:val="21"/>
        </w:rPr>
        <w:t>（</w:t>
      </w:r>
      <w:r>
        <w:rPr>
          <w:rFonts w:hAnsi="宋体"/>
          <w:color w:val="auto"/>
          <w:szCs w:val="21"/>
        </w:rPr>
        <w:t>3</w:t>
      </w:r>
      <w:r>
        <w:rPr>
          <w:rFonts w:hint="eastAsia" w:hAnsi="宋体"/>
          <w:color w:val="auto"/>
          <w:szCs w:val="21"/>
        </w:rPr>
        <w:t>）发包人及其工作人员不利要求或者接受承包人为其住房装修、婚丧嫁娶活动、配偶子女的工作安排以及出国出境、旅游等提供方便等。</w:t>
      </w:r>
    </w:p>
    <w:p>
      <w:pPr>
        <w:spacing w:line="440" w:lineRule="exact"/>
        <w:ind w:firstLine="482"/>
        <w:rPr>
          <w:rFonts w:hAnsi="宋体"/>
          <w:color w:val="auto"/>
          <w:szCs w:val="21"/>
        </w:rPr>
      </w:pPr>
      <w:r>
        <w:rPr>
          <w:rFonts w:hint="eastAsia" w:hAnsi="宋体"/>
          <w:color w:val="auto"/>
          <w:szCs w:val="21"/>
        </w:rPr>
        <w:t>（</w:t>
      </w:r>
      <w:r>
        <w:rPr>
          <w:rFonts w:hAnsi="宋体"/>
          <w:color w:val="auto"/>
          <w:szCs w:val="21"/>
        </w:rPr>
        <w:t>4</w:t>
      </w:r>
      <w:r>
        <w:rPr>
          <w:rFonts w:hint="eastAsia" w:hAnsi="宋体"/>
          <w:color w:val="auto"/>
          <w:szCs w:val="21"/>
        </w:rPr>
        <w:t>）发包人工作人员及其配偶、子女不得从事与发包人工作有关的材料设备供应、工程分包、劳务等经济活动等。</w:t>
      </w:r>
    </w:p>
    <w:p>
      <w:pPr>
        <w:spacing w:line="440" w:lineRule="exact"/>
        <w:ind w:firstLine="482"/>
        <w:rPr>
          <w:rFonts w:hAnsi="宋体"/>
          <w:color w:val="auto"/>
          <w:szCs w:val="21"/>
        </w:rPr>
      </w:pPr>
      <w:r>
        <w:rPr>
          <w:rFonts w:hint="eastAsia" w:hAnsi="宋体"/>
          <w:color w:val="auto"/>
          <w:szCs w:val="21"/>
        </w:rPr>
        <w:t>（</w:t>
      </w:r>
      <w:r>
        <w:rPr>
          <w:rFonts w:hAnsi="宋体"/>
          <w:color w:val="auto"/>
          <w:szCs w:val="21"/>
        </w:rPr>
        <w:t>5</w:t>
      </w:r>
      <w:r>
        <w:rPr>
          <w:rFonts w:hint="eastAsia" w:hAnsi="宋体"/>
          <w:color w:val="auto"/>
          <w:szCs w:val="21"/>
        </w:rPr>
        <w:t>）发包人及其工作人员不得以任何理由向承包人推荐分包单位或推销材料，不得要求承包人购买合同规定外的材料和设备。</w:t>
      </w:r>
    </w:p>
    <w:p>
      <w:pPr>
        <w:spacing w:line="440" w:lineRule="exact"/>
        <w:ind w:firstLine="482"/>
        <w:rPr>
          <w:rFonts w:hAnsi="宋体"/>
          <w:color w:val="auto"/>
          <w:szCs w:val="21"/>
        </w:rPr>
      </w:pPr>
      <w:r>
        <w:rPr>
          <w:rFonts w:hint="eastAsia" w:hAnsi="宋体"/>
          <w:color w:val="auto"/>
          <w:szCs w:val="21"/>
        </w:rPr>
        <w:t>（</w:t>
      </w:r>
      <w:r>
        <w:rPr>
          <w:rFonts w:hAnsi="宋体"/>
          <w:color w:val="auto"/>
          <w:szCs w:val="21"/>
        </w:rPr>
        <w:t>6</w:t>
      </w:r>
      <w:r>
        <w:rPr>
          <w:rFonts w:hint="eastAsia" w:hAnsi="宋体"/>
          <w:color w:val="auto"/>
          <w:szCs w:val="21"/>
        </w:rPr>
        <w:t>）发包人工作人员要秉公办事，不准营私舞弊，不准利用职权从事各种个人有偿中介活动和安排个人施工队伍。</w:t>
      </w:r>
    </w:p>
    <w:p>
      <w:pPr>
        <w:spacing w:line="440" w:lineRule="exact"/>
        <w:ind w:firstLine="482"/>
        <w:rPr>
          <w:rFonts w:hAnsi="宋体"/>
          <w:color w:val="auto"/>
          <w:szCs w:val="21"/>
        </w:rPr>
      </w:pPr>
      <w:r>
        <w:rPr>
          <w:rFonts w:hAnsi="宋体"/>
          <w:color w:val="auto"/>
          <w:szCs w:val="21"/>
        </w:rPr>
        <w:t>3</w:t>
      </w:r>
      <w:r>
        <w:rPr>
          <w:rFonts w:hint="eastAsia" w:hAnsi="宋体"/>
          <w:color w:val="auto"/>
          <w:szCs w:val="21"/>
        </w:rPr>
        <w:t>．承包人的义务</w:t>
      </w:r>
    </w:p>
    <w:p>
      <w:pPr>
        <w:spacing w:line="440" w:lineRule="exact"/>
        <w:ind w:firstLine="482"/>
        <w:rPr>
          <w:rFonts w:hAnsi="宋体"/>
          <w:color w:val="auto"/>
          <w:szCs w:val="21"/>
        </w:rPr>
      </w:pPr>
      <w:r>
        <w:rPr>
          <w:rFonts w:hint="eastAsia" w:hAnsi="宋体"/>
          <w:color w:val="auto"/>
          <w:szCs w:val="21"/>
        </w:rPr>
        <w:t>（</w:t>
      </w:r>
      <w:r>
        <w:rPr>
          <w:rFonts w:hAnsi="宋体"/>
          <w:color w:val="auto"/>
          <w:szCs w:val="21"/>
        </w:rPr>
        <w:t>1</w:t>
      </w:r>
      <w:r>
        <w:rPr>
          <w:rFonts w:hint="eastAsia" w:hAnsi="宋体"/>
          <w:color w:val="auto"/>
          <w:szCs w:val="21"/>
        </w:rPr>
        <w:t>）承包人不得以任何理由向发包人及其工作人员行贿或馈赠礼金、有价证券、贵重礼品。</w:t>
      </w:r>
    </w:p>
    <w:p>
      <w:pPr>
        <w:spacing w:line="440" w:lineRule="exact"/>
        <w:ind w:firstLine="482"/>
        <w:rPr>
          <w:rFonts w:hAnsi="宋体"/>
          <w:color w:val="auto"/>
          <w:szCs w:val="21"/>
        </w:rPr>
      </w:pPr>
      <w:r>
        <w:rPr>
          <w:rFonts w:hint="eastAsia" w:hAnsi="宋体"/>
          <w:color w:val="auto"/>
          <w:szCs w:val="21"/>
        </w:rPr>
        <w:t>（</w:t>
      </w:r>
      <w:r>
        <w:rPr>
          <w:rFonts w:hAnsi="宋体"/>
          <w:color w:val="auto"/>
          <w:szCs w:val="21"/>
        </w:rPr>
        <w:t>2</w:t>
      </w:r>
      <w:r>
        <w:rPr>
          <w:rFonts w:hint="eastAsia" w:hAnsi="宋体"/>
          <w:color w:val="auto"/>
          <w:szCs w:val="21"/>
        </w:rPr>
        <w:t>）承包人不得以任何名义为发包人及其工作人员报销应由发包人单位或个人支付的任何费用。</w:t>
      </w:r>
    </w:p>
    <w:p>
      <w:pPr>
        <w:spacing w:line="440" w:lineRule="exact"/>
        <w:ind w:firstLine="482"/>
        <w:rPr>
          <w:rFonts w:hAnsi="宋体"/>
          <w:color w:val="auto"/>
          <w:szCs w:val="21"/>
        </w:rPr>
      </w:pPr>
      <w:r>
        <w:rPr>
          <w:rFonts w:hint="eastAsia" w:hAnsi="宋体"/>
          <w:color w:val="auto"/>
          <w:szCs w:val="21"/>
        </w:rPr>
        <w:t>（</w:t>
      </w:r>
      <w:r>
        <w:rPr>
          <w:rFonts w:hAnsi="宋体"/>
          <w:color w:val="auto"/>
          <w:szCs w:val="21"/>
        </w:rPr>
        <w:t>3</w:t>
      </w:r>
      <w:r>
        <w:rPr>
          <w:rFonts w:hint="eastAsia" w:hAnsi="宋体"/>
          <w:color w:val="auto"/>
          <w:szCs w:val="21"/>
        </w:rPr>
        <w:t>）承包人不得以任何理由安排发包人工作人员参加超标准宴请及娱乐活动。</w:t>
      </w:r>
    </w:p>
    <w:p>
      <w:pPr>
        <w:spacing w:line="440" w:lineRule="exact"/>
        <w:ind w:firstLine="482"/>
        <w:rPr>
          <w:rFonts w:hAnsi="宋体"/>
          <w:color w:val="auto"/>
          <w:szCs w:val="21"/>
        </w:rPr>
      </w:pPr>
      <w:r>
        <w:rPr>
          <w:rFonts w:hint="eastAsia" w:hAnsi="宋体"/>
          <w:color w:val="auto"/>
          <w:szCs w:val="21"/>
        </w:rPr>
        <w:t>（</w:t>
      </w:r>
      <w:r>
        <w:rPr>
          <w:rFonts w:hAnsi="宋体"/>
          <w:color w:val="auto"/>
          <w:szCs w:val="21"/>
        </w:rPr>
        <w:t>4</w:t>
      </w:r>
      <w:r>
        <w:rPr>
          <w:rFonts w:hint="eastAsia" w:hAnsi="宋体"/>
          <w:color w:val="auto"/>
          <w:szCs w:val="21"/>
        </w:rPr>
        <w:t>）承包人不得为发包人单位和个人购置或提供通讯工具、交通工具和高档办公用品等。</w:t>
      </w:r>
    </w:p>
    <w:p>
      <w:pPr>
        <w:spacing w:line="440" w:lineRule="exact"/>
        <w:ind w:firstLine="482"/>
        <w:rPr>
          <w:rFonts w:hAnsi="宋体"/>
          <w:color w:val="auto"/>
          <w:szCs w:val="21"/>
        </w:rPr>
      </w:pPr>
      <w:r>
        <w:rPr>
          <w:rFonts w:hAnsi="宋体"/>
          <w:color w:val="auto"/>
          <w:szCs w:val="21"/>
        </w:rPr>
        <w:t>4</w:t>
      </w:r>
      <w:r>
        <w:rPr>
          <w:rFonts w:hint="eastAsia" w:hAnsi="宋体"/>
          <w:color w:val="auto"/>
          <w:szCs w:val="21"/>
        </w:rPr>
        <w:t>．违约责任</w:t>
      </w:r>
    </w:p>
    <w:p>
      <w:pPr>
        <w:spacing w:line="440" w:lineRule="exact"/>
        <w:ind w:firstLine="482"/>
        <w:rPr>
          <w:rFonts w:hAnsi="宋体"/>
          <w:color w:val="auto"/>
          <w:szCs w:val="21"/>
        </w:rPr>
      </w:pPr>
      <w:r>
        <w:rPr>
          <w:rFonts w:hint="eastAsia" w:hAnsi="宋体"/>
          <w:color w:val="auto"/>
          <w:szCs w:val="21"/>
        </w:rPr>
        <w:t>（</w:t>
      </w:r>
      <w:r>
        <w:rPr>
          <w:rFonts w:hAnsi="宋体"/>
          <w:color w:val="auto"/>
          <w:szCs w:val="21"/>
        </w:rPr>
        <w:t>1</w:t>
      </w:r>
      <w:r>
        <w:rPr>
          <w:rFonts w:hint="eastAsia" w:hAnsi="宋体"/>
          <w:color w:val="auto"/>
          <w:szCs w:val="21"/>
        </w:rPr>
        <w:t>）发包人及其工作人员违反本合同第</w:t>
      </w:r>
      <w:r>
        <w:rPr>
          <w:rFonts w:hAnsi="宋体"/>
          <w:color w:val="auto"/>
          <w:szCs w:val="21"/>
        </w:rPr>
        <w:t>1</w:t>
      </w:r>
      <w:r>
        <w:rPr>
          <w:rFonts w:hint="eastAsia" w:hAnsi="宋体"/>
          <w:color w:val="auto"/>
          <w:szCs w:val="21"/>
        </w:rPr>
        <w:t>、</w:t>
      </w:r>
      <w:r>
        <w:rPr>
          <w:rFonts w:hAnsi="宋体"/>
          <w:color w:val="auto"/>
          <w:szCs w:val="21"/>
        </w:rPr>
        <w:t>2</w:t>
      </w:r>
      <w:r>
        <w:rPr>
          <w:rFonts w:hint="eastAsia" w:hAnsi="宋体"/>
          <w:color w:val="auto"/>
          <w:szCs w:val="21"/>
        </w:rPr>
        <w:t>条，按管理权限，依据有关规定给予党纪、政纪或组织处理；涉嫌犯罪的，移交司法机关追究刑事责任；给承包人单位造成经济损失的，应予以赔偿。</w:t>
      </w:r>
    </w:p>
    <w:p>
      <w:pPr>
        <w:spacing w:line="440" w:lineRule="exact"/>
        <w:ind w:firstLine="482"/>
        <w:rPr>
          <w:rFonts w:hAnsi="宋体"/>
          <w:color w:val="auto"/>
          <w:szCs w:val="21"/>
        </w:rPr>
      </w:pPr>
      <w:r>
        <w:rPr>
          <w:rFonts w:hint="eastAsia" w:hAnsi="宋体"/>
          <w:color w:val="auto"/>
          <w:szCs w:val="21"/>
        </w:rPr>
        <w:t>（</w:t>
      </w:r>
      <w:r>
        <w:rPr>
          <w:rFonts w:hAnsi="宋体"/>
          <w:color w:val="auto"/>
          <w:szCs w:val="21"/>
        </w:rPr>
        <w:t>2</w:t>
      </w:r>
      <w:r>
        <w:rPr>
          <w:rFonts w:hint="eastAsia" w:hAnsi="宋体"/>
          <w:color w:val="auto"/>
          <w:szCs w:val="21"/>
        </w:rPr>
        <w:t>）承包人及其工作人员违反本合同第</w:t>
      </w:r>
      <w:r>
        <w:rPr>
          <w:rFonts w:hAnsi="宋体"/>
          <w:color w:val="auto"/>
          <w:szCs w:val="21"/>
        </w:rPr>
        <w:t>1</w:t>
      </w:r>
      <w:r>
        <w:rPr>
          <w:rFonts w:hint="eastAsia" w:hAnsi="宋体"/>
          <w:color w:val="auto"/>
          <w:szCs w:val="21"/>
        </w:rPr>
        <w:t>、</w:t>
      </w:r>
      <w:r>
        <w:rPr>
          <w:rFonts w:hAnsi="宋体"/>
          <w:color w:val="auto"/>
          <w:szCs w:val="21"/>
        </w:rPr>
        <w:t>3</w:t>
      </w:r>
      <w:r>
        <w:rPr>
          <w:rFonts w:hint="eastAsia" w:hAnsi="宋体"/>
          <w:color w:val="auto"/>
          <w:szCs w:val="21"/>
        </w:rPr>
        <w:t>条，按管理权限，依据有关规定给予党纪、政纪或组织处理；给发包人单位造成经济损失的，应予以赔偿；情节严重的，发包人建议交通主管部门给予承包人一至三年内不得进入其主管的公路建设市场的处罚。</w:t>
      </w:r>
    </w:p>
    <w:p>
      <w:pPr>
        <w:spacing w:line="440" w:lineRule="exact"/>
        <w:ind w:firstLine="482"/>
        <w:rPr>
          <w:rFonts w:hAnsi="宋体"/>
          <w:color w:val="auto"/>
          <w:szCs w:val="21"/>
        </w:rPr>
      </w:pPr>
      <w:r>
        <w:rPr>
          <w:rFonts w:hAnsi="宋体"/>
          <w:color w:val="auto"/>
          <w:szCs w:val="21"/>
        </w:rPr>
        <w:t>5.</w:t>
      </w:r>
      <w:r>
        <w:rPr>
          <w:rFonts w:hint="eastAsia" w:hAnsi="宋体"/>
          <w:color w:val="auto"/>
          <w:szCs w:val="21"/>
        </w:rPr>
        <w:t>双方约定：本合同由双方或双方上级单位的纪检监察部门负责监督执行。由发包人或发包人上级单位的纪检监察部门约请承包人或承包人上级单</w:t>
      </w:r>
      <w:r>
        <w:rPr>
          <w:rFonts w:hint="eastAsia" w:hAnsi="宋体"/>
          <w:color w:val="auto"/>
          <w:szCs w:val="21"/>
          <w:lang w:eastAsia="zh-CN"/>
        </w:rPr>
        <w:t>位的</w:t>
      </w:r>
      <w:r>
        <w:rPr>
          <w:rFonts w:hint="eastAsia" w:hAnsi="宋体"/>
          <w:color w:val="auto"/>
          <w:szCs w:val="21"/>
        </w:rPr>
        <w:t>纪检监察部门对本合同执行情况进行检查，提出在本合同规定范围内的裁定意见。</w:t>
      </w:r>
    </w:p>
    <w:p>
      <w:pPr>
        <w:spacing w:line="440" w:lineRule="exact"/>
        <w:ind w:firstLine="482"/>
        <w:rPr>
          <w:rFonts w:hAnsi="宋体"/>
          <w:color w:val="auto"/>
          <w:szCs w:val="21"/>
        </w:rPr>
      </w:pPr>
      <w:r>
        <w:rPr>
          <w:rFonts w:hint="eastAsia" w:hAnsi="宋体"/>
          <w:color w:val="auto"/>
          <w:szCs w:val="21"/>
        </w:rPr>
        <w:t>6本合同有效期为发包人和承包人签署之日起至该工程项目竣工验收后止。</w:t>
      </w:r>
    </w:p>
    <w:p>
      <w:pPr>
        <w:spacing w:line="440" w:lineRule="exact"/>
        <w:ind w:firstLine="482"/>
        <w:rPr>
          <w:rFonts w:hAnsi="宋体"/>
          <w:color w:val="auto"/>
          <w:szCs w:val="21"/>
        </w:rPr>
      </w:pPr>
      <w:r>
        <w:rPr>
          <w:rFonts w:hint="eastAsia" w:hAnsi="宋体"/>
          <w:color w:val="auto"/>
          <w:szCs w:val="21"/>
          <w:lang w:eastAsia="zh-CN"/>
        </w:rPr>
        <w:t>7.</w:t>
      </w:r>
      <w:r>
        <w:rPr>
          <w:rFonts w:hint="eastAsia" w:hAnsi="宋体"/>
          <w:color w:val="auto"/>
          <w:szCs w:val="21"/>
        </w:rPr>
        <w:t>本合同作为</w:t>
      </w:r>
      <w:r>
        <w:rPr>
          <w:rFonts w:hint="eastAsia" w:ascii="宋体" w:hAnsi="宋体" w:cs="MingLiU"/>
          <w:snapToGrid w:val="0"/>
          <w:color w:val="auto"/>
          <w:kern w:val="0"/>
          <w:szCs w:val="21"/>
          <w:u w:val="single"/>
          <w:lang w:eastAsia="zh-CN"/>
        </w:rPr>
        <w:t>2025年度福果镇农村公路护栏建设项目</w:t>
      </w:r>
      <w:r>
        <w:rPr>
          <w:rFonts w:hint="eastAsia" w:ascii="宋体" w:hAnsi="宋体" w:cs="MingLiU"/>
          <w:snapToGrid w:val="0"/>
          <w:color w:val="auto"/>
          <w:kern w:val="0"/>
          <w:szCs w:val="21"/>
          <w:u w:val="single"/>
        </w:rPr>
        <w:t xml:space="preserve"> </w:t>
      </w:r>
      <w:r>
        <w:rPr>
          <w:rFonts w:hint="eastAsia" w:hAnsi="宋体"/>
          <w:color w:val="auto"/>
          <w:szCs w:val="21"/>
        </w:rPr>
        <w:t>施工合同的附件，与工程施工合同具有同等的法律效力，经合同双方签署后立即生效。</w:t>
      </w:r>
    </w:p>
    <w:p>
      <w:pPr>
        <w:spacing w:line="440" w:lineRule="exact"/>
        <w:ind w:firstLine="482"/>
        <w:rPr>
          <w:rFonts w:hAnsi="宋体"/>
          <w:color w:val="auto"/>
          <w:szCs w:val="21"/>
        </w:rPr>
      </w:pPr>
      <w:r>
        <w:rPr>
          <w:rFonts w:hint="eastAsia" w:hAnsi="宋体"/>
          <w:color w:val="auto"/>
          <w:szCs w:val="21"/>
          <w:lang w:eastAsia="zh-CN"/>
        </w:rPr>
        <w:t>8.</w:t>
      </w:r>
      <w:r>
        <w:rPr>
          <w:rFonts w:hint="eastAsia" w:hAnsi="宋体"/>
          <w:color w:val="auto"/>
          <w:szCs w:val="21"/>
        </w:rPr>
        <w:t>本合同一式四份，由发包人和承包人各执</w:t>
      </w:r>
      <w:r>
        <w:rPr>
          <w:rFonts w:hAnsi="宋体"/>
          <w:color w:val="auto"/>
          <w:szCs w:val="21"/>
        </w:rPr>
        <w:t>—</w:t>
      </w:r>
      <w:r>
        <w:rPr>
          <w:rFonts w:hint="eastAsia" w:hAnsi="宋体"/>
          <w:color w:val="auto"/>
          <w:szCs w:val="21"/>
        </w:rPr>
        <w:t>份，送交发包人和承包人的监督单位各一份</w:t>
      </w:r>
    </w:p>
    <w:p>
      <w:pPr>
        <w:spacing w:line="440" w:lineRule="exact"/>
        <w:ind w:firstLine="482"/>
        <w:rPr>
          <w:rFonts w:hint="eastAsia" w:hAnsi="宋体"/>
          <w:color w:val="auto"/>
          <w:szCs w:val="21"/>
        </w:rPr>
      </w:pPr>
    </w:p>
    <w:p>
      <w:pPr>
        <w:spacing w:line="440" w:lineRule="exact"/>
        <w:ind w:firstLine="482"/>
        <w:rPr>
          <w:rFonts w:hint="eastAsia" w:hAnsi="宋体"/>
          <w:color w:val="auto"/>
          <w:szCs w:val="21"/>
        </w:rPr>
      </w:pPr>
    </w:p>
    <w:p>
      <w:pPr>
        <w:spacing w:line="440" w:lineRule="exact"/>
        <w:rPr>
          <w:rFonts w:hAnsi="宋体"/>
          <w:color w:val="auto"/>
          <w:szCs w:val="21"/>
        </w:rPr>
      </w:pPr>
      <w:r>
        <w:rPr>
          <w:rFonts w:hint="eastAsia" w:hAnsi="宋体"/>
          <w:color w:val="auto"/>
          <w:szCs w:val="21"/>
        </w:rPr>
        <w:t>发包人：</w:t>
      </w:r>
      <w:r>
        <w:rPr>
          <w:rFonts w:hAnsi="宋体"/>
          <w:color w:val="auto"/>
          <w:szCs w:val="21"/>
        </w:rPr>
        <w:t xml:space="preserve">  </w:t>
      </w:r>
      <w:r>
        <w:rPr>
          <w:rFonts w:hint="eastAsia" w:cs="仿宋"/>
          <w:b/>
          <w:snapToGrid w:val="0"/>
          <w:color w:val="auto"/>
          <w:kern w:val="0"/>
          <w:szCs w:val="21"/>
          <w:u w:val="single"/>
        </w:rPr>
        <w:t xml:space="preserve">                         </w:t>
      </w:r>
      <w:r>
        <w:rPr>
          <w:rFonts w:hint="eastAsia" w:hAnsi="宋体"/>
          <w:color w:val="auto"/>
          <w:szCs w:val="21"/>
        </w:rPr>
        <w:t>（盖单位章）</w:t>
      </w:r>
      <w:r>
        <w:rPr>
          <w:rFonts w:hAnsi="宋体"/>
          <w:color w:val="auto"/>
          <w:szCs w:val="21"/>
        </w:rPr>
        <w:t xml:space="preserve">  </w:t>
      </w:r>
      <w:r>
        <w:rPr>
          <w:rFonts w:hint="eastAsia" w:hAnsi="宋体"/>
          <w:color w:val="auto"/>
          <w:szCs w:val="21"/>
        </w:rPr>
        <w:t>承包人：</w:t>
      </w:r>
      <w:r>
        <w:rPr>
          <w:rFonts w:hAnsi="宋体"/>
          <w:color w:val="auto"/>
          <w:szCs w:val="21"/>
          <w:u w:val="single"/>
        </w:rPr>
        <w:t xml:space="preserve">                </w:t>
      </w:r>
      <w:r>
        <w:rPr>
          <w:rFonts w:hint="eastAsia" w:hAnsi="宋体"/>
          <w:color w:val="auto"/>
          <w:szCs w:val="21"/>
        </w:rPr>
        <w:t>（盖单位章）</w:t>
      </w:r>
      <w:r>
        <w:rPr>
          <w:rFonts w:hAnsi="宋体"/>
          <w:color w:val="auto"/>
          <w:szCs w:val="21"/>
        </w:rPr>
        <w:t xml:space="preserve"> </w:t>
      </w:r>
    </w:p>
    <w:p>
      <w:pPr>
        <w:spacing w:line="440" w:lineRule="exact"/>
        <w:rPr>
          <w:rFonts w:hAnsi="宋体"/>
          <w:color w:val="auto"/>
          <w:szCs w:val="21"/>
        </w:rPr>
      </w:pPr>
      <w:r>
        <w:rPr>
          <w:rFonts w:hint="eastAsia" w:hAnsi="宋体"/>
          <w:color w:val="auto"/>
          <w:szCs w:val="21"/>
        </w:rPr>
        <w:t>法定代表人或其委托代理人：</w:t>
      </w:r>
      <w:r>
        <w:rPr>
          <w:rFonts w:hAnsi="宋体"/>
          <w:color w:val="auto"/>
          <w:szCs w:val="21"/>
        </w:rPr>
        <w:t xml:space="preserve">  </w:t>
      </w:r>
      <w:r>
        <w:rPr>
          <w:rFonts w:hint="eastAsia" w:hAnsi="宋体"/>
          <w:color w:val="auto"/>
          <w:szCs w:val="21"/>
        </w:rPr>
        <w:t>（签字）</w:t>
      </w:r>
      <w:r>
        <w:rPr>
          <w:rFonts w:hAnsi="宋体"/>
          <w:color w:val="auto"/>
          <w:szCs w:val="21"/>
        </w:rPr>
        <w:t xml:space="preserve">            </w:t>
      </w:r>
      <w:r>
        <w:rPr>
          <w:rFonts w:hint="eastAsia" w:hAnsi="宋体"/>
          <w:color w:val="auto"/>
          <w:szCs w:val="21"/>
        </w:rPr>
        <w:t>法定代表人或其委托代理人：</w:t>
      </w:r>
      <w:r>
        <w:rPr>
          <w:rFonts w:hAnsi="宋体"/>
          <w:color w:val="auto"/>
          <w:szCs w:val="21"/>
        </w:rPr>
        <w:t xml:space="preserve">  </w:t>
      </w:r>
      <w:r>
        <w:rPr>
          <w:rFonts w:hint="eastAsia" w:hAnsi="宋体"/>
          <w:color w:val="auto"/>
          <w:szCs w:val="21"/>
        </w:rPr>
        <w:t>（签字）</w:t>
      </w:r>
    </w:p>
    <w:p>
      <w:pPr>
        <w:spacing w:line="440" w:lineRule="exact"/>
        <w:ind w:firstLine="482"/>
        <w:rPr>
          <w:rFonts w:hint="eastAsia" w:hAnsi="宋体"/>
          <w:color w:val="auto"/>
          <w:szCs w:val="21"/>
        </w:rPr>
      </w:pPr>
      <w:r>
        <w:rPr>
          <w:rFonts w:hAnsi="宋体"/>
          <w:color w:val="auto"/>
          <w:szCs w:val="21"/>
        </w:rPr>
        <w:t xml:space="preserve">      </w:t>
      </w:r>
      <w:r>
        <w:rPr>
          <w:rFonts w:hint="eastAsia" w:hAnsi="宋体"/>
          <w:color w:val="auto"/>
          <w:szCs w:val="21"/>
        </w:rPr>
        <w:t xml:space="preserve"> </w:t>
      </w:r>
    </w:p>
    <w:p>
      <w:pPr>
        <w:spacing w:line="440" w:lineRule="exact"/>
        <w:ind w:firstLine="482"/>
        <w:rPr>
          <w:rFonts w:hAnsi="宋体"/>
          <w:color w:val="auto"/>
          <w:szCs w:val="21"/>
        </w:rPr>
      </w:pPr>
      <w:r>
        <w:rPr>
          <w:rFonts w:hAnsi="宋体"/>
          <w:color w:val="auto"/>
          <w:szCs w:val="21"/>
        </w:rPr>
        <w:t xml:space="preserve">  </w:t>
      </w:r>
      <w:r>
        <w:rPr>
          <w:rFonts w:hint="eastAsia" w:hAnsi="宋体"/>
          <w:color w:val="auto"/>
          <w:szCs w:val="21"/>
        </w:rPr>
        <w:t xml:space="preserve">    年</w:t>
      </w:r>
      <w:r>
        <w:rPr>
          <w:rFonts w:hAnsi="宋体"/>
          <w:color w:val="auto"/>
          <w:szCs w:val="21"/>
        </w:rPr>
        <w:t xml:space="preserve">    </w:t>
      </w:r>
      <w:r>
        <w:rPr>
          <w:rFonts w:hint="eastAsia" w:hAnsi="宋体"/>
          <w:color w:val="auto"/>
          <w:szCs w:val="21"/>
        </w:rPr>
        <w:t>月</w:t>
      </w:r>
      <w:r>
        <w:rPr>
          <w:rFonts w:hAnsi="宋体"/>
          <w:color w:val="auto"/>
          <w:szCs w:val="21"/>
        </w:rPr>
        <w:t xml:space="preserve">    </w:t>
      </w:r>
      <w:r>
        <w:rPr>
          <w:rFonts w:hint="eastAsia" w:hAnsi="宋体"/>
          <w:color w:val="auto"/>
          <w:szCs w:val="21"/>
        </w:rPr>
        <w:t>日</w:t>
      </w:r>
      <w:r>
        <w:rPr>
          <w:rFonts w:hAnsi="宋体"/>
          <w:color w:val="auto"/>
          <w:szCs w:val="21"/>
        </w:rPr>
        <w:t xml:space="preserve">                          </w:t>
      </w:r>
      <w:r>
        <w:rPr>
          <w:rFonts w:hint="eastAsia" w:hAnsi="宋体"/>
          <w:color w:val="auto"/>
          <w:szCs w:val="21"/>
        </w:rPr>
        <w:t xml:space="preserve">     </w:t>
      </w:r>
      <w:r>
        <w:rPr>
          <w:rFonts w:hAnsi="宋体"/>
          <w:color w:val="auto"/>
          <w:szCs w:val="21"/>
        </w:rPr>
        <w:t xml:space="preserve"> </w:t>
      </w:r>
      <w:r>
        <w:rPr>
          <w:rFonts w:hint="eastAsia" w:hAnsi="宋体"/>
          <w:color w:val="auto"/>
          <w:szCs w:val="21"/>
        </w:rPr>
        <w:t>年</w:t>
      </w:r>
      <w:r>
        <w:rPr>
          <w:rFonts w:hAnsi="宋体"/>
          <w:color w:val="auto"/>
          <w:szCs w:val="21"/>
        </w:rPr>
        <w:t xml:space="preserve">    </w:t>
      </w:r>
      <w:r>
        <w:rPr>
          <w:rFonts w:hint="eastAsia" w:hAnsi="宋体"/>
          <w:color w:val="auto"/>
          <w:szCs w:val="21"/>
        </w:rPr>
        <w:t>月</w:t>
      </w:r>
      <w:r>
        <w:rPr>
          <w:rFonts w:hAnsi="宋体"/>
          <w:color w:val="auto"/>
          <w:szCs w:val="21"/>
        </w:rPr>
        <w:t xml:space="preserve">    </w:t>
      </w:r>
      <w:r>
        <w:rPr>
          <w:rFonts w:hint="eastAsia" w:hAnsi="宋体"/>
          <w:color w:val="auto"/>
          <w:szCs w:val="21"/>
        </w:rPr>
        <w:t>日</w:t>
      </w:r>
    </w:p>
    <w:p>
      <w:pPr>
        <w:spacing w:line="440" w:lineRule="exact"/>
        <w:ind w:firstLine="482"/>
        <w:rPr>
          <w:rFonts w:hAnsi="宋体"/>
          <w:color w:val="auto"/>
          <w:szCs w:val="21"/>
        </w:rPr>
      </w:pPr>
    </w:p>
    <w:p>
      <w:pPr>
        <w:spacing w:line="440" w:lineRule="exact"/>
        <w:ind w:firstLine="482"/>
        <w:rPr>
          <w:rFonts w:hAnsi="宋体"/>
          <w:color w:val="auto"/>
          <w:szCs w:val="21"/>
        </w:rPr>
      </w:pPr>
    </w:p>
    <w:p>
      <w:pPr>
        <w:spacing w:line="440" w:lineRule="exact"/>
        <w:ind w:firstLine="482"/>
        <w:rPr>
          <w:rFonts w:hAnsi="宋体"/>
          <w:color w:val="auto"/>
          <w:szCs w:val="21"/>
        </w:rPr>
      </w:pPr>
    </w:p>
    <w:p>
      <w:pPr>
        <w:spacing w:line="440" w:lineRule="exact"/>
        <w:ind w:firstLine="482"/>
        <w:rPr>
          <w:rFonts w:hAnsi="宋体"/>
          <w:color w:val="auto"/>
          <w:szCs w:val="21"/>
        </w:rPr>
      </w:pPr>
    </w:p>
    <w:p>
      <w:pPr>
        <w:rPr>
          <w:color w:val="auto"/>
        </w:rPr>
      </w:pPr>
    </w:p>
    <w:p>
      <w:pPr>
        <w:rPr>
          <w:color w:val="auto"/>
        </w:rPr>
      </w:pPr>
    </w:p>
    <w:p>
      <w:pPr>
        <w:rPr>
          <w:color w:val="auto"/>
        </w:rPr>
      </w:pPr>
    </w:p>
    <w:p>
      <w:pPr>
        <w:rPr>
          <w:color w:val="auto"/>
        </w:rPr>
      </w:pPr>
    </w:p>
    <w:p>
      <w:pPr>
        <w:rPr>
          <w:color w:val="auto"/>
        </w:rPr>
      </w:pPr>
    </w:p>
    <w:p>
      <w:pPr>
        <w:rPr>
          <w:color w:val="auto"/>
        </w:rPr>
      </w:pPr>
    </w:p>
    <w:p>
      <w:pPr>
        <w:pStyle w:val="3"/>
        <w:spacing w:before="156" w:beforeLines="50" w:after="156" w:afterLines="50" w:line="400" w:lineRule="exact"/>
        <w:rPr>
          <w:rFonts w:hint="eastAsia" w:ascii="宋体" w:hAnsi="宋体" w:cs="宋体"/>
          <w:color w:val="auto"/>
          <w:sz w:val="24"/>
          <w:szCs w:val="24"/>
        </w:rPr>
      </w:pPr>
      <w:bookmarkStart w:id="876" w:name="_Toc325910650"/>
      <w:bookmarkStart w:id="877" w:name="_Toc322559718"/>
      <w:bookmarkStart w:id="878" w:name="_Toc317156906"/>
      <w:bookmarkStart w:id="879" w:name="_Toc362250667"/>
      <w:bookmarkStart w:id="880" w:name="_Toc413400292"/>
    </w:p>
    <w:p>
      <w:pPr>
        <w:pStyle w:val="3"/>
        <w:spacing w:before="156" w:beforeLines="50" w:after="156" w:afterLines="50" w:line="400" w:lineRule="exact"/>
        <w:rPr>
          <w:rFonts w:hint="eastAsia" w:ascii="宋体" w:hAnsi="宋体" w:cs="宋体"/>
          <w:color w:val="auto"/>
          <w:sz w:val="24"/>
          <w:szCs w:val="24"/>
        </w:rPr>
      </w:pPr>
    </w:p>
    <w:p>
      <w:pPr>
        <w:pStyle w:val="3"/>
        <w:spacing w:before="156" w:beforeLines="50" w:after="156" w:afterLines="50" w:line="400" w:lineRule="exact"/>
        <w:rPr>
          <w:rFonts w:hint="eastAsia" w:ascii="宋体" w:hAnsi="宋体" w:cs="宋体"/>
          <w:color w:val="auto"/>
          <w:sz w:val="24"/>
          <w:szCs w:val="24"/>
        </w:rPr>
      </w:pPr>
      <w:r>
        <w:rPr>
          <w:rFonts w:hint="eastAsia" w:ascii="宋体" w:hAnsi="宋体" w:cs="宋体"/>
          <w:color w:val="auto"/>
          <w:sz w:val="24"/>
          <w:szCs w:val="24"/>
        </w:rPr>
        <w:t>附件三：</w:t>
      </w:r>
      <w:bookmarkEnd w:id="876"/>
      <w:bookmarkEnd w:id="877"/>
      <w:bookmarkEnd w:id="878"/>
      <w:bookmarkStart w:id="881" w:name="_Toc325910651"/>
      <w:bookmarkStart w:id="882" w:name="_Toc322559719"/>
      <w:bookmarkStart w:id="883" w:name="_Toc317156907"/>
      <w:r>
        <w:rPr>
          <w:rFonts w:hint="eastAsia" w:ascii="宋体" w:hAnsi="宋体" w:cs="宋体"/>
          <w:color w:val="auto"/>
          <w:sz w:val="24"/>
          <w:szCs w:val="24"/>
        </w:rPr>
        <w:t>工程质量保修书</w:t>
      </w:r>
      <w:bookmarkEnd w:id="879"/>
      <w:bookmarkEnd w:id="880"/>
      <w:bookmarkEnd w:id="881"/>
      <w:bookmarkEnd w:id="882"/>
      <w:bookmarkEnd w:id="883"/>
    </w:p>
    <w:p>
      <w:pPr>
        <w:spacing w:before="156" w:beforeLines="50" w:after="156" w:afterLines="50" w:line="360" w:lineRule="auto"/>
        <w:jc w:val="center"/>
        <w:rPr>
          <w:rFonts w:ascii="宋体" w:hAnsi="宋体" w:cs="宋体"/>
          <w:b/>
          <w:color w:val="auto"/>
          <w:sz w:val="32"/>
          <w:szCs w:val="32"/>
        </w:rPr>
      </w:pPr>
      <w:r>
        <w:rPr>
          <w:rFonts w:hint="eastAsia" w:ascii="宋体" w:hAnsi="宋体" w:cs="宋体"/>
          <w:b/>
          <w:color w:val="auto"/>
          <w:sz w:val="32"/>
          <w:szCs w:val="32"/>
        </w:rPr>
        <w:t>工程质量保修书</w:t>
      </w:r>
    </w:p>
    <w:p>
      <w:pPr>
        <w:spacing w:line="360" w:lineRule="auto"/>
        <w:rPr>
          <w:rFonts w:hint="eastAsia" w:ascii="宋体" w:hAnsi="宋体" w:cs="宋体"/>
          <w:color w:val="auto"/>
          <w:u w:val="single"/>
        </w:rPr>
      </w:pPr>
      <w:r>
        <w:rPr>
          <w:rFonts w:hint="eastAsia" w:ascii="宋体" w:hAnsi="宋体" w:cs="宋体"/>
          <w:color w:val="auto"/>
        </w:rPr>
        <w:t>发包人（全称）：</w:t>
      </w:r>
      <w:r>
        <w:rPr>
          <w:rFonts w:hint="eastAsia" w:ascii="宋体" w:hAnsi="宋体" w:cs="宋体"/>
          <w:b/>
          <w:color w:val="auto"/>
          <w:u w:val="single"/>
          <w:lang w:eastAsia="zh-CN"/>
        </w:rPr>
        <w:t>重庆市铜梁区福果镇人民政府</w:t>
      </w:r>
      <w:r>
        <w:rPr>
          <w:rFonts w:hint="eastAsia" w:ascii="宋体" w:hAnsi="宋体" w:cs="宋体"/>
          <w:b/>
          <w:color w:val="auto"/>
          <w:u w:val="single"/>
        </w:rPr>
        <w:t xml:space="preserve">  </w:t>
      </w:r>
    </w:p>
    <w:p>
      <w:pPr>
        <w:spacing w:line="360" w:lineRule="auto"/>
        <w:rPr>
          <w:rFonts w:hint="eastAsia" w:ascii="宋体" w:hAnsi="宋体" w:cs="宋体"/>
          <w:color w:val="auto"/>
        </w:rPr>
      </w:pPr>
      <w:r>
        <w:rPr>
          <w:rFonts w:hint="eastAsia" w:ascii="宋体" w:hAnsi="宋体" w:cs="宋体"/>
          <w:color w:val="auto"/>
        </w:rPr>
        <w:t>承包人（全称）：</w:t>
      </w:r>
      <w:r>
        <w:rPr>
          <w:rFonts w:hint="eastAsia" w:ascii="宋体" w:hAnsi="宋体"/>
          <w:b/>
          <w:color w:val="auto"/>
          <w:u w:val="single"/>
        </w:rPr>
        <w:t xml:space="preserve">                            </w:t>
      </w:r>
      <w:r>
        <w:rPr>
          <w:rFonts w:ascii="宋体" w:hAnsi="宋体" w:cs="宋体"/>
          <w:color w:val="auto"/>
        </w:rPr>
        <w:t xml:space="preserve">                 </w:t>
      </w:r>
    </w:p>
    <w:p>
      <w:pPr>
        <w:spacing w:line="360" w:lineRule="auto"/>
        <w:rPr>
          <w:rFonts w:ascii="宋体" w:hAnsi="宋体" w:cs="宋体"/>
          <w:color w:val="auto"/>
        </w:rPr>
      </w:pPr>
      <w:r>
        <w:rPr>
          <w:rFonts w:hint="eastAsia" w:ascii="宋体" w:hAnsi="宋体" w:cs="宋体"/>
          <w:color w:val="auto"/>
        </w:rPr>
        <w:t>　　发包人和承包人根据《中华人民共和国建筑法》、《建设工程质量管理条例》，经协商一致对</w:t>
      </w:r>
      <w:r>
        <w:rPr>
          <w:rFonts w:hint="eastAsia" w:ascii="宋体" w:hAnsi="宋体" w:cs="宋体"/>
          <w:b/>
          <w:color w:val="auto"/>
          <w:u w:val="single"/>
          <w:lang w:eastAsia="zh-CN"/>
        </w:rPr>
        <w:t>2025年度福果镇农村公路护栏建设项目</w:t>
      </w:r>
      <w:r>
        <w:rPr>
          <w:rFonts w:hint="eastAsia" w:ascii="宋体" w:hAnsi="宋体" w:cs="宋体"/>
          <w:b/>
          <w:color w:val="auto"/>
          <w:u w:val="single"/>
        </w:rPr>
        <w:t xml:space="preserve"> </w:t>
      </w:r>
      <w:r>
        <w:rPr>
          <w:rFonts w:hint="eastAsia" w:ascii="宋体" w:hAnsi="宋体" w:cs="宋体"/>
          <w:color w:val="auto"/>
        </w:rPr>
        <w:t>签订工程质量保修书。</w:t>
      </w:r>
    </w:p>
    <w:p>
      <w:pPr>
        <w:spacing w:line="360" w:lineRule="auto"/>
        <w:rPr>
          <w:rFonts w:ascii="宋体" w:hAnsi="宋体" w:cs="宋体"/>
          <w:b/>
          <w:color w:val="auto"/>
        </w:rPr>
      </w:pPr>
      <w:r>
        <w:rPr>
          <w:rFonts w:hint="eastAsia" w:ascii="宋体" w:hAnsi="宋体" w:cs="宋体"/>
          <w:b/>
          <w:color w:val="auto"/>
        </w:rPr>
        <w:t>一、工程质量保修范围和内容</w:t>
      </w:r>
    </w:p>
    <w:p>
      <w:pPr>
        <w:spacing w:line="360" w:lineRule="auto"/>
        <w:ind w:firstLine="405"/>
        <w:rPr>
          <w:rFonts w:hint="eastAsia" w:ascii="宋体" w:hAnsi="宋体" w:cs="宋体"/>
          <w:color w:val="auto"/>
          <w:u w:val="single"/>
        </w:rPr>
      </w:pPr>
      <w:r>
        <w:rPr>
          <w:rFonts w:hint="eastAsia" w:ascii="宋体" w:hAnsi="宋体" w:cs="宋体"/>
          <w:color w:val="auto"/>
        </w:rPr>
        <w:t>承包人在质量保修期内，按照有关法律规定和合同约定，承担工程质量保修责任。具体保修的内容，双方约定如下：</w:t>
      </w:r>
      <w:r>
        <w:rPr>
          <w:rFonts w:hint="eastAsia" w:ascii="宋体" w:hAnsi="宋体" w:cs="宋体"/>
          <w:color w:val="auto"/>
          <w:u w:val="single"/>
        </w:rPr>
        <w:t>承包人所有施工的内容均属于保修范围。</w:t>
      </w:r>
    </w:p>
    <w:p>
      <w:pPr>
        <w:spacing w:line="360" w:lineRule="auto"/>
        <w:rPr>
          <w:rFonts w:ascii="宋体" w:hAnsi="宋体" w:cs="宋体"/>
          <w:color w:val="auto"/>
        </w:rPr>
      </w:pPr>
      <w:r>
        <w:rPr>
          <w:rFonts w:hint="eastAsia" w:ascii="宋体" w:hAnsi="宋体" w:cs="宋体"/>
          <w:b/>
          <w:color w:val="auto"/>
        </w:rPr>
        <w:t>二、质量保修期</w:t>
      </w:r>
    </w:p>
    <w:p>
      <w:pPr>
        <w:spacing w:line="360" w:lineRule="auto"/>
        <w:ind w:firstLine="420" w:firstLineChars="200"/>
        <w:rPr>
          <w:rFonts w:ascii="宋体" w:hAnsi="宋体" w:cs="宋体"/>
          <w:color w:val="auto"/>
        </w:rPr>
      </w:pPr>
      <w:r>
        <w:rPr>
          <w:rFonts w:hint="eastAsia" w:ascii="宋体" w:hAnsi="宋体" w:cs="宋体"/>
          <w:color w:val="auto"/>
        </w:rPr>
        <w:t>根据《建设工程质量管理条例》及有关规定，工程的质量保修期如下：</w:t>
      </w:r>
    </w:p>
    <w:p>
      <w:pPr>
        <w:spacing w:line="360" w:lineRule="auto"/>
        <w:ind w:firstLine="420" w:firstLineChars="200"/>
        <w:rPr>
          <w:rFonts w:ascii="宋体" w:hAnsi="宋体" w:cs="宋体"/>
          <w:color w:val="auto"/>
        </w:rPr>
      </w:pPr>
      <w:r>
        <w:rPr>
          <w:rFonts w:hint="eastAsia" w:ascii="宋体" w:hAnsi="宋体" w:cs="宋体"/>
          <w:color w:val="auto"/>
          <w:lang w:eastAsia="zh-CN"/>
        </w:rPr>
        <w:t>1.</w:t>
      </w:r>
      <w:r>
        <w:rPr>
          <w:rFonts w:hint="eastAsia" w:ascii="宋体" w:hAnsi="宋体" w:cs="宋体"/>
          <w:color w:val="auto"/>
        </w:rPr>
        <w:t>地基基础工程和主体结构工程为设计文件规定的工程合理使用年限；</w:t>
      </w:r>
    </w:p>
    <w:p>
      <w:pPr>
        <w:spacing w:line="360" w:lineRule="auto"/>
        <w:ind w:firstLine="420" w:firstLineChars="200"/>
        <w:rPr>
          <w:rFonts w:ascii="宋体" w:hAnsi="宋体" w:cs="宋体"/>
          <w:color w:val="auto"/>
        </w:rPr>
      </w:pPr>
      <w:r>
        <w:rPr>
          <w:rFonts w:hint="eastAsia" w:ascii="宋体" w:hAnsi="宋体" w:cs="宋体"/>
          <w:color w:val="auto"/>
          <w:lang w:eastAsia="zh-CN"/>
        </w:rPr>
        <w:t>2.</w:t>
      </w:r>
      <w:r>
        <w:rPr>
          <w:rFonts w:hint="eastAsia" w:ascii="宋体" w:hAnsi="宋体" w:cs="宋体"/>
          <w:color w:val="auto"/>
        </w:rPr>
        <w:t>屋面防水工程、有防水要求的卫生间、房间和外墙面的防渗为</w:t>
      </w:r>
      <w:r>
        <w:rPr>
          <w:rFonts w:ascii="宋体" w:hAnsi="宋体" w:cs="宋体"/>
          <w:color w:val="auto"/>
          <w:u w:val="single"/>
        </w:rPr>
        <w:t xml:space="preserve"> </w:t>
      </w:r>
      <w:r>
        <w:rPr>
          <w:rFonts w:hint="eastAsia" w:ascii="宋体" w:hAnsi="宋体" w:cs="宋体"/>
          <w:color w:val="auto"/>
          <w:u w:val="single"/>
        </w:rPr>
        <w:t>5</w:t>
      </w:r>
      <w:r>
        <w:rPr>
          <w:rFonts w:ascii="宋体" w:hAnsi="宋体" w:cs="宋体"/>
          <w:color w:val="auto"/>
          <w:u w:val="single"/>
        </w:rPr>
        <w:t xml:space="preserve">  </w:t>
      </w:r>
      <w:r>
        <w:rPr>
          <w:rFonts w:hint="eastAsia" w:ascii="宋体" w:hAnsi="宋体" w:cs="宋体"/>
          <w:color w:val="auto"/>
        </w:rPr>
        <w:t>年；</w:t>
      </w:r>
    </w:p>
    <w:p>
      <w:pPr>
        <w:spacing w:line="360" w:lineRule="auto"/>
        <w:ind w:firstLine="420" w:firstLineChars="200"/>
        <w:rPr>
          <w:rFonts w:ascii="宋体" w:hAnsi="宋体" w:cs="宋体"/>
          <w:color w:val="auto"/>
        </w:rPr>
      </w:pPr>
      <w:r>
        <w:rPr>
          <w:rFonts w:hint="eastAsia" w:ascii="宋体" w:hAnsi="宋体" w:cs="宋体"/>
          <w:color w:val="auto"/>
          <w:lang w:eastAsia="zh-CN"/>
        </w:rPr>
        <w:t>3.</w:t>
      </w:r>
      <w:r>
        <w:rPr>
          <w:rFonts w:hint="eastAsia" w:ascii="宋体" w:hAnsi="宋体" w:cs="宋体"/>
          <w:color w:val="auto"/>
        </w:rPr>
        <w:t>装修工程为</w:t>
      </w:r>
      <w:r>
        <w:rPr>
          <w:rFonts w:ascii="宋体" w:hAnsi="宋体" w:cs="宋体"/>
          <w:color w:val="auto"/>
          <w:u w:val="single"/>
        </w:rPr>
        <w:t xml:space="preserve"> </w:t>
      </w:r>
      <w:r>
        <w:rPr>
          <w:rFonts w:hint="eastAsia" w:ascii="宋体" w:hAnsi="宋体" w:cs="宋体"/>
          <w:color w:val="auto"/>
          <w:u w:val="single"/>
        </w:rPr>
        <w:t>2</w:t>
      </w:r>
      <w:r>
        <w:rPr>
          <w:rFonts w:ascii="宋体" w:hAnsi="宋体" w:cs="宋体"/>
          <w:color w:val="auto"/>
          <w:u w:val="single"/>
        </w:rPr>
        <w:t xml:space="preserve">  </w:t>
      </w:r>
      <w:r>
        <w:rPr>
          <w:rFonts w:hint="eastAsia" w:ascii="宋体" w:hAnsi="宋体" w:cs="宋体"/>
          <w:color w:val="auto"/>
        </w:rPr>
        <w:t>年；</w:t>
      </w:r>
    </w:p>
    <w:p>
      <w:pPr>
        <w:spacing w:line="360" w:lineRule="auto"/>
        <w:ind w:firstLine="420" w:firstLineChars="200"/>
        <w:rPr>
          <w:rFonts w:ascii="宋体" w:hAnsi="宋体" w:cs="宋体"/>
          <w:color w:val="auto"/>
        </w:rPr>
      </w:pPr>
      <w:r>
        <w:rPr>
          <w:rFonts w:hint="eastAsia" w:ascii="宋体" w:hAnsi="宋体" w:cs="宋体"/>
          <w:color w:val="auto"/>
          <w:lang w:eastAsia="zh-CN"/>
        </w:rPr>
        <w:t>4.</w:t>
      </w:r>
      <w:r>
        <w:rPr>
          <w:rFonts w:hint="eastAsia" w:ascii="宋体" w:hAnsi="宋体" w:cs="宋体"/>
          <w:color w:val="auto"/>
        </w:rPr>
        <w:t>电气管线、给排水管道、设备安装工程为</w:t>
      </w:r>
      <w:r>
        <w:rPr>
          <w:rFonts w:hint="eastAsia" w:ascii="宋体" w:hAnsi="宋体" w:cs="宋体"/>
          <w:color w:val="auto"/>
          <w:u w:val="single"/>
        </w:rPr>
        <w:t xml:space="preserve">2 </w:t>
      </w:r>
      <w:r>
        <w:rPr>
          <w:rFonts w:hint="eastAsia" w:ascii="宋体" w:hAnsi="宋体" w:cs="宋体"/>
          <w:color w:val="auto"/>
        </w:rPr>
        <w:t>年；</w:t>
      </w:r>
    </w:p>
    <w:p>
      <w:pPr>
        <w:spacing w:line="360" w:lineRule="auto"/>
        <w:ind w:firstLine="420" w:firstLineChars="200"/>
        <w:rPr>
          <w:rFonts w:ascii="宋体" w:hAnsi="宋体" w:cs="宋体"/>
          <w:color w:val="auto"/>
        </w:rPr>
      </w:pPr>
      <w:r>
        <w:rPr>
          <w:rFonts w:hint="eastAsia" w:ascii="宋体" w:hAnsi="宋体" w:cs="宋体"/>
          <w:color w:val="auto"/>
          <w:lang w:eastAsia="zh-CN"/>
        </w:rPr>
        <w:t>5.</w:t>
      </w:r>
      <w:r>
        <w:rPr>
          <w:rFonts w:hint="eastAsia" w:ascii="宋体" w:hAnsi="宋体" w:cs="宋体"/>
          <w:color w:val="auto"/>
        </w:rPr>
        <w:t>供热与供冷系统为</w:t>
      </w:r>
      <w:r>
        <w:rPr>
          <w:rFonts w:ascii="宋体" w:hAnsi="宋体" w:cs="宋体"/>
          <w:color w:val="auto"/>
          <w:u w:val="single"/>
        </w:rPr>
        <w:t xml:space="preserve"> </w:t>
      </w:r>
      <w:r>
        <w:rPr>
          <w:rFonts w:hint="eastAsia" w:ascii="宋体" w:hAnsi="宋体" w:cs="宋体"/>
          <w:color w:val="auto"/>
          <w:u w:val="single"/>
        </w:rPr>
        <w:t xml:space="preserve">2 </w:t>
      </w:r>
      <w:r>
        <w:rPr>
          <w:rFonts w:hint="eastAsia" w:ascii="宋体" w:hAnsi="宋体" w:cs="宋体"/>
          <w:color w:val="auto"/>
        </w:rPr>
        <w:t>个采暖期、供冷期；</w:t>
      </w:r>
    </w:p>
    <w:p>
      <w:pPr>
        <w:spacing w:line="360" w:lineRule="auto"/>
        <w:ind w:firstLine="420" w:firstLineChars="200"/>
        <w:rPr>
          <w:rFonts w:ascii="宋体" w:hAnsi="宋体" w:cs="宋体"/>
          <w:color w:val="auto"/>
        </w:rPr>
      </w:pPr>
      <w:r>
        <w:rPr>
          <w:rFonts w:hint="eastAsia" w:ascii="宋体" w:hAnsi="宋体" w:cs="宋体"/>
          <w:color w:val="auto"/>
          <w:lang w:eastAsia="zh-CN"/>
        </w:rPr>
        <w:t>6.</w:t>
      </w:r>
      <w:r>
        <w:rPr>
          <w:rFonts w:hint="eastAsia" w:ascii="宋体" w:hAnsi="宋体" w:cs="宋体"/>
          <w:color w:val="auto"/>
        </w:rPr>
        <w:t>道路工程为</w:t>
      </w:r>
      <w:r>
        <w:rPr>
          <w:rFonts w:ascii="宋体" w:hAnsi="宋体" w:cs="宋体"/>
          <w:color w:val="auto"/>
          <w:u w:val="single"/>
        </w:rPr>
        <w:t xml:space="preserve"> </w:t>
      </w:r>
      <w:r>
        <w:rPr>
          <w:rFonts w:hint="eastAsia" w:ascii="宋体" w:hAnsi="宋体" w:cs="宋体"/>
          <w:color w:val="auto"/>
          <w:u w:val="single"/>
          <w:lang w:val="en-US" w:eastAsia="zh-CN"/>
        </w:rPr>
        <w:t>2</w:t>
      </w:r>
      <w:r>
        <w:rPr>
          <w:rFonts w:ascii="宋体" w:hAnsi="宋体" w:cs="宋体"/>
          <w:color w:val="auto"/>
          <w:u w:val="single"/>
        </w:rPr>
        <w:t xml:space="preserve"> </w:t>
      </w:r>
      <w:r>
        <w:rPr>
          <w:rFonts w:hint="eastAsia" w:ascii="宋体" w:hAnsi="宋体" w:cs="宋体"/>
          <w:color w:val="auto"/>
        </w:rPr>
        <w:t>年；</w:t>
      </w:r>
    </w:p>
    <w:p>
      <w:pPr>
        <w:spacing w:line="360" w:lineRule="auto"/>
        <w:ind w:firstLine="420" w:firstLineChars="200"/>
        <w:rPr>
          <w:rFonts w:hint="eastAsia" w:ascii="宋体" w:hAnsi="宋体" w:cs="宋体"/>
          <w:color w:val="auto"/>
        </w:rPr>
      </w:pPr>
      <w:r>
        <w:rPr>
          <w:rFonts w:hint="eastAsia" w:ascii="宋体" w:hAnsi="宋体" w:cs="宋体"/>
          <w:color w:val="auto"/>
          <w:lang w:eastAsia="zh-CN"/>
        </w:rPr>
        <w:t>7.</w:t>
      </w:r>
      <w:r>
        <w:rPr>
          <w:rFonts w:hint="eastAsia" w:ascii="宋体" w:hAnsi="宋体" w:cs="宋体"/>
          <w:color w:val="auto"/>
        </w:rPr>
        <w:t>其他项目保修期限为</w:t>
      </w:r>
      <w:r>
        <w:rPr>
          <w:rFonts w:hint="eastAsia" w:ascii="宋体" w:hAnsi="宋体" w:cs="宋体"/>
          <w:color w:val="auto"/>
          <w:u w:val="single"/>
          <w:lang w:val="en-US" w:eastAsia="zh-CN"/>
        </w:rPr>
        <w:t>2</w:t>
      </w:r>
      <w:r>
        <w:rPr>
          <w:rFonts w:hint="eastAsia" w:ascii="宋体" w:hAnsi="宋体" w:cs="宋体"/>
          <w:color w:val="auto"/>
        </w:rPr>
        <w:t>年；</w:t>
      </w:r>
    </w:p>
    <w:p>
      <w:pPr>
        <w:spacing w:line="360" w:lineRule="auto"/>
        <w:ind w:firstLine="405"/>
        <w:rPr>
          <w:rFonts w:hint="eastAsia" w:ascii="宋体" w:hAnsi="宋体" w:cs="宋体"/>
          <w:color w:val="auto"/>
        </w:rPr>
      </w:pPr>
      <w:r>
        <w:rPr>
          <w:rFonts w:hint="eastAsia" w:ascii="宋体" w:hAnsi="宋体" w:cs="宋体"/>
          <w:color w:val="auto"/>
        </w:rPr>
        <w:t>质量保修期自工程竣工验收合格之日起计算。</w:t>
      </w:r>
    </w:p>
    <w:p>
      <w:pPr>
        <w:spacing w:line="360" w:lineRule="auto"/>
        <w:rPr>
          <w:rFonts w:hint="eastAsia" w:ascii="宋体" w:hAnsi="宋体" w:cs="宋体"/>
          <w:color w:val="auto"/>
        </w:rPr>
      </w:pPr>
      <w:r>
        <w:rPr>
          <w:rFonts w:hint="eastAsia" w:ascii="宋体" w:hAnsi="宋体" w:cs="宋体"/>
          <w:b/>
          <w:color w:val="auto"/>
        </w:rPr>
        <w:t>三、质量保修责任</w:t>
      </w:r>
    </w:p>
    <w:p>
      <w:pPr>
        <w:spacing w:line="360" w:lineRule="auto"/>
        <w:ind w:firstLine="405"/>
        <w:rPr>
          <w:rFonts w:hint="eastAsia" w:ascii="宋体" w:hAnsi="宋体" w:cs="宋体"/>
          <w:color w:val="auto"/>
        </w:rPr>
      </w:pPr>
      <w:r>
        <w:rPr>
          <w:rFonts w:hint="eastAsia" w:ascii="宋体" w:hAnsi="宋体" w:cs="宋体"/>
          <w:color w:val="auto"/>
          <w:lang w:eastAsia="zh-CN"/>
        </w:rPr>
        <w:t>1.</w:t>
      </w:r>
      <w:r>
        <w:rPr>
          <w:rFonts w:hint="eastAsia" w:ascii="宋体" w:hAnsi="宋体" w:cs="宋体"/>
          <w:color w:val="auto"/>
        </w:rPr>
        <w:t>属于保修范围、内容的项目，承包人应当在接到保修通知之日起3天内派人保修。承包人不在约定期限内派人保修的，发包人可以委托他人修理。</w:t>
      </w:r>
    </w:p>
    <w:p>
      <w:pPr>
        <w:spacing w:line="360" w:lineRule="auto"/>
        <w:ind w:firstLine="405"/>
        <w:rPr>
          <w:rFonts w:hint="eastAsia" w:ascii="宋体" w:hAnsi="宋体" w:cs="宋体"/>
          <w:color w:val="auto"/>
        </w:rPr>
      </w:pPr>
      <w:r>
        <w:rPr>
          <w:rFonts w:hint="eastAsia" w:ascii="宋体" w:hAnsi="宋体" w:cs="宋体"/>
          <w:color w:val="auto"/>
          <w:lang w:eastAsia="zh-CN"/>
        </w:rPr>
        <w:t>2.</w:t>
      </w:r>
      <w:r>
        <w:rPr>
          <w:rFonts w:hint="eastAsia" w:ascii="宋体" w:hAnsi="宋体" w:cs="宋体"/>
          <w:color w:val="auto"/>
        </w:rPr>
        <w:t>发生紧急事故需抢修的，承包人在接到事故通知后，应当立即到达事故现场抢修。</w:t>
      </w:r>
    </w:p>
    <w:p>
      <w:pPr>
        <w:spacing w:line="360" w:lineRule="auto"/>
        <w:ind w:firstLine="405"/>
        <w:rPr>
          <w:rFonts w:hint="eastAsia" w:ascii="宋体" w:hAnsi="宋体" w:cs="宋体"/>
          <w:color w:val="auto"/>
        </w:rPr>
      </w:pPr>
      <w:r>
        <w:rPr>
          <w:rFonts w:hint="eastAsia" w:ascii="宋体" w:hAnsi="宋体" w:cs="宋体"/>
          <w:color w:val="auto"/>
          <w:lang w:eastAsia="zh-CN"/>
        </w:rPr>
        <w:t>3.</w:t>
      </w:r>
      <w:r>
        <w:rPr>
          <w:rFonts w:hint="eastAsia" w:ascii="宋体" w:hAnsi="宋体" w:cs="宋体"/>
          <w:color w:val="auto"/>
        </w:rPr>
        <w:t>对于涉及结构安全的质量问题，应当按照《建设工程质量管理条例》的规定，立即向当地建设行政主管部门和其他有关部门报告，采取安全防范措施，并由原设计人或者具有相应资质等级的设计人提出保修方案，承包人实施保修。</w:t>
      </w:r>
    </w:p>
    <w:p>
      <w:pPr>
        <w:spacing w:line="360" w:lineRule="auto"/>
        <w:ind w:firstLine="405"/>
        <w:rPr>
          <w:rFonts w:ascii="宋体" w:hAnsi="宋体" w:cs="宋体"/>
          <w:color w:val="auto"/>
        </w:rPr>
      </w:pPr>
      <w:r>
        <w:rPr>
          <w:rFonts w:hint="eastAsia" w:ascii="宋体" w:hAnsi="宋体" w:cs="宋体"/>
          <w:color w:val="auto"/>
          <w:lang w:eastAsia="zh-CN"/>
        </w:rPr>
        <w:t>4.</w:t>
      </w:r>
      <w:r>
        <w:rPr>
          <w:rFonts w:hint="eastAsia" w:ascii="宋体" w:hAnsi="宋体" w:cs="宋体"/>
          <w:color w:val="auto"/>
        </w:rPr>
        <w:t>质量保修完成后，由发包人组织验收。</w:t>
      </w:r>
    </w:p>
    <w:p>
      <w:pPr>
        <w:spacing w:line="360" w:lineRule="auto"/>
        <w:rPr>
          <w:rFonts w:ascii="宋体" w:hAnsi="宋体" w:cs="宋体"/>
          <w:b/>
          <w:color w:val="auto"/>
        </w:rPr>
      </w:pPr>
      <w:r>
        <w:rPr>
          <w:rFonts w:hint="eastAsia" w:ascii="宋体" w:hAnsi="宋体" w:cs="宋体"/>
          <w:b/>
          <w:color w:val="auto"/>
        </w:rPr>
        <w:t>四、保修费用</w:t>
      </w:r>
    </w:p>
    <w:p>
      <w:pPr>
        <w:spacing w:line="360" w:lineRule="auto"/>
        <w:ind w:firstLine="420"/>
        <w:rPr>
          <w:rFonts w:hint="eastAsia" w:ascii="宋体" w:hAnsi="宋体" w:cs="宋体"/>
          <w:color w:val="auto"/>
        </w:rPr>
      </w:pPr>
      <w:r>
        <w:rPr>
          <w:rFonts w:hint="eastAsia" w:ascii="宋体" w:hAnsi="宋体" w:cs="宋体"/>
          <w:color w:val="auto"/>
        </w:rPr>
        <w:t>保修费用由造成质量缺陷的责任方承担。</w:t>
      </w:r>
    </w:p>
    <w:p>
      <w:pPr>
        <w:spacing w:line="360" w:lineRule="auto"/>
        <w:rPr>
          <w:rFonts w:hint="eastAsia" w:ascii="宋体" w:hAnsi="宋体" w:cs="宋体"/>
          <w:b/>
          <w:color w:val="auto"/>
        </w:rPr>
      </w:pPr>
      <w:r>
        <w:rPr>
          <w:rFonts w:hint="eastAsia" w:ascii="宋体" w:hAnsi="宋体" w:cs="宋体"/>
          <w:b/>
          <w:color w:val="auto"/>
        </w:rPr>
        <w:t>五、其他</w:t>
      </w:r>
    </w:p>
    <w:p>
      <w:pPr>
        <w:spacing w:line="360" w:lineRule="auto"/>
        <w:ind w:firstLine="420"/>
        <w:rPr>
          <w:rFonts w:hint="eastAsia" w:ascii="宋体" w:hAnsi="宋体" w:cs="宋体"/>
          <w:color w:val="auto"/>
        </w:rPr>
      </w:pPr>
      <w:r>
        <w:rPr>
          <w:rFonts w:hint="eastAsia" w:ascii="宋体" w:hAnsi="宋体" w:cs="宋体"/>
          <w:color w:val="auto"/>
        </w:rPr>
        <w:t>本工程质量保修书，由施工合同发包人、承包人双方在签订合同协议书时一并签订，作为施工合同附件，其有效保修期限至保修期满。</w:t>
      </w:r>
    </w:p>
    <w:p>
      <w:pPr>
        <w:spacing w:line="360" w:lineRule="auto"/>
        <w:ind w:firstLine="420"/>
        <w:rPr>
          <w:rFonts w:hint="eastAsia" w:ascii="宋体" w:hAnsi="宋体" w:cs="宋体"/>
          <w:color w:val="auto"/>
        </w:rPr>
      </w:pPr>
    </w:p>
    <w:p>
      <w:pPr>
        <w:spacing w:line="460" w:lineRule="exact"/>
        <w:ind w:firstLine="525" w:firstLineChars="250"/>
        <w:rPr>
          <w:rFonts w:ascii="宋体" w:hAnsi="宋体" w:cs="MingLiUfalt"/>
          <w:snapToGrid w:val="0"/>
          <w:color w:val="auto"/>
          <w:kern w:val="0"/>
          <w:szCs w:val="21"/>
        </w:rPr>
      </w:pPr>
      <w:r>
        <w:rPr>
          <w:rFonts w:hint="eastAsia" w:ascii="宋体" w:hAnsi="宋体" w:cs="MingLiUfalt"/>
          <w:snapToGrid w:val="0"/>
          <w:color w:val="auto"/>
          <w:kern w:val="0"/>
          <w:szCs w:val="21"/>
        </w:rPr>
        <w:t>发包人：</w:t>
      </w:r>
      <w:r>
        <w:rPr>
          <w:rFonts w:hint="eastAsia" w:ascii="宋体" w:hAnsi="宋体"/>
          <w:color w:val="auto"/>
          <w:u w:val="single"/>
        </w:rPr>
        <w:t>　　　　　　　　　　（</w:t>
      </w:r>
      <w:r>
        <w:rPr>
          <w:rFonts w:hint="eastAsia" w:ascii="宋体" w:hAnsi="宋体" w:cs="MingLiUfalt"/>
          <w:snapToGrid w:val="0"/>
          <w:color w:val="auto"/>
          <w:kern w:val="0"/>
          <w:szCs w:val="21"/>
        </w:rPr>
        <w:t>盖单位章）    承包人：</w:t>
      </w:r>
      <w:r>
        <w:rPr>
          <w:rFonts w:hint="eastAsia" w:ascii="宋体" w:hAnsi="宋体"/>
          <w:color w:val="auto"/>
          <w:u w:val="single"/>
        </w:rPr>
        <w:t>　　　　　　　　　　（</w:t>
      </w:r>
      <w:r>
        <w:rPr>
          <w:rFonts w:hint="eastAsia" w:ascii="宋体" w:hAnsi="宋体" w:cs="MingLiUfalt"/>
          <w:snapToGrid w:val="0"/>
          <w:color w:val="auto"/>
          <w:kern w:val="0"/>
          <w:szCs w:val="21"/>
        </w:rPr>
        <w:t>盖单位章）</w:t>
      </w:r>
      <w:r>
        <w:rPr>
          <w:rFonts w:ascii="宋体" w:hAnsi="宋体" w:cs="MingLiUfalt"/>
          <w:snapToGrid w:val="0"/>
          <w:color w:val="auto"/>
          <w:kern w:val="0"/>
          <w:szCs w:val="21"/>
        </w:rPr>
        <w:t xml:space="preserve">  </w:t>
      </w:r>
    </w:p>
    <w:p>
      <w:pPr>
        <w:spacing w:line="460" w:lineRule="exact"/>
        <w:ind w:firstLine="525" w:firstLineChars="250"/>
        <w:rPr>
          <w:rFonts w:ascii="宋体" w:hAnsi="宋体"/>
          <w:color w:val="auto"/>
        </w:rPr>
      </w:pPr>
      <w:r>
        <w:rPr>
          <w:rFonts w:hint="eastAsia" w:ascii="宋体" w:hAnsi="宋体"/>
          <w:color w:val="auto"/>
        </w:rPr>
        <w:t>法定地址：</w:t>
      </w:r>
      <w:r>
        <w:rPr>
          <w:rFonts w:hint="eastAsia" w:ascii="宋体" w:hAnsi="宋体"/>
          <w:color w:val="auto"/>
          <w:u w:val="single"/>
        </w:rPr>
        <w:t>　　　　　　　　　  　</w:t>
      </w:r>
      <w:r>
        <w:rPr>
          <w:rFonts w:hint="eastAsia" w:ascii="宋体" w:hAnsi="宋体"/>
          <w:color w:val="auto"/>
        </w:rPr>
        <w:t>　　　    法定地址：</w:t>
      </w:r>
      <w:r>
        <w:rPr>
          <w:rFonts w:hint="eastAsia" w:ascii="宋体" w:hAnsi="宋体"/>
          <w:color w:val="auto"/>
          <w:u w:val="single"/>
        </w:rPr>
        <w:t>　　　　　　　　    　　</w:t>
      </w:r>
    </w:p>
    <w:p>
      <w:pPr>
        <w:spacing w:line="460" w:lineRule="exact"/>
        <w:ind w:firstLine="525" w:firstLineChars="250"/>
        <w:rPr>
          <w:rFonts w:ascii="宋体" w:hAnsi="宋体" w:cs="MingLiUfalt"/>
          <w:snapToGrid w:val="0"/>
          <w:color w:val="auto"/>
          <w:kern w:val="0"/>
          <w:szCs w:val="21"/>
        </w:rPr>
      </w:pPr>
      <w:r>
        <w:rPr>
          <w:rFonts w:hint="eastAsia" w:ascii="宋体" w:hAnsi="宋体" w:cs="MingLiUfalt"/>
          <w:snapToGrid w:val="0"/>
          <w:color w:val="auto"/>
          <w:kern w:val="0"/>
          <w:szCs w:val="21"/>
        </w:rPr>
        <w:t>法定代表人或其委托代理人：</w:t>
      </w:r>
      <w:r>
        <w:rPr>
          <w:rFonts w:hint="eastAsia" w:ascii="宋体" w:hAnsi="宋体"/>
          <w:color w:val="auto"/>
          <w:u w:val="single"/>
        </w:rPr>
        <w:t>　　　</w:t>
      </w:r>
      <w:r>
        <w:rPr>
          <w:rFonts w:hint="eastAsia" w:ascii="宋体" w:hAnsi="宋体"/>
          <w:color w:val="auto"/>
        </w:rPr>
        <w:t>（签字）</w:t>
      </w:r>
      <w:r>
        <w:rPr>
          <w:rFonts w:hint="eastAsia" w:ascii="宋体" w:hAnsi="宋体" w:cs="MingLiUfalt"/>
          <w:snapToGrid w:val="0"/>
          <w:color w:val="auto"/>
          <w:kern w:val="0"/>
          <w:szCs w:val="21"/>
        </w:rPr>
        <w:t xml:space="preserve">  法定代表人或其委托代理人：</w:t>
      </w:r>
      <w:r>
        <w:rPr>
          <w:rFonts w:hint="eastAsia" w:ascii="宋体" w:hAnsi="宋体"/>
          <w:color w:val="auto"/>
          <w:u w:val="single"/>
        </w:rPr>
        <w:t>　　　　</w:t>
      </w:r>
      <w:r>
        <w:rPr>
          <w:rFonts w:hint="eastAsia" w:ascii="宋体" w:hAnsi="宋体"/>
          <w:color w:val="auto"/>
        </w:rPr>
        <w:t>（签字）</w:t>
      </w:r>
    </w:p>
    <w:p>
      <w:pPr>
        <w:spacing w:line="460" w:lineRule="exact"/>
        <w:ind w:firstLine="525" w:firstLineChars="250"/>
        <w:rPr>
          <w:rFonts w:ascii="宋体" w:hAnsi="宋体"/>
          <w:color w:val="auto"/>
        </w:rPr>
      </w:pPr>
      <w:r>
        <w:rPr>
          <w:rFonts w:hint="eastAsia" w:ascii="宋体" w:hAnsi="宋体"/>
          <w:color w:val="auto"/>
        </w:rPr>
        <w:t>电    话：</w:t>
      </w:r>
      <w:r>
        <w:rPr>
          <w:rFonts w:hint="eastAsia" w:ascii="宋体" w:hAnsi="宋体"/>
          <w:color w:val="auto"/>
          <w:u w:val="single"/>
        </w:rPr>
        <w:t>　　　　　　  　　　　</w:t>
      </w:r>
      <w:r>
        <w:rPr>
          <w:rFonts w:hint="eastAsia" w:ascii="宋体" w:hAnsi="宋体"/>
          <w:color w:val="auto"/>
        </w:rPr>
        <w:t>　　　　  电    话：</w:t>
      </w:r>
      <w:r>
        <w:rPr>
          <w:rFonts w:hint="eastAsia" w:ascii="宋体" w:hAnsi="宋体"/>
          <w:color w:val="auto"/>
          <w:u w:val="single"/>
        </w:rPr>
        <w:t>　　　　　　　　    　　</w:t>
      </w:r>
      <w:r>
        <w:rPr>
          <w:rFonts w:hint="eastAsia" w:ascii="宋体" w:hAnsi="宋体"/>
          <w:color w:val="auto"/>
        </w:rPr>
        <w:t>　</w:t>
      </w:r>
    </w:p>
    <w:p>
      <w:pPr>
        <w:spacing w:line="460" w:lineRule="exact"/>
        <w:ind w:firstLine="525" w:firstLineChars="250"/>
        <w:rPr>
          <w:rFonts w:ascii="宋体" w:hAnsi="宋体"/>
          <w:color w:val="auto"/>
        </w:rPr>
      </w:pPr>
      <w:r>
        <w:rPr>
          <w:rFonts w:hint="eastAsia" w:ascii="宋体" w:hAnsi="宋体"/>
          <w:color w:val="auto"/>
        </w:rPr>
        <w:t>传    真：</w:t>
      </w:r>
      <w:r>
        <w:rPr>
          <w:rFonts w:hint="eastAsia" w:ascii="宋体" w:hAnsi="宋体"/>
          <w:color w:val="auto"/>
          <w:u w:val="single"/>
        </w:rPr>
        <w:t>　　　　　　　  　　　</w:t>
      </w:r>
      <w:r>
        <w:rPr>
          <w:rFonts w:hint="eastAsia" w:ascii="宋体" w:hAnsi="宋体"/>
          <w:color w:val="auto"/>
        </w:rPr>
        <w:t>　　　　  传    真：</w:t>
      </w:r>
      <w:r>
        <w:rPr>
          <w:rFonts w:hint="eastAsia" w:ascii="宋体" w:hAnsi="宋体"/>
          <w:color w:val="auto"/>
          <w:u w:val="single"/>
        </w:rPr>
        <w:t>　　　　　　　   　 　　</w:t>
      </w:r>
      <w:r>
        <w:rPr>
          <w:rFonts w:hint="eastAsia" w:ascii="宋体" w:hAnsi="宋体"/>
          <w:color w:val="auto"/>
        </w:rPr>
        <w:t>　</w:t>
      </w:r>
    </w:p>
    <w:p>
      <w:pPr>
        <w:spacing w:line="460" w:lineRule="exact"/>
        <w:ind w:firstLine="525" w:firstLineChars="250"/>
        <w:rPr>
          <w:rFonts w:ascii="宋体" w:hAnsi="宋体"/>
          <w:color w:val="auto"/>
        </w:rPr>
      </w:pPr>
      <w:r>
        <w:rPr>
          <w:rFonts w:hint="eastAsia" w:ascii="宋体" w:hAnsi="宋体"/>
          <w:color w:val="auto"/>
        </w:rPr>
        <w:t>电子邮箱：</w:t>
      </w:r>
      <w:r>
        <w:rPr>
          <w:rFonts w:hint="eastAsia" w:ascii="宋体" w:hAnsi="宋体"/>
          <w:color w:val="auto"/>
          <w:u w:val="single"/>
        </w:rPr>
        <w:t>　　　　　　　  　　　</w:t>
      </w:r>
      <w:r>
        <w:rPr>
          <w:rFonts w:hint="eastAsia" w:ascii="宋体" w:hAnsi="宋体"/>
          <w:color w:val="auto"/>
        </w:rPr>
        <w:t>　　　　　电子邮箱：</w:t>
      </w:r>
      <w:r>
        <w:rPr>
          <w:rFonts w:hint="eastAsia" w:ascii="宋体" w:hAnsi="宋体"/>
          <w:color w:val="auto"/>
          <w:u w:val="single"/>
        </w:rPr>
        <w:t>　　　　　　　    　　　</w:t>
      </w:r>
      <w:r>
        <w:rPr>
          <w:rFonts w:hint="eastAsia" w:ascii="宋体" w:hAnsi="宋体"/>
          <w:color w:val="auto"/>
        </w:rPr>
        <w:t>　</w:t>
      </w:r>
    </w:p>
    <w:p>
      <w:pPr>
        <w:spacing w:line="460" w:lineRule="exact"/>
        <w:ind w:firstLine="525" w:firstLineChars="250"/>
        <w:rPr>
          <w:rFonts w:ascii="宋体" w:hAnsi="宋体"/>
          <w:color w:val="auto"/>
        </w:rPr>
      </w:pPr>
      <w:r>
        <w:rPr>
          <w:rFonts w:hint="eastAsia" w:ascii="宋体" w:hAnsi="宋体"/>
          <w:color w:val="auto"/>
        </w:rPr>
        <w:t>开户银行：</w:t>
      </w:r>
      <w:r>
        <w:rPr>
          <w:rFonts w:hint="eastAsia" w:ascii="宋体" w:hAnsi="宋体"/>
          <w:color w:val="auto"/>
          <w:u w:val="single"/>
        </w:rPr>
        <w:t>　　　　　　　 　 　　</w:t>
      </w:r>
      <w:r>
        <w:rPr>
          <w:rFonts w:hint="eastAsia" w:ascii="宋体" w:hAnsi="宋体"/>
          <w:color w:val="auto"/>
        </w:rPr>
        <w:t>　　　　  开户银行：</w:t>
      </w:r>
      <w:r>
        <w:rPr>
          <w:rFonts w:hint="eastAsia" w:ascii="宋体" w:hAnsi="宋体"/>
          <w:color w:val="auto"/>
          <w:u w:val="single"/>
        </w:rPr>
        <w:t>　　　　　　　    　　　</w:t>
      </w:r>
      <w:r>
        <w:rPr>
          <w:rFonts w:hint="eastAsia" w:ascii="宋体" w:hAnsi="宋体"/>
          <w:color w:val="auto"/>
        </w:rPr>
        <w:t>　</w:t>
      </w:r>
    </w:p>
    <w:p>
      <w:pPr>
        <w:spacing w:line="460" w:lineRule="exact"/>
        <w:ind w:firstLine="525" w:firstLineChars="250"/>
        <w:rPr>
          <w:rFonts w:ascii="宋体" w:hAnsi="宋体"/>
          <w:color w:val="auto"/>
        </w:rPr>
      </w:pPr>
      <w:r>
        <w:rPr>
          <w:rFonts w:hint="eastAsia" w:ascii="宋体" w:hAnsi="宋体"/>
          <w:color w:val="auto"/>
        </w:rPr>
        <w:t>帐    号：</w:t>
      </w:r>
      <w:r>
        <w:rPr>
          <w:rFonts w:hint="eastAsia" w:ascii="宋体" w:hAnsi="宋体"/>
          <w:color w:val="auto"/>
          <w:u w:val="single"/>
        </w:rPr>
        <w:t>　　　　　　 　　 　　</w:t>
      </w:r>
      <w:r>
        <w:rPr>
          <w:rFonts w:hint="eastAsia" w:ascii="宋体" w:hAnsi="宋体"/>
          <w:color w:val="auto"/>
        </w:rPr>
        <w:t>　　　　　帐    号：</w:t>
      </w:r>
      <w:r>
        <w:rPr>
          <w:rFonts w:hint="eastAsia" w:ascii="宋体" w:hAnsi="宋体"/>
          <w:color w:val="auto"/>
          <w:u w:val="single"/>
        </w:rPr>
        <w:t>　　　　　　　　    　　</w:t>
      </w:r>
      <w:r>
        <w:rPr>
          <w:rFonts w:hint="eastAsia" w:ascii="宋体" w:hAnsi="宋体"/>
          <w:color w:val="auto"/>
        </w:rPr>
        <w:t>　</w:t>
      </w:r>
    </w:p>
    <w:p>
      <w:pPr>
        <w:spacing w:line="460" w:lineRule="exact"/>
        <w:ind w:firstLine="525" w:firstLineChars="250"/>
        <w:rPr>
          <w:rFonts w:hint="eastAsia" w:ascii="宋体" w:hAnsi="宋体"/>
          <w:color w:val="auto"/>
          <w:u w:val="single"/>
        </w:rPr>
      </w:pPr>
      <w:r>
        <w:rPr>
          <w:rFonts w:hint="eastAsia" w:ascii="宋体" w:hAnsi="宋体"/>
          <w:color w:val="auto"/>
        </w:rPr>
        <w:t>邮政编码：</w:t>
      </w:r>
      <w:r>
        <w:rPr>
          <w:rFonts w:hint="eastAsia" w:ascii="宋体" w:hAnsi="宋体"/>
          <w:color w:val="auto"/>
          <w:u w:val="single"/>
        </w:rPr>
        <w:t>　　　　　　 　　 　　</w:t>
      </w:r>
      <w:r>
        <w:rPr>
          <w:rFonts w:hint="eastAsia" w:ascii="宋体" w:hAnsi="宋体"/>
          <w:color w:val="auto"/>
        </w:rPr>
        <w:t>　　　　　邮政编码：</w:t>
      </w:r>
      <w:r>
        <w:rPr>
          <w:rFonts w:hint="eastAsia" w:ascii="宋体" w:hAnsi="宋体"/>
          <w:color w:val="auto"/>
          <w:u w:val="single"/>
        </w:rPr>
        <w:t xml:space="preserve">　　　　　       　　    </w:t>
      </w:r>
    </w:p>
    <w:p>
      <w:pPr>
        <w:spacing w:line="460" w:lineRule="exact"/>
        <w:ind w:firstLine="105" w:firstLineChars="50"/>
        <w:rPr>
          <w:rFonts w:hint="eastAsia" w:ascii="宋体" w:hAnsi="宋体"/>
          <w:color w:val="auto"/>
          <w:u w:val="single"/>
        </w:rPr>
      </w:pPr>
    </w:p>
    <w:p>
      <w:pPr>
        <w:spacing w:line="460" w:lineRule="exact"/>
        <w:ind w:firstLine="1260" w:firstLineChars="600"/>
        <w:rPr>
          <w:rFonts w:hint="eastAsia" w:ascii="宋体" w:hAnsi="宋体"/>
          <w:color w:val="auto"/>
        </w:rPr>
      </w:pPr>
      <w:r>
        <w:rPr>
          <w:rFonts w:hint="eastAsia" w:ascii="宋体" w:hAnsi="宋体" w:cs="宋体"/>
          <w:color w:val="auto"/>
          <w:u w:val="single"/>
        </w:rPr>
        <w:t xml:space="preserve">      </w:t>
      </w:r>
      <w:r>
        <w:rPr>
          <w:rFonts w:hint="eastAsia" w:ascii="宋体" w:hAnsi="宋体" w:cs="宋体"/>
          <w:color w:val="auto"/>
        </w:rPr>
        <w:t>年</w:t>
      </w:r>
      <w:r>
        <w:rPr>
          <w:rFonts w:hint="eastAsia" w:ascii="宋体" w:hAnsi="宋体" w:cs="宋体"/>
          <w:color w:val="auto"/>
          <w:u w:val="single"/>
        </w:rPr>
        <w:t xml:space="preserve">     </w:t>
      </w:r>
      <w:r>
        <w:rPr>
          <w:rFonts w:hint="eastAsia" w:ascii="宋体" w:hAnsi="宋体" w:cs="宋体"/>
          <w:color w:val="auto"/>
        </w:rPr>
        <w:t>月</w:t>
      </w:r>
      <w:r>
        <w:rPr>
          <w:rFonts w:hint="eastAsia" w:ascii="宋体" w:hAnsi="宋体" w:cs="宋体"/>
          <w:color w:val="auto"/>
          <w:u w:val="single"/>
        </w:rPr>
        <w:t xml:space="preserve">     </w:t>
      </w:r>
      <w:r>
        <w:rPr>
          <w:rFonts w:hint="eastAsia" w:ascii="宋体" w:hAnsi="宋体" w:cs="宋体"/>
          <w:color w:val="auto"/>
        </w:rPr>
        <w:t xml:space="preserve">日                  </w:t>
      </w:r>
      <w:r>
        <w:rPr>
          <w:rFonts w:hint="eastAsia" w:ascii="宋体" w:hAnsi="宋体" w:cs="宋体"/>
          <w:color w:val="auto"/>
          <w:u w:val="single"/>
        </w:rPr>
        <w:t xml:space="preserve">     </w:t>
      </w:r>
      <w:r>
        <w:rPr>
          <w:rFonts w:hint="eastAsia" w:ascii="宋体" w:hAnsi="宋体" w:cs="宋体"/>
          <w:color w:val="auto"/>
        </w:rPr>
        <w:t>年</w:t>
      </w:r>
      <w:r>
        <w:rPr>
          <w:rFonts w:hint="eastAsia" w:ascii="宋体" w:hAnsi="宋体" w:cs="宋体"/>
          <w:color w:val="auto"/>
          <w:u w:val="single"/>
        </w:rPr>
        <w:t xml:space="preserve">      </w:t>
      </w:r>
      <w:r>
        <w:rPr>
          <w:rFonts w:hint="eastAsia" w:ascii="宋体" w:hAnsi="宋体" w:cs="宋体"/>
          <w:color w:val="auto"/>
        </w:rPr>
        <w:t>月</w:t>
      </w:r>
      <w:r>
        <w:rPr>
          <w:rFonts w:hint="eastAsia" w:ascii="宋体" w:hAnsi="宋体" w:cs="宋体"/>
          <w:color w:val="auto"/>
          <w:u w:val="single"/>
        </w:rPr>
        <w:t xml:space="preserve">      </w:t>
      </w:r>
      <w:r>
        <w:rPr>
          <w:rFonts w:hint="eastAsia" w:ascii="宋体" w:hAnsi="宋体" w:cs="宋体"/>
          <w:color w:val="auto"/>
        </w:rPr>
        <w:t>日</w:t>
      </w:r>
    </w:p>
    <w:p>
      <w:pPr>
        <w:spacing w:line="440" w:lineRule="exact"/>
        <w:ind w:firstLine="420" w:firstLineChars="200"/>
        <w:rPr>
          <w:rFonts w:hint="eastAsia" w:ascii="宋体" w:cs="仿宋"/>
          <w:color w:val="auto"/>
          <w:szCs w:val="21"/>
        </w:rPr>
      </w:pPr>
    </w:p>
    <w:bookmarkEnd w:id="137"/>
    <w:bookmarkEnd w:id="138"/>
    <w:bookmarkEnd w:id="139"/>
    <w:bookmarkEnd w:id="140"/>
    <w:bookmarkEnd w:id="141"/>
    <w:bookmarkEnd w:id="142"/>
    <w:bookmarkEnd w:id="143"/>
    <w:bookmarkEnd w:id="144"/>
    <w:bookmarkEnd w:id="145"/>
    <w:bookmarkEnd w:id="770"/>
    <w:bookmarkEnd w:id="771"/>
    <w:p>
      <w:pPr>
        <w:widowControl/>
        <w:adjustRightInd w:val="0"/>
        <w:snapToGrid w:val="0"/>
        <w:spacing w:line="500" w:lineRule="exact"/>
        <w:jc w:val="left"/>
        <w:rPr>
          <w:rFonts w:hint="eastAsia" w:ascii="黑体" w:hAnsi="宋体" w:eastAsia="黑体" w:cs="宋体"/>
          <w:b/>
          <w:color w:val="auto"/>
          <w:kern w:val="0"/>
          <w:sz w:val="44"/>
          <w:szCs w:val="44"/>
        </w:rPr>
      </w:pPr>
    </w:p>
    <w:p>
      <w:pPr>
        <w:rPr>
          <w:color w:val="auto"/>
        </w:rPr>
      </w:pPr>
    </w:p>
    <w:p>
      <w:pPr>
        <w:rPr>
          <w:rFonts w:hint="eastAsia"/>
          <w:color w:val="auto"/>
          <w:sz w:val="36"/>
          <w:szCs w:val="36"/>
        </w:rPr>
      </w:pPr>
      <w:r>
        <w:rPr>
          <w:rFonts w:hint="eastAsia"/>
          <w:color w:val="auto"/>
          <w:sz w:val="36"/>
          <w:szCs w:val="36"/>
        </w:rPr>
        <w:br w:type="page"/>
      </w:r>
    </w:p>
    <w:p>
      <w:pPr>
        <w:pStyle w:val="3"/>
        <w:adjustRightInd w:val="0"/>
        <w:snapToGrid w:val="0"/>
        <w:spacing w:before="0" w:after="0" w:line="360" w:lineRule="exact"/>
        <w:jc w:val="center"/>
        <w:rPr>
          <w:color w:val="auto"/>
          <w:sz w:val="36"/>
          <w:szCs w:val="36"/>
        </w:rPr>
      </w:pPr>
      <w:r>
        <w:rPr>
          <w:rFonts w:hint="eastAsia"/>
          <w:color w:val="auto"/>
          <w:sz w:val="36"/>
          <w:szCs w:val="36"/>
        </w:rPr>
        <w:t>第五章 工程量清单</w:t>
      </w:r>
      <w:bookmarkEnd w:id="123"/>
      <w:bookmarkEnd w:id="124"/>
      <w:bookmarkEnd w:id="125"/>
      <w:bookmarkEnd w:id="126"/>
    </w:p>
    <w:bookmarkEnd w:id="127"/>
    <w:p>
      <w:pPr>
        <w:spacing w:line="360" w:lineRule="exact"/>
        <w:jc w:val="center"/>
        <w:rPr>
          <w:color w:val="auto"/>
        </w:rPr>
      </w:pPr>
      <w:bookmarkStart w:id="884" w:name="招标文件05章工程量清单01"/>
      <w:bookmarkEnd w:id="884"/>
      <w:r>
        <w:rPr>
          <w:rFonts w:hint="eastAsia" w:ascii="宋体" w:hAnsi="宋体"/>
          <w:color w:val="auto"/>
          <w:kern w:val="0"/>
          <w:szCs w:val="21"/>
        </w:rPr>
        <w:t>投标人自行在重庆市铜梁区人民政府网（http://www.cqstl.gov.cn</w:t>
      </w:r>
      <w:r>
        <w:rPr>
          <w:rFonts w:hint="eastAsia" w:ascii="宋体" w:hAnsi="宋体"/>
          <w:color w:val="auto"/>
          <w:kern w:val="0"/>
          <w:szCs w:val="21"/>
          <w:lang w:eastAsia="zh-CN"/>
        </w:rPr>
        <w:t>）</w:t>
      </w:r>
      <w:r>
        <w:rPr>
          <w:rFonts w:hint="eastAsia" w:ascii="宋体" w:hAnsi="宋体"/>
          <w:color w:val="auto"/>
          <w:kern w:val="0"/>
          <w:szCs w:val="21"/>
          <w:lang w:val="en-US" w:eastAsia="zh-CN"/>
        </w:rPr>
        <w:t>下载</w:t>
      </w:r>
      <w:r>
        <w:rPr>
          <w:rFonts w:hint="eastAsia" w:ascii="宋体" w:hAnsi="宋体" w:cs="宋体"/>
          <w:snapToGrid w:val="0"/>
          <w:color w:val="auto"/>
          <w:kern w:val="0"/>
          <w:szCs w:val="21"/>
        </w:rPr>
        <w:t>。</w:t>
      </w:r>
    </w:p>
    <w:p>
      <w:pPr>
        <w:spacing w:line="360" w:lineRule="exact"/>
        <w:rPr>
          <w:color w:val="auto"/>
        </w:rPr>
      </w:pPr>
    </w:p>
    <w:p>
      <w:pPr>
        <w:pStyle w:val="3"/>
        <w:spacing w:before="0" w:after="0" w:line="500" w:lineRule="exact"/>
        <w:jc w:val="center"/>
        <w:rPr>
          <w:color w:val="auto"/>
          <w:sz w:val="36"/>
          <w:szCs w:val="36"/>
        </w:rPr>
      </w:pPr>
      <w:bookmarkStart w:id="885" w:name="_Hlt269644941"/>
      <w:bookmarkEnd w:id="885"/>
      <w:bookmarkStart w:id="886" w:name="招标文件07章技术标准和要求"/>
      <w:bookmarkEnd w:id="886"/>
      <w:bookmarkStart w:id="887" w:name="_Toc513492492"/>
      <w:bookmarkStart w:id="888" w:name="_Toc452058740"/>
      <w:r>
        <w:rPr>
          <w:rFonts w:hint="eastAsia"/>
          <w:color w:val="auto"/>
          <w:sz w:val="36"/>
          <w:szCs w:val="36"/>
        </w:rPr>
        <w:br w:type="page"/>
      </w:r>
      <w:r>
        <w:rPr>
          <w:rFonts w:hint="eastAsia"/>
          <w:color w:val="auto"/>
          <w:sz w:val="36"/>
          <w:szCs w:val="36"/>
        </w:rPr>
        <w:t>第六章  图纸</w:t>
      </w:r>
      <w:bookmarkEnd w:id="887"/>
      <w:bookmarkEnd w:id="888"/>
    </w:p>
    <w:p>
      <w:pPr>
        <w:rPr>
          <w:color w:val="auto"/>
        </w:rPr>
      </w:pPr>
    </w:p>
    <w:p>
      <w:pPr>
        <w:jc w:val="center"/>
        <w:rPr>
          <w:rFonts w:eastAsia="黑体"/>
          <w:b/>
          <w:color w:val="auto"/>
          <w:sz w:val="44"/>
          <w:szCs w:val="44"/>
        </w:rPr>
      </w:pPr>
      <w:r>
        <w:rPr>
          <w:rFonts w:hint="eastAsia" w:ascii="宋体" w:hAnsi="宋体"/>
          <w:color w:val="auto"/>
          <w:kern w:val="0"/>
          <w:szCs w:val="21"/>
        </w:rPr>
        <w:t>投标人自行在重庆市铜梁区人民政府网（http://www.cqstl.gov.cn</w:t>
      </w:r>
      <w:r>
        <w:rPr>
          <w:rFonts w:hint="eastAsia" w:ascii="宋体" w:hAnsi="宋体"/>
          <w:color w:val="auto"/>
          <w:kern w:val="0"/>
          <w:szCs w:val="21"/>
          <w:lang w:eastAsia="zh-CN"/>
        </w:rPr>
        <w:t>）</w:t>
      </w:r>
      <w:r>
        <w:rPr>
          <w:rFonts w:hint="eastAsia" w:ascii="宋体" w:hAnsi="宋体"/>
          <w:color w:val="auto"/>
          <w:kern w:val="0"/>
          <w:szCs w:val="21"/>
          <w:lang w:val="en-US" w:eastAsia="zh-CN"/>
        </w:rPr>
        <w:t>下载</w:t>
      </w:r>
      <w:r>
        <w:rPr>
          <w:rFonts w:hint="eastAsia" w:ascii="宋体" w:hAnsi="宋体" w:cs="宋体"/>
          <w:snapToGrid w:val="0"/>
          <w:color w:val="auto"/>
          <w:kern w:val="0"/>
          <w:szCs w:val="21"/>
        </w:rPr>
        <w:t>。</w:t>
      </w:r>
    </w:p>
    <w:p>
      <w:pPr>
        <w:jc w:val="center"/>
        <w:rPr>
          <w:rFonts w:eastAsia="黑体"/>
          <w:b/>
          <w:color w:val="auto"/>
          <w:sz w:val="44"/>
          <w:szCs w:val="44"/>
        </w:rPr>
      </w:pPr>
    </w:p>
    <w:p>
      <w:pPr>
        <w:jc w:val="center"/>
        <w:rPr>
          <w:rFonts w:eastAsia="黑体"/>
          <w:b/>
          <w:color w:val="auto"/>
          <w:sz w:val="44"/>
          <w:szCs w:val="44"/>
        </w:rPr>
      </w:pPr>
    </w:p>
    <w:p>
      <w:pPr>
        <w:jc w:val="center"/>
        <w:rPr>
          <w:rFonts w:eastAsia="黑体"/>
          <w:b/>
          <w:color w:val="auto"/>
          <w:sz w:val="44"/>
          <w:szCs w:val="44"/>
        </w:rPr>
      </w:pPr>
    </w:p>
    <w:p>
      <w:pPr>
        <w:jc w:val="center"/>
        <w:rPr>
          <w:rFonts w:eastAsia="黑体"/>
          <w:b/>
          <w:color w:val="auto"/>
          <w:sz w:val="44"/>
          <w:szCs w:val="44"/>
        </w:rPr>
      </w:pPr>
    </w:p>
    <w:p>
      <w:pPr>
        <w:jc w:val="center"/>
        <w:rPr>
          <w:rFonts w:eastAsia="黑体"/>
          <w:b/>
          <w:color w:val="auto"/>
          <w:sz w:val="44"/>
          <w:szCs w:val="44"/>
        </w:rPr>
      </w:pPr>
    </w:p>
    <w:p>
      <w:pPr>
        <w:jc w:val="center"/>
        <w:rPr>
          <w:rFonts w:eastAsia="黑体"/>
          <w:b/>
          <w:color w:val="auto"/>
          <w:sz w:val="44"/>
          <w:szCs w:val="44"/>
        </w:rPr>
      </w:pPr>
    </w:p>
    <w:p>
      <w:pPr>
        <w:jc w:val="center"/>
        <w:rPr>
          <w:rFonts w:eastAsia="黑体"/>
          <w:b/>
          <w:color w:val="auto"/>
          <w:sz w:val="44"/>
          <w:szCs w:val="44"/>
        </w:rPr>
      </w:pPr>
    </w:p>
    <w:p>
      <w:pPr>
        <w:jc w:val="center"/>
        <w:rPr>
          <w:rFonts w:eastAsia="黑体"/>
          <w:b/>
          <w:color w:val="auto"/>
          <w:sz w:val="44"/>
          <w:szCs w:val="44"/>
        </w:rPr>
      </w:pPr>
    </w:p>
    <w:p>
      <w:pPr>
        <w:jc w:val="center"/>
        <w:rPr>
          <w:rFonts w:eastAsia="黑体"/>
          <w:b/>
          <w:color w:val="auto"/>
          <w:sz w:val="44"/>
          <w:szCs w:val="44"/>
        </w:rPr>
      </w:pPr>
    </w:p>
    <w:p>
      <w:pPr>
        <w:jc w:val="center"/>
        <w:rPr>
          <w:rFonts w:eastAsia="黑体"/>
          <w:b/>
          <w:color w:val="auto"/>
          <w:sz w:val="44"/>
          <w:szCs w:val="44"/>
        </w:rPr>
      </w:pPr>
    </w:p>
    <w:p>
      <w:pPr>
        <w:jc w:val="center"/>
        <w:rPr>
          <w:rFonts w:eastAsia="黑体"/>
          <w:b/>
          <w:color w:val="auto"/>
          <w:sz w:val="44"/>
          <w:szCs w:val="44"/>
        </w:rPr>
      </w:pPr>
    </w:p>
    <w:p>
      <w:pPr>
        <w:jc w:val="center"/>
        <w:rPr>
          <w:rFonts w:eastAsia="黑体"/>
          <w:b/>
          <w:color w:val="auto"/>
          <w:sz w:val="44"/>
          <w:szCs w:val="44"/>
        </w:rPr>
      </w:pPr>
    </w:p>
    <w:p>
      <w:pPr>
        <w:jc w:val="center"/>
        <w:rPr>
          <w:rFonts w:eastAsia="黑体"/>
          <w:b/>
          <w:color w:val="auto"/>
          <w:sz w:val="44"/>
          <w:szCs w:val="44"/>
        </w:rPr>
      </w:pPr>
    </w:p>
    <w:p>
      <w:pPr>
        <w:jc w:val="center"/>
        <w:rPr>
          <w:rFonts w:eastAsia="黑体"/>
          <w:b/>
          <w:color w:val="auto"/>
          <w:sz w:val="44"/>
          <w:szCs w:val="44"/>
        </w:rPr>
      </w:pPr>
    </w:p>
    <w:p>
      <w:pPr>
        <w:jc w:val="center"/>
        <w:rPr>
          <w:rFonts w:eastAsia="黑体"/>
          <w:b/>
          <w:color w:val="auto"/>
          <w:sz w:val="44"/>
          <w:szCs w:val="44"/>
        </w:rPr>
      </w:pPr>
    </w:p>
    <w:p>
      <w:pPr>
        <w:jc w:val="center"/>
        <w:rPr>
          <w:rFonts w:eastAsia="黑体"/>
          <w:b/>
          <w:color w:val="auto"/>
          <w:sz w:val="44"/>
          <w:szCs w:val="44"/>
        </w:rPr>
      </w:pPr>
    </w:p>
    <w:p>
      <w:pPr>
        <w:jc w:val="center"/>
        <w:rPr>
          <w:rFonts w:eastAsia="黑体"/>
          <w:b/>
          <w:color w:val="auto"/>
          <w:sz w:val="44"/>
          <w:szCs w:val="44"/>
        </w:rPr>
      </w:pPr>
    </w:p>
    <w:p>
      <w:pPr>
        <w:jc w:val="center"/>
        <w:rPr>
          <w:rFonts w:eastAsia="黑体"/>
          <w:b/>
          <w:color w:val="auto"/>
          <w:sz w:val="44"/>
          <w:szCs w:val="44"/>
        </w:rPr>
      </w:pPr>
    </w:p>
    <w:p>
      <w:pPr>
        <w:jc w:val="center"/>
        <w:rPr>
          <w:rFonts w:eastAsia="黑体"/>
          <w:b/>
          <w:color w:val="auto"/>
          <w:sz w:val="44"/>
          <w:szCs w:val="44"/>
        </w:rPr>
      </w:pPr>
    </w:p>
    <w:p>
      <w:pPr>
        <w:jc w:val="center"/>
        <w:rPr>
          <w:rFonts w:eastAsia="黑体"/>
          <w:b/>
          <w:color w:val="auto"/>
          <w:sz w:val="44"/>
          <w:szCs w:val="44"/>
        </w:rPr>
      </w:pPr>
    </w:p>
    <w:p>
      <w:pPr>
        <w:jc w:val="center"/>
        <w:rPr>
          <w:rFonts w:eastAsia="黑体"/>
          <w:b/>
          <w:color w:val="auto"/>
          <w:sz w:val="44"/>
          <w:szCs w:val="44"/>
        </w:rPr>
      </w:pPr>
    </w:p>
    <w:p>
      <w:pPr>
        <w:jc w:val="center"/>
        <w:rPr>
          <w:rFonts w:eastAsia="黑体"/>
          <w:b/>
          <w:color w:val="auto"/>
          <w:sz w:val="44"/>
          <w:szCs w:val="44"/>
        </w:rPr>
      </w:pPr>
    </w:p>
    <w:p>
      <w:pPr>
        <w:jc w:val="center"/>
        <w:rPr>
          <w:rFonts w:eastAsia="黑体"/>
          <w:b/>
          <w:color w:val="auto"/>
          <w:sz w:val="44"/>
          <w:szCs w:val="44"/>
        </w:rPr>
      </w:pPr>
    </w:p>
    <w:p>
      <w:pPr>
        <w:jc w:val="center"/>
        <w:rPr>
          <w:rFonts w:eastAsia="黑体"/>
          <w:b/>
          <w:color w:val="auto"/>
          <w:sz w:val="44"/>
          <w:szCs w:val="44"/>
        </w:rPr>
      </w:pPr>
    </w:p>
    <w:p>
      <w:pPr>
        <w:pStyle w:val="3"/>
        <w:spacing w:line="360" w:lineRule="auto"/>
        <w:jc w:val="center"/>
        <w:rPr>
          <w:rFonts w:ascii="宋体" w:hAnsi="宋体"/>
          <w:color w:val="auto"/>
          <w:sz w:val="32"/>
          <w:szCs w:val="32"/>
        </w:rPr>
      </w:pPr>
      <w:bookmarkStart w:id="889" w:name="_Toc452058741"/>
      <w:bookmarkStart w:id="890" w:name="_Toc513492493"/>
      <w:r>
        <w:rPr>
          <w:rFonts w:hint="eastAsia"/>
          <w:color w:val="auto"/>
          <w:sz w:val="36"/>
          <w:szCs w:val="36"/>
        </w:rPr>
        <w:br w:type="page"/>
      </w:r>
      <w:r>
        <w:rPr>
          <w:rFonts w:hint="eastAsia"/>
          <w:color w:val="auto"/>
          <w:sz w:val="36"/>
          <w:szCs w:val="36"/>
        </w:rPr>
        <w:t xml:space="preserve">第七章  </w:t>
      </w:r>
      <w:bookmarkEnd w:id="889"/>
      <w:bookmarkEnd w:id="890"/>
      <w:r>
        <w:rPr>
          <w:rFonts w:hint="eastAsia"/>
          <w:color w:val="auto"/>
          <w:sz w:val="36"/>
          <w:szCs w:val="36"/>
        </w:rPr>
        <w:t>技术标准和要求</w:t>
      </w:r>
      <w:bookmarkStart w:id="891" w:name="招标文件07章技术标准和要求01"/>
      <w:bookmarkEnd w:id="891"/>
      <w:bookmarkStart w:id="892" w:name="_Toc287620808"/>
      <w:bookmarkStart w:id="893" w:name="_Toc430530524"/>
    </w:p>
    <w:bookmarkEnd w:id="892"/>
    <w:bookmarkEnd w:id="893"/>
    <w:p>
      <w:pPr>
        <w:spacing w:line="360" w:lineRule="auto"/>
        <w:ind w:firstLine="420" w:firstLineChars="200"/>
        <w:jc w:val="left"/>
        <w:rPr>
          <w:rStyle w:val="59"/>
          <w:rFonts w:hint="eastAsia"/>
          <w:color w:val="auto"/>
        </w:rPr>
      </w:pPr>
      <w:r>
        <w:rPr>
          <w:rStyle w:val="59"/>
          <w:rFonts w:hint="eastAsia"/>
          <w:color w:val="auto"/>
        </w:rPr>
        <w:t>一、技术标准和要求以本工程设计</w:t>
      </w:r>
      <w:r>
        <w:rPr>
          <w:rStyle w:val="59"/>
          <w:rFonts w:hint="eastAsia"/>
          <w:color w:val="auto"/>
          <w:lang w:eastAsia="zh-CN"/>
        </w:rPr>
        <w:t>招标人</w:t>
      </w:r>
      <w:r>
        <w:rPr>
          <w:rStyle w:val="59"/>
          <w:rFonts w:hint="eastAsia"/>
          <w:color w:val="auto"/>
        </w:rPr>
        <w:t>要求为准。</w:t>
      </w:r>
    </w:p>
    <w:p>
      <w:pPr>
        <w:spacing w:line="360" w:lineRule="auto"/>
        <w:ind w:firstLine="420" w:firstLineChars="200"/>
        <w:jc w:val="left"/>
        <w:rPr>
          <w:rStyle w:val="59"/>
          <w:color w:val="auto"/>
        </w:rPr>
      </w:pPr>
      <w:r>
        <w:rPr>
          <w:rStyle w:val="59"/>
          <w:rFonts w:hint="eastAsia"/>
          <w:color w:val="auto"/>
        </w:rPr>
        <w:t>二、按国家及重庆市相关设计、施工验收规范及标准执行。</w:t>
      </w:r>
    </w:p>
    <w:p>
      <w:pPr>
        <w:jc w:val="center"/>
        <w:rPr>
          <w:b/>
          <w:bCs/>
          <w:color w:val="auto"/>
          <w:kern w:val="44"/>
          <w:sz w:val="36"/>
          <w:szCs w:val="36"/>
        </w:rPr>
      </w:pPr>
      <w:r>
        <w:rPr>
          <w:rFonts w:ascii="宋体" w:hAnsi="宋体"/>
          <w:color w:val="auto"/>
        </w:rPr>
        <w:br w:type="page"/>
      </w:r>
      <w:bookmarkStart w:id="894" w:name="_Toc430530528"/>
      <w:bookmarkStart w:id="895" w:name="_Toc534185829"/>
      <w:bookmarkStart w:id="896" w:name="_Toc509218852"/>
      <w:bookmarkStart w:id="897" w:name="_Toc4492"/>
      <w:r>
        <w:rPr>
          <w:rFonts w:hint="eastAsia"/>
          <w:b/>
          <w:bCs/>
          <w:color w:val="auto"/>
          <w:kern w:val="44"/>
          <w:sz w:val="36"/>
          <w:szCs w:val="36"/>
        </w:rPr>
        <w:t>第八章  投标文件格式</w:t>
      </w:r>
      <w:bookmarkEnd w:id="894"/>
      <w:bookmarkEnd w:id="895"/>
      <w:bookmarkEnd w:id="896"/>
      <w:bookmarkEnd w:id="897"/>
    </w:p>
    <w:p>
      <w:pPr>
        <w:spacing w:line="360" w:lineRule="auto"/>
        <w:rPr>
          <w:rFonts w:ascii="宋体" w:hAnsi="宋体"/>
          <w:color w:val="auto"/>
          <w:sz w:val="32"/>
          <w:szCs w:val="32"/>
        </w:rPr>
      </w:pPr>
    </w:p>
    <w:p>
      <w:pPr>
        <w:spacing w:line="360" w:lineRule="auto"/>
        <w:jc w:val="center"/>
        <w:rPr>
          <w:rFonts w:ascii="宋体" w:hAnsi="宋体"/>
          <w:b/>
          <w:bCs/>
          <w:color w:val="auto"/>
          <w:sz w:val="32"/>
          <w:szCs w:val="32"/>
        </w:rPr>
      </w:pPr>
      <w:r>
        <w:rPr>
          <w:rFonts w:ascii="宋体" w:hAnsi="宋体"/>
          <w:color w:val="auto"/>
        </w:rPr>
        <w:br w:type="page"/>
      </w:r>
      <w:bookmarkStart w:id="898" w:name="_Toc224103493"/>
      <w:r>
        <w:rPr>
          <w:rFonts w:hint="eastAsia" w:ascii="宋体" w:hAnsi="宋体"/>
          <w:b/>
          <w:bCs/>
          <w:color w:val="auto"/>
          <w:sz w:val="32"/>
          <w:szCs w:val="32"/>
        </w:rPr>
        <w:t>目  录</w:t>
      </w:r>
      <w:bookmarkEnd w:id="898"/>
    </w:p>
    <w:p>
      <w:pPr>
        <w:spacing w:line="360" w:lineRule="auto"/>
        <w:jc w:val="center"/>
        <w:rPr>
          <w:rFonts w:ascii="宋体" w:hAnsi="宋体"/>
          <w:color w:val="auto"/>
        </w:rPr>
      </w:pPr>
    </w:p>
    <w:p>
      <w:pPr>
        <w:spacing w:line="700" w:lineRule="exact"/>
        <w:rPr>
          <w:rFonts w:ascii="宋体" w:hAnsi="宋体"/>
          <w:b/>
          <w:color w:val="auto"/>
          <w:sz w:val="24"/>
          <w:szCs w:val="24"/>
        </w:rPr>
      </w:pPr>
      <w:r>
        <w:rPr>
          <w:rFonts w:hint="eastAsia" w:ascii="宋体" w:hAnsi="宋体"/>
          <w:b/>
          <w:color w:val="auto"/>
          <w:sz w:val="24"/>
          <w:szCs w:val="24"/>
        </w:rPr>
        <w:t>一</w:t>
      </w:r>
      <w:r>
        <w:rPr>
          <w:rFonts w:ascii="宋体" w:hAnsi="宋体"/>
          <w:b/>
          <w:color w:val="auto"/>
          <w:sz w:val="24"/>
          <w:szCs w:val="24"/>
        </w:rPr>
        <w:t>、投标函部分</w:t>
      </w:r>
    </w:p>
    <w:p>
      <w:pPr>
        <w:spacing w:line="700" w:lineRule="exact"/>
        <w:ind w:firstLine="480" w:firstLineChars="200"/>
        <w:rPr>
          <w:rFonts w:ascii="宋体" w:hAnsi="宋体"/>
          <w:color w:val="auto"/>
          <w:sz w:val="24"/>
          <w:szCs w:val="24"/>
        </w:rPr>
      </w:pPr>
      <w:r>
        <w:rPr>
          <w:rFonts w:ascii="宋体" w:hAnsi="宋体"/>
          <w:color w:val="auto"/>
          <w:sz w:val="24"/>
          <w:szCs w:val="24"/>
        </w:rPr>
        <w:t>（一）投标函</w:t>
      </w:r>
    </w:p>
    <w:p>
      <w:pPr>
        <w:spacing w:line="700" w:lineRule="exact"/>
        <w:ind w:firstLine="480" w:firstLineChars="200"/>
        <w:rPr>
          <w:rFonts w:ascii="宋体" w:hAnsi="宋体"/>
          <w:color w:val="auto"/>
          <w:sz w:val="24"/>
          <w:szCs w:val="24"/>
        </w:rPr>
      </w:pPr>
      <w:r>
        <w:rPr>
          <w:rFonts w:hint="eastAsia" w:ascii="宋体" w:hAnsi="宋体"/>
          <w:color w:val="auto"/>
          <w:sz w:val="24"/>
          <w:szCs w:val="24"/>
        </w:rPr>
        <w:t>（二）投标函附录</w:t>
      </w:r>
    </w:p>
    <w:p>
      <w:pPr>
        <w:spacing w:line="700" w:lineRule="exact"/>
        <w:ind w:firstLine="480" w:firstLineChars="200"/>
        <w:rPr>
          <w:rFonts w:hint="eastAsia" w:ascii="宋体" w:hAnsi="宋体"/>
          <w:color w:val="auto"/>
          <w:sz w:val="24"/>
          <w:szCs w:val="24"/>
        </w:rPr>
      </w:pPr>
      <w:r>
        <w:rPr>
          <w:rFonts w:hint="eastAsia" w:ascii="宋体" w:hAnsi="宋体"/>
          <w:color w:val="auto"/>
          <w:sz w:val="24"/>
          <w:szCs w:val="24"/>
        </w:rPr>
        <w:t>（三）法定代表人身份证明或附有法定代表人身份证明的授权委托书</w:t>
      </w:r>
    </w:p>
    <w:p>
      <w:pPr>
        <w:spacing w:line="700" w:lineRule="exact"/>
        <w:rPr>
          <w:rFonts w:ascii="宋体" w:hAnsi="宋体"/>
          <w:b/>
          <w:color w:val="auto"/>
          <w:sz w:val="24"/>
          <w:szCs w:val="24"/>
        </w:rPr>
      </w:pPr>
      <w:r>
        <w:rPr>
          <w:rFonts w:hint="eastAsia" w:ascii="宋体" w:hAnsi="宋体"/>
          <w:b/>
          <w:color w:val="auto"/>
          <w:sz w:val="24"/>
          <w:szCs w:val="24"/>
        </w:rPr>
        <w:t>二</w:t>
      </w:r>
      <w:r>
        <w:rPr>
          <w:rFonts w:ascii="宋体" w:hAnsi="宋体"/>
          <w:b/>
          <w:color w:val="auto"/>
          <w:sz w:val="24"/>
          <w:szCs w:val="24"/>
        </w:rPr>
        <w:t>、</w:t>
      </w:r>
      <w:r>
        <w:rPr>
          <w:rFonts w:hint="eastAsia" w:ascii="宋体" w:hAnsi="宋体"/>
          <w:b/>
          <w:color w:val="auto"/>
          <w:sz w:val="24"/>
          <w:szCs w:val="24"/>
        </w:rPr>
        <w:t>经济</w:t>
      </w:r>
      <w:r>
        <w:rPr>
          <w:rFonts w:ascii="宋体" w:hAnsi="宋体"/>
          <w:b/>
          <w:color w:val="auto"/>
          <w:sz w:val="24"/>
          <w:szCs w:val="24"/>
        </w:rPr>
        <w:t>部分</w:t>
      </w:r>
    </w:p>
    <w:p>
      <w:pPr>
        <w:spacing w:line="700" w:lineRule="exact"/>
        <w:ind w:firstLine="480" w:firstLineChars="200"/>
        <w:rPr>
          <w:rFonts w:ascii="宋体" w:hAnsi="宋体"/>
          <w:color w:val="auto"/>
          <w:sz w:val="24"/>
          <w:szCs w:val="24"/>
        </w:rPr>
      </w:pPr>
      <w:r>
        <w:rPr>
          <w:rFonts w:ascii="宋体" w:hAnsi="宋体"/>
          <w:color w:val="auto"/>
          <w:sz w:val="24"/>
          <w:szCs w:val="24"/>
        </w:rPr>
        <w:t>已标价工程量清单</w:t>
      </w:r>
    </w:p>
    <w:p>
      <w:pPr>
        <w:spacing w:line="700" w:lineRule="exact"/>
        <w:rPr>
          <w:rFonts w:ascii="宋体" w:hAnsi="宋体"/>
          <w:b/>
          <w:color w:val="auto"/>
          <w:sz w:val="24"/>
          <w:szCs w:val="24"/>
        </w:rPr>
      </w:pPr>
      <w:r>
        <w:rPr>
          <w:rFonts w:hint="eastAsia" w:ascii="宋体" w:hAnsi="宋体"/>
          <w:b/>
          <w:color w:val="auto"/>
          <w:sz w:val="24"/>
          <w:szCs w:val="24"/>
        </w:rPr>
        <w:t>三</w:t>
      </w:r>
      <w:r>
        <w:rPr>
          <w:rFonts w:ascii="宋体" w:hAnsi="宋体"/>
          <w:b/>
          <w:color w:val="auto"/>
          <w:sz w:val="24"/>
          <w:szCs w:val="24"/>
        </w:rPr>
        <w:t>、</w:t>
      </w:r>
      <w:r>
        <w:rPr>
          <w:rFonts w:hint="eastAsia" w:ascii="宋体" w:hAnsi="宋体"/>
          <w:b/>
          <w:color w:val="auto"/>
          <w:sz w:val="24"/>
          <w:szCs w:val="24"/>
        </w:rPr>
        <w:t>资格审查部分</w:t>
      </w:r>
    </w:p>
    <w:p>
      <w:pPr>
        <w:spacing w:line="700" w:lineRule="exact"/>
        <w:ind w:firstLine="480" w:firstLineChars="200"/>
        <w:rPr>
          <w:rFonts w:ascii="宋体" w:hAnsi="宋体"/>
          <w:color w:val="auto"/>
          <w:sz w:val="24"/>
          <w:szCs w:val="24"/>
        </w:rPr>
      </w:pPr>
      <w:r>
        <w:rPr>
          <w:rFonts w:ascii="宋体" w:hAnsi="宋体"/>
          <w:color w:val="auto"/>
          <w:sz w:val="24"/>
          <w:szCs w:val="24"/>
        </w:rPr>
        <w:t>（一）</w:t>
      </w:r>
      <w:r>
        <w:rPr>
          <w:rFonts w:hint="eastAsia" w:ascii="宋体" w:hAnsi="宋体"/>
          <w:color w:val="auto"/>
          <w:sz w:val="24"/>
          <w:szCs w:val="24"/>
        </w:rPr>
        <w:t>法定代表人身份证明或附有法定代表人身份证明的授权委托书</w:t>
      </w:r>
    </w:p>
    <w:p>
      <w:pPr>
        <w:spacing w:line="700" w:lineRule="exact"/>
        <w:ind w:firstLine="480" w:firstLineChars="200"/>
        <w:rPr>
          <w:rFonts w:ascii="宋体" w:hAnsi="宋体"/>
          <w:color w:val="auto"/>
          <w:sz w:val="24"/>
          <w:szCs w:val="24"/>
        </w:rPr>
      </w:pPr>
      <w:r>
        <w:rPr>
          <w:rFonts w:ascii="宋体" w:hAnsi="宋体"/>
          <w:color w:val="auto"/>
          <w:sz w:val="24"/>
          <w:szCs w:val="24"/>
        </w:rPr>
        <w:t>（</w:t>
      </w:r>
      <w:r>
        <w:rPr>
          <w:rFonts w:hint="eastAsia" w:ascii="宋体" w:hAnsi="宋体"/>
          <w:color w:val="auto"/>
          <w:sz w:val="24"/>
          <w:szCs w:val="24"/>
        </w:rPr>
        <w:t>二</w:t>
      </w:r>
      <w:r>
        <w:rPr>
          <w:rFonts w:ascii="宋体" w:hAnsi="宋体"/>
          <w:color w:val="auto"/>
          <w:sz w:val="24"/>
          <w:szCs w:val="24"/>
        </w:rPr>
        <w:t>）投标人基本情况表</w:t>
      </w:r>
    </w:p>
    <w:p>
      <w:pPr>
        <w:spacing w:line="700" w:lineRule="exact"/>
        <w:ind w:firstLine="480" w:firstLineChars="200"/>
        <w:rPr>
          <w:rFonts w:ascii="宋体" w:hAnsi="宋体"/>
          <w:color w:val="auto"/>
          <w:sz w:val="24"/>
          <w:szCs w:val="24"/>
        </w:rPr>
      </w:pPr>
      <w:r>
        <w:rPr>
          <w:rFonts w:ascii="宋体" w:hAnsi="宋体"/>
          <w:color w:val="auto"/>
          <w:sz w:val="24"/>
          <w:szCs w:val="24"/>
        </w:rPr>
        <w:t>（</w:t>
      </w:r>
      <w:r>
        <w:rPr>
          <w:rFonts w:hint="eastAsia" w:ascii="宋体" w:hAnsi="宋体"/>
          <w:color w:val="auto"/>
          <w:sz w:val="24"/>
          <w:szCs w:val="24"/>
        </w:rPr>
        <w:t>三</w:t>
      </w:r>
      <w:r>
        <w:rPr>
          <w:rFonts w:ascii="宋体" w:hAnsi="宋体"/>
          <w:color w:val="auto"/>
          <w:sz w:val="24"/>
          <w:szCs w:val="24"/>
        </w:rPr>
        <w:t>）项目管理机构</w:t>
      </w:r>
    </w:p>
    <w:p>
      <w:pPr>
        <w:spacing w:line="700" w:lineRule="exact"/>
        <w:ind w:firstLine="480" w:firstLineChars="200"/>
        <w:rPr>
          <w:rFonts w:ascii="宋体" w:hAnsi="宋体"/>
          <w:color w:val="auto"/>
          <w:sz w:val="24"/>
          <w:szCs w:val="24"/>
        </w:rPr>
      </w:pPr>
      <w:r>
        <w:rPr>
          <w:rFonts w:ascii="宋体" w:hAnsi="宋体"/>
          <w:color w:val="auto"/>
          <w:sz w:val="24"/>
          <w:szCs w:val="24"/>
        </w:rPr>
        <w:t>（</w:t>
      </w:r>
      <w:r>
        <w:rPr>
          <w:rFonts w:hint="eastAsia" w:ascii="宋体" w:hAnsi="宋体"/>
          <w:color w:val="auto"/>
          <w:sz w:val="24"/>
          <w:szCs w:val="24"/>
        </w:rPr>
        <w:t>四</w:t>
      </w:r>
      <w:r>
        <w:rPr>
          <w:rFonts w:ascii="宋体" w:hAnsi="宋体"/>
          <w:color w:val="auto"/>
          <w:sz w:val="24"/>
          <w:szCs w:val="24"/>
        </w:rPr>
        <w:t>）</w:t>
      </w:r>
      <w:r>
        <w:rPr>
          <w:rFonts w:hint="eastAsia" w:ascii="宋体" w:hAnsi="宋体"/>
          <w:color w:val="auto"/>
          <w:sz w:val="24"/>
          <w:szCs w:val="24"/>
        </w:rPr>
        <w:t>承诺</w:t>
      </w:r>
    </w:p>
    <w:p>
      <w:pPr>
        <w:spacing w:line="700" w:lineRule="exact"/>
        <w:ind w:firstLine="480" w:firstLineChars="200"/>
        <w:rPr>
          <w:rFonts w:ascii="宋体" w:hAnsi="宋体"/>
          <w:color w:val="auto"/>
          <w:sz w:val="24"/>
          <w:szCs w:val="24"/>
        </w:rPr>
      </w:pPr>
      <w:r>
        <w:rPr>
          <w:rFonts w:ascii="宋体" w:hAnsi="宋体"/>
          <w:color w:val="auto"/>
          <w:sz w:val="24"/>
          <w:szCs w:val="24"/>
        </w:rPr>
        <w:t>（</w:t>
      </w:r>
      <w:r>
        <w:rPr>
          <w:rFonts w:hint="eastAsia" w:ascii="宋体" w:hAnsi="宋体"/>
          <w:color w:val="auto"/>
          <w:sz w:val="24"/>
          <w:szCs w:val="24"/>
        </w:rPr>
        <w:t>五</w:t>
      </w:r>
      <w:r>
        <w:rPr>
          <w:rFonts w:ascii="宋体" w:hAnsi="宋体"/>
          <w:color w:val="auto"/>
          <w:sz w:val="24"/>
          <w:szCs w:val="24"/>
        </w:rPr>
        <w:t>）其他资料</w:t>
      </w:r>
    </w:p>
    <w:p>
      <w:pPr>
        <w:autoSpaceDE w:val="0"/>
        <w:autoSpaceDN w:val="0"/>
        <w:adjustRightInd w:val="0"/>
        <w:spacing w:line="276" w:lineRule="auto"/>
        <w:ind w:right="-23"/>
        <w:jc w:val="left"/>
        <w:rPr>
          <w:rFonts w:ascii="宋体" w:hAnsi="宋体"/>
          <w:color w:val="auto"/>
          <w:kern w:val="0"/>
          <w:sz w:val="24"/>
          <w:szCs w:val="24"/>
          <w:u w:val="single"/>
        </w:rPr>
      </w:pPr>
      <w:r>
        <w:rPr>
          <w:rFonts w:ascii="宋体" w:hAnsi="宋体"/>
          <w:b/>
          <w:color w:val="auto"/>
          <w:kern w:val="0"/>
          <w:sz w:val="24"/>
          <w:szCs w:val="24"/>
        </w:rPr>
        <w:br w:type="page"/>
      </w:r>
      <w:bookmarkStart w:id="899" w:name="_Toc287607866"/>
      <w:bookmarkStart w:id="900" w:name="_Toc277082642"/>
      <w:bookmarkStart w:id="901" w:name="_Toc224103494"/>
      <w:bookmarkStart w:id="902" w:name="_Toc430530529"/>
      <w:bookmarkStart w:id="903" w:name="_Toc287620813"/>
    </w:p>
    <w:p>
      <w:pPr>
        <w:pStyle w:val="4"/>
        <w:jc w:val="center"/>
        <w:rPr>
          <w:rFonts w:ascii="宋体" w:hAnsi="宋体"/>
          <w:b w:val="0"/>
          <w:bCs w:val="0"/>
          <w:color w:val="auto"/>
        </w:rPr>
      </w:pPr>
      <w:bookmarkStart w:id="904" w:name="_Toc18666"/>
      <w:bookmarkStart w:id="905" w:name="_Toc21513"/>
      <w:r>
        <w:rPr>
          <w:rFonts w:hint="eastAsia" w:ascii="宋体" w:hAnsi="宋体"/>
          <w:b w:val="0"/>
          <w:bCs w:val="0"/>
          <w:color w:val="auto"/>
        </w:rPr>
        <w:t>一、投标函部分</w:t>
      </w:r>
      <w:bookmarkEnd w:id="899"/>
      <w:bookmarkEnd w:id="900"/>
      <w:bookmarkEnd w:id="901"/>
      <w:bookmarkEnd w:id="902"/>
      <w:bookmarkEnd w:id="903"/>
      <w:bookmarkEnd w:id="904"/>
      <w:bookmarkEnd w:id="905"/>
    </w:p>
    <w:p>
      <w:pPr>
        <w:spacing w:line="360" w:lineRule="auto"/>
        <w:jc w:val="center"/>
        <w:rPr>
          <w:rFonts w:ascii="宋体" w:hAnsi="宋体"/>
          <w:color w:val="auto"/>
          <w:kern w:val="0"/>
          <w:sz w:val="28"/>
          <w:szCs w:val="28"/>
          <w:u w:val="single"/>
        </w:rPr>
      </w:pPr>
    </w:p>
    <w:p>
      <w:pPr>
        <w:spacing w:line="360" w:lineRule="auto"/>
        <w:jc w:val="center"/>
        <w:rPr>
          <w:rFonts w:ascii="宋体" w:hAnsi="宋体"/>
          <w:color w:val="auto"/>
          <w:kern w:val="0"/>
          <w:sz w:val="28"/>
          <w:szCs w:val="28"/>
          <w:u w:val="single"/>
        </w:rPr>
      </w:pPr>
    </w:p>
    <w:p>
      <w:pPr>
        <w:spacing w:line="360" w:lineRule="auto"/>
        <w:jc w:val="center"/>
        <w:rPr>
          <w:rFonts w:ascii="宋体" w:hAnsi="宋体"/>
          <w:color w:val="auto"/>
          <w:kern w:val="0"/>
          <w:sz w:val="28"/>
          <w:szCs w:val="28"/>
          <w:u w:val="single"/>
        </w:rPr>
      </w:pPr>
    </w:p>
    <w:p>
      <w:pPr>
        <w:spacing w:line="360" w:lineRule="auto"/>
        <w:jc w:val="center"/>
        <w:rPr>
          <w:rFonts w:ascii="宋体" w:hAnsi="宋体"/>
          <w:color w:val="auto"/>
          <w:kern w:val="0"/>
          <w:sz w:val="28"/>
          <w:szCs w:val="28"/>
          <w:u w:val="single"/>
        </w:rPr>
      </w:pPr>
    </w:p>
    <w:p>
      <w:pPr>
        <w:spacing w:line="360" w:lineRule="auto"/>
        <w:jc w:val="center"/>
        <w:rPr>
          <w:rFonts w:ascii="宋体" w:hAnsi="宋体"/>
          <w:color w:val="auto"/>
          <w:kern w:val="0"/>
          <w:sz w:val="28"/>
          <w:szCs w:val="28"/>
          <w:u w:val="single"/>
        </w:rPr>
      </w:pPr>
    </w:p>
    <w:p>
      <w:pPr>
        <w:spacing w:line="360" w:lineRule="auto"/>
        <w:jc w:val="center"/>
        <w:rPr>
          <w:rFonts w:ascii="宋体" w:hAnsi="宋体"/>
          <w:color w:val="auto"/>
          <w:kern w:val="0"/>
          <w:sz w:val="28"/>
          <w:szCs w:val="28"/>
          <w:u w:val="single"/>
        </w:rPr>
      </w:pPr>
    </w:p>
    <w:p>
      <w:pPr>
        <w:spacing w:line="360" w:lineRule="auto"/>
        <w:jc w:val="center"/>
        <w:rPr>
          <w:rFonts w:ascii="宋体" w:hAnsi="宋体"/>
          <w:color w:val="auto"/>
          <w:kern w:val="0"/>
          <w:sz w:val="28"/>
          <w:szCs w:val="28"/>
          <w:u w:val="single"/>
        </w:rPr>
      </w:pPr>
    </w:p>
    <w:p>
      <w:pPr>
        <w:spacing w:line="360" w:lineRule="auto"/>
        <w:jc w:val="center"/>
        <w:rPr>
          <w:rFonts w:ascii="宋体" w:hAnsi="宋体"/>
          <w:color w:val="auto"/>
          <w:kern w:val="0"/>
          <w:sz w:val="28"/>
          <w:szCs w:val="28"/>
          <w:u w:val="single"/>
        </w:rPr>
      </w:pPr>
    </w:p>
    <w:p>
      <w:pPr>
        <w:spacing w:line="360" w:lineRule="auto"/>
        <w:jc w:val="center"/>
        <w:rPr>
          <w:rFonts w:ascii="宋体" w:hAnsi="宋体"/>
          <w:color w:val="auto"/>
          <w:kern w:val="0"/>
          <w:sz w:val="28"/>
          <w:szCs w:val="28"/>
          <w:u w:val="single"/>
        </w:rPr>
      </w:pPr>
    </w:p>
    <w:p>
      <w:pPr>
        <w:spacing w:line="360" w:lineRule="auto"/>
        <w:jc w:val="center"/>
        <w:rPr>
          <w:rFonts w:ascii="宋体" w:hAnsi="宋体"/>
          <w:color w:val="auto"/>
          <w:kern w:val="0"/>
          <w:sz w:val="28"/>
          <w:szCs w:val="28"/>
          <w:u w:val="single"/>
        </w:rPr>
      </w:pPr>
    </w:p>
    <w:p>
      <w:pPr>
        <w:spacing w:line="360" w:lineRule="auto"/>
        <w:jc w:val="center"/>
        <w:rPr>
          <w:rFonts w:ascii="宋体" w:hAnsi="宋体"/>
          <w:color w:val="auto"/>
          <w:kern w:val="0"/>
          <w:sz w:val="28"/>
          <w:szCs w:val="28"/>
          <w:u w:val="single"/>
        </w:rPr>
      </w:pPr>
    </w:p>
    <w:p>
      <w:pPr>
        <w:spacing w:line="360" w:lineRule="auto"/>
        <w:jc w:val="center"/>
        <w:rPr>
          <w:rFonts w:ascii="宋体" w:hAnsi="宋体"/>
          <w:color w:val="auto"/>
          <w:kern w:val="0"/>
          <w:sz w:val="28"/>
          <w:szCs w:val="28"/>
          <w:u w:val="single"/>
        </w:rPr>
      </w:pPr>
    </w:p>
    <w:p>
      <w:pPr>
        <w:spacing w:line="360" w:lineRule="auto"/>
        <w:jc w:val="center"/>
        <w:rPr>
          <w:rFonts w:ascii="宋体" w:hAnsi="宋体"/>
          <w:color w:val="auto"/>
          <w:kern w:val="0"/>
          <w:sz w:val="28"/>
          <w:szCs w:val="28"/>
          <w:u w:val="single"/>
        </w:rPr>
      </w:pPr>
    </w:p>
    <w:p>
      <w:pPr>
        <w:spacing w:line="360" w:lineRule="auto"/>
        <w:jc w:val="center"/>
        <w:rPr>
          <w:rFonts w:ascii="宋体" w:hAnsi="宋体"/>
          <w:color w:val="auto"/>
          <w:kern w:val="0"/>
          <w:sz w:val="28"/>
          <w:szCs w:val="28"/>
          <w:u w:val="single"/>
        </w:rPr>
      </w:pPr>
    </w:p>
    <w:p>
      <w:pPr>
        <w:spacing w:line="360" w:lineRule="auto"/>
        <w:jc w:val="center"/>
        <w:rPr>
          <w:rFonts w:ascii="宋体" w:hAnsi="宋体"/>
          <w:color w:val="auto"/>
          <w:kern w:val="0"/>
          <w:sz w:val="28"/>
          <w:szCs w:val="28"/>
          <w:u w:val="single"/>
        </w:rPr>
      </w:pPr>
    </w:p>
    <w:p>
      <w:pPr>
        <w:spacing w:line="360" w:lineRule="auto"/>
        <w:jc w:val="center"/>
        <w:rPr>
          <w:rFonts w:ascii="宋体" w:hAnsi="宋体"/>
          <w:color w:val="auto"/>
          <w:kern w:val="0"/>
          <w:sz w:val="28"/>
          <w:szCs w:val="28"/>
          <w:u w:val="single"/>
        </w:rPr>
      </w:pPr>
    </w:p>
    <w:p>
      <w:pPr>
        <w:pStyle w:val="2"/>
        <w:rPr>
          <w:rFonts w:ascii="宋体" w:hAnsi="宋体"/>
          <w:color w:val="auto"/>
          <w:kern w:val="0"/>
          <w:sz w:val="28"/>
          <w:szCs w:val="28"/>
          <w:u w:val="single"/>
        </w:rPr>
      </w:pPr>
    </w:p>
    <w:p>
      <w:pPr>
        <w:pStyle w:val="64"/>
        <w:rPr>
          <w:rFonts w:ascii="宋体" w:hAnsi="宋体"/>
          <w:color w:val="auto"/>
          <w:kern w:val="0"/>
          <w:sz w:val="28"/>
          <w:szCs w:val="28"/>
          <w:u w:val="single"/>
        </w:rPr>
      </w:pPr>
    </w:p>
    <w:p>
      <w:pPr>
        <w:rPr>
          <w:rFonts w:ascii="宋体" w:hAnsi="宋体"/>
          <w:color w:val="auto"/>
          <w:kern w:val="0"/>
          <w:sz w:val="28"/>
          <w:szCs w:val="28"/>
          <w:u w:val="single"/>
        </w:rPr>
      </w:pPr>
    </w:p>
    <w:p>
      <w:pPr>
        <w:pStyle w:val="2"/>
        <w:rPr>
          <w:rFonts w:ascii="宋体" w:hAnsi="宋体"/>
          <w:color w:val="auto"/>
          <w:kern w:val="0"/>
          <w:sz w:val="28"/>
          <w:szCs w:val="28"/>
          <w:u w:val="single"/>
        </w:rPr>
      </w:pPr>
    </w:p>
    <w:p>
      <w:pPr>
        <w:pStyle w:val="64"/>
        <w:rPr>
          <w:color w:val="auto"/>
        </w:rPr>
      </w:pPr>
    </w:p>
    <w:p>
      <w:pPr>
        <w:spacing w:line="360" w:lineRule="auto"/>
        <w:jc w:val="center"/>
        <w:rPr>
          <w:rFonts w:ascii="宋体" w:hAnsi="宋体"/>
          <w:color w:val="auto"/>
          <w:kern w:val="0"/>
          <w:sz w:val="28"/>
          <w:szCs w:val="28"/>
          <w:u w:val="single"/>
        </w:rPr>
      </w:pPr>
    </w:p>
    <w:p>
      <w:pPr>
        <w:spacing w:line="360" w:lineRule="auto"/>
        <w:jc w:val="center"/>
        <w:rPr>
          <w:rFonts w:ascii="宋体" w:hAnsi="宋体"/>
          <w:color w:val="auto"/>
          <w:kern w:val="0"/>
          <w:sz w:val="28"/>
          <w:szCs w:val="28"/>
          <w:u w:val="single"/>
        </w:rPr>
      </w:pPr>
    </w:p>
    <w:p>
      <w:pPr>
        <w:spacing w:line="360" w:lineRule="auto"/>
        <w:jc w:val="center"/>
        <w:rPr>
          <w:rFonts w:ascii="宋体" w:hAnsi="宋体"/>
          <w:color w:val="auto"/>
          <w:kern w:val="0"/>
          <w:sz w:val="28"/>
          <w:szCs w:val="28"/>
          <w:u w:val="single"/>
        </w:rPr>
      </w:pPr>
    </w:p>
    <w:p>
      <w:pPr>
        <w:spacing w:line="360" w:lineRule="auto"/>
        <w:jc w:val="center"/>
        <w:rPr>
          <w:rFonts w:ascii="宋体" w:hAnsi="宋体"/>
          <w:color w:val="auto"/>
          <w:kern w:val="0"/>
          <w:sz w:val="28"/>
          <w:szCs w:val="28"/>
          <w:u w:val="single"/>
        </w:rPr>
      </w:pPr>
    </w:p>
    <w:p>
      <w:pPr>
        <w:spacing w:line="360" w:lineRule="auto"/>
        <w:jc w:val="center"/>
        <w:rPr>
          <w:rFonts w:ascii="宋体" w:hAnsi="宋体"/>
          <w:color w:val="auto"/>
          <w:kern w:val="0"/>
          <w:sz w:val="28"/>
          <w:szCs w:val="28"/>
          <w:u w:val="single"/>
        </w:rPr>
      </w:pPr>
    </w:p>
    <w:p>
      <w:pPr>
        <w:spacing w:line="360" w:lineRule="auto"/>
        <w:jc w:val="center"/>
        <w:rPr>
          <w:rFonts w:ascii="宋体" w:hAnsi="宋体"/>
          <w:color w:val="auto"/>
          <w:kern w:val="0"/>
          <w:sz w:val="32"/>
          <w:szCs w:val="32"/>
        </w:rPr>
      </w:pPr>
      <w:r>
        <w:rPr>
          <w:rFonts w:hint="eastAsia" w:ascii="宋体" w:hAnsi="宋体"/>
          <w:color w:val="auto"/>
          <w:kern w:val="0"/>
          <w:sz w:val="32"/>
          <w:szCs w:val="32"/>
          <w:u w:val="single"/>
        </w:rPr>
        <w:t xml:space="preserve">                   （项目名称）</w:t>
      </w:r>
    </w:p>
    <w:p>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rPr>
      </w:pPr>
    </w:p>
    <w:p>
      <w:pPr>
        <w:tabs>
          <w:tab w:val="left" w:pos="3600"/>
          <w:tab w:val="left" w:pos="4480"/>
          <w:tab w:val="left" w:pos="5360"/>
        </w:tabs>
        <w:autoSpaceDE w:val="0"/>
        <w:autoSpaceDN w:val="0"/>
        <w:adjustRightInd w:val="0"/>
        <w:snapToGrid w:val="0"/>
        <w:spacing w:line="360" w:lineRule="auto"/>
        <w:jc w:val="center"/>
        <w:rPr>
          <w:rFonts w:ascii="宋体" w:hAnsi="宋体"/>
          <w:color w:val="auto"/>
          <w:kern w:val="0"/>
          <w:sz w:val="72"/>
          <w:szCs w:val="72"/>
        </w:rPr>
      </w:pPr>
      <w:r>
        <w:rPr>
          <w:rFonts w:hint="eastAsia" w:ascii="宋体" w:hAnsi="宋体"/>
          <w:color w:val="auto"/>
          <w:kern w:val="0"/>
          <w:sz w:val="72"/>
          <w:szCs w:val="72"/>
        </w:rPr>
        <w:t>投 标 文 件</w:t>
      </w:r>
    </w:p>
    <w:p>
      <w:pPr>
        <w:autoSpaceDE w:val="0"/>
        <w:autoSpaceDN w:val="0"/>
        <w:adjustRightInd w:val="0"/>
        <w:snapToGrid w:val="0"/>
        <w:spacing w:line="360" w:lineRule="auto"/>
        <w:jc w:val="left"/>
        <w:rPr>
          <w:rFonts w:ascii="宋体" w:hAnsi="宋体"/>
          <w:color w:val="auto"/>
          <w:kern w:val="0"/>
          <w:sz w:val="16"/>
          <w:szCs w:val="16"/>
        </w:rPr>
      </w:pPr>
    </w:p>
    <w:p>
      <w:pPr>
        <w:autoSpaceDE w:val="0"/>
        <w:autoSpaceDN w:val="0"/>
        <w:adjustRightInd w:val="0"/>
        <w:snapToGrid w:val="0"/>
        <w:spacing w:line="360" w:lineRule="auto"/>
        <w:jc w:val="center"/>
        <w:rPr>
          <w:rFonts w:ascii="宋体" w:hAnsi="宋体"/>
          <w:color w:val="auto"/>
          <w:kern w:val="0"/>
          <w:sz w:val="36"/>
          <w:szCs w:val="36"/>
        </w:rPr>
      </w:pPr>
      <w:r>
        <w:rPr>
          <w:rFonts w:hint="eastAsia" w:ascii="宋体" w:hAnsi="宋体"/>
          <w:color w:val="auto"/>
          <w:kern w:val="0"/>
          <w:sz w:val="36"/>
          <w:szCs w:val="36"/>
        </w:rPr>
        <w:t>投标函部分</w:t>
      </w:r>
    </w:p>
    <w:p>
      <w:pPr>
        <w:autoSpaceDE w:val="0"/>
        <w:autoSpaceDN w:val="0"/>
        <w:adjustRightInd w:val="0"/>
        <w:snapToGrid w:val="0"/>
        <w:spacing w:line="360" w:lineRule="auto"/>
        <w:jc w:val="left"/>
        <w:rPr>
          <w:rFonts w:ascii="宋体" w:hAnsi="宋体"/>
          <w:b/>
          <w:color w:val="auto"/>
          <w:kern w:val="0"/>
          <w:sz w:val="20"/>
        </w:rPr>
      </w:pPr>
    </w:p>
    <w:p>
      <w:pPr>
        <w:autoSpaceDE w:val="0"/>
        <w:autoSpaceDN w:val="0"/>
        <w:adjustRightInd w:val="0"/>
        <w:snapToGrid w:val="0"/>
        <w:spacing w:line="360" w:lineRule="auto"/>
        <w:jc w:val="left"/>
        <w:rPr>
          <w:rFonts w:ascii="宋体" w:hAnsi="宋体"/>
          <w:b/>
          <w:color w:val="auto"/>
          <w:kern w:val="0"/>
          <w:sz w:val="20"/>
        </w:rPr>
      </w:pPr>
    </w:p>
    <w:p>
      <w:pPr>
        <w:autoSpaceDE w:val="0"/>
        <w:autoSpaceDN w:val="0"/>
        <w:adjustRightInd w:val="0"/>
        <w:snapToGrid w:val="0"/>
        <w:spacing w:line="360" w:lineRule="auto"/>
        <w:jc w:val="left"/>
        <w:rPr>
          <w:rFonts w:ascii="宋体" w:hAnsi="宋体"/>
          <w:b/>
          <w:color w:val="auto"/>
          <w:kern w:val="0"/>
          <w:sz w:val="20"/>
        </w:rPr>
      </w:pPr>
    </w:p>
    <w:p>
      <w:pPr>
        <w:autoSpaceDE w:val="0"/>
        <w:autoSpaceDN w:val="0"/>
        <w:adjustRightInd w:val="0"/>
        <w:snapToGrid w:val="0"/>
        <w:spacing w:line="360" w:lineRule="auto"/>
        <w:jc w:val="left"/>
        <w:rPr>
          <w:rFonts w:ascii="宋体" w:hAnsi="宋体"/>
          <w:b/>
          <w:color w:val="auto"/>
          <w:kern w:val="0"/>
          <w:sz w:val="20"/>
        </w:rPr>
      </w:pPr>
    </w:p>
    <w:p>
      <w:pPr>
        <w:autoSpaceDE w:val="0"/>
        <w:autoSpaceDN w:val="0"/>
        <w:adjustRightInd w:val="0"/>
        <w:snapToGrid w:val="0"/>
        <w:spacing w:line="360" w:lineRule="auto"/>
        <w:jc w:val="left"/>
        <w:rPr>
          <w:rFonts w:ascii="宋体" w:hAnsi="宋体"/>
          <w:b/>
          <w:color w:val="auto"/>
          <w:kern w:val="0"/>
          <w:sz w:val="20"/>
        </w:rPr>
      </w:pPr>
    </w:p>
    <w:p>
      <w:pPr>
        <w:autoSpaceDE w:val="0"/>
        <w:autoSpaceDN w:val="0"/>
        <w:adjustRightInd w:val="0"/>
        <w:snapToGrid w:val="0"/>
        <w:spacing w:line="360" w:lineRule="auto"/>
        <w:jc w:val="left"/>
        <w:rPr>
          <w:rFonts w:ascii="宋体" w:hAnsi="宋体"/>
          <w:b/>
          <w:color w:val="auto"/>
          <w:kern w:val="0"/>
          <w:sz w:val="20"/>
        </w:rPr>
      </w:pPr>
    </w:p>
    <w:p>
      <w:pPr>
        <w:autoSpaceDE w:val="0"/>
        <w:autoSpaceDN w:val="0"/>
        <w:adjustRightInd w:val="0"/>
        <w:snapToGrid w:val="0"/>
        <w:spacing w:line="360" w:lineRule="auto"/>
        <w:jc w:val="left"/>
        <w:rPr>
          <w:rFonts w:ascii="宋体" w:hAnsi="宋体"/>
          <w:b/>
          <w:color w:val="auto"/>
          <w:kern w:val="0"/>
          <w:sz w:val="20"/>
        </w:rPr>
      </w:pPr>
    </w:p>
    <w:p>
      <w:pPr>
        <w:autoSpaceDE w:val="0"/>
        <w:autoSpaceDN w:val="0"/>
        <w:adjustRightInd w:val="0"/>
        <w:snapToGrid w:val="0"/>
        <w:spacing w:line="360" w:lineRule="auto"/>
        <w:jc w:val="left"/>
        <w:rPr>
          <w:rFonts w:ascii="宋体" w:hAnsi="宋体"/>
          <w:b/>
          <w:color w:val="auto"/>
          <w:kern w:val="0"/>
          <w:sz w:val="20"/>
        </w:rPr>
      </w:pPr>
    </w:p>
    <w:p>
      <w:pPr>
        <w:autoSpaceDE w:val="0"/>
        <w:autoSpaceDN w:val="0"/>
        <w:adjustRightInd w:val="0"/>
        <w:snapToGrid w:val="0"/>
        <w:spacing w:line="360" w:lineRule="auto"/>
        <w:jc w:val="left"/>
        <w:rPr>
          <w:rFonts w:ascii="宋体" w:hAnsi="宋体"/>
          <w:b/>
          <w:color w:val="auto"/>
          <w:kern w:val="0"/>
          <w:sz w:val="20"/>
        </w:rPr>
      </w:pPr>
    </w:p>
    <w:p>
      <w:pPr>
        <w:autoSpaceDE w:val="0"/>
        <w:autoSpaceDN w:val="0"/>
        <w:adjustRightInd w:val="0"/>
        <w:snapToGrid w:val="0"/>
        <w:spacing w:line="360" w:lineRule="auto"/>
        <w:jc w:val="left"/>
        <w:rPr>
          <w:rFonts w:ascii="宋体" w:hAnsi="宋体"/>
          <w:b/>
          <w:color w:val="auto"/>
          <w:kern w:val="0"/>
          <w:sz w:val="20"/>
        </w:rPr>
      </w:pPr>
    </w:p>
    <w:p>
      <w:pPr>
        <w:autoSpaceDE w:val="0"/>
        <w:autoSpaceDN w:val="0"/>
        <w:adjustRightInd w:val="0"/>
        <w:snapToGrid w:val="0"/>
        <w:spacing w:line="360" w:lineRule="auto"/>
        <w:jc w:val="left"/>
        <w:rPr>
          <w:rFonts w:ascii="宋体" w:hAnsi="宋体"/>
          <w:b/>
          <w:color w:val="auto"/>
          <w:kern w:val="0"/>
          <w:sz w:val="20"/>
        </w:rPr>
      </w:pPr>
    </w:p>
    <w:p>
      <w:pPr>
        <w:tabs>
          <w:tab w:val="left" w:pos="6080"/>
          <w:tab w:val="left" w:pos="6640"/>
        </w:tabs>
        <w:autoSpaceDE w:val="0"/>
        <w:autoSpaceDN w:val="0"/>
        <w:adjustRightInd w:val="0"/>
        <w:snapToGrid w:val="0"/>
        <w:spacing w:after="120" w:afterLines="50" w:line="360" w:lineRule="auto"/>
        <w:jc w:val="center"/>
        <w:rPr>
          <w:rFonts w:ascii="宋体" w:hAnsi="宋体"/>
          <w:color w:val="auto"/>
          <w:w w:val="99"/>
          <w:kern w:val="0"/>
          <w:sz w:val="28"/>
          <w:szCs w:val="28"/>
        </w:rPr>
      </w:pPr>
      <w:r>
        <w:rPr>
          <w:rFonts w:ascii="宋体" w:hAnsi="宋体"/>
          <w:color w:val="auto"/>
          <w:w w:val="99"/>
          <w:kern w:val="0"/>
          <w:sz w:val="28"/>
          <w:szCs w:val="28"/>
        </w:rPr>
        <w:t>投标人</w:t>
      </w:r>
      <w:r>
        <w:rPr>
          <w:rFonts w:ascii="宋体" w:hAnsi="宋体"/>
          <w:color w:val="auto"/>
          <w:spacing w:val="1"/>
          <w:w w:val="99"/>
          <w:kern w:val="0"/>
          <w:sz w:val="28"/>
          <w:szCs w:val="28"/>
        </w:rPr>
        <w:t>：</w:t>
      </w:r>
      <w:r>
        <w:rPr>
          <w:rFonts w:ascii="宋体" w:hAnsi="宋体"/>
          <w:color w:val="auto"/>
          <w:w w:val="198"/>
          <w:kern w:val="0"/>
          <w:sz w:val="28"/>
          <w:szCs w:val="28"/>
          <w:u w:val="single"/>
        </w:rPr>
        <w:t xml:space="preserve"> 　　　　 　　</w:t>
      </w:r>
      <w:r>
        <w:rPr>
          <w:rFonts w:ascii="宋体" w:hAnsi="宋体"/>
          <w:color w:val="auto"/>
          <w:w w:val="99"/>
          <w:kern w:val="0"/>
          <w:sz w:val="28"/>
          <w:szCs w:val="28"/>
        </w:rPr>
        <w:t>（盖单位法人章）</w:t>
      </w:r>
    </w:p>
    <w:p>
      <w:pPr>
        <w:tabs>
          <w:tab w:val="left" w:pos="6080"/>
          <w:tab w:val="left" w:pos="6640"/>
        </w:tabs>
        <w:autoSpaceDE w:val="0"/>
        <w:autoSpaceDN w:val="0"/>
        <w:adjustRightInd w:val="0"/>
        <w:snapToGrid w:val="0"/>
        <w:spacing w:after="120" w:afterLines="50" w:line="360" w:lineRule="auto"/>
        <w:jc w:val="center"/>
        <w:rPr>
          <w:rFonts w:ascii="宋体" w:hAnsi="宋体"/>
          <w:color w:val="auto"/>
          <w:kern w:val="0"/>
          <w:sz w:val="28"/>
          <w:szCs w:val="28"/>
        </w:rPr>
      </w:pPr>
      <w:r>
        <w:rPr>
          <w:rFonts w:ascii="宋体" w:hAnsi="宋体"/>
          <w:color w:val="auto"/>
          <w:w w:val="99"/>
          <w:kern w:val="0"/>
          <w:sz w:val="28"/>
          <w:szCs w:val="28"/>
        </w:rPr>
        <w:t>法定代表人或其委托代理人：</w:t>
      </w:r>
      <w:r>
        <w:rPr>
          <w:rFonts w:ascii="宋体" w:hAnsi="宋体"/>
          <w:color w:val="auto"/>
          <w:w w:val="198"/>
          <w:kern w:val="0"/>
          <w:sz w:val="28"/>
          <w:szCs w:val="28"/>
          <w:u w:val="single"/>
        </w:rPr>
        <w:t xml:space="preserve"> 　　 </w:t>
      </w:r>
      <w:r>
        <w:rPr>
          <w:rFonts w:ascii="宋体" w:hAnsi="宋体"/>
          <w:color w:val="auto"/>
          <w:w w:val="99"/>
          <w:kern w:val="0"/>
          <w:sz w:val="28"/>
          <w:szCs w:val="28"/>
        </w:rPr>
        <w:t>（</w:t>
      </w:r>
      <w:r>
        <w:rPr>
          <w:rFonts w:hint="eastAsia" w:ascii="宋体" w:hAnsi="宋体"/>
          <w:color w:val="auto"/>
          <w:w w:val="99"/>
          <w:kern w:val="0"/>
          <w:sz w:val="28"/>
          <w:szCs w:val="28"/>
        </w:rPr>
        <w:t>签名</w:t>
      </w:r>
      <w:r>
        <w:rPr>
          <w:rFonts w:ascii="宋体" w:hAnsi="宋体"/>
          <w:color w:val="auto"/>
          <w:w w:val="99"/>
          <w:kern w:val="0"/>
          <w:sz w:val="28"/>
          <w:szCs w:val="28"/>
        </w:rPr>
        <w:t>或盖章）</w:t>
      </w:r>
    </w:p>
    <w:p>
      <w:pPr>
        <w:autoSpaceDE w:val="0"/>
        <w:autoSpaceDN w:val="0"/>
        <w:adjustRightInd w:val="0"/>
        <w:snapToGrid w:val="0"/>
        <w:spacing w:line="360" w:lineRule="auto"/>
        <w:jc w:val="center"/>
        <w:rPr>
          <w:rFonts w:ascii="宋体" w:hAnsi="宋体"/>
          <w:color w:val="auto"/>
          <w:kern w:val="0"/>
          <w:sz w:val="24"/>
          <w:szCs w:val="21"/>
        </w:rPr>
      </w:pPr>
      <w:r>
        <w:rPr>
          <w:rFonts w:hint="eastAsia" w:ascii="宋体" w:hAnsi="宋体"/>
          <w:color w:val="auto"/>
          <w:w w:val="99"/>
          <w:kern w:val="0"/>
          <w:sz w:val="28"/>
          <w:szCs w:val="28"/>
          <w:u w:val="single"/>
        </w:rPr>
        <w:t xml:space="preserve">      </w:t>
      </w:r>
      <w:r>
        <w:rPr>
          <w:rFonts w:hint="eastAsia" w:ascii="宋体" w:hAnsi="宋体"/>
          <w:color w:val="auto"/>
          <w:w w:val="99"/>
          <w:kern w:val="0"/>
          <w:sz w:val="28"/>
          <w:szCs w:val="28"/>
        </w:rPr>
        <w:t>年</w:t>
      </w:r>
      <w:r>
        <w:rPr>
          <w:rFonts w:hint="eastAsia" w:ascii="宋体" w:hAnsi="宋体"/>
          <w:color w:val="auto"/>
          <w:w w:val="99"/>
          <w:kern w:val="0"/>
          <w:sz w:val="28"/>
          <w:szCs w:val="28"/>
          <w:u w:val="single"/>
        </w:rPr>
        <w:t xml:space="preserve">    </w:t>
      </w:r>
      <w:r>
        <w:rPr>
          <w:rFonts w:hint="eastAsia" w:ascii="宋体" w:hAnsi="宋体"/>
          <w:color w:val="auto"/>
          <w:w w:val="99"/>
          <w:kern w:val="0"/>
          <w:sz w:val="28"/>
          <w:szCs w:val="28"/>
        </w:rPr>
        <w:t>月</w:t>
      </w:r>
      <w:r>
        <w:rPr>
          <w:rFonts w:hint="eastAsia" w:ascii="宋体" w:hAnsi="宋体"/>
          <w:color w:val="auto"/>
          <w:w w:val="99"/>
          <w:kern w:val="0"/>
          <w:sz w:val="28"/>
          <w:szCs w:val="28"/>
          <w:u w:val="single"/>
        </w:rPr>
        <w:t xml:space="preserve">    </w:t>
      </w:r>
      <w:r>
        <w:rPr>
          <w:rFonts w:hint="eastAsia" w:ascii="宋体" w:hAnsi="宋体"/>
          <w:color w:val="auto"/>
          <w:w w:val="99"/>
          <w:kern w:val="0"/>
          <w:sz w:val="28"/>
          <w:szCs w:val="28"/>
        </w:rPr>
        <w:t>日</w:t>
      </w:r>
      <w:r>
        <w:rPr>
          <w:rFonts w:ascii="宋体" w:hAnsi="宋体"/>
          <w:color w:val="auto"/>
          <w:kern w:val="0"/>
          <w:sz w:val="24"/>
          <w:szCs w:val="21"/>
        </w:rPr>
        <w:br w:type="page"/>
      </w:r>
    </w:p>
    <w:p>
      <w:pPr>
        <w:autoSpaceDE w:val="0"/>
        <w:autoSpaceDN w:val="0"/>
        <w:adjustRightInd w:val="0"/>
        <w:snapToGrid w:val="0"/>
        <w:spacing w:line="360" w:lineRule="auto"/>
        <w:jc w:val="center"/>
        <w:rPr>
          <w:rFonts w:ascii="宋体" w:hAnsi="宋体"/>
          <w:color w:val="auto"/>
          <w:kern w:val="0"/>
          <w:sz w:val="32"/>
          <w:szCs w:val="32"/>
        </w:rPr>
      </w:pPr>
      <w:r>
        <w:rPr>
          <w:rFonts w:hint="eastAsia" w:ascii="宋体" w:hAnsi="宋体"/>
          <w:color w:val="auto"/>
          <w:kern w:val="0"/>
          <w:sz w:val="32"/>
          <w:szCs w:val="32"/>
        </w:rPr>
        <w:t>目  录</w:t>
      </w:r>
    </w:p>
    <w:p>
      <w:pPr>
        <w:autoSpaceDE w:val="0"/>
        <w:autoSpaceDN w:val="0"/>
        <w:adjustRightInd w:val="0"/>
        <w:snapToGrid w:val="0"/>
        <w:spacing w:line="360" w:lineRule="auto"/>
        <w:jc w:val="left"/>
        <w:rPr>
          <w:rFonts w:ascii="宋体" w:hAnsi="宋体"/>
          <w:color w:val="auto"/>
          <w:kern w:val="0"/>
          <w:sz w:val="24"/>
          <w:szCs w:val="21"/>
        </w:rPr>
      </w:pPr>
    </w:p>
    <w:p>
      <w:pPr>
        <w:autoSpaceDE w:val="0"/>
        <w:autoSpaceDN w:val="0"/>
        <w:adjustRightInd w:val="0"/>
        <w:spacing w:line="700" w:lineRule="exact"/>
        <w:ind w:firstLine="480" w:firstLineChars="200"/>
        <w:jc w:val="left"/>
        <w:rPr>
          <w:rFonts w:ascii="宋体" w:hAnsi="宋体"/>
          <w:color w:val="auto"/>
          <w:kern w:val="0"/>
          <w:sz w:val="24"/>
          <w:szCs w:val="24"/>
        </w:rPr>
      </w:pPr>
      <w:r>
        <w:rPr>
          <w:rFonts w:ascii="宋体" w:hAnsi="宋体"/>
          <w:color w:val="auto"/>
          <w:kern w:val="0"/>
          <w:sz w:val="24"/>
          <w:szCs w:val="24"/>
        </w:rPr>
        <w:t>（一）投标函</w:t>
      </w:r>
    </w:p>
    <w:p>
      <w:pPr>
        <w:autoSpaceDE w:val="0"/>
        <w:autoSpaceDN w:val="0"/>
        <w:adjustRightInd w:val="0"/>
        <w:spacing w:line="700" w:lineRule="exact"/>
        <w:ind w:firstLine="480" w:firstLineChars="200"/>
        <w:jc w:val="left"/>
        <w:rPr>
          <w:rFonts w:ascii="宋体" w:hAnsi="宋体"/>
          <w:color w:val="auto"/>
          <w:kern w:val="0"/>
          <w:sz w:val="24"/>
          <w:szCs w:val="24"/>
        </w:rPr>
      </w:pPr>
      <w:r>
        <w:rPr>
          <w:rFonts w:hint="eastAsia" w:ascii="宋体" w:hAnsi="宋体"/>
          <w:color w:val="auto"/>
          <w:kern w:val="0"/>
          <w:sz w:val="24"/>
          <w:szCs w:val="24"/>
        </w:rPr>
        <w:t>（二）投标函附录</w:t>
      </w:r>
    </w:p>
    <w:p>
      <w:pPr>
        <w:autoSpaceDE w:val="0"/>
        <w:autoSpaceDN w:val="0"/>
        <w:adjustRightInd w:val="0"/>
        <w:spacing w:line="700" w:lineRule="exact"/>
        <w:ind w:firstLine="480" w:firstLineChars="200"/>
        <w:jc w:val="left"/>
        <w:rPr>
          <w:rFonts w:ascii="宋体" w:hAnsi="宋体"/>
          <w:color w:val="auto"/>
          <w:kern w:val="0"/>
          <w:sz w:val="24"/>
          <w:szCs w:val="24"/>
        </w:rPr>
      </w:pPr>
      <w:r>
        <w:rPr>
          <w:rFonts w:hint="eastAsia" w:ascii="宋体" w:hAnsi="宋体"/>
          <w:color w:val="auto"/>
          <w:kern w:val="0"/>
          <w:sz w:val="24"/>
          <w:szCs w:val="24"/>
        </w:rPr>
        <w:t>（三）法定代表人身份证明或附有法定代表人身份证明的授权委托书</w:t>
      </w:r>
    </w:p>
    <w:p>
      <w:pPr>
        <w:rPr>
          <w:rFonts w:hint="eastAsia" w:ascii="宋体" w:hAnsi="宋体"/>
          <w:b w:val="0"/>
          <w:bCs w:val="0"/>
          <w:color w:val="auto"/>
        </w:rPr>
      </w:pPr>
      <w:bookmarkStart w:id="906" w:name="_Toc430530530"/>
      <w:bookmarkStart w:id="907" w:name="_Toc287607867"/>
      <w:bookmarkStart w:id="908" w:name="_Toc534185831"/>
      <w:bookmarkStart w:id="909" w:name="_Toc24900"/>
      <w:bookmarkStart w:id="910" w:name="_Toc21159"/>
      <w:bookmarkStart w:id="911" w:name="_Toc287620814"/>
      <w:bookmarkStart w:id="912" w:name="_Toc509218854"/>
      <w:bookmarkStart w:id="913" w:name="_Toc277082643"/>
      <w:bookmarkStart w:id="914" w:name="_Toc224103495"/>
    </w:p>
    <w:p>
      <w:pPr>
        <w:rPr>
          <w:rFonts w:hint="eastAsia" w:ascii="宋体" w:hAnsi="宋体"/>
          <w:b w:val="0"/>
          <w:bCs w:val="0"/>
          <w:color w:val="auto"/>
        </w:rPr>
      </w:pPr>
      <w:r>
        <w:rPr>
          <w:rFonts w:hint="eastAsia" w:ascii="宋体" w:hAnsi="宋体"/>
          <w:b w:val="0"/>
          <w:bCs w:val="0"/>
          <w:color w:val="auto"/>
        </w:rPr>
        <w:br w:type="page"/>
      </w:r>
    </w:p>
    <w:bookmarkEnd w:id="906"/>
    <w:bookmarkEnd w:id="907"/>
    <w:bookmarkEnd w:id="908"/>
    <w:bookmarkEnd w:id="909"/>
    <w:bookmarkEnd w:id="910"/>
    <w:bookmarkEnd w:id="911"/>
    <w:bookmarkEnd w:id="912"/>
    <w:bookmarkEnd w:id="913"/>
    <w:bookmarkEnd w:id="914"/>
    <w:p>
      <w:pPr>
        <w:pStyle w:val="5"/>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1"/>
        <w:rPr>
          <w:rFonts w:hint="eastAsia" w:ascii="宋体" w:hAnsi="宋体" w:cs="宋体"/>
          <w:b w:val="0"/>
          <w:color w:val="auto"/>
          <w:highlight w:val="none"/>
        </w:rPr>
      </w:pPr>
      <w:bookmarkStart w:id="915" w:name="_Toc57796008"/>
      <w:bookmarkStart w:id="916" w:name="_Toc536800772"/>
      <w:r>
        <w:rPr>
          <w:rFonts w:hint="eastAsia" w:ascii="宋体" w:hAnsi="宋体" w:cs="宋体"/>
          <w:b w:val="0"/>
          <w:bCs w:val="0"/>
          <w:color w:val="auto"/>
          <w:highlight w:val="none"/>
        </w:rPr>
        <w:t>（一）投标函</w:t>
      </w:r>
      <w:bookmarkEnd w:id="915"/>
      <w:bookmarkEnd w:id="916"/>
    </w:p>
    <w:p>
      <w:pPr>
        <w:keepNext w:val="0"/>
        <w:keepLines w:val="0"/>
        <w:pageBreakBefore w:val="0"/>
        <w:widowControl w:val="0"/>
        <w:tabs>
          <w:tab w:val="left" w:pos="2640"/>
        </w:tabs>
        <w:kinsoku/>
        <w:wordWrap/>
        <w:overflowPunct/>
        <w:topLinePunct w:val="0"/>
        <w:autoSpaceDE w:val="0"/>
        <w:autoSpaceDN w:val="0"/>
        <w:bidi w:val="0"/>
        <w:adjustRightInd w:val="0"/>
        <w:snapToGrid/>
        <w:spacing w:line="380" w:lineRule="exact"/>
        <w:textAlignment w:val="auto"/>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u w:val="single"/>
        </w:rPr>
        <w:tab/>
      </w:r>
      <w:r>
        <w:rPr>
          <w:rFonts w:hint="eastAsia" w:ascii="宋体" w:hAnsi="宋体" w:cs="宋体"/>
          <w:snapToGrid w:val="0"/>
          <w:color w:val="auto"/>
          <w:kern w:val="0"/>
          <w:szCs w:val="21"/>
          <w:highlight w:val="none"/>
          <w:u w:val="single"/>
        </w:rPr>
        <w:t>（招标人名称）</w:t>
      </w:r>
      <w:r>
        <w:rPr>
          <w:rFonts w:hint="eastAsia" w:ascii="宋体" w:hAnsi="宋体" w:cs="宋体"/>
          <w:snapToGrid w:val="0"/>
          <w:color w:val="auto"/>
          <w:kern w:val="0"/>
          <w:szCs w:val="21"/>
          <w:highlight w:val="none"/>
        </w:rPr>
        <w:t>：</w:t>
      </w:r>
    </w:p>
    <w:p>
      <w:pPr>
        <w:keepNext w:val="0"/>
        <w:keepLines w:val="0"/>
        <w:pageBreakBefore w:val="0"/>
        <w:widowControl w:val="0"/>
        <w:kinsoku/>
        <w:wordWrap/>
        <w:overflowPunct/>
        <w:topLinePunct w:val="0"/>
        <w:bidi w:val="0"/>
        <w:snapToGrid/>
        <w:spacing w:line="380" w:lineRule="exact"/>
        <w:ind w:firstLine="420" w:firstLineChars="200"/>
        <w:textAlignment w:val="auto"/>
        <w:rPr>
          <w:rFonts w:ascii="宋体" w:hAnsi="宋体"/>
          <w:color w:val="auto"/>
          <w:szCs w:val="21"/>
          <w:highlight w:val="none"/>
        </w:rPr>
      </w:pPr>
      <w:r>
        <w:rPr>
          <w:rFonts w:hint="eastAsia" w:ascii="宋体" w:hAnsi="宋体" w:cs="宋体"/>
          <w:snapToGrid w:val="0"/>
          <w:color w:val="auto"/>
          <w:kern w:val="0"/>
          <w:szCs w:val="21"/>
          <w:highlight w:val="none"/>
        </w:rPr>
        <w:t xml:space="preserve">1. </w:t>
      </w:r>
      <w:r>
        <w:rPr>
          <w:rFonts w:ascii="宋体" w:hAnsi="宋体"/>
          <w:color w:val="auto"/>
          <w:szCs w:val="21"/>
          <w:highlight w:val="none"/>
        </w:rPr>
        <w:t>我方已仔细研究了</w:t>
      </w:r>
      <w:r>
        <w:rPr>
          <w:rFonts w:hint="eastAsia" w:ascii="宋体" w:hAnsi="宋体"/>
          <w:color w:val="auto"/>
          <w:szCs w:val="21"/>
          <w:highlight w:val="none"/>
          <w:u w:val="single"/>
        </w:rPr>
        <w:t xml:space="preserve">  </w:t>
      </w:r>
      <w:r>
        <w:rPr>
          <w:rFonts w:hint="eastAsia" w:ascii="宋体" w:hAnsi="宋体"/>
          <w:color w:val="auto"/>
          <w:highlight w:val="none"/>
          <w:u w:val="single"/>
        </w:rPr>
        <w:t xml:space="preserve">       （</w:t>
      </w:r>
      <w:r>
        <w:rPr>
          <w:rFonts w:ascii="宋体" w:hAnsi="宋体"/>
          <w:color w:val="auto"/>
          <w:highlight w:val="none"/>
          <w:u w:val="single"/>
        </w:rPr>
        <w:t>项目名称</w:t>
      </w:r>
      <w:r>
        <w:rPr>
          <w:rFonts w:hint="eastAsia" w:ascii="宋体" w:hAnsi="宋体"/>
          <w:color w:val="auto"/>
          <w:highlight w:val="none"/>
          <w:u w:val="single"/>
        </w:rPr>
        <w:t>）</w:t>
      </w:r>
      <w:r>
        <w:rPr>
          <w:rFonts w:ascii="宋体" w:hAnsi="宋体"/>
          <w:color w:val="auto"/>
          <w:szCs w:val="21"/>
          <w:highlight w:val="none"/>
        </w:rPr>
        <w:t>招标文件的全部内容，</w:t>
      </w:r>
      <w:r>
        <w:rPr>
          <w:rFonts w:ascii="宋体" w:hAnsi="宋体"/>
          <w:snapToGrid w:val="0"/>
          <w:color w:val="auto"/>
          <w:kern w:val="0"/>
          <w:szCs w:val="21"/>
          <w:highlight w:val="none"/>
        </w:rPr>
        <w:t>愿意以人民币（大写）</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ab/>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w:t>
      </w:r>
      <w:r>
        <w:rPr>
          <w:rFonts w:ascii="宋体" w:hAnsi="宋体"/>
          <w:snapToGrid w:val="0"/>
          <w:color w:val="auto"/>
          <w:kern w:val="0"/>
          <w:szCs w:val="21"/>
          <w:highlight w:val="none"/>
          <w:u w:val="single"/>
        </w:rPr>
        <w:tab/>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）的投标总报价</w:t>
      </w:r>
      <w:r>
        <w:rPr>
          <w:rFonts w:hint="eastAsia" w:ascii="宋体" w:hAnsi="宋体"/>
          <w:snapToGrid w:val="0"/>
          <w:color w:val="auto"/>
          <w:kern w:val="0"/>
          <w:szCs w:val="21"/>
          <w:highlight w:val="none"/>
        </w:rPr>
        <w:t>进行报价</w:t>
      </w:r>
      <w:r>
        <w:rPr>
          <w:rFonts w:ascii="宋体" w:hAnsi="宋体"/>
          <w:color w:val="auto"/>
          <w:szCs w:val="21"/>
          <w:highlight w:val="none"/>
        </w:rPr>
        <w:t>，</w:t>
      </w:r>
      <w:r>
        <w:rPr>
          <w:rFonts w:ascii="宋体" w:hAnsi="宋体"/>
          <w:snapToGrid w:val="0"/>
          <w:color w:val="auto"/>
          <w:kern w:val="0"/>
          <w:szCs w:val="21"/>
          <w:highlight w:val="none"/>
        </w:rPr>
        <w:t>该工程</w:t>
      </w:r>
      <w:r>
        <w:rPr>
          <w:rFonts w:ascii="宋体" w:hAnsi="宋体"/>
          <w:snapToGrid w:val="0"/>
          <w:color w:val="auto"/>
          <w:kern w:val="0"/>
          <w:highlight w:val="none"/>
        </w:rPr>
        <w:t>项目经理为</w:t>
      </w:r>
      <w:r>
        <w:rPr>
          <w:rFonts w:hint="eastAsia" w:ascii="宋体" w:hAnsi="宋体"/>
          <w:snapToGrid w:val="0"/>
          <w:color w:val="auto"/>
          <w:kern w:val="0"/>
          <w:highlight w:val="none"/>
          <w:u w:val="single"/>
        </w:rPr>
        <w:t xml:space="preserve">        </w:t>
      </w:r>
      <w:r>
        <w:rPr>
          <w:rFonts w:hint="eastAsia" w:ascii="宋体" w:hAnsi="宋体"/>
          <w:snapToGrid w:val="0"/>
          <w:color w:val="auto"/>
          <w:kern w:val="0"/>
          <w:highlight w:val="none"/>
        </w:rPr>
        <w:t>，项目总工为</w:t>
      </w:r>
      <w:r>
        <w:rPr>
          <w:rFonts w:hint="eastAsia" w:ascii="宋体" w:hAnsi="宋体"/>
          <w:snapToGrid w:val="0"/>
          <w:color w:val="auto"/>
          <w:kern w:val="0"/>
          <w:highlight w:val="none"/>
          <w:u w:val="single"/>
        </w:rPr>
        <w:t xml:space="preserve">        </w:t>
      </w:r>
      <w:r>
        <w:rPr>
          <w:rFonts w:hint="eastAsia" w:ascii="宋体" w:hAnsi="宋体"/>
          <w:snapToGrid w:val="0"/>
          <w:color w:val="auto"/>
          <w:kern w:val="0"/>
          <w:szCs w:val="21"/>
          <w:highlight w:val="none"/>
        </w:rPr>
        <w:t>，委托代理人为：</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w:t>
      </w:r>
      <w:r>
        <w:rPr>
          <w:rFonts w:hint="eastAsia" w:ascii="宋体" w:hAnsi="宋体"/>
          <w:color w:val="auto"/>
          <w:szCs w:val="21"/>
          <w:highlight w:val="none"/>
        </w:rPr>
        <w:t>工期：</w:t>
      </w:r>
      <w:r>
        <w:rPr>
          <w:rFonts w:hint="eastAsia" w:ascii="宋体" w:hAnsi="宋体"/>
          <w:color w:val="auto"/>
          <w:szCs w:val="21"/>
          <w:highlight w:val="none"/>
          <w:u w:val="single"/>
        </w:rPr>
        <w:t xml:space="preserve">        </w:t>
      </w:r>
      <w:r>
        <w:rPr>
          <w:rFonts w:hint="eastAsia" w:ascii="宋体" w:hAnsi="宋体"/>
          <w:color w:val="auto"/>
          <w:szCs w:val="21"/>
          <w:highlight w:val="none"/>
        </w:rPr>
        <w:t>，缺陷责任期：</w:t>
      </w:r>
      <w:r>
        <w:rPr>
          <w:rFonts w:hint="eastAsia" w:ascii="宋体" w:hAnsi="宋体"/>
          <w:color w:val="auto"/>
          <w:szCs w:val="21"/>
          <w:highlight w:val="none"/>
          <w:u w:val="single"/>
        </w:rPr>
        <w:t xml:space="preserve">        </w:t>
      </w:r>
      <w:r>
        <w:rPr>
          <w:rFonts w:hint="eastAsia" w:ascii="宋体" w:hAnsi="宋体"/>
          <w:color w:val="auto"/>
          <w:szCs w:val="21"/>
          <w:highlight w:val="none"/>
        </w:rPr>
        <w:t>，</w:t>
      </w:r>
      <w:r>
        <w:rPr>
          <w:rFonts w:ascii="宋体" w:hAnsi="宋体"/>
          <w:color w:val="auto"/>
          <w:szCs w:val="21"/>
          <w:highlight w:val="none"/>
        </w:rPr>
        <w:t>按合同约定实施和完成承包工程，修补工程中的任何缺陷</w:t>
      </w:r>
      <w:r>
        <w:rPr>
          <w:rFonts w:hint="eastAsia" w:ascii="宋体" w:hAnsi="宋体"/>
          <w:color w:val="auto"/>
          <w:szCs w:val="21"/>
          <w:highlight w:val="none"/>
        </w:rPr>
        <w:t>，</w:t>
      </w:r>
      <w:r>
        <w:rPr>
          <w:rFonts w:ascii="宋体" w:hAnsi="宋体"/>
          <w:color w:val="auto"/>
          <w:szCs w:val="21"/>
          <w:highlight w:val="none"/>
        </w:rPr>
        <w:t xml:space="preserve"> 工程质量</w:t>
      </w:r>
      <w:r>
        <w:rPr>
          <w:rFonts w:hint="eastAsia" w:ascii="宋体" w:hAnsi="宋体"/>
          <w:color w:val="auto"/>
          <w:szCs w:val="21"/>
          <w:highlight w:val="none"/>
        </w:rPr>
        <w:t>：</w:t>
      </w:r>
      <w:r>
        <w:rPr>
          <w:rFonts w:ascii="宋体" w:hAnsi="宋体"/>
          <w:color w:val="auto"/>
          <w:szCs w:val="21"/>
          <w:highlight w:val="none"/>
          <w:u w:val="single"/>
        </w:rPr>
        <w:t xml:space="preserve"> </w:t>
      </w:r>
      <w:r>
        <w:rPr>
          <w:rFonts w:hint="eastAsia" w:ascii="宋体" w:hAnsi="宋体"/>
          <w:color w:val="auto"/>
          <w:szCs w:val="21"/>
          <w:highlight w:val="none"/>
          <w:u w:val="single"/>
        </w:rPr>
        <w:t>　　　　</w:t>
      </w:r>
      <w:r>
        <w:rPr>
          <w:rFonts w:ascii="宋体" w:hAnsi="宋体"/>
          <w:color w:val="auto"/>
          <w:szCs w:val="21"/>
          <w:highlight w:val="none"/>
        </w:rPr>
        <w:t>。</w:t>
      </w:r>
    </w:p>
    <w:p>
      <w:pPr>
        <w:keepNext w:val="0"/>
        <w:keepLines w:val="0"/>
        <w:pageBreakBefore w:val="0"/>
        <w:widowControl w:val="0"/>
        <w:kinsoku/>
        <w:wordWrap/>
        <w:overflowPunct/>
        <w:topLinePunct w:val="0"/>
        <w:autoSpaceDE w:val="0"/>
        <w:autoSpaceDN w:val="0"/>
        <w:bidi w:val="0"/>
        <w:adjustRightInd w:val="0"/>
        <w:snapToGrid/>
        <w:spacing w:line="380" w:lineRule="exact"/>
        <w:ind w:firstLine="420" w:firstLineChars="200"/>
        <w:textAlignment w:val="auto"/>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2. 我方承诺响应招标文件规定的投标有效期，在投标有效期内不修改、撤销投标文件。</w:t>
      </w:r>
    </w:p>
    <w:p>
      <w:pPr>
        <w:keepNext w:val="0"/>
        <w:keepLines w:val="0"/>
        <w:pageBreakBefore w:val="0"/>
        <w:widowControl w:val="0"/>
        <w:tabs>
          <w:tab w:val="left" w:pos="2730"/>
          <w:tab w:val="left" w:pos="7980"/>
        </w:tabs>
        <w:kinsoku/>
        <w:wordWrap/>
        <w:overflowPunct/>
        <w:topLinePunct w:val="0"/>
        <w:autoSpaceDE w:val="0"/>
        <w:autoSpaceDN w:val="0"/>
        <w:bidi w:val="0"/>
        <w:adjustRightInd w:val="0"/>
        <w:snapToGrid/>
        <w:spacing w:line="380" w:lineRule="exact"/>
        <w:ind w:firstLine="420" w:firstLineChars="200"/>
        <w:textAlignment w:val="auto"/>
        <w:rPr>
          <w:rFonts w:ascii="宋体" w:hAnsi="宋体"/>
          <w:snapToGrid w:val="0"/>
          <w:color w:val="auto"/>
          <w:kern w:val="0"/>
          <w:sz w:val="10"/>
          <w:szCs w:val="10"/>
          <w:highlight w:val="none"/>
        </w:rPr>
      </w:pPr>
      <w:r>
        <w:rPr>
          <w:rFonts w:ascii="宋体" w:hAnsi="宋体"/>
          <w:snapToGrid w:val="0"/>
          <w:color w:val="auto"/>
          <w:kern w:val="0"/>
          <w:szCs w:val="21"/>
          <w:highlight w:val="none"/>
        </w:rPr>
        <w:t>3</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随同本投标函提交投标保证金一份，金额为人民币（大写）</w:t>
      </w:r>
      <w:r>
        <w:rPr>
          <w:rFonts w:hint="eastAsia" w:ascii="宋体" w:hAnsi="宋体"/>
          <w:color w:val="auto"/>
          <w:szCs w:val="21"/>
          <w:highlight w:val="none"/>
          <w:u w:val="single"/>
        </w:rPr>
        <w:t xml:space="preserve">　　　      </w:t>
      </w:r>
      <w:r>
        <w:rPr>
          <w:rFonts w:ascii="宋体" w:hAnsi="宋体"/>
          <w:snapToGrid w:val="0"/>
          <w:color w:val="auto"/>
          <w:kern w:val="0"/>
          <w:szCs w:val="21"/>
          <w:highlight w:val="none"/>
        </w:rPr>
        <w:t>（¥</w:t>
      </w:r>
      <w:r>
        <w:rPr>
          <w:rFonts w:hint="eastAsia" w:ascii="宋体" w:hAnsi="宋体"/>
          <w:color w:val="auto"/>
          <w:szCs w:val="21"/>
          <w:highlight w:val="none"/>
          <w:u w:val="single"/>
        </w:rPr>
        <w:t>　　　</w:t>
      </w:r>
      <w:r>
        <w:rPr>
          <w:rFonts w:ascii="宋体" w:hAnsi="宋体"/>
          <w:snapToGrid w:val="0"/>
          <w:color w:val="auto"/>
          <w:kern w:val="0"/>
          <w:szCs w:val="21"/>
          <w:highlight w:val="none"/>
        </w:rPr>
        <w:t>）。投标保证金</w:t>
      </w:r>
      <w:r>
        <w:rPr>
          <w:rFonts w:hint="eastAsia" w:ascii="宋体" w:hAnsi="宋体"/>
          <w:snapToGrid w:val="0"/>
          <w:color w:val="auto"/>
          <w:kern w:val="0"/>
          <w:szCs w:val="21"/>
          <w:highlight w:val="none"/>
        </w:rPr>
        <w:t>有效期</w:t>
      </w:r>
      <w:r>
        <w:rPr>
          <w:rFonts w:ascii="宋体" w:hAnsi="宋体"/>
          <w:snapToGrid w:val="0"/>
          <w:color w:val="auto"/>
          <w:kern w:val="0"/>
          <w:szCs w:val="21"/>
          <w:highlight w:val="none"/>
        </w:rPr>
        <w:t>与投标</w:t>
      </w:r>
      <w:r>
        <w:rPr>
          <w:rFonts w:hint="eastAsia" w:ascii="宋体" w:hAnsi="宋体"/>
          <w:snapToGrid w:val="0"/>
          <w:color w:val="auto"/>
          <w:kern w:val="0"/>
          <w:szCs w:val="21"/>
          <w:highlight w:val="none"/>
        </w:rPr>
        <w:t>有效期</w:t>
      </w:r>
      <w:r>
        <w:rPr>
          <w:rFonts w:ascii="宋体" w:hAnsi="宋体"/>
          <w:snapToGrid w:val="0"/>
          <w:color w:val="auto"/>
          <w:kern w:val="0"/>
          <w:szCs w:val="21"/>
          <w:highlight w:val="none"/>
        </w:rPr>
        <w:t>一致，在此期间，若我方违反招投标有关法律、法规及本招标文件的相关规定，投标保证金的受益人为招标人。</w:t>
      </w:r>
    </w:p>
    <w:p>
      <w:pPr>
        <w:keepNext w:val="0"/>
        <w:keepLines w:val="0"/>
        <w:pageBreakBefore w:val="0"/>
        <w:widowControl w:val="0"/>
        <w:kinsoku/>
        <w:wordWrap/>
        <w:overflowPunct/>
        <w:topLinePunct w:val="0"/>
        <w:autoSpaceDE w:val="0"/>
        <w:autoSpaceDN w:val="0"/>
        <w:bidi w:val="0"/>
        <w:adjustRightInd w:val="0"/>
        <w:snapToGrid/>
        <w:spacing w:line="380" w:lineRule="exact"/>
        <w:ind w:firstLine="420" w:firstLineChars="20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4</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如我方中标：</w:t>
      </w:r>
    </w:p>
    <w:p>
      <w:pPr>
        <w:keepNext w:val="0"/>
        <w:keepLines w:val="0"/>
        <w:pageBreakBefore w:val="0"/>
        <w:widowControl w:val="0"/>
        <w:kinsoku/>
        <w:wordWrap/>
        <w:overflowPunct/>
        <w:topLinePunct w:val="0"/>
        <w:autoSpaceDE w:val="0"/>
        <w:autoSpaceDN w:val="0"/>
        <w:bidi w:val="0"/>
        <w:adjustRightInd w:val="0"/>
        <w:snapToGrid/>
        <w:spacing w:line="380" w:lineRule="exact"/>
        <w:ind w:firstLine="420" w:firstLineChars="200"/>
        <w:textAlignment w:val="auto"/>
        <w:rPr>
          <w:rFonts w:ascii="宋体" w:hAnsi="宋体"/>
          <w:snapToGrid w:val="0"/>
          <w:color w:val="auto"/>
          <w:kern w:val="0"/>
          <w:sz w:val="10"/>
          <w:szCs w:val="10"/>
          <w:highlight w:val="none"/>
        </w:rPr>
      </w:pPr>
      <w:r>
        <w:rPr>
          <w:rFonts w:ascii="宋体" w:hAnsi="宋体"/>
          <w:snapToGrid w:val="0"/>
          <w:color w:val="auto"/>
          <w:kern w:val="0"/>
          <w:szCs w:val="21"/>
          <w:highlight w:val="none"/>
        </w:rPr>
        <w:t>（1）我方承诺在收到中标通知书后，在中标通知书规定的期限内与你方签订合同。</w:t>
      </w:r>
    </w:p>
    <w:p>
      <w:pPr>
        <w:keepNext w:val="0"/>
        <w:keepLines w:val="0"/>
        <w:pageBreakBefore w:val="0"/>
        <w:widowControl w:val="0"/>
        <w:kinsoku/>
        <w:wordWrap/>
        <w:overflowPunct/>
        <w:topLinePunct w:val="0"/>
        <w:autoSpaceDE w:val="0"/>
        <w:autoSpaceDN w:val="0"/>
        <w:bidi w:val="0"/>
        <w:adjustRightInd w:val="0"/>
        <w:snapToGrid/>
        <w:spacing w:line="380" w:lineRule="exact"/>
        <w:ind w:firstLine="420" w:firstLineChars="200"/>
        <w:textAlignment w:val="auto"/>
        <w:rPr>
          <w:rFonts w:ascii="宋体" w:hAnsi="宋体"/>
          <w:snapToGrid w:val="0"/>
          <w:color w:val="auto"/>
          <w:kern w:val="0"/>
          <w:sz w:val="10"/>
          <w:szCs w:val="10"/>
          <w:highlight w:val="none"/>
        </w:rPr>
      </w:pPr>
      <w:r>
        <w:rPr>
          <w:rFonts w:ascii="宋体" w:hAnsi="宋体"/>
          <w:snapToGrid w:val="0"/>
          <w:color w:val="auto"/>
          <w:kern w:val="0"/>
          <w:szCs w:val="21"/>
          <w:highlight w:val="none"/>
        </w:rPr>
        <w:t>（2）随同本投标函递交的投标函附录属于合同文件的组成部分。</w:t>
      </w:r>
    </w:p>
    <w:p>
      <w:pPr>
        <w:keepNext w:val="0"/>
        <w:keepLines w:val="0"/>
        <w:pageBreakBefore w:val="0"/>
        <w:widowControl w:val="0"/>
        <w:kinsoku/>
        <w:wordWrap/>
        <w:overflowPunct/>
        <w:topLinePunct w:val="0"/>
        <w:autoSpaceDE w:val="0"/>
        <w:autoSpaceDN w:val="0"/>
        <w:bidi w:val="0"/>
        <w:adjustRightInd w:val="0"/>
        <w:snapToGrid/>
        <w:spacing w:line="380" w:lineRule="exact"/>
        <w:ind w:firstLine="420" w:firstLineChars="200"/>
        <w:textAlignment w:val="auto"/>
        <w:rPr>
          <w:rFonts w:ascii="宋体" w:hAnsi="宋体"/>
          <w:snapToGrid w:val="0"/>
          <w:color w:val="auto"/>
          <w:kern w:val="0"/>
          <w:sz w:val="10"/>
          <w:szCs w:val="10"/>
          <w:highlight w:val="none"/>
        </w:rPr>
      </w:pPr>
      <w:r>
        <w:rPr>
          <w:rFonts w:ascii="宋体" w:hAnsi="宋体"/>
          <w:snapToGrid w:val="0"/>
          <w:color w:val="auto"/>
          <w:kern w:val="0"/>
          <w:szCs w:val="21"/>
          <w:highlight w:val="none"/>
        </w:rPr>
        <w:t>（3）我方承诺按照招标文件规定向你方递交履约担保。</w:t>
      </w:r>
    </w:p>
    <w:p>
      <w:pPr>
        <w:keepNext w:val="0"/>
        <w:keepLines w:val="0"/>
        <w:pageBreakBefore w:val="0"/>
        <w:widowControl w:val="0"/>
        <w:kinsoku/>
        <w:wordWrap/>
        <w:overflowPunct/>
        <w:topLinePunct w:val="0"/>
        <w:autoSpaceDE w:val="0"/>
        <w:autoSpaceDN w:val="0"/>
        <w:bidi w:val="0"/>
        <w:adjustRightInd w:val="0"/>
        <w:snapToGrid/>
        <w:spacing w:line="380" w:lineRule="exact"/>
        <w:ind w:firstLine="420" w:firstLineChars="20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（4）我方承诺在合同约定的期限内完成并移交全部合同工程。</w:t>
      </w:r>
    </w:p>
    <w:p>
      <w:pPr>
        <w:keepNext w:val="0"/>
        <w:keepLines w:val="0"/>
        <w:pageBreakBefore w:val="0"/>
        <w:widowControl w:val="0"/>
        <w:kinsoku/>
        <w:wordWrap/>
        <w:overflowPunct/>
        <w:topLinePunct w:val="0"/>
        <w:autoSpaceDE w:val="0"/>
        <w:autoSpaceDN w:val="0"/>
        <w:bidi w:val="0"/>
        <w:adjustRightInd w:val="0"/>
        <w:snapToGrid/>
        <w:spacing w:line="380" w:lineRule="exact"/>
        <w:ind w:firstLine="420" w:firstLineChars="200"/>
        <w:textAlignment w:val="auto"/>
        <w:rPr>
          <w:rFonts w:ascii="宋体" w:hAnsi="宋体"/>
          <w:snapToGrid w:val="0"/>
          <w:color w:val="auto"/>
          <w:kern w:val="0"/>
          <w:sz w:val="10"/>
          <w:szCs w:val="10"/>
          <w:highlight w:val="none"/>
        </w:rPr>
      </w:pPr>
      <w:r>
        <w:rPr>
          <w:rFonts w:hint="eastAsia" w:ascii="宋体" w:hAnsi="宋体"/>
          <w:snapToGrid w:val="0"/>
          <w:color w:val="auto"/>
          <w:kern w:val="0"/>
          <w:szCs w:val="21"/>
          <w:highlight w:val="none"/>
          <w:lang w:eastAsia="zh-CN"/>
        </w:rPr>
        <w:t>（</w:t>
      </w:r>
      <w:r>
        <w:rPr>
          <w:rFonts w:hint="eastAsia" w:ascii="宋体" w:hAnsi="宋体"/>
          <w:snapToGrid w:val="0"/>
          <w:color w:val="auto"/>
          <w:kern w:val="0"/>
          <w:szCs w:val="21"/>
          <w:highlight w:val="none"/>
          <w:lang w:val="en-US" w:eastAsia="zh-CN"/>
        </w:rPr>
        <w:t>5</w:t>
      </w:r>
      <w:r>
        <w:rPr>
          <w:rFonts w:hint="eastAsia" w:ascii="宋体" w:hAnsi="宋体"/>
          <w:snapToGrid w:val="0"/>
          <w:color w:val="auto"/>
          <w:kern w:val="0"/>
          <w:szCs w:val="21"/>
          <w:highlight w:val="none"/>
          <w:lang w:eastAsia="zh-CN"/>
        </w:rPr>
        <w:t>）</w:t>
      </w:r>
      <w:r>
        <w:rPr>
          <w:rFonts w:hint="eastAsia" w:ascii="宋体" w:hAnsi="宋体"/>
          <w:snapToGrid w:val="0"/>
          <w:color w:val="auto"/>
          <w:kern w:val="0"/>
          <w:szCs w:val="21"/>
          <w:highlight w:val="none"/>
          <w:lang w:val="en-US" w:eastAsia="zh-CN"/>
        </w:rPr>
        <w:t>我方承诺以不低于招标文件</w:t>
      </w:r>
      <w:r>
        <w:rPr>
          <w:rFonts w:hint="eastAsia" w:ascii="宋体" w:hAnsi="宋体"/>
          <w:snapToGrid w:val="0"/>
          <w:color w:val="auto"/>
          <w:kern w:val="0"/>
          <w:szCs w:val="21"/>
          <w:highlight w:val="none"/>
        </w:rPr>
        <w:t>第七章</w:t>
      </w:r>
      <w:r>
        <w:rPr>
          <w:rFonts w:hint="eastAsia" w:ascii="宋体" w:hAnsi="宋体"/>
          <w:snapToGrid w:val="0"/>
          <w:color w:val="auto"/>
          <w:kern w:val="0"/>
          <w:szCs w:val="21"/>
          <w:highlight w:val="none"/>
          <w:lang w:val="en-US" w:eastAsia="zh-CN"/>
        </w:rPr>
        <w:t xml:space="preserve"> </w:t>
      </w:r>
      <w:r>
        <w:rPr>
          <w:rFonts w:hint="eastAsia" w:ascii="宋体" w:hAnsi="宋体"/>
          <w:snapToGrid w:val="0"/>
          <w:color w:val="auto"/>
          <w:kern w:val="0"/>
          <w:szCs w:val="21"/>
          <w:highlight w:val="none"/>
        </w:rPr>
        <w:t>技术标准和要求</w:t>
      </w:r>
      <w:r>
        <w:rPr>
          <w:rFonts w:hint="eastAsia" w:ascii="宋体" w:hAnsi="宋体"/>
          <w:snapToGrid w:val="0"/>
          <w:color w:val="auto"/>
          <w:kern w:val="0"/>
          <w:szCs w:val="21"/>
          <w:highlight w:val="none"/>
          <w:lang w:val="en-US" w:eastAsia="zh-CN"/>
        </w:rPr>
        <w:t>中所列的技术指标和参数要求完成全部合同工程。</w:t>
      </w:r>
    </w:p>
    <w:p>
      <w:pPr>
        <w:keepNext w:val="0"/>
        <w:keepLines w:val="0"/>
        <w:pageBreakBefore w:val="0"/>
        <w:widowControl w:val="0"/>
        <w:kinsoku/>
        <w:wordWrap/>
        <w:overflowPunct/>
        <w:topLinePunct w:val="0"/>
        <w:autoSpaceDE w:val="0"/>
        <w:autoSpaceDN w:val="0"/>
        <w:bidi w:val="0"/>
        <w:adjustRightInd w:val="0"/>
        <w:snapToGrid/>
        <w:spacing w:line="380" w:lineRule="exact"/>
        <w:ind w:firstLine="420" w:firstLineChars="200"/>
        <w:textAlignment w:val="auto"/>
        <w:rPr>
          <w:rFonts w:hint="eastAsia" w:ascii="宋体" w:hAnsi="宋体"/>
          <w:snapToGrid w:val="0"/>
          <w:color w:val="auto"/>
          <w:kern w:val="0"/>
          <w:szCs w:val="21"/>
          <w:highlight w:val="none"/>
          <w:u w:val="single"/>
          <w:lang w:val="en-US" w:eastAsia="zh-CN"/>
        </w:rPr>
      </w:pPr>
      <w:r>
        <w:rPr>
          <w:rFonts w:ascii="宋体" w:hAnsi="宋体"/>
          <w:snapToGrid w:val="0"/>
          <w:color w:val="auto"/>
          <w:kern w:val="0"/>
          <w:szCs w:val="21"/>
          <w:highlight w:val="none"/>
        </w:rPr>
        <w:t>5</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我方</w:t>
      </w:r>
      <w:r>
        <w:rPr>
          <w:rFonts w:ascii="宋体" w:hAnsi="宋体"/>
          <w:snapToGrid w:val="0"/>
          <w:color w:val="auto"/>
          <w:spacing w:val="-2"/>
          <w:kern w:val="0"/>
          <w:szCs w:val="21"/>
          <w:highlight w:val="none"/>
        </w:rPr>
        <w:t>在此声明，所递交的投标文件及有关资料内容完整、真实和准确，且不存在第二章</w:t>
      </w:r>
      <w:r>
        <w:rPr>
          <w:rFonts w:hint="eastAsia" w:ascii="宋体" w:hAnsi="宋体"/>
          <w:snapToGrid w:val="0"/>
          <w:color w:val="auto"/>
          <w:spacing w:val="-2"/>
          <w:kern w:val="0"/>
          <w:szCs w:val="21"/>
          <w:highlight w:val="none"/>
        </w:rPr>
        <w:t>“</w:t>
      </w:r>
      <w:r>
        <w:rPr>
          <w:rFonts w:ascii="宋体" w:hAnsi="宋体"/>
          <w:snapToGrid w:val="0"/>
          <w:color w:val="auto"/>
          <w:spacing w:val="-2"/>
          <w:kern w:val="0"/>
          <w:szCs w:val="21"/>
          <w:highlight w:val="none"/>
        </w:rPr>
        <w:t>投标人</w:t>
      </w:r>
      <w:r>
        <w:rPr>
          <w:rFonts w:ascii="宋体" w:hAnsi="宋体"/>
          <w:snapToGrid w:val="0"/>
          <w:color w:val="auto"/>
          <w:kern w:val="0"/>
          <w:szCs w:val="21"/>
          <w:highlight w:val="none"/>
        </w:rPr>
        <w:t>须知</w:t>
      </w:r>
      <w:r>
        <w:rPr>
          <w:rFonts w:hint="eastAsia" w:ascii="宋体" w:hAnsi="宋体"/>
          <w:snapToGrid w:val="0"/>
          <w:color w:val="auto"/>
          <w:kern w:val="0"/>
          <w:szCs w:val="21"/>
          <w:highlight w:val="none"/>
        </w:rPr>
        <w:t>”</w:t>
      </w:r>
      <w:r>
        <w:rPr>
          <w:rFonts w:ascii="宋体" w:hAnsi="宋体"/>
          <w:snapToGrid w:val="0"/>
          <w:color w:val="auto"/>
          <w:kern w:val="0"/>
          <w:szCs w:val="21"/>
          <w:highlight w:val="none"/>
        </w:rPr>
        <w:t>第 1.4.3 项规定的任何一种情形。同时我方承诺接受招标文件及附件、</w:t>
      </w:r>
      <w:r>
        <w:rPr>
          <w:rFonts w:hint="eastAsia" w:ascii="宋体" w:hAnsi="宋体"/>
          <w:snapToGrid w:val="0"/>
          <w:color w:val="auto"/>
          <w:kern w:val="0"/>
          <w:szCs w:val="21"/>
          <w:highlight w:val="none"/>
        </w:rPr>
        <w:t>澄清</w:t>
      </w:r>
      <w:r>
        <w:rPr>
          <w:rFonts w:ascii="宋体" w:hAnsi="宋体"/>
          <w:snapToGrid w:val="0"/>
          <w:color w:val="auto"/>
          <w:kern w:val="0"/>
          <w:szCs w:val="21"/>
          <w:highlight w:val="none"/>
        </w:rPr>
        <w:t>及</w:t>
      </w:r>
      <w:r>
        <w:rPr>
          <w:rFonts w:hint="eastAsia" w:ascii="宋体" w:hAnsi="宋体"/>
          <w:snapToGrid w:val="0"/>
          <w:color w:val="auto"/>
          <w:kern w:val="0"/>
          <w:szCs w:val="21"/>
          <w:highlight w:val="none"/>
        </w:rPr>
        <w:t>修改</w:t>
      </w:r>
      <w:r>
        <w:rPr>
          <w:rFonts w:ascii="宋体" w:hAnsi="宋体"/>
          <w:snapToGrid w:val="0"/>
          <w:color w:val="auto"/>
          <w:kern w:val="0"/>
          <w:szCs w:val="21"/>
          <w:highlight w:val="none"/>
        </w:rPr>
        <w:t>通知中所有的内容。</w:t>
      </w:r>
    </w:p>
    <w:p>
      <w:pPr>
        <w:keepNext w:val="0"/>
        <w:keepLines w:val="0"/>
        <w:pageBreakBefore w:val="0"/>
        <w:widowControl w:val="0"/>
        <w:tabs>
          <w:tab w:val="left" w:pos="5985"/>
        </w:tabs>
        <w:kinsoku/>
        <w:wordWrap/>
        <w:overflowPunct/>
        <w:topLinePunct w:val="0"/>
        <w:autoSpaceDE w:val="0"/>
        <w:autoSpaceDN w:val="0"/>
        <w:bidi w:val="0"/>
        <w:adjustRightInd w:val="0"/>
        <w:snapToGrid/>
        <w:spacing w:line="380" w:lineRule="exact"/>
        <w:ind w:firstLine="420" w:firstLineChars="200"/>
        <w:textAlignment w:val="auto"/>
        <w:rPr>
          <w:rFonts w:ascii="宋体" w:hAnsi="宋体"/>
          <w:snapToGrid w:val="0"/>
          <w:color w:val="auto"/>
          <w:kern w:val="0"/>
          <w:szCs w:val="21"/>
          <w:highlight w:val="none"/>
        </w:rPr>
      </w:pPr>
      <w:r>
        <w:rPr>
          <w:rFonts w:hint="default" w:ascii="宋体" w:hAnsi="宋体"/>
          <w:snapToGrid w:val="0"/>
          <w:color w:val="auto"/>
          <w:kern w:val="0"/>
          <w:szCs w:val="21"/>
          <w:highlight w:val="none"/>
          <w:lang w:val="en-US"/>
        </w:rPr>
        <w:t>6</w:t>
      </w:r>
      <w:r>
        <w:rPr>
          <w:rFonts w:hint="eastAsia" w:ascii="宋体" w:hAnsi="宋体"/>
          <w:snapToGrid w:val="0"/>
          <w:color w:val="auto"/>
          <w:kern w:val="0"/>
          <w:szCs w:val="21"/>
          <w:highlight w:val="none"/>
        </w:rPr>
        <w:t xml:space="preserve">. </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ab/>
      </w:r>
      <w:r>
        <w:rPr>
          <w:rFonts w:ascii="宋体" w:hAnsi="宋体"/>
          <w:snapToGrid w:val="0"/>
          <w:color w:val="auto"/>
          <w:kern w:val="0"/>
          <w:szCs w:val="21"/>
          <w:highlight w:val="none"/>
          <w:u w:val="single"/>
        </w:rPr>
        <w:t>（其他补充说明）</w:t>
      </w:r>
      <w:r>
        <w:rPr>
          <w:rFonts w:ascii="宋体" w:hAnsi="宋体"/>
          <w:snapToGrid w:val="0"/>
          <w:color w:val="auto"/>
          <w:kern w:val="0"/>
          <w:szCs w:val="21"/>
          <w:highlight w:val="none"/>
        </w:rPr>
        <w:t>。</w:t>
      </w:r>
    </w:p>
    <w:p>
      <w:pPr>
        <w:keepNext w:val="0"/>
        <w:keepLines w:val="0"/>
        <w:pageBreakBefore w:val="0"/>
        <w:widowControl w:val="0"/>
        <w:tabs>
          <w:tab w:val="left" w:pos="7140"/>
          <w:tab w:val="left" w:pos="7560"/>
          <w:tab w:val="left" w:pos="8300"/>
        </w:tabs>
        <w:kinsoku/>
        <w:wordWrap/>
        <w:overflowPunct/>
        <w:topLinePunct w:val="0"/>
        <w:autoSpaceDE w:val="0"/>
        <w:autoSpaceDN w:val="0"/>
        <w:bidi w:val="0"/>
        <w:adjustRightInd w:val="0"/>
        <w:snapToGrid/>
        <w:spacing w:line="380" w:lineRule="exact"/>
        <w:ind w:firstLine="420" w:firstLineChars="20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投  标  人：</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ascii="宋体" w:hAnsi="宋体"/>
          <w:snapToGrid w:val="0"/>
          <w:color w:val="auto"/>
          <w:kern w:val="0"/>
          <w:szCs w:val="21"/>
          <w:highlight w:val="none"/>
        </w:rPr>
        <w:t xml:space="preserve">（盖单位法人章） </w:t>
      </w:r>
    </w:p>
    <w:p>
      <w:pPr>
        <w:keepNext w:val="0"/>
        <w:keepLines w:val="0"/>
        <w:pageBreakBefore w:val="0"/>
        <w:widowControl w:val="0"/>
        <w:tabs>
          <w:tab w:val="left" w:pos="7140"/>
          <w:tab w:val="left" w:pos="7560"/>
          <w:tab w:val="left" w:pos="8300"/>
        </w:tabs>
        <w:kinsoku/>
        <w:wordWrap/>
        <w:overflowPunct/>
        <w:topLinePunct w:val="0"/>
        <w:autoSpaceDE w:val="0"/>
        <w:autoSpaceDN w:val="0"/>
        <w:bidi w:val="0"/>
        <w:adjustRightInd w:val="0"/>
        <w:snapToGrid/>
        <w:spacing w:line="380" w:lineRule="exact"/>
        <w:ind w:firstLine="420" w:firstLineChars="20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法定代表人</w:t>
      </w:r>
      <w:r>
        <w:rPr>
          <w:rFonts w:hint="eastAsia" w:ascii="宋体" w:hAnsi="宋体"/>
          <w:snapToGrid w:val="0"/>
          <w:color w:val="auto"/>
          <w:kern w:val="0"/>
          <w:szCs w:val="21"/>
          <w:highlight w:val="none"/>
        </w:rPr>
        <w:t>或其委托代理人</w:t>
      </w:r>
      <w:r>
        <w:rPr>
          <w:rFonts w:ascii="宋体" w:hAnsi="宋体"/>
          <w:snapToGrid w:val="0"/>
          <w:color w:val="auto"/>
          <w:kern w:val="0"/>
          <w:szCs w:val="21"/>
          <w:highlight w:val="none"/>
        </w:rPr>
        <w:t>：</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w:t>
      </w:r>
      <w:r>
        <w:rPr>
          <w:rFonts w:hint="eastAsia" w:ascii="宋体" w:hAnsi="宋体"/>
          <w:snapToGrid w:val="0"/>
          <w:color w:val="auto"/>
          <w:kern w:val="0"/>
          <w:szCs w:val="21"/>
          <w:highlight w:val="none"/>
          <w:lang w:eastAsia="zh-CN"/>
        </w:rPr>
        <w:t>签名</w:t>
      </w:r>
      <w:r>
        <w:rPr>
          <w:rFonts w:ascii="宋体" w:hAnsi="宋体"/>
          <w:snapToGrid w:val="0"/>
          <w:color w:val="auto"/>
          <w:kern w:val="0"/>
          <w:szCs w:val="21"/>
          <w:highlight w:val="none"/>
        </w:rPr>
        <w:t>或盖章）</w:t>
      </w:r>
    </w:p>
    <w:p>
      <w:pPr>
        <w:keepNext w:val="0"/>
        <w:keepLines w:val="0"/>
        <w:pageBreakBefore w:val="0"/>
        <w:widowControl w:val="0"/>
        <w:tabs>
          <w:tab w:val="left" w:pos="7035"/>
          <w:tab w:val="left" w:pos="7560"/>
          <w:tab w:val="left" w:pos="8300"/>
        </w:tabs>
        <w:kinsoku/>
        <w:wordWrap/>
        <w:overflowPunct/>
        <w:topLinePunct w:val="0"/>
        <w:autoSpaceDE w:val="0"/>
        <w:autoSpaceDN w:val="0"/>
        <w:bidi w:val="0"/>
        <w:adjustRightInd w:val="0"/>
        <w:snapToGrid/>
        <w:spacing w:line="380" w:lineRule="exact"/>
        <w:ind w:firstLine="420" w:firstLineChars="20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地</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址：</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p>
    <w:p>
      <w:pPr>
        <w:keepNext w:val="0"/>
        <w:keepLines w:val="0"/>
        <w:pageBreakBefore w:val="0"/>
        <w:widowControl w:val="0"/>
        <w:tabs>
          <w:tab w:val="left" w:pos="8300"/>
        </w:tabs>
        <w:kinsoku/>
        <w:wordWrap/>
        <w:overflowPunct/>
        <w:topLinePunct w:val="0"/>
        <w:autoSpaceDE w:val="0"/>
        <w:autoSpaceDN w:val="0"/>
        <w:bidi w:val="0"/>
        <w:adjustRightInd w:val="0"/>
        <w:snapToGrid/>
        <w:spacing w:line="380" w:lineRule="exact"/>
        <w:ind w:firstLine="420" w:firstLineChars="20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网</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址：</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p>
    <w:p>
      <w:pPr>
        <w:keepNext w:val="0"/>
        <w:keepLines w:val="0"/>
        <w:pageBreakBefore w:val="0"/>
        <w:widowControl w:val="0"/>
        <w:tabs>
          <w:tab w:val="left" w:pos="8300"/>
        </w:tabs>
        <w:kinsoku/>
        <w:wordWrap/>
        <w:overflowPunct/>
        <w:topLinePunct w:val="0"/>
        <w:autoSpaceDE w:val="0"/>
        <w:autoSpaceDN w:val="0"/>
        <w:bidi w:val="0"/>
        <w:adjustRightInd w:val="0"/>
        <w:snapToGrid/>
        <w:spacing w:line="380" w:lineRule="exact"/>
        <w:ind w:firstLine="420" w:firstLineChars="200"/>
        <w:jc w:val="left"/>
        <w:textAlignment w:val="auto"/>
        <w:rPr>
          <w:rFonts w:ascii="宋体" w:hAnsi="宋体"/>
          <w:snapToGrid w:val="0"/>
          <w:color w:val="auto"/>
          <w:kern w:val="0"/>
          <w:szCs w:val="21"/>
          <w:highlight w:val="none"/>
        </w:rPr>
      </w:pPr>
      <w:r>
        <w:rPr>
          <w:rFonts w:hint="eastAsia" w:ascii="宋体" w:hAnsi="宋体"/>
          <w:snapToGrid w:val="0"/>
          <w:color w:val="auto"/>
          <w:kern w:val="0"/>
          <w:szCs w:val="21"/>
          <w:highlight w:val="none"/>
        </w:rPr>
        <w:t>单位电话（座机）：</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委托代理人电话（手机）：</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pPr>
        <w:keepNext w:val="0"/>
        <w:keepLines w:val="0"/>
        <w:pageBreakBefore w:val="0"/>
        <w:widowControl w:val="0"/>
        <w:tabs>
          <w:tab w:val="left" w:pos="8300"/>
        </w:tabs>
        <w:kinsoku/>
        <w:wordWrap/>
        <w:overflowPunct/>
        <w:topLinePunct w:val="0"/>
        <w:autoSpaceDE w:val="0"/>
        <w:autoSpaceDN w:val="0"/>
        <w:bidi w:val="0"/>
        <w:adjustRightInd w:val="0"/>
        <w:snapToGrid/>
        <w:spacing w:line="380" w:lineRule="exact"/>
        <w:ind w:firstLine="420" w:firstLineChars="20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传</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真：</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p>
    <w:p>
      <w:pPr>
        <w:keepNext w:val="0"/>
        <w:keepLines w:val="0"/>
        <w:pageBreakBefore w:val="0"/>
        <w:widowControl w:val="0"/>
        <w:tabs>
          <w:tab w:val="left" w:pos="8300"/>
        </w:tabs>
        <w:kinsoku/>
        <w:wordWrap/>
        <w:overflowPunct/>
        <w:topLinePunct w:val="0"/>
        <w:autoSpaceDE w:val="0"/>
        <w:autoSpaceDN w:val="0"/>
        <w:bidi w:val="0"/>
        <w:adjustRightInd w:val="0"/>
        <w:snapToGrid/>
        <w:spacing w:line="380" w:lineRule="exact"/>
        <w:ind w:firstLine="420" w:firstLineChars="200"/>
        <w:textAlignment w:val="auto"/>
        <w:rPr>
          <w:rFonts w:ascii="宋体" w:hAnsi="宋体"/>
          <w:snapToGrid w:val="0"/>
          <w:color w:val="auto"/>
          <w:kern w:val="0"/>
          <w:sz w:val="20"/>
          <w:szCs w:val="20"/>
          <w:highlight w:val="none"/>
        </w:rPr>
      </w:pPr>
      <w:r>
        <w:rPr>
          <w:rFonts w:ascii="宋体" w:hAnsi="宋体"/>
          <w:snapToGrid w:val="0"/>
          <w:color w:val="auto"/>
          <w:kern w:val="0"/>
          <w:szCs w:val="21"/>
          <w:highlight w:val="none"/>
        </w:rPr>
        <w:t>邮政编码：</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p>
    <w:p>
      <w:pPr>
        <w:tabs>
          <w:tab w:val="left" w:pos="8300"/>
        </w:tabs>
        <w:autoSpaceDE w:val="0"/>
        <w:autoSpaceDN w:val="0"/>
        <w:adjustRightInd w:val="0"/>
        <w:spacing w:line="480" w:lineRule="exact"/>
        <w:ind w:firstLine="420" w:firstLineChars="200"/>
        <w:jc w:val="right"/>
        <w:rPr>
          <w:rFonts w:ascii="宋体" w:hAnsi="宋体"/>
          <w:color w:val="auto"/>
          <w:kern w:val="0"/>
          <w:szCs w:val="21"/>
        </w:rPr>
      </w:pPr>
      <w:r>
        <w:rPr>
          <w:rFonts w:hint="eastAsia" w:ascii="宋体" w:hAnsi="宋体"/>
          <w:color w:val="auto"/>
          <w:kern w:val="0"/>
          <w:szCs w:val="21"/>
          <w:highlight w:val="none"/>
          <w:u w:val="single"/>
        </w:rPr>
        <w:t xml:space="preserve">    </w:t>
      </w:r>
      <w:r>
        <w:rPr>
          <w:rFonts w:ascii="宋体" w:hAnsi="宋体"/>
          <w:color w:val="auto"/>
          <w:kern w:val="0"/>
          <w:szCs w:val="21"/>
          <w:highlight w:val="none"/>
        </w:rPr>
        <w:t>年</w:t>
      </w:r>
      <w:r>
        <w:rPr>
          <w:rFonts w:hint="eastAsia" w:ascii="宋体" w:hAnsi="宋体"/>
          <w:color w:val="auto"/>
          <w:kern w:val="0"/>
          <w:szCs w:val="21"/>
          <w:highlight w:val="none"/>
          <w:u w:val="single"/>
        </w:rPr>
        <w:t xml:space="preserve">    </w:t>
      </w:r>
      <w:r>
        <w:rPr>
          <w:rFonts w:ascii="宋体" w:hAnsi="宋体"/>
          <w:color w:val="auto"/>
          <w:kern w:val="0"/>
          <w:szCs w:val="21"/>
          <w:highlight w:val="none"/>
        </w:rPr>
        <w:t>月</w:t>
      </w:r>
      <w:r>
        <w:rPr>
          <w:rFonts w:hint="eastAsia" w:ascii="宋体" w:hAnsi="宋体"/>
          <w:color w:val="auto"/>
          <w:kern w:val="0"/>
          <w:szCs w:val="21"/>
          <w:highlight w:val="none"/>
          <w:u w:val="single"/>
        </w:rPr>
        <w:t xml:space="preserve">    </w:t>
      </w:r>
      <w:r>
        <w:rPr>
          <w:rFonts w:ascii="宋体" w:hAnsi="宋体"/>
          <w:color w:val="auto"/>
          <w:kern w:val="0"/>
          <w:szCs w:val="21"/>
          <w:highlight w:val="none"/>
        </w:rPr>
        <w:t>日</w:t>
      </w:r>
    </w:p>
    <w:p>
      <w:pPr>
        <w:pStyle w:val="5"/>
        <w:numPr>
          <w:ilvl w:val="0"/>
          <w:numId w:val="7"/>
        </w:numPr>
        <w:spacing w:line="240" w:lineRule="auto"/>
        <w:rPr>
          <w:rFonts w:ascii="宋体" w:hAnsi="宋体"/>
          <w:b w:val="0"/>
          <w:bCs w:val="0"/>
          <w:color w:val="auto"/>
        </w:rPr>
      </w:pPr>
      <w:bookmarkStart w:id="917" w:name="_Toc287607868"/>
      <w:bookmarkStart w:id="918" w:name="_Toc224103496"/>
      <w:bookmarkStart w:id="919" w:name="_Toc430530531"/>
      <w:bookmarkStart w:id="920" w:name="_Toc277082644"/>
      <w:bookmarkStart w:id="921" w:name="_Toc287620815"/>
      <w:r>
        <w:rPr>
          <w:rFonts w:ascii="宋体" w:hAnsi="宋体"/>
          <w:color w:val="auto"/>
          <w:sz w:val="28"/>
        </w:rPr>
        <w:br w:type="page"/>
      </w:r>
      <w:bookmarkStart w:id="922" w:name="_Toc509218855"/>
      <w:bookmarkStart w:id="923" w:name="_Toc14835"/>
      <w:bookmarkStart w:id="924" w:name="_Toc534185832"/>
      <w:bookmarkStart w:id="925" w:name="_Toc18360"/>
      <w:r>
        <w:rPr>
          <w:rFonts w:ascii="宋体" w:hAnsi="宋体"/>
          <w:b w:val="0"/>
          <w:bCs w:val="0"/>
          <w:color w:val="auto"/>
        </w:rPr>
        <w:t>投标函附录</w:t>
      </w:r>
      <w:bookmarkEnd w:id="917"/>
      <w:bookmarkEnd w:id="918"/>
      <w:bookmarkEnd w:id="919"/>
      <w:bookmarkEnd w:id="920"/>
      <w:bookmarkEnd w:id="921"/>
      <w:bookmarkEnd w:id="922"/>
      <w:bookmarkEnd w:id="923"/>
      <w:bookmarkEnd w:id="924"/>
      <w:bookmarkEnd w:id="925"/>
    </w:p>
    <w:p>
      <w:pPr>
        <w:rPr>
          <w:color w:val="auto"/>
        </w:rPr>
      </w:pPr>
    </w:p>
    <w:tbl>
      <w:tblPr>
        <w:tblStyle w:val="52"/>
        <w:tblW w:w="9761"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851"/>
        <w:gridCol w:w="2451"/>
        <w:gridCol w:w="2388"/>
        <w:gridCol w:w="2987"/>
        <w:gridCol w:w="1084"/>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705" w:hRule="exact"/>
        </w:trPr>
        <w:tc>
          <w:tcPr>
            <w:tcW w:w="851" w:type="dxa"/>
            <w:vAlign w:val="center"/>
          </w:tcPr>
          <w:p>
            <w:pPr>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序号</w:t>
            </w:r>
          </w:p>
        </w:tc>
        <w:tc>
          <w:tcPr>
            <w:tcW w:w="2451" w:type="dxa"/>
            <w:vAlign w:val="center"/>
          </w:tcPr>
          <w:p>
            <w:pPr>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条款名称</w:t>
            </w:r>
          </w:p>
        </w:tc>
        <w:tc>
          <w:tcPr>
            <w:tcW w:w="2388" w:type="dxa"/>
            <w:vAlign w:val="center"/>
          </w:tcPr>
          <w:p>
            <w:pPr>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合同条款号</w:t>
            </w:r>
          </w:p>
        </w:tc>
        <w:tc>
          <w:tcPr>
            <w:tcW w:w="2987" w:type="dxa"/>
            <w:vAlign w:val="center"/>
          </w:tcPr>
          <w:p>
            <w:pPr>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约定内容</w:t>
            </w:r>
          </w:p>
        </w:tc>
        <w:tc>
          <w:tcPr>
            <w:tcW w:w="1084" w:type="dxa"/>
            <w:vAlign w:val="center"/>
          </w:tcPr>
          <w:p>
            <w:pPr>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备注</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10" w:hRule="exact"/>
        </w:trPr>
        <w:tc>
          <w:tcPr>
            <w:tcW w:w="851" w:type="dxa"/>
            <w:vAlign w:val="center"/>
          </w:tcPr>
          <w:p>
            <w:pPr>
              <w:autoSpaceDE w:val="0"/>
              <w:autoSpaceDN w:val="0"/>
              <w:adjustRightInd w:val="0"/>
              <w:jc w:val="center"/>
              <w:rPr>
                <w:rFonts w:ascii="宋体" w:hAnsi="宋体"/>
                <w:snapToGrid w:val="0"/>
                <w:color w:val="auto"/>
                <w:kern w:val="0"/>
                <w:szCs w:val="21"/>
              </w:rPr>
            </w:pPr>
            <w:r>
              <w:rPr>
                <w:rFonts w:hint="eastAsia" w:ascii="宋体" w:hAnsi="宋体"/>
                <w:snapToGrid w:val="0"/>
                <w:color w:val="auto"/>
                <w:kern w:val="0"/>
                <w:szCs w:val="21"/>
              </w:rPr>
              <w:t>1</w:t>
            </w:r>
          </w:p>
        </w:tc>
        <w:tc>
          <w:tcPr>
            <w:tcW w:w="2451" w:type="dxa"/>
            <w:vAlign w:val="center"/>
          </w:tcPr>
          <w:p>
            <w:pPr>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工期</w:t>
            </w:r>
          </w:p>
        </w:tc>
        <w:tc>
          <w:tcPr>
            <w:tcW w:w="2388" w:type="dxa"/>
            <w:vAlign w:val="center"/>
          </w:tcPr>
          <w:p>
            <w:pPr>
              <w:tabs>
                <w:tab w:val="left" w:pos="2051"/>
              </w:tabs>
              <w:autoSpaceDE w:val="0"/>
              <w:autoSpaceDN w:val="0"/>
              <w:adjustRightInd w:val="0"/>
              <w:jc w:val="center"/>
              <w:rPr>
                <w:rFonts w:ascii="宋体" w:hAnsi="宋体"/>
                <w:snapToGrid w:val="0"/>
                <w:color w:val="auto"/>
                <w:kern w:val="0"/>
                <w:szCs w:val="21"/>
              </w:rPr>
            </w:pPr>
          </w:p>
        </w:tc>
        <w:tc>
          <w:tcPr>
            <w:tcW w:w="2987" w:type="dxa"/>
            <w:vAlign w:val="center"/>
          </w:tcPr>
          <w:p>
            <w:pPr>
              <w:tabs>
                <w:tab w:val="left" w:pos="1560"/>
              </w:tabs>
              <w:autoSpaceDE w:val="0"/>
              <w:autoSpaceDN w:val="0"/>
              <w:adjustRightInd w:val="0"/>
              <w:jc w:val="center"/>
              <w:rPr>
                <w:rFonts w:ascii="宋体" w:hAnsi="宋体"/>
                <w:snapToGrid w:val="0"/>
                <w:color w:val="auto"/>
                <w:kern w:val="0"/>
                <w:szCs w:val="21"/>
              </w:rPr>
            </w:pPr>
          </w:p>
        </w:tc>
        <w:tc>
          <w:tcPr>
            <w:tcW w:w="1084" w:type="dxa"/>
            <w:vAlign w:val="center"/>
          </w:tcPr>
          <w:p>
            <w:pPr>
              <w:autoSpaceDE w:val="0"/>
              <w:autoSpaceDN w:val="0"/>
              <w:adjustRightInd w:val="0"/>
              <w:jc w:val="center"/>
              <w:rPr>
                <w:rFonts w:ascii="宋体" w:hAnsi="宋体"/>
                <w:snapToGrid w:val="0"/>
                <w:color w:val="auto"/>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10" w:hRule="exact"/>
        </w:trPr>
        <w:tc>
          <w:tcPr>
            <w:tcW w:w="851" w:type="dxa"/>
            <w:vAlign w:val="center"/>
          </w:tcPr>
          <w:p>
            <w:pPr>
              <w:autoSpaceDE w:val="0"/>
              <w:autoSpaceDN w:val="0"/>
              <w:adjustRightInd w:val="0"/>
              <w:jc w:val="center"/>
              <w:rPr>
                <w:rFonts w:ascii="宋体" w:hAnsi="宋体"/>
                <w:snapToGrid w:val="0"/>
                <w:color w:val="auto"/>
                <w:kern w:val="0"/>
                <w:szCs w:val="21"/>
              </w:rPr>
            </w:pPr>
            <w:r>
              <w:rPr>
                <w:rFonts w:hint="eastAsia" w:ascii="宋体" w:hAnsi="宋体"/>
                <w:snapToGrid w:val="0"/>
                <w:color w:val="auto"/>
                <w:kern w:val="0"/>
                <w:szCs w:val="21"/>
              </w:rPr>
              <w:t>2</w:t>
            </w:r>
          </w:p>
        </w:tc>
        <w:tc>
          <w:tcPr>
            <w:tcW w:w="2451" w:type="dxa"/>
            <w:vAlign w:val="center"/>
          </w:tcPr>
          <w:p>
            <w:pPr>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分包</w:t>
            </w:r>
          </w:p>
        </w:tc>
        <w:tc>
          <w:tcPr>
            <w:tcW w:w="2388" w:type="dxa"/>
            <w:vAlign w:val="center"/>
          </w:tcPr>
          <w:p>
            <w:pPr>
              <w:tabs>
                <w:tab w:val="left" w:pos="2051"/>
              </w:tabs>
              <w:autoSpaceDE w:val="0"/>
              <w:autoSpaceDN w:val="0"/>
              <w:adjustRightInd w:val="0"/>
              <w:jc w:val="center"/>
              <w:rPr>
                <w:rFonts w:ascii="宋体" w:hAnsi="宋体"/>
                <w:snapToGrid w:val="0"/>
                <w:color w:val="auto"/>
                <w:kern w:val="0"/>
                <w:szCs w:val="21"/>
              </w:rPr>
            </w:pPr>
          </w:p>
        </w:tc>
        <w:tc>
          <w:tcPr>
            <w:tcW w:w="2987" w:type="dxa"/>
            <w:vAlign w:val="center"/>
          </w:tcPr>
          <w:p>
            <w:pPr>
              <w:autoSpaceDE w:val="0"/>
              <w:autoSpaceDN w:val="0"/>
              <w:adjustRightInd w:val="0"/>
              <w:jc w:val="center"/>
              <w:rPr>
                <w:rFonts w:ascii="宋体" w:hAnsi="宋体"/>
                <w:snapToGrid w:val="0"/>
                <w:color w:val="auto"/>
                <w:kern w:val="0"/>
                <w:szCs w:val="21"/>
              </w:rPr>
            </w:pPr>
          </w:p>
        </w:tc>
        <w:tc>
          <w:tcPr>
            <w:tcW w:w="1084" w:type="dxa"/>
            <w:vAlign w:val="center"/>
          </w:tcPr>
          <w:p>
            <w:pPr>
              <w:autoSpaceDE w:val="0"/>
              <w:autoSpaceDN w:val="0"/>
              <w:adjustRightInd w:val="0"/>
              <w:jc w:val="center"/>
              <w:rPr>
                <w:rFonts w:ascii="宋体" w:hAnsi="宋体"/>
                <w:snapToGrid w:val="0"/>
                <w:color w:val="auto"/>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10" w:hRule="exact"/>
        </w:trPr>
        <w:tc>
          <w:tcPr>
            <w:tcW w:w="851" w:type="dxa"/>
            <w:vAlign w:val="center"/>
          </w:tcPr>
          <w:p>
            <w:pPr>
              <w:autoSpaceDE w:val="0"/>
              <w:autoSpaceDN w:val="0"/>
              <w:adjustRightInd w:val="0"/>
              <w:jc w:val="center"/>
              <w:rPr>
                <w:rFonts w:ascii="宋体" w:hAnsi="宋体"/>
                <w:snapToGrid w:val="0"/>
                <w:color w:val="auto"/>
                <w:kern w:val="0"/>
                <w:szCs w:val="21"/>
              </w:rPr>
            </w:pPr>
            <w:r>
              <w:rPr>
                <w:rFonts w:hint="eastAsia" w:ascii="宋体" w:hAnsi="宋体"/>
                <w:snapToGrid w:val="0"/>
                <w:color w:val="auto"/>
                <w:kern w:val="0"/>
                <w:szCs w:val="21"/>
              </w:rPr>
              <w:t>3</w:t>
            </w:r>
          </w:p>
        </w:tc>
        <w:tc>
          <w:tcPr>
            <w:tcW w:w="2451" w:type="dxa"/>
            <w:vAlign w:val="center"/>
          </w:tcPr>
          <w:p>
            <w:pPr>
              <w:autoSpaceDE w:val="0"/>
              <w:autoSpaceDN w:val="0"/>
              <w:adjustRightInd w:val="0"/>
              <w:jc w:val="center"/>
              <w:rPr>
                <w:rFonts w:ascii="宋体" w:hAnsi="宋体"/>
                <w:snapToGrid w:val="0"/>
                <w:color w:val="auto"/>
                <w:kern w:val="0"/>
                <w:szCs w:val="21"/>
              </w:rPr>
            </w:pPr>
            <w:r>
              <w:rPr>
                <w:rFonts w:hint="eastAsia" w:ascii="宋体" w:hAnsi="宋体"/>
                <w:snapToGrid w:val="0"/>
                <w:color w:val="auto"/>
                <w:kern w:val="0"/>
                <w:szCs w:val="21"/>
              </w:rPr>
              <w:t>工程质量</w:t>
            </w:r>
          </w:p>
        </w:tc>
        <w:tc>
          <w:tcPr>
            <w:tcW w:w="2388" w:type="dxa"/>
            <w:vAlign w:val="center"/>
          </w:tcPr>
          <w:p>
            <w:pPr>
              <w:tabs>
                <w:tab w:val="left" w:pos="2051"/>
              </w:tabs>
              <w:autoSpaceDE w:val="0"/>
              <w:autoSpaceDN w:val="0"/>
              <w:adjustRightInd w:val="0"/>
              <w:jc w:val="center"/>
              <w:rPr>
                <w:rFonts w:ascii="宋体" w:hAnsi="宋体"/>
                <w:snapToGrid w:val="0"/>
                <w:color w:val="auto"/>
                <w:kern w:val="0"/>
                <w:szCs w:val="21"/>
              </w:rPr>
            </w:pPr>
          </w:p>
        </w:tc>
        <w:tc>
          <w:tcPr>
            <w:tcW w:w="2987" w:type="dxa"/>
            <w:vAlign w:val="center"/>
          </w:tcPr>
          <w:p>
            <w:pPr>
              <w:autoSpaceDE w:val="0"/>
              <w:autoSpaceDN w:val="0"/>
              <w:adjustRightInd w:val="0"/>
              <w:jc w:val="center"/>
              <w:rPr>
                <w:rFonts w:ascii="宋体" w:hAnsi="宋体"/>
                <w:snapToGrid w:val="0"/>
                <w:color w:val="auto"/>
                <w:kern w:val="0"/>
                <w:szCs w:val="21"/>
              </w:rPr>
            </w:pPr>
          </w:p>
        </w:tc>
        <w:tc>
          <w:tcPr>
            <w:tcW w:w="1084" w:type="dxa"/>
            <w:vAlign w:val="center"/>
          </w:tcPr>
          <w:p>
            <w:pPr>
              <w:autoSpaceDE w:val="0"/>
              <w:autoSpaceDN w:val="0"/>
              <w:adjustRightInd w:val="0"/>
              <w:jc w:val="center"/>
              <w:rPr>
                <w:rFonts w:ascii="宋体" w:hAnsi="宋体"/>
                <w:snapToGrid w:val="0"/>
                <w:color w:val="auto"/>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10" w:hRule="exact"/>
        </w:trPr>
        <w:tc>
          <w:tcPr>
            <w:tcW w:w="851" w:type="dxa"/>
            <w:vAlign w:val="center"/>
          </w:tcPr>
          <w:p>
            <w:pPr>
              <w:tabs>
                <w:tab w:val="left" w:pos="2051"/>
              </w:tabs>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w:t>
            </w:r>
          </w:p>
        </w:tc>
        <w:tc>
          <w:tcPr>
            <w:tcW w:w="2451" w:type="dxa"/>
            <w:vAlign w:val="center"/>
          </w:tcPr>
          <w:p>
            <w:pPr>
              <w:tabs>
                <w:tab w:val="left" w:pos="2051"/>
              </w:tabs>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w:t>
            </w:r>
          </w:p>
        </w:tc>
        <w:tc>
          <w:tcPr>
            <w:tcW w:w="2388" w:type="dxa"/>
            <w:vAlign w:val="center"/>
          </w:tcPr>
          <w:p>
            <w:pPr>
              <w:tabs>
                <w:tab w:val="left" w:pos="2051"/>
              </w:tabs>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w:t>
            </w:r>
          </w:p>
        </w:tc>
        <w:tc>
          <w:tcPr>
            <w:tcW w:w="2987" w:type="dxa"/>
            <w:vAlign w:val="center"/>
          </w:tcPr>
          <w:p>
            <w:pPr>
              <w:tabs>
                <w:tab w:val="left" w:pos="2051"/>
              </w:tabs>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w:t>
            </w:r>
          </w:p>
        </w:tc>
        <w:tc>
          <w:tcPr>
            <w:tcW w:w="1084" w:type="dxa"/>
            <w:vAlign w:val="center"/>
          </w:tcPr>
          <w:p>
            <w:pPr>
              <w:autoSpaceDE w:val="0"/>
              <w:autoSpaceDN w:val="0"/>
              <w:adjustRightInd w:val="0"/>
              <w:jc w:val="center"/>
              <w:rPr>
                <w:rFonts w:ascii="宋体" w:hAnsi="宋体"/>
                <w:snapToGrid w:val="0"/>
                <w:color w:val="auto"/>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10" w:hRule="exact"/>
        </w:trPr>
        <w:tc>
          <w:tcPr>
            <w:tcW w:w="851" w:type="dxa"/>
            <w:vAlign w:val="center"/>
          </w:tcPr>
          <w:p>
            <w:pPr>
              <w:tabs>
                <w:tab w:val="left" w:pos="2051"/>
              </w:tabs>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w:t>
            </w:r>
          </w:p>
        </w:tc>
        <w:tc>
          <w:tcPr>
            <w:tcW w:w="2451" w:type="dxa"/>
            <w:vAlign w:val="center"/>
          </w:tcPr>
          <w:p>
            <w:pPr>
              <w:tabs>
                <w:tab w:val="left" w:pos="2051"/>
              </w:tabs>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w:t>
            </w:r>
          </w:p>
        </w:tc>
        <w:tc>
          <w:tcPr>
            <w:tcW w:w="2388" w:type="dxa"/>
            <w:vAlign w:val="center"/>
          </w:tcPr>
          <w:p>
            <w:pPr>
              <w:tabs>
                <w:tab w:val="left" w:pos="2051"/>
              </w:tabs>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w:t>
            </w:r>
          </w:p>
        </w:tc>
        <w:tc>
          <w:tcPr>
            <w:tcW w:w="2987" w:type="dxa"/>
            <w:vAlign w:val="center"/>
          </w:tcPr>
          <w:p>
            <w:pPr>
              <w:tabs>
                <w:tab w:val="left" w:pos="2051"/>
              </w:tabs>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w:t>
            </w:r>
          </w:p>
        </w:tc>
        <w:tc>
          <w:tcPr>
            <w:tcW w:w="1084" w:type="dxa"/>
            <w:vAlign w:val="center"/>
          </w:tcPr>
          <w:p>
            <w:pPr>
              <w:autoSpaceDE w:val="0"/>
              <w:autoSpaceDN w:val="0"/>
              <w:adjustRightInd w:val="0"/>
              <w:jc w:val="center"/>
              <w:rPr>
                <w:rFonts w:ascii="宋体" w:hAnsi="宋体"/>
                <w:snapToGrid w:val="0"/>
                <w:color w:val="auto"/>
                <w:kern w:val="0"/>
                <w:szCs w:val="21"/>
              </w:rPr>
            </w:pPr>
          </w:p>
        </w:tc>
      </w:tr>
    </w:tbl>
    <w:p>
      <w:pPr>
        <w:spacing w:line="360" w:lineRule="auto"/>
        <w:rPr>
          <w:rFonts w:ascii="宋体" w:hAnsi="宋体"/>
          <w:snapToGrid w:val="0"/>
          <w:color w:val="auto"/>
          <w:w w:val="99"/>
        </w:rPr>
      </w:pPr>
    </w:p>
    <w:p>
      <w:pPr>
        <w:spacing w:line="360" w:lineRule="auto"/>
        <w:rPr>
          <w:rFonts w:ascii="宋体" w:hAnsi="宋体"/>
          <w:snapToGrid w:val="0"/>
          <w:color w:val="auto"/>
          <w:kern w:val="0"/>
          <w:sz w:val="32"/>
          <w:szCs w:val="32"/>
        </w:rPr>
      </w:pPr>
    </w:p>
    <w:p>
      <w:pPr>
        <w:spacing w:line="360" w:lineRule="auto"/>
        <w:rPr>
          <w:rFonts w:ascii="宋体" w:hAnsi="宋体"/>
          <w:snapToGrid w:val="0"/>
          <w:color w:val="auto"/>
        </w:rPr>
      </w:pPr>
    </w:p>
    <w:p>
      <w:pPr>
        <w:tabs>
          <w:tab w:val="left" w:pos="7140"/>
          <w:tab w:val="left" w:pos="7560"/>
          <w:tab w:val="left" w:pos="8300"/>
        </w:tabs>
        <w:autoSpaceDE w:val="0"/>
        <w:autoSpaceDN w:val="0"/>
        <w:adjustRightInd w:val="0"/>
        <w:spacing w:line="360" w:lineRule="auto"/>
        <w:ind w:right="210" w:firstLine="2396" w:firstLineChars="1141"/>
        <w:rPr>
          <w:rFonts w:ascii="宋体" w:hAnsi="宋体"/>
          <w:snapToGrid w:val="0"/>
          <w:color w:val="auto"/>
          <w:kern w:val="0"/>
          <w:szCs w:val="21"/>
        </w:rPr>
      </w:pPr>
      <w:r>
        <w:rPr>
          <w:rFonts w:ascii="宋体" w:hAnsi="宋体"/>
          <w:snapToGrid w:val="0"/>
          <w:color w:val="auto"/>
          <w:kern w:val="0"/>
          <w:szCs w:val="21"/>
        </w:rPr>
        <w:t>投  标  人：</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u w:val="single"/>
        </w:rPr>
        <w:t xml:space="preserve">  </w:t>
      </w:r>
      <w:r>
        <w:rPr>
          <w:rFonts w:ascii="宋体" w:hAnsi="宋体"/>
          <w:snapToGrid w:val="0"/>
          <w:color w:val="auto"/>
          <w:kern w:val="0"/>
          <w:szCs w:val="21"/>
        </w:rPr>
        <w:t xml:space="preserve">（盖单位法人章） </w:t>
      </w:r>
    </w:p>
    <w:p>
      <w:pPr>
        <w:tabs>
          <w:tab w:val="left" w:pos="7140"/>
          <w:tab w:val="left" w:pos="7560"/>
          <w:tab w:val="left" w:pos="8300"/>
        </w:tabs>
        <w:autoSpaceDE w:val="0"/>
        <w:autoSpaceDN w:val="0"/>
        <w:adjustRightInd w:val="0"/>
        <w:spacing w:line="360" w:lineRule="auto"/>
        <w:ind w:right="210" w:firstLine="1984" w:firstLineChars="945"/>
        <w:rPr>
          <w:rFonts w:ascii="宋体" w:hAnsi="宋体"/>
          <w:snapToGrid w:val="0"/>
          <w:color w:val="auto"/>
          <w:kern w:val="0"/>
          <w:szCs w:val="21"/>
        </w:rPr>
      </w:pPr>
      <w:r>
        <w:rPr>
          <w:rFonts w:hint="eastAsia" w:ascii="宋体" w:hAnsi="宋体"/>
          <w:snapToGrid w:val="0"/>
          <w:color w:val="auto"/>
          <w:kern w:val="0"/>
          <w:szCs w:val="21"/>
        </w:rPr>
        <w:t xml:space="preserve">   </w:t>
      </w:r>
    </w:p>
    <w:p>
      <w:pPr>
        <w:tabs>
          <w:tab w:val="left" w:pos="7140"/>
          <w:tab w:val="left" w:pos="7560"/>
          <w:tab w:val="left" w:pos="8300"/>
        </w:tabs>
        <w:autoSpaceDE w:val="0"/>
        <w:autoSpaceDN w:val="0"/>
        <w:adjustRightInd w:val="0"/>
        <w:spacing w:line="360" w:lineRule="auto"/>
        <w:ind w:right="210" w:firstLine="2415" w:firstLineChars="1150"/>
        <w:rPr>
          <w:rFonts w:ascii="宋体" w:hAnsi="宋体"/>
          <w:snapToGrid w:val="0"/>
          <w:color w:val="auto"/>
          <w:kern w:val="0"/>
          <w:szCs w:val="21"/>
        </w:rPr>
      </w:pPr>
      <w:r>
        <w:rPr>
          <w:rFonts w:ascii="宋体" w:hAnsi="宋体"/>
          <w:snapToGrid w:val="0"/>
          <w:color w:val="auto"/>
          <w:kern w:val="0"/>
          <w:szCs w:val="21"/>
        </w:rPr>
        <w:t>法定代表人或其委托代理人：</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rPr>
        <w:t>（</w:t>
      </w:r>
      <w:r>
        <w:rPr>
          <w:rFonts w:hint="eastAsia" w:ascii="宋体" w:hAnsi="宋体"/>
          <w:snapToGrid w:val="0"/>
          <w:color w:val="auto"/>
          <w:kern w:val="0"/>
          <w:szCs w:val="21"/>
        </w:rPr>
        <w:t>签名</w:t>
      </w:r>
      <w:r>
        <w:rPr>
          <w:rFonts w:ascii="宋体" w:hAnsi="宋体"/>
          <w:snapToGrid w:val="0"/>
          <w:color w:val="auto"/>
          <w:kern w:val="0"/>
          <w:szCs w:val="21"/>
        </w:rPr>
        <w:t xml:space="preserve">或盖章） </w:t>
      </w:r>
    </w:p>
    <w:p>
      <w:pPr>
        <w:tabs>
          <w:tab w:val="left" w:pos="7140"/>
          <w:tab w:val="left" w:pos="7560"/>
          <w:tab w:val="left" w:pos="8300"/>
        </w:tabs>
        <w:autoSpaceDE w:val="0"/>
        <w:autoSpaceDN w:val="0"/>
        <w:adjustRightInd w:val="0"/>
        <w:spacing w:line="360" w:lineRule="auto"/>
        <w:ind w:right="210" w:firstLine="1995" w:firstLineChars="950"/>
        <w:rPr>
          <w:rFonts w:ascii="宋体" w:hAnsi="宋体"/>
          <w:snapToGrid w:val="0"/>
          <w:color w:val="auto"/>
          <w:kern w:val="0"/>
          <w:szCs w:val="21"/>
        </w:rPr>
      </w:pPr>
    </w:p>
    <w:p>
      <w:pPr>
        <w:pStyle w:val="5"/>
        <w:spacing w:line="240" w:lineRule="auto"/>
        <w:rPr>
          <w:rFonts w:ascii="宋体" w:hAnsi="宋体"/>
          <w:snapToGrid w:val="0"/>
          <w:color w:val="auto"/>
          <w:kern w:val="0"/>
          <w:szCs w:val="21"/>
        </w:rPr>
      </w:pPr>
      <w:r>
        <w:rPr>
          <w:rFonts w:ascii="宋体" w:hAnsi="宋体"/>
          <w:snapToGrid w:val="0"/>
          <w:color w:val="auto"/>
        </w:rPr>
        <w:br w:type="page"/>
      </w:r>
      <w:bookmarkStart w:id="926" w:name="_Toc27100"/>
      <w:bookmarkStart w:id="927" w:name="_Toc287620816"/>
      <w:bookmarkStart w:id="928" w:name="_Toc3126"/>
      <w:bookmarkStart w:id="929" w:name="_Toc287607869"/>
      <w:bookmarkStart w:id="930" w:name="_Toc277082645"/>
      <w:bookmarkStart w:id="931" w:name="_Toc430530532"/>
      <w:bookmarkStart w:id="932" w:name="_Toc224103497"/>
      <w:r>
        <w:rPr>
          <w:rFonts w:ascii="宋体" w:hAnsi="宋体"/>
          <w:b w:val="0"/>
          <w:bCs w:val="0"/>
          <w:color w:val="auto"/>
        </w:rPr>
        <w:t>（三）</w:t>
      </w:r>
      <w:r>
        <w:rPr>
          <w:rFonts w:hint="eastAsia" w:ascii="宋体" w:hAnsi="宋体"/>
          <w:b w:val="0"/>
          <w:bCs w:val="0"/>
          <w:color w:val="auto"/>
        </w:rPr>
        <w:t>法定代表人身份证明或附有法定代表人身份证明的授权委托书</w:t>
      </w:r>
      <w:bookmarkEnd w:id="926"/>
      <w:bookmarkEnd w:id="927"/>
      <w:bookmarkEnd w:id="928"/>
      <w:bookmarkEnd w:id="929"/>
      <w:bookmarkEnd w:id="930"/>
      <w:bookmarkEnd w:id="931"/>
      <w:bookmarkEnd w:id="932"/>
    </w:p>
    <w:p>
      <w:pPr>
        <w:spacing w:line="480" w:lineRule="auto"/>
        <w:jc w:val="center"/>
        <w:rPr>
          <w:rFonts w:ascii="宋体" w:hAnsi="宋体"/>
          <w:color w:val="auto"/>
          <w:sz w:val="28"/>
        </w:rPr>
      </w:pPr>
      <w:r>
        <w:rPr>
          <w:rFonts w:hint="eastAsia" w:ascii="宋体" w:hAnsi="宋体"/>
          <w:color w:val="auto"/>
          <w:sz w:val="28"/>
        </w:rPr>
        <w:t>法定代表人身份证明</w:t>
      </w:r>
    </w:p>
    <w:p>
      <w:pPr>
        <w:spacing w:line="480" w:lineRule="auto"/>
        <w:jc w:val="center"/>
        <w:rPr>
          <w:rFonts w:ascii="宋体" w:hAnsi="宋体"/>
          <w:color w:val="auto"/>
        </w:rPr>
      </w:pPr>
    </w:p>
    <w:p>
      <w:pPr>
        <w:tabs>
          <w:tab w:val="left" w:pos="5565"/>
        </w:tabs>
        <w:autoSpaceDE w:val="0"/>
        <w:autoSpaceDN w:val="0"/>
        <w:adjustRightInd w:val="0"/>
        <w:snapToGrid w:val="0"/>
        <w:spacing w:line="700" w:lineRule="exact"/>
        <w:ind w:firstLine="390" w:firstLineChars="186"/>
        <w:jc w:val="left"/>
        <w:rPr>
          <w:rFonts w:ascii="宋体" w:hAnsi="宋体"/>
          <w:color w:val="auto"/>
          <w:kern w:val="0"/>
          <w:szCs w:val="21"/>
        </w:rPr>
      </w:pPr>
      <w:r>
        <w:rPr>
          <w:rFonts w:ascii="宋体" w:hAnsi="宋体"/>
          <w:color w:val="auto"/>
          <w:kern w:val="0"/>
          <w:szCs w:val="21"/>
        </w:rPr>
        <w:t>投标人名称：</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p>
    <w:p>
      <w:pPr>
        <w:tabs>
          <w:tab w:val="left" w:pos="5475"/>
        </w:tabs>
        <w:autoSpaceDE w:val="0"/>
        <w:autoSpaceDN w:val="0"/>
        <w:adjustRightInd w:val="0"/>
        <w:snapToGrid w:val="0"/>
        <w:spacing w:line="700" w:lineRule="exact"/>
        <w:ind w:firstLine="390" w:firstLineChars="186"/>
        <w:jc w:val="left"/>
        <w:rPr>
          <w:rFonts w:ascii="宋体" w:hAnsi="宋体"/>
          <w:color w:val="auto"/>
          <w:kern w:val="0"/>
          <w:szCs w:val="21"/>
        </w:rPr>
      </w:pPr>
      <w:r>
        <w:rPr>
          <w:rFonts w:ascii="宋体" w:hAnsi="宋体"/>
          <w:color w:val="auto"/>
          <w:kern w:val="0"/>
          <w:szCs w:val="21"/>
        </w:rPr>
        <w:t>单位性质：</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p>
    <w:p>
      <w:pPr>
        <w:tabs>
          <w:tab w:val="left" w:pos="5475"/>
        </w:tabs>
        <w:autoSpaceDE w:val="0"/>
        <w:autoSpaceDN w:val="0"/>
        <w:adjustRightInd w:val="0"/>
        <w:snapToGrid w:val="0"/>
        <w:spacing w:line="700" w:lineRule="exact"/>
        <w:ind w:firstLine="390" w:firstLineChars="186"/>
        <w:jc w:val="left"/>
        <w:rPr>
          <w:rFonts w:ascii="宋体" w:hAnsi="宋体"/>
          <w:color w:val="auto"/>
          <w:kern w:val="0"/>
          <w:szCs w:val="21"/>
        </w:rPr>
      </w:pPr>
      <w:r>
        <w:rPr>
          <w:rFonts w:ascii="宋体" w:hAnsi="宋体"/>
          <w:color w:val="auto"/>
          <w:kern w:val="0"/>
          <w:szCs w:val="21"/>
        </w:rPr>
        <w:t>地</w:t>
      </w:r>
      <w:r>
        <w:rPr>
          <w:rFonts w:hint="eastAsia" w:ascii="宋体" w:hAnsi="宋体"/>
          <w:color w:val="auto"/>
          <w:kern w:val="0"/>
          <w:szCs w:val="21"/>
        </w:rPr>
        <w:t xml:space="preserve">    </w:t>
      </w:r>
      <w:r>
        <w:rPr>
          <w:rFonts w:ascii="宋体" w:hAnsi="宋体"/>
          <w:color w:val="auto"/>
          <w:kern w:val="0"/>
          <w:szCs w:val="21"/>
        </w:rPr>
        <w:t>址：</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p>
    <w:p>
      <w:pPr>
        <w:tabs>
          <w:tab w:val="left" w:pos="2520"/>
          <w:tab w:val="left" w:pos="3836"/>
        </w:tabs>
        <w:autoSpaceDE w:val="0"/>
        <w:autoSpaceDN w:val="0"/>
        <w:adjustRightInd w:val="0"/>
        <w:snapToGrid w:val="0"/>
        <w:spacing w:line="700" w:lineRule="exact"/>
        <w:ind w:firstLine="390" w:firstLineChars="186"/>
        <w:jc w:val="left"/>
        <w:rPr>
          <w:rFonts w:ascii="宋体" w:hAnsi="宋体"/>
          <w:color w:val="auto"/>
          <w:kern w:val="0"/>
          <w:sz w:val="10"/>
          <w:szCs w:val="10"/>
        </w:rPr>
      </w:pPr>
      <w:r>
        <w:rPr>
          <w:rFonts w:ascii="宋体" w:hAnsi="宋体"/>
          <w:color w:val="auto"/>
          <w:kern w:val="0"/>
          <w:szCs w:val="21"/>
        </w:rPr>
        <w:t>成立时间：</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kern w:val="0"/>
          <w:szCs w:val="21"/>
        </w:rPr>
        <w:t>年</w:t>
      </w:r>
      <w:r>
        <w:rPr>
          <w:rFonts w:ascii="宋体" w:hAnsi="宋体"/>
          <w:color w:val="auto"/>
          <w:w w:val="200"/>
          <w:kern w:val="0"/>
          <w:szCs w:val="21"/>
          <w:u w:val="single"/>
        </w:rPr>
        <w:t xml:space="preserve"> </w:t>
      </w:r>
      <w:r>
        <w:rPr>
          <w:rFonts w:hint="eastAsia" w:ascii="宋体" w:hAnsi="宋体"/>
          <w:color w:val="auto"/>
          <w:kern w:val="0"/>
          <w:szCs w:val="21"/>
          <w:u w:val="single"/>
        </w:rPr>
        <w:t xml:space="preserve">      </w:t>
      </w:r>
      <w:r>
        <w:rPr>
          <w:rFonts w:ascii="宋体" w:hAnsi="宋体"/>
          <w:color w:val="auto"/>
          <w:kern w:val="0"/>
          <w:szCs w:val="21"/>
          <w:u w:val="single"/>
        </w:rPr>
        <w:t xml:space="preserve"> </w:t>
      </w:r>
      <w:r>
        <w:rPr>
          <w:rFonts w:ascii="宋体" w:hAnsi="宋体"/>
          <w:color w:val="auto"/>
          <w:kern w:val="0"/>
          <w:szCs w:val="21"/>
        </w:rPr>
        <w:t>月</w:t>
      </w:r>
      <w:r>
        <w:rPr>
          <w:rFonts w:ascii="宋体" w:hAnsi="宋体"/>
          <w:color w:val="auto"/>
          <w:w w:val="200"/>
          <w:kern w:val="0"/>
          <w:szCs w:val="21"/>
          <w:u w:val="single"/>
        </w:rPr>
        <w:t xml:space="preserve"> </w:t>
      </w:r>
      <w:r>
        <w:rPr>
          <w:rFonts w:ascii="宋体" w:hAnsi="宋体"/>
          <w:color w:val="auto"/>
          <w:kern w:val="0"/>
          <w:szCs w:val="21"/>
          <w:u w:val="single"/>
        </w:rPr>
        <w:t xml:space="preserve">       </w:t>
      </w:r>
      <w:r>
        <w:rPr>
          <w:rFonts w:ascii="宋体" w:hAnsi="宋体"/>
          <w:color w:val="auto"/>
          <w:kern w:val="0"/>
          <w:szCs w:val="21"/>
        </w:rPr>
        <w:t>日</w:t>
      </w:r>
    </w:p>
    <w:p>
      <w:pPr>
        <w:tabs>
          <w:tab w:val="left" w:pos="5475"/>
        </w:tabs>
        <w:autoSpaceDE w:val="0"/>
        <w:autoSpaceDN w:val="0"/>
        <w:adjustRightInd w:val="0"/>
        <w:snapToGrid w:val="0"/>
        <w:spacing w:line="700" w:lineRule="exact"/>
        <w:ind w:firstLine="390" w:firstLineChars="186"/>
        <w:jc w:val="left"/>
        <w:rPr>
          <w:rFonts w:ascii="宋体" w:hAnsi="宋体"/>
          <w:color w:val="auto"/>
          <w:kern w:val="0"/>
          <w:szCs w:val="21"/>
        </w:rPr>
      </w:pPr>
      <w:r>
        <w:rPr>
          <w:rFonts w:ascii="宋体" w:hAnsi="宋体"/>
          <w:color w:val="auto"/>
          <w:kern w:val="0"/>
          <w:szCs w:val="21"/>
        </w:rPr>
        <w:t>经营期限：</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p>
    <w:p>
      <w:pPr>
        <w:tabs>
          <w:tab w:val="left" w:pos="1580"/>
          <w:tab w:val="left" w:pos="3260"/>
          <w:tab w:val="left" w:pos="4840"/>
          <w:tab w:val="left" w:pos="6300"/>
        </w:tabs>
        <w:autoSpaceDE w:val="0"/>
        <w:autoSpaceDN w:val="0"/>
        <w:adjustRightInd w:val="0"/>
        <w:snapToGrid w:val="0"/>
        <w:spacing w:line="700" w:lineRule="exact"/>
        <w:ind w:firstLine="390" w:firstLineChars="186"/>
        <w:jc w:val="left"/>
        <w:rPr>
          <w:rFonts w:ascii="宋体" w:hAnsi="宋体"/>
          <w:color w:val="auto"/>
          <w:kern w:val="0"/>
          <w:szCs w:val="21"/>
        </w:rPr>
      </w:pPr>
      <w:r>
        <w:rPr>
          <w:rFonts w:ascii="宋体" w:hAnsi="宋体"/>
          <w:color w:val="auto"/>
          <w:kern w:val="0"/>
          <w:szCs w:val="21"/>
        </w:rPr>
        <w:t>姓名：</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kern w:val="0"/>
          <w:szCs w:val="21"/>
        </w:rPr>
        <w:t>性别</w:t>
      </w:r>
      <w:r>
        <w:rPr>
          <w:rFonts w:ascii="宋体" w:hAnsi="宋体"/>
          <w:color w:val="auto"/>
          <w:spacing w:val="-1"/>
          <w:kern w:val="0"/>
          <w:szCs w:val="21"/>
        </w:rPr>
        <w:t>：</w:t>
      </w:r>
      <w:r>
        <w:rPr>
          <w:rFonts w:hint="eastAsia" w:ascii="宋体" w:hAnsi="宋体"/>
          <w:color w:val="auto"/>
          <w:kern w:val="0"/>
          <w:szCs w:val="21"/>
          <w:u w:val="single"/>
        </w:rPr>
        <w:t xml:space="preserve">      </w:t>
      </w:r>
      <w:r>
        <w:rPr>
          <w:rFonts w:ascii="宋体" w:hAnsi="宋体"/>
          <w:color w:val="auto"/>
          <w:kern w:val="0"/>
          <w:szCs w:val="21"/>
          <w:u w:val="single"/>
        </w:rPr>
        <w:t xml:space="preserve"> </w:t>
      </w:r>
      <w:r>
        <w:rPr>
          <w:rFonts w:ascii="宋体" w:hAnsi="宋体"/>
          <w:color w:val="auto"/>
          <w:spacing w:val="-1"/>
          <w:kern w:val="0"/>
          <w:szCs w:val="21"/>
        </w:rPr>
        <w:t>年</w:t>
      </w:r>
      <w:r>
        <w:rPr>
          <w:rFonts w:ascii="宋体" w:hAnsi="宋体"/>
          <w:color w:val="auto"/>
          <w:kern w:val="0"/>
          <w:szCs w:val="21"/>
        </w:rPr>
        <w:t>龄：</w:t>
      </w:r>
      <w:r>
        <w:rPr>
          <w:rFonts w:hint="eastAsia" w:ascii="宋体" w:hAnsi="宋体"/>
          <w:color w:val="auto"/>
          <w:kern w:val="0"/>
          <w:szCs w:val="21"/>
          <w:u w:val="single"/>
        </w:rPr>
        <w:t xml:space="preserve">      </w:t>
      </w:r>
      <w:r>
        <w:rPr>
          <w:rFonts w:ascii="宋体" w:hAnsi="宋体"/>
          <w:color w:val="auto"/>
          <w:kern w:val="0"/>
          <w:szCs w:val="21"/>
          <w:u w:val="single"/>
        </w:rPr>
        <w:t xml:space="preserve"> </w:t>
      </w:r>
      <w:r>
        <w:rPr>
          <w:rFonts w:ascii="宋体" w:hAnsi="宋体"/>
          <w:color w:val="auto"/>
          <w:kern w:val="0"/>
          <w:szCs w:val="21"/>
        </w:rPr>
        <w:t>职务：</w:t>
      </w:r>
      <w:r>
        <w:rPr>
          <w:rFonts w:hint="eastAsia" w:ascii="宋体" w:hAnsi="宋体"/>
          <w:color w:val="auto"/>
          <w:kern w:val="0"/>
          <w:szCs w:val="21"/>
          <w:u w:val="single"/>
        </w:rPr>
        <w:t xml:space="preserve">              </w:t>
      </w:r>
      <w:r>
        <w:rPr>
          <w:rFonts w:ascii="宋体" w:hAnsi="宋体"/>
          <w:color w:val="auto"/>
          <w:kern w:val="0"/>
          <w:szCs w:val="21"/>
          <w:u w:val="single"/>
        </w:rPr>
        <w:t xml:space="preserve"> </w:t>
      </w:r>
    </w:p>
    <w:p>
      <w:pPr>
        <w:tabs>
          <w:tab w:val="left" w:pos="3360"/>
        </w:tabs>
        <w:autoSpaceDE w:val="0"/>
        <w:autoSpaceDN w:val="0"/>
        <w:adjustRightInd w:val="0"/>
        <w:snapToGrid w:val="0"/>
        <w:spacing w:line="700" w:lineRule="exact"/>
        <w:ind w:firstLine="390" w:firstLineChars="186"/>
        <w:jc w:val="left"/>
        <w:rPr>
          <w:rFonts w:ascii="宋体" w:hAnsi="宋体"/>
          <w:color w:val="auto"/>
          <w:kern w:val="0"/>
          <w:szCs w:val="21"/>
        </w:rPr>
      </w:pPr>
      <w:r>
        <w:rPr>
          <w:rFonts w:ascii="宋体" w:hAnsi="宋体"/>
          <w:color w:val="auto"/>
          <w:kern w:val="0"/>
          <w:szCs w:val="21"/>
        </w:rPr>
        <w:t>系</w:t>
      </w:r>
      <w:r>
        <w:rPr>
          <w:rFonts w:hint="eastAsia" w:ascii="宋体" w:hAnsi="宋体"/>
          <w:color w:val="auto"/>
          <w:kern w:val="0"/>
          <w:szCs w:val="21"/>
          <w:u w:val="single"/>
        </w:rPr>
        <w:t xml:space="preserve">                                                        </w:t>
      </w:r>
      <w:r>
        <w:rPr>
          <w:rFonts w:ascii="宋体" w:hAnsi="宋体"/>
          <w:color w:val="auto"/>
          <w:kern w:val="0"/>
          <w:szCs w:val="21"/>
          <w:u w:val="single"/>
        </w:rPr>
        <w:t xml:space="preserve"> （投标人名称）</w:t>
      </w:r>
      <w:r>
        <w:rPr>
          <w:rFonts w:ascii="宋体" w:hAnsi="宋体"/>
          <w:color w:val="auto"/>
          <w:kern w:val="0"/>
          <w:szCs w:val="21"/>
        </w:rPr>
        <w:t>的法定代表人。</w:t>
      </w:r>
    </w:p>
    <w:p>
      <w:pPr>
        <w:tabs>
          <w:tab w:val="left" w:pos="3360"/>
        </w:tabs>
        <w:autoSpaceDE w:val="0"/>
        <w:autoSpaceDN w:val="0"/>
        <w:adjustRightInd w:val="0"/>
        <w:snapToGrid w:val="0"/>
        <w:spacing w:line="700" w:lineRule="exact"/>
        <w:ind w:firstLine="390" w:firstLineChars="186"/>
        <w:jc w:val="left"/>
        <w:rPr>
          <w:rFonts w:ascii="宋体" w:hAnsi="宋体"/>
          <w:color w:val="auto"/>
          <w:kern w:val="0"/>
          <w:szCs w:val="21"/>
        </w:rPr>
      </w:pPr>
      <w:r>
        <w:rPr>
          <w:rFonts w:ascii="宋体" w:hAnsi="宋体"/>
          <w:color w:val="auto"/>
          <w:kern w:val="0"/>
          <w:szCs w:val="21"/>
        </w:rPr>
        <w:t>特此证明。</w:t>
      </w:r>
    </w:p>
    <w:p>
      <w:pPr>
        <w:autoSpaceDE w:val="0"/>
        <w:autoSpaceDN w:val="0"/>
        <w:adjustRightInd w:val="0"/>
        <w:snapToGrid w:val="0"/>
        <w:spacing w:line="700" w:lineRule="exact"/>
        <w:ind w:firstLine="810" w:firstLineChars="386"/>
        <w:jc w:val="left"/>
        <w:rPr>
          <w:rFonts w:ascii="宋体" w:hAnsi="宋体"/>
          <w:color w:val="auto"/>
          <w:kern w:val="0"/>
          <w:szCs w:val="21"/>
        </w:rPr>
      </w:pPr>
    </w:p>
    <w:p>
      <w:pPr>
        <w:autoSpaceDE w:val="0"/>
        <w:autoSpaceDN w:val="0"/>
        <w:adjustRightInd w:val="0"/>
        <w:snapToGrid w:val="0"/>
        <w:spacing w:line="700" w:lineRule="exact"/>
        <w:ind w:firstLine="810" w:firstLineChars="386"/>
        <w:jc w:val="left"/>
        <w:rPr>
          <w:rFonts w:ascii="宋体" w:hAnsi="宋体"/>
          <w:color w:val="auto"/>
          <w:szCs w:val="21"/>
        </w:rPr>
      </w:pPr>
      <w:r>
        <w:rPr>
          <w:rFonts w:hint="eastAsia" w:ascii="宋体" w:hAnsi="宋体"/>
          <w:color w:val="auto"/>
          <w:kern w:val="0"/>
          <w:szCs w:val="21"/>
        </w:rPr>
        <w:t>附：法定代表人身份证明扫描件（双面）</w:t>
      </w:r>
    </w:p>
    <w:p>
      <w:pPr>
        <w:pStyle w:val="2"/>
        <w:spacing w:after="0" w:line="700" w:lineRule="exact"/>
        <w:rPr>
          <w:rFonts w:ascii="宋体" w:hAnsi="宋体"/>
          <w:color w:val="auto"/>
          <w:szCs w:val="21"/>
        </w:rPr>
      </w:pPr>
    </w:p>
    <w:p>
      <w:pPr>
        <w:tabs>
          <w:tab w:val="left" w:pos="5475"/>
        </w:tabs>
        <w:autoSpaceDE w:val="0"/>
        <w:autoSpaceDN w:val="0"/>
        <w:adjustRightInd w:val="0"/>
        <w:snapToGrid w:val="0"/>
        <w:spacing w:line="700" w:lineRule="exact"/>
        <w:jc w:val="left"/>
        <w:rPr>
          <w:rFonts w:ascii="宋体" w:hAnsi="宋体"/>
          <w:color w:val="auto"/>
          <w:kern w:val="0"/>
          <w:sz w:val="20"/>
        </w:rPr>
      </w:pPr>
    </w:p>
    <w:p>
      <w:pPr>
        <w:tabs>
          <w:tab w:val="left" w:pos="5460"/>
        </w:tabs>
        <w:autoSpaceDE w:val="0"/>
        <w:autoSpaceDN w:val="0"/>
        <w:adjustRightInd w:val="0"/>
        <w:snapToGrid w:val="0"/>
        <w:spacing w:line="700" w:lineRule="exact"/>
        <w:ind w:firstLine="2100"/>
        <w:jc w:val="right"/>
        <w:rPr>
          <w:rFonts w:ascii="宋体" w:hAnsi="宋体"/>
          <w:color w:val="auto"/>
          <w:kern w:val="0"/>
          <w:sz w:val="20"/>
        </w:rPr>
      </w:pPr>
      <w:r>
        <w:rPr>
          <w:rFonts w:ascii="宋体" w:hAnsi="宋体"/>
          <w:color w:val="auto"/>
          <w:kern w:val="0"/>
          <w:szCs w:val="21"/>
        </w:rPr>
        <w:t>投标</w:t>
      </w:r>
      <w:r>
        <w:rPr>
          <w:rFonts w:ascii="宋体" w:hAnsi="宋体"/>
          <w:color w:val="auto"/>
          <w:spacing w:val="-1"/>
          <w:kern w:val="0"/>
          <w:szCs w:val="21"/>
        </w:rPr>
        <w:t>人</w:t>
      </w:r>
      <w:r>
        <w:rPr>
          <w:rFonts w:ascii="宋体" w:hAnsi="宋体"/>
          <w:color w:val="auto"/>
          <w:kern w:val="0"/>
          <w:szCs w:val="21"/>
        </w:rPr>
        <w:t>：</w:t>
      </w:r>
      <w:r>
        <w:rPr>
          <w:rFonts w:ascii="宋体" w:hAnsi="宋体"/>
          <w:color w:val="auto"/>
          <w:w w:val="200"/>
          <w:kern w:val="0"/>
          <w:szCs w:val="21"/>
          <w:u w:val="single"/>
        </w:rPr>
        <w:t xml:space="preserve">              </w:t>
      </w:r>
      <w:r>
        <w:rPr>
          <w:rFonts w:ascii="宋体" w:hAnsi="宋体"/>
          <w:color w:val="auto"/>
          <w:kern w:val="0"/>
          <w:szCs w:val="21"/>
          <w:u w:val="single"/>
        </w:rPr>
        <w:tab/>
      </w:r>
      <w:r>
        <w:rPr>
          <w:rFonts w:ascii="宋体" w:hAnsi="宋体"/>
          <w:color w:val="auto"/>
          <w:spacing w:val="-1"/>
          <w:kern w:val="0"/>
          <w:szCs w:val="21"/>
        </w:rPr>
        <w:t>（</w:t>
      </w:r>
      <w:r>
        <w:rPr>
          <w:rFonts w:ascii="宋体" w:hAnsi="宋体"/>
          <w:color w:val="auto"/>
          <w:kern w:val="0"/>
          <w:szCs w:val="21"/>
        </w:rPr>
        <w:t>盖单位法人章）</w:t>
      </w:r>
    </w:p>
    <w:p>
      <w:pPr>
        <w:tabs>
          <w:tab w:val="left" w:pos="4935"/>
          <w:tab w:val="left" w:pos="5460"/>
          <w:tab w:val="left" w:pos="6400"/>
        </w:tabs>
        <w:wordWrap w:val="0"/>
        <w:autoSpaceDE w:val="0"/>
        <w:autoSpaceDN w:val="0"/>
        <w:adjustRightInd w:val="0"/>
        <w:snapToGrid w:val="0"/>
        <w:spacing w:line="700" w:lineRule="exact"/>
        <w:ind w:firstLine="3780"/>
        <w:jc w:val="right"/>
        <w:rPr>
          <w:rFonts w:ascii="宋体" w:hAnsi="宋体"/>
          <w:color w:val="auto"/>
          <w:kern w:val="0"/>
          <w:szCs w:val="21"/>
        </w:rPr>
      </w:pPr>
      <w:r>
        <w:rPr>
          <w:rFonts w:hint="eastAsia" w:ascii="宋体" w:hAnsi="宋体"/>
          <w:color w:val="auto"/>
          <w:w w:val="200"/>
          <w:kern w:val="0"/>
          <w:szCs w:val="21"/>
          <w:u w:val="single"/>
        </w:rPr>
        <w:t xml:space="preserve">      </w:t>
      </w:r>
      <w:r>
        <w:rPr>
          <w:rFonts w:ascii="宋体" w:hAnsi="宋体"/>
          <w:color w:val="auto"/>
          <w:kern w:val="0"/>
          <w:szCs w:val="21"/>
        </w:rPr>
        <w:t>年</w:t>
      </w:r>
      <w:r>
        <w:rPr>
          <w:rFonts w:ascii="宋体" w:hAnsi="宋体"/>
          <w:color w:val="auto"/>
          <w:w w:val="200"/>
          <w:kern w:val="0"/>
          <w:szCs w:val="21"/>
          <w:u w:val="single"/>
        </w:rPr>
        <w:t xml:space="preserve"> </w:t>
      </w:r>
      <w:r>
        <w:rPr>
          <w:rFonts w:hint="eastAsia" w:ascii="宋体" w:hAnsi="宋体"/>
          <w:color w:val="auto"/>
          <w:kern w:val="0"/>
          <w:szCs w:val="21"/>
          <w:u w:val="single"/>
        </w:rPr>
        <w:t xml:space="preserve">    </w:t>
      </w:r>
      <w:r>
        <w:rPr>
          <w:rFonts w:ascii="宋体" w:hAnsi="宋体"/>
          <w:color w:val="auto"/>
          <w:kern w:val="0"/>
          <w:szCs w:val="21"/>
          <w:u w:val="single"/>
        </w:rPr>
        <w:t xml:space="preserve"> </w:t>
      </w:r>
      <w:r>
        <w:rPr>
          <w:rFonts w:ascii="宋体" w:hAnsi="宋体"/>
          <w:color w:val="auto"/>
          <w:kern w:val="0"/>
          <w:szCs w:val="21"/>
        </w:rPr>
        <w:t>月</w:t>
      </w:r>
      <w:r>
        <w:rPr>
          <w:rFonts w:ascii="宋体" w:hAnsi="宋体"/>
          <w:color w:val="auto"/>
          <w:w w:val="200"/>
          <w:kern w:val="0"/>
          <w:szCs w:val="21"/>
          <w:u w:val="single"/>
        </w:rPr>
        <w:t xml:space="preserve"> </w:t>
      </w:r>
      <w:r>
        <w:rPr>
          <w:rFonts w:ascii="宋体" w:hAnsi="宋体"/>
          <w:color w:val="auto"/>
          <w:kern w:val="0"/>
          <w:szCs w:val="21"/>
          <w:u w:val="single"/>
        </w:rPr>
        <w:t xml:space="preserve">     </w:t>
      </w:r>
      <w:r>
        <w:rPr>
          <w:rFonts w:ascii="宋体" w:hAnsi="宋体"/>
          <w:color w:val="auto"/>
          <w:kern w:val="0"/>
          <w:szCs w:val="21"/>
        </w:rPr>
        <w:t>日</w:t>
      </w:r>
      <w:r>
        <w:rPr>
          <w:rFonts w:hint="eastAsia" w:ascii="宋体" w:hAnsi="宋体"/>
          <w:color w:val="auto"/>
          <w:kern w:val="0"/>
          <w:szCs w:val="21"/>
        </w:rPr>
        <w:t xml:space="preserve">  </w:t>
      </w:r>
    </w:p>
    <w:p>
      <w:pPr>
        <w:autoSpaceDE w:val="0"/>
        <w:autoSpaceDN w:val="0"/>
        <w:adjustRightInd w:val="0"/>
        <w:snapToGrid w:val="0"/>
        <w:spacing w:line="700" w:lineRule="exact"/>
        <w:jc w:val="left"/>
        <w:rPr>
          <w:rFonts w:ascii="宋体" w:hAnsi="宋体"/>
          <w:color w:val="auto"/>
          <w:kern w:val="0"/>
        </w:rPr>
      </w:pPr>
    </w:p>
    <w:p>
      <w:pPr>
        <w:spacing w:line="700" w:lineRule="exact"/>
        <w:ind w:firstLine="420" w:firstLineChars="200"/>
        <w:rPr>
          <w:rFonts w:ascii="宋体" w:hAnsi="宋体"/>
          <w:color w:val="auto"/>
        </w:rPr>
      </w:pPr>
      <w:r>
        <w:rPr>
          <w:rFonts w:ascii="宋体" w:hAnsi="宋体"/>
          <w:color w:val="auto"/>
        </w:rPr>
        <w:t>注：法定代表人身份证明需按上述格式填写完整，不可缺少内容。在此基础上增加内容的不影响其有效性。</w:t>
      </w:r>
    </w:p>
    <w:p>
      <w:pPr>
        <w:tabs>
          <w:tab w:val="left" w:pos="1680"/>
          <w:tab w:val="left" w:pos="4215"/>
          <w:tab w:val="left" w:pos="4305"/>
          <w:tab w:val="left" w:pos="8000"/>
        </w:tabs>
        <w:autoSpaceDE w:val="0"/>
        <w:autoSpaceDN w:val="0"/>
        <w:adjustRightInd w:val="0"/>
        <w:snapToGrid w:val="0"/>
        <w:spacing w:line="360" w:lineRule="auto"/>
        <w:jc w:val="center"/>
        <w:rPr>
          <w:rFonts w:ascii="宋体" w:hAnsi="宋体"/>
          <w:snapToGrid w:val="0"/>
          <w:color w:val="auto"/>
          <w:kern w:val="0"/>
          <w:sz w:val="32"/>
          <w:szCs w:val="32"/>
        </w:rPr>
      </w:pPr>
      <w:r>
        <w:rPr>
          <w:rFonts w:ascii="宋体" w:hAnsi="宋体"/>
          <w:color w:val="auto"/>
          <w:kern w:val="0"/>
        </w:rPr>
        <w:br w:type="page"/>
      </w:r>
      <w:r>
        <w:rPr>
          <w:rFonts w:ascii="宋体" w:hAnsi="宋体"/>
          <w:snapToGrid w:val="0"/>
          <w:color w:val="auto"/>
          <w:kern w:val="0"/>
          <w:sz w:val="32"/>
          <w:szCs w:val="32"/>
        </w:rPr>
        <w:t>授权委托书</w:t>
      </w:r>
    </w:p>
    <w:p>
      <w:pPr>
        <w:pStyle w:val="2"/>
        <w:rPr>
          <w:color w:val="auto"/>
        </w:rPr>
      </w:pPr>
    </w:p>
    <w:p>
      <w:pPr>
        <w:tabs>
          <w:tab w:val="left" w:pos="1680"/>
          <w:tab w:val="left" w:pos="4215"/>
          <w:tab w:val="left" w:pos="4305"/>
          <w:tab w:val="left" w:pos="8000"/>
        </w:tabs>
        <w:autoSpaceDE w:val="0"/>
        <w:autoSpaceDN w:val="0"/>
        <w:adjustRightInd w:val="0"/>
        <w:snapToGrid w:val="0"/>
        <w:spacing w:line="700" w:lineRule="exact"/>
        <w:ind w:firstLine="420"/>
        <w:jc w:val="left"/>
        <w:rPr>
          <w:rFonts w:ascii="宋体" w:hAnsi="宋体"/>
          <w:color w:val="auto"/>
          <w:kern w:val="0"/>
          <w:szCs w:val="21"/>
        </w:rPr>
      </w:pPr>
      <w:r>
        <w:rPr>
          <w:rFonts w:ascii="宋体" w:hAnsi="宋体"/>
          <w:color w:val="auto"/>
          <w:kern w:val="0"/>
          <w:szCs w:val="21"/>
        </w:rPr>
        <w:t>本人</w:t>
      </w:r>
      <w:r>
        <w:rPr>
          <w:rFonts w:hint="eastAsia" w:ascii="宋体" w:hAnsi="宋体"/>
          <w:color w:val="auto"/>
          <w:w w:val="200"/>
          <w:kern w:val="0"/>
          <w:szCs w:val="21"/>
          <w:u w:val="single"/>
        </w:rPr>
        <w:t xml:space="preserve">    </w:t>
      </w:r>
      <w:r>
        <w:rPr>
          <w:rFonts w:ascii="宋体" w:hAnsi="宋体"/>
          <w:color w:val="auto"/>
          <w:kern w:val="0"/>
          <w:szCs w:val="21"/>
          <w:u w:val="single"/>
        </w:rPr>
        <w:t>（姓名）</w:t>
      </w:r>
      <w:r>
        <w:rPr>
          <w:rFonts w:ascii="宋体" w:hAnsi="宋体"/>
          <w:color w:val="auto"/>
          <w:kern w:val="0"/>
          <w:szCs w:val="21"/>
        </w:rPr>
        <w:t>系</w:t>
      </w:r>
      <w:r>
        <w:rPr>
          <w:rFonts w:hint="eastAsia" w:ascii="宋体" w:hAnsi="宋体"/>
          <w:color w:val="auto"/>
          <w:w w:val="200"/>
          <w:kern w:val="0"/>
          <w:szCs w:val="21"/>
          <w:u w:val="single"/>
        </w:rPr>
        <w:t xml:space="preserve">        </w:t>
      </w:r>
      <w:r>
        <w:rPr>
          <w:rFonts w:ascii="宋体" w:hAnsi="宋体"/>
          <w:color w:val="auto"/>
          <w:kern w:val="0"/>
          <w:szCs w:val="21"/>
          <w:u w:val="single"/>
        </w:rPr>
        <w:t>（</w:t>
      </w:r>
      <w:r>
        <w:rPr>
          <w:rFonts w:ascii="宋体" w:hAnsi="宋体"/>
          <w:color w:val="auto"/>
          <w:spacing w:val="-1"/>
          <w:kern w:val="0"/>
          <w:szCs w:val="21"/>
          <w:u w:val="single"/>
        </w:rPr>
        <w:t>投</w:t>
      </w:r>
      <w:r>
        <w:rPr>
          <w:rFonts w:ascii="宋体" w:hAnsi="宋体"/>
          <w:color w:val="auto"/>
          <w:kern w:val="0"/>
          <w:szCs w:val="21"/>
          <w:u w:val="single"/>
        </w:rPr>
        <w:t>标人名称</w:t>
      </w:r>
      <w:r>
        <w:rPr>
          <w:rFonts w:ascii="宋体" w:hAnsi="宋体"/>
          <w:color w:val="auto"/>
          <w:spacing w:val="1"/>
          <w:kern w:val="0"/>
          <w:szCs w:val="21"/>
          <w:u w:val="single"/>
        </w:rPr>
        <w:t>）</w:t>
      </w:r>
      <w:r>
        <w:rPr>
          <w:rFonts w:ascii="宋体" w:hAnsi="宋体"/>
          <w:color w:val="auto"/>
          <w:kern w:val="0"/>
          <w:szCs w:val="21"/>
        </w:rPr>
        <w:t>的法定代</w:t>
      </w:r>
      <w:r>
        <w:rPr>
          <w:rFonts w:ascii="宋体" w:hAnsi="宋体"/>
          <w:color w:val="auto"/>
          <w:spacing w:val="1"/>
          <w:kern w:val="0"/>
          <w:szCs w:val="21"/>
        </w:rPr>
        <w:t>表</w:t>
      </w:r>
      <w:r>
        <w:rPr>
          <w:rFonts w:ascii="宋体" w:hAnsi="宋体"/>
          <w:color w:val="auto"/>
          <w:kern w:val="0"/>
          <w:szCs w:val="21"/>
        </w:rPr>
        <w:t>人，现委托</w:t>
      </w:r>
      <w:r>
        <w:rPr>
          <w:rFonts w:hint="eastAsia" w:ascii="宋体" w:hAnsi="宋体"/>
          <w:color w:val="auto"/>
          <w:w w:val="200"/>
          <w:kern w:val="0"/>
          <w:szCs w:val="21"/>
          <w:u w:val="single"/>
        </w:rPr>
        <w:t xml:space="preserve">    </w:t>
      </w:r>
      <w:r>
        <w:rPr>
          <w:rFonts w:ascii="宋体" w:hAnsi="宋体"/>
          <w:color w:val="auto"/>
          <w:kern w:val="0"/>
          <w:szCs w:val="21"/>
          <w:u w:val="single"/>
        </w:rPr>
        <w:t>（姓名）</w:t>
      </w:r>
      <w:r>
        <w:rPr>
          <w:rFonts w:ascii="宋体" w:hAnsi="宋体"/>
          <w:color w:val="auto"/>
          <w:kern w:val="0"/>
          <w:szCs w:val="21"/>
        </w:rPr>
        <w:t>为我方代理人。代理人根据授权，以我方名义签署、澄清、说明、补正、递交、撤回、 修改</w:t>
      </w:r>
      <w:r>
        <w:rPr>
          <w:rFonts w:hint="eastAsia" w:ascii="宋体" w:hAnsi="宋体"/>
          <w:color w:val="auto"/>
          <w:w w:val="200"/>
          <w:kern w:val="0"/>
          <w:szCs w:val="21"/>
          <w:u w:val="single"/>
        </w:rPr>
        <w:t xml:space="preserve">        </w:t>
      </w:r>
      <w:r>
        <w:rPr>
          <w:rFonts w:ascii="宋体" w:hAnsi="宋体"/>
          <w:color w:val="auto"/>
          <w:kern w:val="0"/>
          <w:szCs w:val="21"/>
          <w:u w:val="single"/>
        </w:rPr>
        <w:t>（项</w:t>
      </w:r>
      <w:r>
        <w:rPr>
          <w:rFonts w:ascii="宋体" w:hAnsi="宋体"/>
          <w:color w:val="auto"/>
          <w:spacing w:val="-1"/>
          <w:kern w:val="0"/>
          <w:szCs w:val="21"/>
          <w:u w:val="single"/>
        </w:rPr>
        <w:t>目</w:t>
      </w:r>
      <w:r>
        <w:rPr>
          <w:rFonts w:ascii="宋体" w:hAnsi="宋体"/>
          <w:color w:val="auto"/>
          <w:kern w:val="0"/>
          <w:szCs w:val="21"/>
          <w:u w:val="single"/>
        </w:rPr>
        <w:t>名称）</w:t>
      </w:r>
      <w:r>
        <w:rPr>
          <w:rFonts w:ascii="宋体" w:hAnsi="宋体"/>
          <w:color w:val="auto"/>
          <w:kern w:val="0"/>
          <w:szCs w:val="21"/>
        </w:rPr>
        <w:t>投标文件、签订合同和处理有关事宜， 其法律后果由我方承担。</w:t>
      </w:r>
    </w:p>
    <w:p>
      <w:pPr>
        <w:tabs>
          <w:tab w:val="left" w:pos="1680"/>
          <w:tab w:val="left" w:pos="4200"/>
          <w:tab w:val="left" w:pos="4305"/>
          <w:tab w:val="left" w:pos="8000"/>
        </w:tabs>
        <w:autoSpaceDE w:val="0"/>
        <w:autoSpaceDN w:val="0"/>
        <w:adjustRightInd w:val="0"/>
        <w:snapToGrid w:val="0"/>
        <w:spacing w:line="700" w:lineRule="exact"/>
        <w:ind w:firstLine="420"/>
        <w:rPr>
          <w:rFonts w:ascii="宋体" w:hAnsi="宋体"/>
          <w:color w:val="auto"/>
          <w:kern w:val="0"/>
          <w:szCs w:val="21"/>
        </w:rPr>
      </w:pPr>
      <w:r>
        <w:rPr>
          <w:rFonts w:ascii="宋体" w:hAnsi="宋体"/>
          <w:color w:val="auto"/>
          <w:kern w:val="0"/>
          <w:szCs w:val="21"/>
        </w:rPr>
        <w:t>委托</w:t>
      </w:r>
      <w:r>
        <w:rPr>
          <w:rFonts w:ascii="宋体" w:hAnsi="宋体"/>
          <w:color w:val="auto"/>
          <w:spacing w:val="-1"/>
          <w:kern w:val="0"/>
          <w:szCs w:val="21"/>
        </w:rPr>
        <w:t>期</w:t>
      </w:r>
      <w:r>
        <w:rPr>
          <w:rFonts w:ascii="宋体" w:hAnsi="宋体"/>
          <w:color w:val="auto"/>
          <w:kern w:val="0"/>
          <w:szCs w:val="21"/>
        </w:rPr>
        <w:t>限：</w:t>
      </w:r>
      <w:r>
        <w:rPr>
          <w:rFonts w:hint="eastAsia" w:ascii="宋体" w:hAnsi="宋体"/>
          <w:color w:val="auto"/>
          <w:w w:val="200"/>
          <w:kern w:val="0"/>
          <w:szCs w:val="21"/>
          <w:u w:val="single"/>
        </w:rPr>
        <w:t xml:space="preserve">        </w:t>
      </w:r>
      <w:r>
        <w:rPr>
          <w:rFonts w:ascii="宋体" w:hAnsi="宋体"/>
          <w:color w:val="auto"/>
          <w:kern w:val="0"/>
          <w:szCs w:val="21"/>
        </w:rPr>
        <w:t xml:space="preserve">。 </w:t>
      </w:r>
    </w:p>
    <w:p>
      <w:pPr>
        <w:tabs>
          <w:tab w:val="left" w:pos="1680"/>
          <w:tab w:val="left" w:pos="4200"/>
          <w:tab w:val="left" w:pos="4305"/>
          <w:tab w:val="left" w:pos="8000"/>
        </w:tabs>
        <w:autoSpaceDE w:val="0"/>
        <w:autoSpaceDN w:val="0"/>
        <w:adjustRightInd w:val="0"/>
        <w:snapToGrid w:val="0"/>
        <w:spacing w:line="700" w:lineRule="exact"/>
        <w:ind w:firstLine="420"/>
        <w:rPr>
          <w:rFonts w:ascii="宋体" w:hAnsi="宋体"/>
          <w:color w:val="auto"/>
          <w:kern w:val="0"/>
          <w:szCs w:val="21"/>
        </w:rPr>
      </w:pPr>
      <w:r>
        <w:rPr>
          <w:rFonts w:ascii="宋体" w:hAnsi="宋体"/>
          <w:color w:val="auto"/>
          <w:kern w:val="0"/>
          <w:szCs w:val="21"/>
        </w:rPr>
        <w:t>代理人无转委托权。</w:t>
      </w:r>
    </w:p>
    <w:p>
      <w:pPr>
        <w:tabs>
          <w:tab w:val="left" w:pos="1680"/>
          <w:tab w:val="left" w:pos="4200"/>
          <w:tab w:val="left" w:pos="4305"/>
          <w:tab w:val="left" w:pos="8000"/>
        </w:tabs>
        <w:autoSpaceDE w:val="0"/>
        <w:autoSpaceDN w:val="0"/>
        <w:adjustRightInd w:val="0"/>
        <w:snapToGrid w:val="0"/>
        <w:spacing w:line="700" w:lineRule="exact"/>
        <w:ind w:firstLine="420"/>
        <w:rPr>
          <w:rFonts w:ascii="宋体" w:hAnsi="宋体"/>
          <w:color w:val="auto"/>
          <w:kern w:val="0"/>
          <w:szCs w:val="21"/>
        </w:rPr>
      </w:pPr>
    </w:p>
    <w:p>
      <w:pPr>
        <w:tabs>
          <w:tab w:val="left" w:pos="1680"/>
          <w:tab w:val="left" w:pos="4200"/>
          <w:tab w:val="left" w:pos="4305"/>
          <w:tab w:val="left" w:pos="8000"/>
        </w:tabs>
        <w:autoSpaceDE w:val="0"/>
        <w:autoSpaceDN w:val="0"/>
        <w:adjustRightInd w:val="0"/>
        <w:snapToGrid w:val="0"/>
        <w:spacing w:line="700" w:lineRule="exact"/>
        <w:ind w:firstLine="420"/>
        <w:rPr>
          <w:rFonts w:ascii="宋体" w:hAnsi="宋体"/>
          <w:color w:val="auto"/>
          <w:kern w:val="0"/>
          <w:szCs w:val="21"/>
        </w:rPr>
      </w:pPr>
      <w:r>
        <w:rPr>
          <w:rFonts w:ascii="宋体" w:hAnsi="宋体"/>
          <w:color w:val="auto"/>
          <w:kern w:val="0"/>
          <w:szCs w:val="21"/>
        </w:rPr>
        <w:t>投  标  人：</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ascii="宋体" w:hAnsi="宋体"/>
          <w:color w:val="auto"/>
          <w:kern w:val="0"/>
          <w:szCs w:val="21"/>
        </w:rPr>
        <w:t>（</w:t>
      </w:r>
      <w:r>
        <w:rPr>
          <w:rFonts w:ascii="宋体" w:hAnsi="宋体"/>
          <w:color w:val="auto"/>
          <w:spacing w:val="-1"/>
          <w:kern w:val="0"/>
          <w:szCs w:val="21"/>
        </w:rPr>
        <w:t>盖单位法人章</w:t>
      </w:r>
      <w:r>
        <w:rPr>
          <w:rFonts w:ascii="宋体" w:hAnsi="宋体"/>
          <w:color w:val="auto"/>
          <w:kern w:val="0"/>
          <w:szCs w:val="21"/>
        </w:rPr>
        <w:t>）</w:t>
      </w:r>
    </w:p>
    <w:p>
      <w:pPr>
        <w:tabs>
          <w:tab w:val="left" w:pos="6300"/>
        </w:tabs>
        <w:autoSpaceDE w:val="0"/>
        <w:autoSpaceDN w:val="0"/>
        <w:adjustRightInd w:val="0"/>
        <w:snapToGrid w:val="0"/>
        <w:spacing w:line="700" w:lineRule="exact"/>
        <w:ind w:firstLine="420" w:firstLineChars="200"/>
        <w:jc w:val="left"/>
        <w:rPr>
          <w:rFonts w:ascii="宋体" w:hAnsi="宋体"/>
          <w:color w:val="auto"/>
          <w:kern w:val="0"/>
          <w:szCs w:val="21"/>
        </w:rPr>
      </w:pPr>
      <w:r>
        <w:rPr>
          <w:rFonts w:ascii="宋体" w:hAnsi="宋体"/>
          <w:color w:val="auto"/>
          <w:kern w:val="0"/>
          <w:szCs w:val="21"/>
        </w:rPr>
        <w:t>法定代表人：</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kern w:val="0"/>
          <w:szCs w:val="21"/>
        </w:rPr>
        <w:t>（</w:t>
      </w:r>
      <w:r>
        <w:rPr>
          <w:rFonts w:hint="eastAsia" w:ascii="宋体" w:hAnsi="宋体"/>
          <w:color w:val="auto"/>
          <w:kern w:val="0"/>
          <w:szCs w:val="21"/>
        </w:rPr>
        <w:t>签名</w:t>
      </w:r>
      <w:r>
        <w:rPr>
          <w:rFonts w:ascii="宋体" w:hAnsi="宋体"/>
          <w:color w:val="auto"/>
          <w:kern w:val="0"/>
          <w:szCs w:val="21"/>
        </w:rPr>
        <w:t>或盖章）</w:t>
      </w:r>
    </w:p>
    <w:p>
      <w:pPr>
        <w:tabs>
          <w:tab w:val="left" w:pos="5260"/>
        </w:tabs>
        <w:autoSpaceDE w:val="0"/>
        <w:autoSpaceDN w:val="0"/>
        <w:adjustRightInd w:val="0"/>
        <w:snapToGrid w:val="0"/>
        <w:spacing w:line="700" w:lineRule="exact"/>
        <w:ind w:firstLine="420" w:firstLineChars="200"/>
        <w:jc w:val="left"/>
        <w:rPr>
          <w:rFonts w:ascii="宋体" w:hAnsi="宋体"/>
          <w:color w:val="auto"/>
          <w:kern w:val="0"/>
          <w:szCs w:val="21"/>
          <w:u w:val="single"/>
        </w:rPr>
      </w:pPr>
      <w:r>
        <w:rPr>
          <w:rFonts w:ascii="宋体" w:hAnsi="宋体"/>
          <w:color w:val="auto"/>
          <w:kern w:val="0"/>
          <w:szCs w:val="21"/>
        </w:rPr>
        <w:t>身份证号码：</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p>
    <w:p>
      <w:pPr>
        <w:tabs>
          <w:tab w:val="left" w:pos="5260"/>
        </w:tabs>
        <w:autoSpaceDE w:val="0"/>
        <w:autoSpaceDN w:val="0"/>
        <w:adjustRightInd w:val="0"/>
        <w:snapToGrid w:val="0"/>
        <w:spacing w:line="700" w:lineRule="exact"/>
        <w:ind w:firstLine="420" w:firstLineChars="200"/>
        <w:jc w:val="left"/>
        <w:rPr>
          <w:rFonts w:ascii="宋体" w:hAnsi="宋体"/>
          <w:color w:val="auto"/>
          <w:kern w:val="0"/>
          <w:szCs w:val="21"/>
        </w:rPr>
      </w:pPr>
      <w:r>
        <w:rPr>
          <w:rFonts w:ascii="宋体" w:hAnsi="宋体"/>
          <w:color w:val="auto"/>
          <w:kern w:val="0"/>
          <w:szCs w:val="21"/>
        </w:rPr>
        <w:t>委托代理人：</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ascii="宋体" w:hAnsi="宋体"/>
          <w:color w:val="auto"/>
          <w:kern w:val="0"/>
          <w:szCs w:val="21"/>
        </w:rPr>
        <w:t>（</w:t>
      </w:r>
      <w:r>
        <w:rPr>
          <w:rFonts w:hint="eastAsia" w:ascii="宋体" w:hAnsi="宋体"/>
          <w:color w:val="auto"/>
          <w:kern w:val="0"/>
          <w:szCs w:val="21"/>
        </w:rPr>
        <w:t>签名</w:t>
      </w:r>
      <w:r>
        <w:rPr>
          <w:rFonts w:ascii="宋体" w:hAnsi="宋体"/>
          <w:color w:val="auto"/>
          <w:kern w:val="0"/>
          <w:szCs w:val="21"/>
        </w:rPr>
        <w:t>）</w:t>
      </w:r>
    </w:p>
    <w:p>
      <w:pPr>
        <w:tabs>
          <w:tab w:val="left" w:pos="6825"/>
        </w:tabs>
        <w:autoSpaceDE w:val="0"/>
        <w:autoSpaceDN w:val="0"/>
        <w:adjustRightInd w:val="0"/>
        <w:snapToGrid w:val="0"/>
        <w:spacing w:line="700" w:lineRule="exact"/>
        <w:ind w:firstLine="420" w:firstLineChars="200"/>
        <w:jc w:val="left"/>
        <w:rPr>
          <w:rFonts w:ascii="宋体" w:hAnsi="宋体"/>
          <w:color w:val="auto"/>
          <w:w w:val="200"/>
          <w:kern w:val="0"/>
          <w:szCs w:val="21"/>
          <w:u w:val="single"/>
        </w:rPr>
      </w:pPr>
      <w:r>
        <w:rPr>
          <w:rFonts w:ascii="宋体" w:hAnsi="宋体"/>
          <w:color w:val="auto"/>
          <w:kern w:val="0"/>
          <w:szCs w:val="21"/>
        </w:rPr>
        <w:t>身份证号码：</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p>
    <w:p>
      <w:pPr>
        <w:tabs>
          <w:tab w:val="left" w:pos="6825"/>
        </w:tabs>
        <w:autoSpaceDE w:val="0"/>
        <w:autoSpaceDN w:val="0"/>
        <w:adjustRightInd w:val="0"/>
        <w:snapToGrid w:val="0"/>
        <w:spacing w:line="700" w:lineRule="exact"/>
        <w:ind w:firstLine="420" w:firstLineChars="200"/>
        <w:jc w:val="left"/>
        <w:rPr>
          <w:rFonts w:ascii="宋体" w:hAnsi="宋体"/>
          <w:color w:val="auto"/>
          <w:kern w:val="0"/>
          <w:szCs w:val="21"/>
          <w:u w:val="single"/>
        </w:rPr>
      </w:pPr>
      <w:r>
        <w:rPr>
          <w:rFonts w:hint="eastAsia" w:ascii="宋体" w:hAnsi="宋体"/>
          <w:color w:val="auto"/>
          <w:kern w:val="0"/>
          <w:szCs w:val="21"/>
        </w:rPr>
        <w:t>单位电话（座机）：</w:t>
      </w:r>
      <w:r>
        <w:rPr>
          <w:rFonts w:hint="eastAsia" w:ascii="宋体" w:hAnsi="宋体"/>
          <w:color w:val="auto"/>
          <w:kern w:val="0"/>
          <w:szCs w:val="21"/>
          <w:u w:val="single"/>
        </w:rPr>
        <w:t xml:space="preserve">                              </w:t>
      </w:r>
    </w:p>
    <w:p>
      <w:pPr>
        <w:tabs>
          <w:tab w:val="left" w:pos="5260"/>
        </w:tabs>
        <w:autoSpaceDE w:val="0"/>
        <w:autoSpaceDN w:val="0"/>
        <w:adjustRightInd w:val="0"/>
        <w:snapToGrid w:val="0"/>
        <w:spacing w:line="700" w:lineRule="exact"/>
        <w:ind w:firstLine="420" w:firstLineChars="200"/>
        <w:jc w:val="left"/>
        <w:rPr>
          <w:rFonts w:ascii="宋体" w:hAnsi="宋体"/>
          <w:color w:val="auto"/>
          <w:kern w:val="0"/>
          <w:szCs w:val="21"/>
        </w:rPr>
      </w:pPr>
      <w:r>
        <w:rPr>
          <w:rFonts w:hint="eastAsia" w:ascii="宋体" w:hAnsi="宋体"/>
          <w:color w:val="auto"/>
          <w:kern w:val="0"/>
          <w:szCs w:val="21"/>
        </w:rPr>
        <w:t xml:space="preserve">委托代理人电话（手机）：                                          </w:t>
      </w:r>
    </w:p>
    <w:p>
      <w:pPr>
        <w:autoSpaceDE w:val="0"/>
        <w:autoSpaceDN w:val="0"/>
        <w:adjustRightInd w:val="0"/>
        <w:snapToGrid w:val="0"/>
        <w:spacing w:line="700" w:lineRule="exact"/>
        <w:ind w:firstLine="810" w:firstLineChars="386"/>
        <w:jc w:val="left"/>
        <w:rPr>
          <w:rFonts w:ascii="宋体" w:hAnsi="宋体"/>
          <w:color w:val="auto"/>
          <w:kern w:val="0"/>
          <w:szCs w:val="21"/>
        </w:rPr>
      </w:pPr>
      <w:r>
        <w:rPr>
          <w:rFonts w:hint="eastAsia" w:ascii="宋体" w:hAnsi="宋体"/>
          <w:color w:val="auto"/>
          <w:kern w:val="0"/>
          <w:szCs w:val="21"/>
        </w:rPr>
        <w:t>附：法定代表人和委托代理人身份证明扫描件（双面）</w:t>
      </w:r>
    </w:p>
    <w:p>
      <w:pPr>
        <w:tabs>
          <w:tab w:val="left" w:pos="4005"/>
          <w:tab w:val="left" w:pos="4100"/>
          <w:tab w:val="left" w:pos="5040"/>
        </w:tabs>
        <w:wordWrap w:val="0"/>
        <w:autoSpaceDE w:val="0"/>
        <w:autoSpaceDN w:val="0"/>
        <w:adjustRightInd w:val="0"/>
        <w:snapToGrid w:val="0"/>
        <w:spacing w:line="700" w:lineRule="exact"/>
        <w:ind w:firstLine="3780"/>
        <w:jc w:val="right"/>
        <w:rPr>
          <w:color w:val="auto"/>
        </w:rPr>
      </w:pPr>
      <w:r>
        <w:rPr>
          <w:rFonts w:hint="eastAsia" w:ascii="宋体" w:hAnsi="宋体"/>
          <w:color w:val="auto"/>
          <w:kern w:val="0"/>
          <w:szCs w:val="21"/>
          <w:lang w:val="en-US" w:eastAsia="zh-CN"/>
        </w:rPr>
        <w:t xml:space="preserve">  </w:t>
      </w:r>
      <w:r>
        <w:rPr>
          <w:rFonts w:ascii="宋体" w:hAnsi="宋体"/>
          <w:color w:val="auto"/>
          <w:kern w:val="0"/>
          <w:szCs w:val="21"/>
        </w:rPr>
        <w:t>年</w:t>
      </w:r>
      <w:r>
        <w:rPr>
          <w:rFonts w:hint="eastAsia" w:ascii="宋体" w:hAnsi="宋体"/>
          <w:color w:val="auto"/>
          <w:kern w:val="0"/>
          <w:szCs w:val="21"/>
          <w:lang w:val="en-US" w:eastAsia="zh-CN"/>
        </w:rPr>
        <w:t xml:space="preserve">  </w:t>
      </w:r>
      <w:r>
        <w:rPr>
          <w:rFonts w:hint="eastAsia" w:ascii="宋体" w:hAnsi="宋体"/>
          <w:color w:val="auto"/>
          <w:kern w:val="0"/>
          <w:szCs w:val="21"/>
          <w:lang w:eastAsia="zh-CN"/>
        </w:rPr>
        <w:t>月</w:t>
      </w:r>
      <w:r>
        <w:rPr>
          <w:rFonts w:hint="eastAsia" w:ascii="宋体" w:hAnsi="宋体"/>
          <w:color w:val="auto"/>
          <w:kern w:val="0"/>
          <w:szCs w:val="21"/>
          <w:lang w:val="en-US" w:eastAsia="zh-CN"/>
        </w:rPr>
        <w:t xml:space="preserve">  </w:t>
      </w:r>
      <w:r>
        <w:rPr>
          <w:rFonts w:hint="eastAsia" w:ascii="宋体" w:hAnsi="宋体"/>
          <w:color w:val="auto"/>
          <w:kern w:val="0"/>
          <w:szCs w:val="21"/>
          <w:lang w:eastAsia="zh-CN"/>
        </w:rPr>
        <w:t>日</w:t>
      </w:r>
      <w:r>
        <w:rPr>
          <w:rFonts w:hint="eastAsia" w:ascii="宋体" w:hAnsi="宋体"/>
          <w:color w:val="auto"/>
          <w:kern w:val="0"/>
          <w:szCs w:val="21"/>
        </w:rPr>
        <w:t xml:space="preserve"> </w:t>
      </w:r>
    </w:p>
    <w:p>
      <w:pPr>
        <w:tabs>
          <w:tab w:val="left" w:pos="1680"/>
          <w:tab w:val="left" w:pos="4215"/>
          <w:tab w:val="left" w:pos="4305"/>
          <w:tab w:val="left" w:pos="8000"/>
        </w:tabs>
        <w:autoSpaceDE w:val="0"/>
        <w:autoSpaceDN w:val="0"/>
        <w:adjustRightInd w:val="0"/>
        <w:snapToGrid w:val="0"/>
        <w:spacing w:line="700" w:lineRule="exact"/>
        <w:ind w:firstLine="420" w:firstLineChars="200"/>
        <w:rPr>
          <w:rFonts w:ascii="宋体" w:hAnsi="宋体"/>
          <w:color w:val="auto"/>
          <w:kern w:val="0"/>
          <w:szCs w:val="21"/>
        </w:rPr>
      </w:pPr>
      <w:r>
        <w:rPr>
          <w:rFonts w:ascii="宋体" w:hAnsi="宋体"/>
          <w:color w:val="auto"/>
          <w:kern w:val="0"/>
          <w:szCs w:val="21"/>
        </w:rPr>
        <w:t>注：1、法定代表人参加投标活动并签署文件的不需要授权委托书，只需提供法定代表人身份证明；非法定代表人参加投标活动及签署文件的除提供法定代表人身份证明外还须提供授权委托书。</w:t>
      </w:r>
    </w:p>
    <w:p>
      <w:pPr>
        <w:tabs>
          <w:tab w:val="left" w:pos="1680"/>
          <w:tab w:val="left" w:pos="4215"/>
          <w:tab w:val="left" w:pos="4305"/>
          <w:tab w:val="left" w:pos="8000"/>
        </w:tabs>
        <w:autoSpaceDE w:val="0"/>
        <w:autoSpaceDN w:val="0"/>
        <w:adjustRightInd w:val="0"/>
        <w:snapToGrid w:val="0"/>
        <w:spacing w:line="700" w:lineRule="exact"/>
        <w:ind w:firstLine="420" w:firstLineChars="200"/>
        <w:rPr>
          <w:rFonts w:ascii="宋体" w:hAnsi="宋体"/>
          <w:color w:val="auto"/>
        </w:rPr>
      </w:pPr>
      <w:r>
        <w:rPr>
          <w:rFonts w:hint="eastAsia" w:ascii="宋体" w:hAnsi="宋体"/>
          <w:color w:val="auto"/>
          <w:kern w:val="0"/>
          <w:szCs w:val="21"/>
        </w:rPr>
        <w:t>2.</w:t>
      </w:r>
      <w:r>
        <w:rPr>
          <w:rFonts w:hint="eastAsia" w:ascii="宋体" w:hAnsi="宋体"/>
          <w:color w:val="auto"/>
        </w:rPr>
        <w:t>授权委托书</w:t>
      </w:r>
      <w:r>
        <w:rPr>
          <w:rFonts w:ascii="宋体" w:hAnsi="宋体"/>
          <w:color w:val="auto"/>
        </w:rPr>
        <w:t>需按上述格式填写完整，不可缺少内容。在此基础上增加内容的不影响其有效性。</w:t>
      </w:r>
    </w:p>
    <w:p>
      <w:pPr>
        <w:pStyle w:val="2"/>
        <w:rPr>
          <w:rFonts w:ascii="宋体" w:hAnsi="宋体"/>
          <w:snapToGrid w:val="0"/>
          <w:color w:val="auto"/>
          <w:kern w:val="0"/>
          <w:sz w:val="32"/>
          <w:szCs w:val="32"/>
        </w:rPr>
      </w:pPr>
      <w:bookmarkStart w:id="933" w:name="_Toc430530533"/>
      <w:bookmarkStart w:id="934" w:name="_Toc224103499"/>
      <w:bookmarkStart w:id="935" w:name="_Toc287607871"/>
      <w:bookmarkStart w:id="936" w:name="_Toc277082647"/>
      <w:bookmarkStart w:id="937" w:name="_Toc287620818"/>
    </w:p>
    <w:bookmarkEnd w:id="933"/>
    <w:bookmarkEnd w:id="934"/>
    <w:bookmarkEnd w:id="935"/>
    <w:bookmarkEnd w:id="936"/>
    <w:bookmarkEnd w:id="937"/>
    <w:p>
      <w:pPr>
        <w:pStyle w:val="4"/>
        <w:jc w:val="center"/>
        <w:rPr>
          <w:rFonts w:ascii="宋体" w:hAnsi="宋体"/>
          <w:b w:val="0"/>
          <w:bCs w:val="0"/>
          <w:color w:val="auto"/>
        </w:rPr>
        <w:sectPr>
          <w:footerReference r:id="rId11" w:type="first"/>
          <w:headerReference r:id="rId9" w:type="default"/>
          <w:footerReference r:id="rId10" w:type="default"/>
          <w:pgSz w:w="11906" w:h="16838"/>
          <w:pgMar w:top="1247" w:right="1133" w:bottom="1247" w:left="993" w:header="851" w:footer="992" w:gutter="0"/>
          <w:cols w:space="720" w:num="1"/>
          <w:titlePg/>
          <w:docGrid w:linePitch="312" w:charSpace="0"/>
        </w:sectPr>
      </w:pPr>
      <w:bookmarkStart w:id="938" w:name="_Toc6971"/>
      <w:bookmarkStart w:id="939" w:name="_Toc430530534"/>
      <w:bookmarkStart w:id="940" w:name="_Toc287620819"/>
      <w:bookmarkStart w:id="941" w:name="_Toc224103500"/>
      <w:bookmarkStart w:id="942" w:name="_Toc6386"/>
      <w:bookmarkStart w:id="943" w:name="_Toc287607872"/>
    </w:p>
    <w:p>
      <w:pPr>
        <w:pStyle w:val="4"/>
        <w:jc w:val="center"/>
        <w:rPr>
          <w:rFonts w:hint="eastAsia" w:ascii="宋体" w:hAnsi="宋体"/>
          <w:b w:val="0"/>
          <w:bCs w:val="0"/>
          <w:color w:val="auto"/>
        </w:rPr>
      </w:pPr>
    </w:p>
    <w:p>
      <w:pPr>
        <w:pStyle w:val="4"/>
        <w:jc w:val="center"/>
        <w:rPr>
          <w:rFonts w:ascii="宋体" w:hAnsi="宋体"/>
          <w:b w:val="0"/>
          <w:bCs w:val="0"/>
          <w:color w:val="auto"/>
        </w:rPr>
      </w:pPr>
      <w:r>
        <w:rPr>
          <w:rFonts w:hint="eastAsia" w:ascii="宋体" w:hAnsi="宋体"/>
          <w:b w:val="0"/>
          <w:bCs w:val="0"/>
          <w:color w:val="auto"/>
        </w:rPr>
        <w:t>二、经济部分</w:t>
      </w:r>
      <w:bookmarkEnd w:id="938"/>
      <w:bookmarkEnd w:id="939"/>
      <w:bookmarkEnd w:id="940"/>
      <w:bookmarkEnd w:id="941"/>
      <w:bookmarkEnd w:id="942"/>
      <w:bookmarkEnd w:id="943"/>
    </w:p>
    <w:p>
      <w:pPr>
        <w:spacing w:line="360" w:lineRule="auto"/>
        <w:jc w:val="center"/>
        <w:rPr>
          <w:rFonts w:ascii="宋体" w:hAnsi="宋体"/>
          <w:color w:val="auto"/>
          <w:kern w:val="0"/>
          <w:sz w:val="32"/>
          <w:szCs w:val="32"/>
        </w:rPr>
      </w:pPr>
      <w:r>
        <w:rPr>
          <w:rFonts w:ascii="宋体" w:hAnsi="宋体"/>
          <w:color w:val="auto"/>
          <w:kern w:val="0"/>
          <w:sz w:val="28"/>
          <w:szCs w:val="28"/>
        </w:rPr>
        <w:br w:type="page"/>
      </w:r>
      <w:r>
        <w:rPr>
          <w:rFonts w:hint="eastAsia" w:ascii="宋体" w:hAnsi="宋体"/>
          <w:color w:val="auto"/>
          <w:kern w:val="0"/>
          <w:sz w:val="32"/>
          <w:szCs w:val="32"/>
          <w:u w:val="single"/>
        </w:rPr>
        <w:t xml:space="preserve">                   （项目名称）</w:t>
      </w:r>
    </w:p>
    <w:p>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rPr>
      </w:pPr>
    </w:p>
    <w:p>
      <w:pPr>
        <w:tabs>
          <w:tab w:val="left" w:pos="3600"/>
          <w:tab w:val="left" w:pos="4480"/>
          <w:tab w:val="left" w:pos="5360"/>
        </w:tabs>
        <w:autoSpaceDE w:val="0"/>
        <w:autoSpaceDN w:val="0"/>
        <w:adjustRightInd w:val="0"/>
        <w:snapToGrid w:val="0"/>
        <w:spacing w:line="360" w:lineRule="auto"/>
        <w:jc w:val="center"/>
        <w:rPr>
          <w:rFonts w:ascii="宋体" w:hAnsi="宋体"/>
          <w:color w:val="auto"/>
          <w:kern w:val="0"/>
          <w:sz w:val="72"/>
          <w:szCs w:val="72"/>
        </w:rPr>
      </w:pPr>
      <w:r>
        <w:rPr>
          <w:rFonts w:hint="eastAsia" w:ascii="宋体" w:hAnsi="宋体"/>
          <w:color w:val="auto"/>
          <w:kern w:val="0"/>
          <w:sz w:val="72"/>
          <w:szCs w:val="72"/>
        </w:rPr>
        <w:t>投 标 文 件</w:t>
      </w:r>
    </w:p>
    <w:p>
      <w:pPr>
        <w:autoSpaceDE w:val="0"/>
        <w:autoSpaceDN w:val="0"/>
        <w:adjustRightInd w:val="0"/>
        <w:snapToGrid w:val="0"/>
        <w:spacing w:line="360" w:lineRule="auto"/>
        <w:jc w:val="left"/>
        <w:rPr>
          <w:rFonts w:ascii="宋体" w:hAnsi="宋体"/>
          <w:color w:val="auto"/>
          <w:kern w:val="0"/>
          <w:sz w:val="16"/>
          <w:szCs w:val="16"/>
        </w:rPr>
      </w:pPr>
    </w:p>
    <w:p>
      <w:pPr>
        <w:autoSpaceDE w:val="0"/>
        <w:autoSpaceDN w:val="0"/>
        <w:adjustRightInd w:val="0"/>
        <w:snapToGrid w:val="0"/>
        <w:spacing w:line="360" w:lineRule="auto"/>
        <w:jc w:val="center"/>
        <w:rPr>
          <w:rFonts w:ascii="宋体" w:hAnsi="宋体"/>
          <w:color w:val="auto"/>
          <w:kern w:val="0"/>
          <w:sz w:val="36"/>
          <w:szCs w:val="36"/>
        </w:rPr>
      </w:pPr>
      <w:r>
        <w:rPr>
          <w:rFonts w:hint="eastAsia" w:ascii="宋体" w:hAnsi="宋体"/>
          <w:color w:val="auto"/>
          <w:kern w:val="0"/>
          <w:sz w:val="36"/>
          <w:szCs w:val="36"/>
        </w:rPr>
        <w:t>经济部分</w:t>
      </w:r>
    </w:p>
    <w:p>
      <w:pPr>
        <w:autoSpaceDE w:val="0"/>
        <w:autoSpaceDN w:val="0"/>
        <w:adjustRightInd w:val="0"/>
        <w:snapToGrid w:val="0"/>
        <w:spacing w:line="360" w:lineRule="auto"/>
        <w:jc w:val="left"/>
        <w:rPr>
          <w:rFonts w:ascii="宋体" w:hAnsi="宋体"/>
          <w:b/>
          <w:color w:val="auto"/>
          <w:kern w:val="0"/>
          <w:sz w:val="20"/>
        </w:rPr>
      </w:pPr>
    </w:p>
    <w:p>
      <w:pPr>
        <w:autoSpaceDE w:val="0"/>
        <w:autoSpaceDN w:val="0"/>
        <w:adjustRightInd w:val="0"/>
        <w:snapToGrid w:val="0"/>
        <w:spacing w:line="360" w:lineRule="auto"/>
        <w:jc w:val="left"/>
        <w:rPr>
          <w:rFonts w:ascii="宋体" w:hAnsi="宋体"/>
          <w:b/>
          <w:color w:val="auto"/>
          <w:kern w:val="0"/>
          <w:sz w:val="20"/>
        </w:rPr>
      </w:pPr>
    </w:p>
    <w:p>
      <w:pPr>
        <w:autoSpaceDE w:val="0"/>
        <w:autoSpaceDN w:val="0"/>
        <w:adjustRightInd w:val="0"/>
        <w:snapToGrid w:val="0"/>
        <w:spacing w:line="360" w:lineRule="auto"/>
        <w:jc w:val="left"/>
        <w:rPr>
          <w:rFonts w:ascii="宋体" w:hAnsi="宋体"/>
          <w:b/>
          <w:color w:val="auto"/>
          <w:kern w:val="0"/>
          <w:sz w:val="20"/>
        </w:rPr>
      </w:pPr>
    </w:p>
    <w:p>
      <w:pPr>
        <w:autoSpaceDE w:val="0"/>
        <w:autoSpaceDN w:val="0"/>
        <w:adjustRightInd w:val="0"/>
        <w:snapToGrid w:val="0"/>
        <w:spacing w:line="360" w:lineRule="auto"/>
        <w:jc w:val="left"/>
        <w:rPr>
          <w:rFonts w:ascii="宋体" w:hAnsi="宋体"/>
          <w:b/>
          <w:color w:val="auto"/>
          <w:kern w:val="0"/>
          <w:sz w:val="20"/>
        </w:rPr>
      </w:pPr>
    </w:p>
    <w:p>
      <w:pPr>
        <w:autoSpaceDE w:val="0"/>
        <w:autoSpaceDN w:val="0"/>
        <w:adjustRightInd w:val="0"/>
        <w:snapToGrid w:val="0"/>
        <w:spacing w:line="360" w:lineRule="auto"/>
        <w:jc w:val="left"/>
        <w:rPr>
          <w:rFonts w:ascii="宋体" w:hAnsi="宋体"/>
          <w:b/>
          <w:color w:val="auto"/>
          <w:kern w:val="0"/>
          <w:sz w:val="20"/>
        </w:rPr>
      </w:pPr>
    </w:p>
    <w:p>
      <w:pPr>
        <w:autoSpaceDE w:val="0"/>
        <w:autoSpaceDN w:val="0"/>
        <w:adjustRightInd w:val="0"/>
        <w:snapToGrid w:val="0"/>
        <w:spacing w:line="360" w:lineRule="auto"/>
        <w:jc w:val="left"/>
        <w:rPr>
          <w:rFonts w:ascii="宋体" w:hAnsi="宋体"/>
          <w:b/>
          <w:color w:val="auto"/>
          <w:kern w:val="0"/>
          <w:sz w:val="20"/>
        </w:rPr>
      </w:pPr>
    </w:p>
    <w:p>
      <w:pPr>
        <w:autoSpaceDE w:val="0"/>
        <w:autoSpaceDN w:val="0"/>
        <w:adjustRightInd w:val="0"/>
        <w:snapToGrid w:val="0"/>
        <w:spacing w:line="360" w:lineRule="auto"/>
        <w:jc w:val="left"/>
        <w:rPr>
          <w:rFonts w:ascii="宋体" w:hAnsi="宋体"/>
          <w:b/>
          <w:color w:val="auto"/>
          <w:kern w:val="0"/>
          <w:sz w:val="20"/>
        </w:rPr>
      </w:pPr>
    </w:p>
    <w:p>
      <w:pPr>
        <w:autoSpaceDE w:val="0"/>
        <w:autoSpaceDN w:val="0"/>
        <w:adjustRightInd w:val="0"/>
        <w:snapToGrid w:val="0"/>
        <w:spacing w:line="360" w:lineRule="auto"/>
        <w:jc w:val="left"/>
        <w:rPr>
          <w:rFonts w:ascii="宋体" w:hAnsi="宋体"/>
          <w:b/>
          <w:color w:val="auto"/>
          <w:kern w:val="0"/>
          <w:sz w:val="20"/>
        </w:rPr>
      </w:pPr>
    </w:p>
    <w:p>
      <w:pPr>
        <w:autoSpaceDE w:val="0"/>
        <w:autoSpaceDN w:val="0"/>
        <w:adjustRightInd w:val="0"/>
        <w:snapToGrid w:val="0"/>
        <w:spacing w:line="360" w:lineRule="auto"/>
        <w:jc w:val="left"/>
        <w:rPr>
          <w:rFonts w:ascii="宋体" w:hAnsi="宋体"/>
          <w:b/>
          <w:color w:val="auto"/>
          <w:kern w:val="0"/>
          <w:sz w:val="20"/>
        </w:rPr>
      </w:pPr>
    </w:p>
    <w:p>
      <w:pPr>
        <w:autoSpaceDE w:val="0"/>
        <w:autoSpaceDN w:val="0"/>
        <w:adjustRightInd w:val="0"/>
        <w:snapToGrid w:val="0"/>
        <w:spacing w:line="360" w:lineRule="auto"/>
        <w:jc w:val="left"/>
        <w:rPr>
          <w:rFonts w:ascii="宋体" w:hAnsi="宋体"/>
          <w:b/>
          <w:color w:val="auto"/>
          <w:kern w:val="0"/>
          <w:sz w:val="20"/>
        </w:rPr>
      </w:pPr>
    </w:p>
    <w:p>
      <w:pPr>
        <w:autoSpaceDE w:val="0"/>
        <w:autoSpaceDN w:val="0"/>
        <w:adjustRightInd w:val="0"/>
        <w:snapToGrid w:val="0"/>
        <w:spacing w:line="360" w:lineRule="auto"/>
        <w:jc w:val="left"/>
        <w:rPr>
          <w:rFonts w:ascii="宋体" w:hAnsi="宋体"/>
          <w:b/>
          <w:color w:val="auto"/>
          <w:kern w:val="0"/>
          <w:sz w:val="20"/>
        </w:rPr>
      </w:pPr>
    </w:p>
    <w:p>
      <w:pPr>
        <w:autoSpaceDE w:val="0"/>
        <w:autoSpaceDN w:val="0"/>
        <w:adjustRightInd w:val="0"/>
        <w:snapToGrid w:val="0"/>
        <w:spacing w:line="360" w:lineRule="auto"/>
        <w:jc w:val="left"/>
        <w:rPr>
          <w:rFonts w:ascii="宋体" w:hAnsi="宋体"/>
          <w:b/>
          <w:color w:val="auto"/>
          <w:kern w:val="0"/>
          <w:sz w:val="20"/>
        </w:rPr>
      </w:pPr>
    </w:p>
    <w:p>
      <w:pPr>
        <w:autoSpaceDE w:val="0"/>
        <w:autoSpaceDN w:val="0"/>
        <w:adjustRightInd w:val="0"/>
        <w:snapToGrid w:val="0"/>
        <w:spacing w:line="360" w:lineRule="auto"/>
        <w:jc w:val="left"/>
        <w:rPr>
          <w:rFonts w:ascii="宋体" w:hAnsi="宋体"/>
          <w:b/>
          <w:color w:val="auto"/>
          <w:kern w:val="0"/>
          <w:sz w:val="20"/>
        </w:rPr>
      </w:pPr>
    </w:p>
    <w:p>
      <w:pPr>
        <w:tabs>
          <w:tab w:val="left" w:pos="6080"/>
          <w:tab w:val="left" w:pos="6640"/>
        </w:tabs>
        <w:autoSpaceDE w:val="0"/>
        <w:autoSpaceDN w:val="0"/>
        <w:adjustRightInd w:val="0"/>
        <w:snapToGrid w:val="0"/>
        <w:spacing w:after="120" w:afterLines="50" w:line="360" w:lineRule="auto"/>
        <w:jc w:val="center"/>
        <w:rPr>
          <w:rFonts w:ascii="宋体" w:hAnsi="宋体"/>
          <w:color w:val="auto"/>
          <w:w w:val="99"/>
          <w:kern w:val="0"/>
          <w:sz w:val="28"/>
          <w:szCs w:val="28"/>
        </w:rPr>
      </w:pPr>
      <w:r>
        <w:rPr>
          <w:rFonts w:ascii="宋体" w:hAnsi="宋体"/>
          <w:color w:val="auto"/>
          <w:w w:val="99"/>
          <w:kern w:val="0"/>
          <w:sz w:val="28"/>
          <w:szCs w:val="28"/>
        </w:rPr>
        <w:t>投标人</w:t>
      </w:r>
      <w:r>
        <w:rPr>
          <w:rFonts w:ascii="宋体" w:hAnsi="宋体"/>
          <w:color w:val="auto"/>
          <w:spacing w:val="1"/>
          <w:w w:val="99"/>
          <w:kern w:val="0"/>
          <w:sz w:val="28"/>
          <w:szCs w:val="28"/>
        </w:rPr>
        <w:t>：</w:t>
      </w:r>
      <w:r>
        <w:rPr>
          <w:rFonts w:ascii="宋体" w:hAnsi="宋体"/>
          <w:color w:val="auto"/>
          <w:w w:val="198"/>
          <w:kern w:val="0"/>
          <w:sz w:val="28"/>
          <w:szCs w:val="28"/>
          <w:u w:val="single"/>
        </w:rPr>
        <w:t xml:space="preserve"> 　　　　 　　</w:t>
      </w:r>
      <w:r>
        <w:rPr>
          <w:rFonts w:ascii="宋体" w:hAnsi="宋体"/>
          <w:color w:val="auto"/>
          <w:w w:val="99"/>
          <w:kern w:val="0"/>
          <w:sz w:val="28"/>
          <w:szCs w:val="28"/>
        </w:rPr>
        <w:t>（盖单位法人章）</w:t>
      </w:r>
    </w:p>
    <w:p>
      <w:pPr>
        <w:tabs>
          <w:tab w:val="left" w:pos="6080"/>
          <w:tab w:val="left" w:pos="6640"/>
        </w:tabs>
        <w:autoSpaceDE w:val="0"/>
        <w:autoSpaceDN w:val="0"/>
        <w:adjustRightInd w:val="0"/>
        <w:snapToGrid w:val="0"/>
        <w:spacing w:after="120" w:afterLines="50" w:line="360" w:lineRule="auto"/>
        <w:jc w:val="center"/>
        <w:rPr>
          <w:rFonts w:ascii="宋体" w:hAnsi="宋体"/>
          <w:b/>
          <w:color w:val="auto"/>
          <w:kern w:val="0"/>
          <w:sz w:val="28"/>
          <w:szCs w:val="28"/>
        </w:rPr>
      </w:pPr>
      <w:r>
        <w:rPr>
          <w:rFonts w:ascii="宋体" w:hAnsi="宋体"/>
          <w:color w:val="auto"/>
          <w:w w:val="99"/>
          <w:kern w:val="0"/>
          <w:sz w:val="28"/>
          <w:szCs w:val="28"/>
        </w:rPr>
        <w:t>法定代表人或其委托代理人：</w:t>
      </w:r>
      <w:r>
        <w:rPr>
          <w:rFonts w:ascii="宋体" w:hAnsi="宋体"/>
          <w:color w:val="auto"/>
          <w:w w:val="198"/>
          <w:kern w:val="0"/>
          <w:sz w:val="28"/>
          <w:szCs w:val="28"/>
          <w:u w:val="single"/>
        </w:rPr>
        <w:t xml:space="preserve">  　　</w:t>
      </w:r>
      <w:r>
        <w:rPr>
          <w:rFonts w:ascii="宋体" w:hAnsi="宋体"/>
          <w:color w:val="auto"/>
          <w:w w:val="99"/>
          <w:kern w:val="0"/>
          <w:sz w:val="28"/>
          <w:szCs w:val="28"/>
        </w:rPr>
        <w:t>（</w:t>
      </w:r>
      <w:r>
        <w:rPr>
          <w:rFonts w:hint="eastAsia" w:ascii="宋体" w:hAnsi="宋体"/>
          <w:color w:val="auto"/>
          <w:w w:val="99"/>
          <w:kern w:val="0"/>
          <w:sz w:val="28"/>
          <w:szCs w:val="28"/>
        </w:rPr>
        <w:t>签名</w:t>
      </w:r>
      <w:r>
        <w:rPr>
          <w:rFonts w:ascii="宋体" w:hAnsi="宋体"/>
          <w:color w:val="auto"/>
          <w:w w:val="99"/>
          <w:kern w:val="0"/>
          <w:sz w:val="28"/>
          <w:szCs w:val="28"/>
        </w:rPr>
        <w:t>或盖章）</w:t>
      </w:r>
    </w:p>
    <w:p>
      <w:pPr>
        <w:tabs>
          <w:tab w:val="left" w:pos="3280"/>
          <w:tab w:val="left" w:pos="4680"/>
          <w:tab w:val="left" w:pos="6080"/>
        </w:tabs>
        <w:autoSpaceDE w:val="0"/>
        <w:autoSpaceDN w:val="0"/>
        <w:adjustRightInd w:val="0"/>
        <w:snapToGrid w:val="0"/>
        <w:spacing w:after="120" w:afterLines="50" w:line="360" w:lineRule="auto"/>
        <w:jc w:val="center"/>
        <w:rPr>
          <w:rFonts w:ascii="宋体" w:hAnsi="宋体"/>
          <w:color w:val="auto"/>
          <w:kern w:val="0"/>
          <w:sz w:val="28"/>
          <w:szCs w:val="28"/>
        </w:rPr>
      </w:pPr>
      <w:r>
        <w:rPr>
          <w:rFonts w:ascii="宋体" w:hAnsi="宋体"/>
          <w:color w:val="auto"/>
          <w:w w:val="198"/>
          <w:kern w:val="0"/>
          <w:sz w:val="28"/>
          <w:szCs w:val="28"/>
          <w:u w:val="single"/>
        </w:rPr>
        <w:t xml:space="preserve"> </w:t>
      </w:r>
      <w:r>
        <w:rPr>
          <w:rFonts w:hint="eastAsia" w:ascii="宋体" w:hAnsi="宋体"/>
          <w:color w:val="auto"/>
          <w:w w:val="198"/>
          <w:kern w:val="0"/>
          <w:sz w:val="28"/>
          <w:szCs w:val="28"/>
          <w:u w:val="single"/>
        </w:rPr>
        <w:t xml:space="preserve">  </w:t>
      </w:r>
      <w:r>
        <w:rPr>
          <w:rFonts w:ascii="宋体" w:hAnsi="宋体"/>
          <w:color w:val="auto"/>
          <w:w w:val="198"/>
          <w:kern w:val="0"/>
          <w:sz w:val="28"/>
          <w:szCs w:val="28"/>
          <w:u w:val="single"/>
        </w:rPr>
        <w:t xml:space="preserve"> </w:t>
      </w:r>
      <w:r>
        <w:rPr>
          <w:rFonts w:ascii="宋体" w:hAnsi="宋体"/>
          <w:color w:val="auto"/>
          <w:w w:val="99"/>
          <w:kern w:val="0"/>
          <w:sz w:val="28"/>
          <w:szCs w:val="28"/>
        </w:rPr>
        <w:t>年</w:t>
      </w:r>
      <w:r>
        <w:rPr>
          <w:rFonts w:ascii="宋体" w:hAnsi="宋体"/>
          <w:color w:val="auto"/>
          <w:w w:val="198"/>
          <w:kern w:val="0"/>
          <w:sz w:val="28"/>
          <w:szCs w:val="28"/>
          <w:u w:val="single"/>
        </w:rPr>
        <w:t xml:space="preserve"> </w:t>
      </w:r>
      <w:r>
        <w:rPr>
          <w:rFonts w:hint="eastAsia" w:ascii="宋体" w:hAnsi="宋体"/>
          <w:color w:val="auto"/>
          <w:w w:val="198"/>
          <w:kern w:val="0"/>
          <w:sz w:val="28"/>
          <w:szCs w:val="28"/>
          <w:u w:val="single"/>
        </w:rPr>
        <w:t xml:space="preserve">  </w:t>
      </w:r>
      <w:r>
        <w:rPr>
          <w:rFonts w:ascii="宋体" w:hAnsi="宋体"/>
          <w:color w:val="auto"/>
          <w:w w:val="198"/>
          <w:kern w:val="0"/>
          <w:sz w:val="28"/>
          <w:szCs w:val="28"/>
          <w:u w:val="single"/>
        </w:rPr>
        <w:t xml:space="preserve"> </w:t>
      </w:r>
      <w:r>
        <w:rPr>
          <w:rFonts w:ascii="宋体" w:hAnsi="宋体"/>
          <w:color w:val="auto"/>
          <w:w w:val="99"/>
          <w:kern w:val="0"/>
          <w:sz w:val="28"/>
          <w:szCs w:val="28"/>
        </w:rPr>
        <w:t>月</w:t>
      </w:r>
      <w:r>
        <w:rPr>
          <w:rFonts w:ascii="宋体" w:hAnsi="宋体"/>
          <w:color w:val="auto"/>
          <w:w w:val="198"/>
          <w:kern w:val="0"/>
          <w:sz w:val="28"/>
          <w:szCs w:val="28"/>
          <w:u w:val="single"/>
        </w:rPr>
        <w:t xml:space="preserve"> </w:t>
      </w:r>
      <w:r>
        <w:rPr>
          <w:rFonts w:hint="eastAsia" w:ascii="宋体" w:hAnsi="宋体"/>
          <w:color w:val="auto"/>
          <w:w w:val="198"/>
          <w:kern w:val="0"/>
          <w:sz w:val="28"/>
          <w:szCs w:val="28"/>
          <w:u w:val="single"/>
        </w:rPr>
        <w:t xml:space="preserve">  </w:t>
      </w:r>
      <w:r>
        <w:rPr>
          <w:rFonts w:ascii="宋体" w:hAnsi="宋体"/>
          <w:color w:val="auto"/>
          <w:w w:val="198"/>
          <w:kern w:val="0"/>
          <w:sz w:val="28"/>
          <w:szCs w:val="28"/>
          <w:u w:val="single"/>
        </w:rPr>
        <w:t xml:space="preserve"> </w:t>
      </w:r>
      <w:r>
        <w:rPr>
          <w:rFonts w:ascii="宋体" w:hAnsi="宋体"/>
          <w:color w:val="auto"/>
          <w:w w:val="99"/>
          <w:kern w:val="0"/>
          <w:sz w:val="28"/>
          <w:szCs w:val="28"/>
        </w:rPr>
        <w:t>日</w:t>
      </w:r>
    </w:p>
    <w:p>
      <w:pPr>
        <w:autoSpaceDE w:val="0"/>
        <w:autoSpaceDN w:val="0"/>
        <w:adjustRightInd w:val="0"/>
        <w:snapToGrid w:val="0"/>
        <w:spacing w:line="360" w:lineRule="auto"/>
        <w:jc w:val="left"/>
        <w:rPr>
          <w:rFonts w:ascii="宋体" w:hAnsi="宋体"/>
          <w:color w:val="auto"/>
          <w:kern w:val="0"/>
          <w:sz w:val="24"/>
          <w:szCs w:val="21"/>
        </w:rPr>
      </w:pPr>
      <w:r>
        <w:rPr>
          <w:rFonts w:ascii="宋体" w:hAnsi="宋体"/>
          <w:color w:val="auto"/>
          <w:kern w:val="0"/>
          <w:sz w:val="24"/>
          <w:szCs w:val="21"/>
        </w:rPr>
        <w:br w:type="page"/>
      </w:r>
    </w:p>
    <w:p>
      <w:pPr>
        <w:autoSpaceDE w:val="0"/>
        <w:autoSpaceDN w:val="0"/>
        <w:adjustRightInd w:val="0"/>
        <w:snapToGrid w:val="0"/>
        <w:spacing w:line="360" w:lineRule="auto"/>
        <w:jc w:val="center"/>
        <w:rPr>
          <w:rFonts w:ascii="宋体" w:hAnsi="宋体"/>
          <w:color w:val="auto"/>
          <w:kern w:val="0"/>
          <w:sz w:val="32"/>
          <w:szCs w:val="32"/>
        </w:rPr>
      </w:pPr>
      <w:r>
        <w:rPr>
          <w:rFonts w:hint="eastAsia" w:ascii="宋体" w:hAnsi="宋体"/>
          <w:color w:val="auto"/>
          <w:kern w:val="0"/>
          <w:sz w:val="32"/>
          <w:szCs w:val="32"/>
        </w:rPr>
        <w:t>目  录</w:t>
      </w:r>
    </w:p>
    <w:p>
      <w:pPr>
        <w:autoSpaceDE w:val="0"/>
        <w:autoSpaceDN w:val="0"/>
        <w:adjustRightInd w:val="0"/>
        <w:snapToGrid w:val="0"/>
        <w:spacing w:line="360" w:lineRule="auto"/>
        <w:jc w:val="left"/>
        <w:rPr>
          <w:rFonts w:ascii="宋体" w:hAnsi="宋体"/>
          <w:color w:val="auto"/>
          <w:kern w:val="0"/>
          <w:szCs w:val="21"/>
        </w:rPr>
      </w:pPr>
    </w:p>
    <w:p>
      <w:pPr>
        <w:autoSpaceDE w:val="0"/>
        <w:autoSpaceDN w:val="0"/>
        <w:adjustRightInd w:val="0"/>
        <w:snapToGrid w:val="0"/>
        <w:spacing w:line="360" w:lineRule="auto"/>
        <w:jc w:val="center"/>
        <w:rPr>
          <w:rFonts w:ascii="宋体" w:hAnsi="宋体"/>
          <w:i/>
          <w:iCs/>
          <w:color w:val="auto"/>
          <w:kern w:val="0"/>
          <w:szCs w:val="21"/>
        </w:rPr>
      </w:pPr>
      <w:r>
        <w:rPr>
          <w:rFonts w:ascii="宋体" w:hAnsi="宋体"/>
          <w:i/>
          <w:iCs/>
          <w:color w:val="auto"/>
          <w:kern w:val="0"/>
          <w:szCs w:val="21"/>
        </w:rPr>
        <w:t>[</w:t>
      </w:r>
      <w:r>
        <w:rPr>
          <w:rFonts w:hint="eastAsia" w:ascii="宋体" w:hAnsi="宋体"/>
          <w:i/>
          <w:iCs/>
          <w:color w:val="auto"/>
          <w:kern w:val="0"/>
          <w:szCs w:val="21"/>
        </w:rPr>
        <w:t>提示：</w:t>
      </w:r>
      <w:r>
        <w:rPr>
          <w:rFonts w:ascii="宋体" w:hAnsi="宋体"/>
          <w:i/>
          <w:iCs/>
          <w:color w:val="auto"/>
          <w:kern w:val="0"/>
          <w:szCs w:val="21"/>
        </w:rPr>
        <w:t>目录由投标人自行编制]</w:t>
      </w:r>
    </w:p>
    <w:p>
      <w:pPr>
        <w:pStyle w:val="5"/>
        <w:spacing w:line="240" w:lineRule="auto"/>
        <w:rPr>
          <w:rFonts w:ascii="宋体" w:hAnsi="宋体"/>
          <w:b w:val="0"/>
          <w:bCs w:val="0"/>
          <w:color w:val="auto"/>
        </w:rPr>
      </w:pPr>
      <w:bookmarkStart w:id="944" w:name="_Toc287607873"/>
      <w:bookmarkStart w:id="945" w:name="_Toc277082648"/>
      <w:bookmarkStart w:id="946" w:name="_Toc224103501"/>
      <w:bookmarkStart w:id="947" w:name="_Toc430530535"/>
      <w:bookmarkStart w:id="948" w:name="_Toc287620820"/>
      <w:r>
        <w:rPr>
          <w:rFonts w:ascii="宋体" w:hAnsi="宋体"/>
          <w:b w:val="0"/>
          <w:bCs w:val="0"/>
          <w:color w:val="auto"/>
          <w:kern w:val="0"/>
          <w:sz w:val="21"/>
          <w:szCs w:val="21"/>
        </w:rPr>
        <w:br w:type="page"/>
      </w:r>
      <w:bookmarkStart w:id="949" w:name="_Toc29951"/>
      <w:bookmarkStart w:id="950" w:name="_Toc31355"/>
      <w:bookmarkStart w:id="951" w:name="_Toc8771"/>
      <w:r>
        <w:rPr>
          <w:rFonts w:hint="eastAsia" w:ascii="宋体" w:hAnsi="宋体"/>
          <w:b w:val="0"/>
          <w:bCs w:val="0"/>
          <w:color w:val="auto"/>
        </w:rPr>
        <w:t>（一）已标价工程量清单</w:t>
      </w:r>
      <w:bookmarkEnd w:id="944"/>
      <w:bookmarkEnd w:id="945"/>
      <w:bookmarkEnd w:id="946"/>
      <w:bookmarkEnd w:id="947"/>
      <w:bookmarkEnd w:id="948"/>
      <w:bookmarkEnd w:id="949"/>
      <w:bookmarkEnd w:id="950"/>
      <w:bookmarkEnd w:id="951"/>
    </w:p>
    <w:p>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rPr>
      </w:pPr>
    </w:p>
    <w:p>
      <w:pPr>
        <w:pStyle w:val="4"/>
        <w:rPr>
          <w:rFonts w:ascii="宋体" w:hAnsi="宋体"/>
          <w:color w:val="auto"/>
          <w:kern w:val="0"/>
          <w:sz w:val="24"/>
          <w:szCs w:val="21"/>
        </w:rPr>
      </w:pPr>
      <w:bookmarkStart w:id="952" w:name="_Toc287620821"/>
      <w:bookmarkStart w:id="953" w:name="_Toc287607874"/>
      <w:bookmarkStart w:id="954" w:name="_Toc430530536"/>
      <w:bookmarkStart w:id="955" w:name="_Toc224103502"/>
      <w:r>
        <w:rPr>
          <w:rFonts w:ascii="宋体" w:hAnsi="宋体"/>
          <w:color w:val="auto"/>
        </w:rPr>
        <w:br w:type="page"/>
      </w:r>
    </w:p>
    <w:p>
      <w:pPr>
        <w:pStyle w:val="4"/>
        <w:jc w:val="center"/>
        <w:rPr>
          <w:rFonts w:ascii="宋体" w:hAnsi="宋体"/>
          <w:b w:val="0"/>
          <w:bCs w:val="0"/>
          <w:color w:val="auto"/>
        </w:rPr>
      </w:pPr>
      <w:bookmarkStart w:id="956" w:name="_Toc13970"/>
      <w:bookmarkStart w:id="957" w:name="_Toc11334"/>
      <w:r>
        <w:rPr>
          <w:rFonts w:hint="eastAsia" w:ascii="宋体" w:hAnsi="宋体"/>
          <w:b w:val="0"/>
          <w:bCs w:val="0"/>
          <w:color w:val="auto"/>
        </w:rPr>
        <w:t>三、</w:t>
      </w:r>
      <w:bookmarkEnd w:id="952"/>
      <w:bookmarkEnd w:id="953"/>
      <w:bookmarkEnd w:id="954"/>
      <w:bookmarkEnd w:id="955"/>
      <w:r>
        <w:rPr>
          <w:rFonts w:hint="eastAsia" w:ascii="宋体" w:hAnsi="宋体"/>
          <w:b w:val="0"/>
          <w:bCs w:val="0"/>
          <w:color w:val="auto"/>
        </w:rPr>
        <w:t>资格审查部分</w:t>
      </w:r>
      <w:bookmarkEnd w:id="956"/>
      <w:bookmarkEnd w:id="957"/>
    </w:p>
    <w:p>
      <w:pPr>
        <w:spacing w:line="360" w:lineRule="auto"/>
        <w:jc w:val="center"/>
        <w:rPr>
          <w:rFonts w:ascii="宋体" w:hAnsi="宋体"/>
          <w:color w:val="auto"/>
          <w:kern w:val="0"/>
          <w:sz w:val="32"/>
          <w:szCs w:val="32"/>
        </w:rPr>
      </w:pPr>
      <w:r>
        <w:rPr>
          <w:rFonts w:ascii="宋体" w:hAnsi="宋体"/>
          <w:color w:val="auto"/>
          <w:sz w:val="32"/>
          <w:szCs w:val="32"/>
        </w:rPr>
        <w:br w:type="page"/>
      </w:r>
      <w:r>
        <w:rPr>
          <w:rFonts w:hint="eastAsia" w:ascii="宋体" w:hAnsi="宋体"/>
          <w:color w:val="auto"/>
          <w:kern w:val="0"/>
          <w:sz w:val="32"/>
          <w:szCs w:val="32"/>
          <w:u w:val="single"/>
        </w:rPr>
        <w:t xml:space="preserve">                   （项目名称）</w:t>
      </w:r>
    </w:p>
    <w:p>
      <w:pPr>
        <w:tabs>
          <w:tab w:val="left" w:pos="3600"/>
          <w:tab w:val="left" w:pos="4480"/>
          <w:tab w:val="left" w:pos="5360"/>
        </w:tabs>
        <w:autoSpaceDE w:val="0"/>
        <w:autoSpaceDN w:val="0"/>
        <w:adjustRightInd w:val="0"/>
        <w:snapToGrid w:val="0"/>
        <w:spacing w:line="360" w:lineRule="auto"/>
        <w:jc w:val="left"/>
        <w:rPr>
          <w:rFonts w:ascii="宋体" w:hAnsi="宋体" w:cs="MingLiU"/>
          <w:color w:val="auto"/>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cs="MingLiU"/>
          <w:color w:val="auto"/>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cs="MingLiU"/>
          <w:color w:val="auto"/>
          <w:kern w:val="0"/>
          <w:sz w:val="44"/>
          <w:szCs w:val="44"/>
        </w:rPr>
      </w:pPr>
    </w:p>
    <w:p>
      <w:pPr>
        <w:tabs>
          <w:tab w:val="left" w:pos="3600"/>
          <w:tab w:val="left" w:pos="4480"/>
          <w:tab w:val="left" w:pos="5360"/>
        </w:tabs>
        <w:autoSpaceDE w:val="0"/>
        <w:autoSpaceDN w:val="0"/>
        <w:adjustRightInd w:val="0"/>
        <w:snapToGrid w:val="0"/>
        <w:spacing w:line="360" w:lineRule="auto"/>
        <w:jc w:val="center"/>
        <w:rPr>
          <w:rFonts w:ascii="宋体" w:hAnsi="宋体"/>
          <w:color w:val="auto"/>
          <w:kern w:val="0"/>
          <w:sz w:val="72"/>
          <w:szCs w:val="72"/>
        </w:rPr>
      </w:pPr>
      <w:r>
        <w:rPr>
          <w:rFonts w:hint="eastAsia" w:ascii="宋体" w:hAnsi="宋体"/>
          <w:color w:val="auto"/>
          <w:kern w:val="0"/>
          <w:sz w:val="72"/>
          <w:szCs w:val="72"/>
        </w:rPr>
        <w:t>投 标 文 件</w:t>
      </w:r>
    </w:p>
    <w:p>
      <w:pPr>
        <w:autoSpaceDE w:val="0"/>
        <w:autoSpaceDN w:val="0"/>
        <w:adjustRightInd w:val="0"/>
        <w:snapToGrid w:val="0"/>
        <w:spacing w:line="360" w:lineRule="auto"/>
        <w:jc w:val="left"/>
        <w:rPr>
          <w:rFonts w:ascii="宋体" w:hAnsi="宋体"/>
          <w:color w:val="auto"/>
          <w:kern w:val="0"/>
          <w:sz w:val="16"/>
          <w:szCs w:val="16"/>
        </w:rPr>
      </w:pPr>
    </w:p>
    <w:p>
      <w:pPr>
        <w:autoSpaceDE w:val="0"/>
        <w:autoSpaceDN w:val="0"/>
        <w:adjustRightInd w:val="0"/>
        <w:snapToGrid w:val="0"/>
        <w:spacing w:line="360" w:lineRule="auto"/>
        <w:jc w:val="center"/>
        <w:rPr>
          <w:rFonts w:ascii="宋体" w:hAnsi="宋体"/>
          <w:color w:val="auto"/>
          <w:kern w:val="0"/>
          <w:sz w:val="36"/>
          <w:szCs w:val="36"/>
        </w:rPr>
      </w:pPr>
      <w:r>
        <w:rPr>
          <w:rFonts w:hint="eastAsia" w:ascii="宋体" w:hAnsi="宋体"/>
          <w:color w:val="auto"/>
          <w:kern w:val="0"/>
          <w:sz w:val="36"/>
          <w:szCs w:val="36"/>
        </w:rPr>
        <w:t>资格审查部分</w:t>
      </w:r>
    </w:p>
    <w:p>
      <w:pPr>
        <w:autoSpaceDE w:val="0"/>
        <w:autoSpaceDN w:val="0"/>
        <w:adjustRightInd w:val="0"/>
        <w:snapToGrid w:val="0"/>
        <w:spacing w:line="360" w:lineRule="auto"/>
        <w:jc w:val="left"/>
        <w:rPr>
          <w:rFonts w:ascii="宋体" w:hAnsi="宋体" w:cs="MingLiU"/>
          <w:color w:val="auto"/>
          <w:kern w:val="0"/>
          <w:sz w:val="20"/>
        </w:rPr>
      </w:pPr>
    </w:p>
    <w:p>
      <w:pPr>
        <w:adjustRightInd w:val="0"/>
        <w:snapToGrid w:val="0"/>
        <w:spacing w:line="264" w:lineRule="auto"/>
        <w:rPr>
          <w:rFonts w:ascii="宋体" w:hAnsi="宋体"/>
          <w:color w:val="auto"/>
          <w:szCs w:val="21"/>
        </w:rPr>
      </w:pPr>
    </w:p>
    <w:p>
      <w:pPr>
        <w:autoSpaceDE w:val="0"/>
        <w:autoSpaceDN w:val="0"/>
        <w:adjustRightInd w:val="0"/>
        <w:snapToGrid w:val="0"/>
        <w:spacing w:line="360" w:lineRule="auto"/>
        <w:jc w:val="left"/>
        <w:rPr>
          <w:rFonts w:ascii="宋体" w:hAnsi="宋体" w:cs="MingLiU"/>
          <w:color w:val="auto"/>
          <w:kern w:val="0"/>
          <w:sz w:val="20"/>
        </w:rPr>
      </w:pPr>
    </w:p>
    <w:p>
      <w:pPr>
        <w:autoSpaceDE w:val="0"/>
        <w:autoSpaceDN w:val="0"/>
        <w:adjustRightInd w:val="0"/>
        <w:snapToGrid w:val="0"/>
        <w:spacing w:line="360" w:lineRule="auto"/>
        <w:jc w:val="left"/>
        <w:rPr>
          <w:rFonts w:ascii="宋体" w:hAnsi="宋体" w:cs="MingLiU"/>
          <w:color w:val="auto"/>
          <w:kern w:val="0"/>
          <w:sz w:val="20"/>
        </w:rPr>
      </w:pPr>
    </w:p>
    <w:p>
      <w:pPr>
        <w:autoSpaceDE w:val="0"/>
        <w:autoSpaceDN w:val="0"/>
        <w:adjustRightInd w:val="0"/>
        <w:snapToGrid w:val="0"/>
        <w:spacing w:line="360" w:lineRule="auto"/>
        <w:jc w:val="left"/>
        <w:rPr>
          <w:rFonts w:ascii="宋体" w:hAnsi="宋体" w:cs="MingLiU"/>
          <w:color w:val="auto"/>
          <w:kern w:val="0"/>
          <w:sz w:val="20"/>
        </w:rPr>
      </w:pPr>
    </w:p>
    <w:p>
      <w:pPr>
        <w:autoSpaceDE w:val="0"/>
        <w:autoSpaceDN w:val="0"/>
        <w:adjustRightInd w:val="0"/>
        <w:snapToGrid w:val="0"/>
        <w:spacing w:line="360" w:lineRule="auto"/>
        <w:jc w:val="left"/>
        <w:rPr>
          <w:rFonts w:ascii="宋体" w:hAnsi="宋体" w:cs="MingLiU"/>
          <w:color w:val="auto"/>
          <w:kern w:val="0"/>
          <w:sz w:val="20"/>
        </w:rPr>
      </w:pPr>
    </w:p>
    <w:p>
      <w:pPr>
        <w:autoSpaceDE w:val="0"/>
        <w:autoSpaceDN w:val="0"/>
        <w:adjustRightInd w:val="0"/>
        <w:snapToGrid w:val="0"/>
        <w:spacing w:line="360" w:lineRule="auto"/>
        <w:jc w:val="left"/>
        <w:rPr>
          <w:rFonts w:ascii="宋体" w:hAnsi="宋体" w:cs="MingLiU"/>
          <w:color w:val="auto"/>
          <w:kern w:val="0"/>
          <w:sz w:val="20"/>
        </w:rPr>
      </w:pPr>
    </w:p>
    <w:p>
      <w:pPr>
        <w:autoSpaceDE w:val="0"/>
        <w:autoSpaceDN w:val="0"/>
        <w:adjustRightInd w:val="0"/>
        <w:snapToGrid w:val="0"/>
        <w:spacing w:line="360" w:lineRule="auto"/>
        <w:jc w:val="left"/>
        <w:rPr>
          <w:rFonts w:ascii="宋体" w:hAnsi="宋体" w:cs="MingLiU"/>
          <w:color w:val="auto"/>
          <w:kern w:val="0"/>
          <w:sz w:val="20"/>
        </w:rPr>
      </w:pPr>
    </w:p>
    <w:p>
      <w:pPr>
        <w:autoSpaceDE w:val="0"/>
        <w:autoSpaceDN w:val="0"/>
        <w:adjustRightInd w:val="0"/>
        <w:snapToGrid w:val="0"/>
        <w:spacing w:line="360" w:lineRule="auto"/>
        <w:jc w:val="left"/>
        <w:rPr>
          <w:rFonts w:ascii="宋体" w:hAnsi="宋体" w:cs="MingLiU"/>
          <w:color w:val="auto"/>
          <w:kern w:val="0"/>
          <w:sz w:val="20"/>
        </w:rPr>
      </w:pPr>
    </w:p>
    <w:p>
      <w:pPr>
        <w:autoSpaceDE w:val="0"/>
        <w:autoSpaceDN w:val="0"/>
        <w:adjustRightInd w:val="0"/>
        <w:snapToGrid w:val="0"/>
        <w:spacing w:line="360" w:lineRule="auto"/>
        <w:jc w:val="left"/>
        <w:rPr>
          <w:rFonts w:ascii="宋体" w:hAnsi="宋体" w:cs="MingLiU"/>
          <w:color w:val="auto"/>
          <w:kern w:val="0"/>
          <w:sz w:val="20"/>
        </w:rPr>
      </w:pPr>
    </w:p>
    <w:p>
      <w:pPr>
        <w:autoSpaceDE w:val="0"/>
        <w:autoSpaceDN w:val="0"/>
        <w:adjustRightInd w:val="0"/>
        <w:snapToGrid w:val="0"/>
        <w:spacing w:line="360" w:lineRule="auto"/>
        <w:jc w:val="left"/>
        <w:rPr>
          <w:rFonts w:ascii="宋体" w:hAnsi="宋体" w:cs="MingLiU"/>
          <w:color w:val="auto"/>
          <w:kern w:val="0"/>
          <w:sz w:val="20"/>
        </w:rPr>
      </w:pPr>
    </w:p>
    <w:p>
      <w:pPr>
        <w:autoSpaceDE w:val="0"/>
        <w:autoSpaceDN w:val="0"/>
        <w:adjustRightInd w:val="0"/>
        <w:snapToGrid w:val="0"/>
        <w:spacing w:line="360" w:lineRule="auto"/>
        <w:jc w:val="left"/>
        <w:rPr>
          <w:rFonts w:ascii="宋体" w:hAnsi="宋体" w:cs="MingLiU"/>
          <w:color w:val="auto"/>
          <w:kern w:val="0"/>
          <w:sz w:val="20"/>
        </w:rPr>
      </w:pPr>
    </w:p>
    <w:p>
      <w:pPr>
        <w:autoSpaceDE w:val="0"/>
        <w:autoSpaceDN w:val="0"/>
        <w:adjustRightInd w:val="0"/>
        <w:snapToGrid w:val="0"/>
        <w:spacing w:line="360" w:lineRule="auto"/>
        <w:jc w:val="left"/>
        <w:rPr>
          <w:rFonts w:ascii="宋体" w:hAnsi="宋体" w:cs="MingLiU"/>
          <w:color w:val="auto"/>
          <w:kern w:val="0"/>
          <w:sz w:val="20"/>
        </w:rPr>
      </w:pPr>
    </w:p>
    <w:p>
      <w:pPr>
        <w:autoSpaceDE w:val="0"/>
        <w:autoSpaceDN w:val="0"/>
        <w:adjustRightInd w:val="0"/>
        <w:snapToGrid w:val="0"/>
        <w:spacing w:line="360" w:lineRule="auto"/>
        <w:jc w:val="left"/>
        <w:rPr>
          <w:rFonts w:ascii="宋体" w:hAnsi="宋体" w:cs="MingLiU"/>
          <w:color w:val="auto"/>
          <w:kern w:val="0"/>
          <w:sz w:val="20"/>
        </w:rPr>
      </w:pPr>
    </w:p>
    <w:p>
      <w:pPr>
        <w:autoSpaceDE w:val="0"/>
        <w:autoSpaceDN w:val="0"/>
        <w:adjustRightInd w:val="0"/>
        <w:snapToGrid w:val="0"/>
        <w:spacing w:line="360" w:lineRule="auto"/>
        <w:jc w:val="left"/>
        <w:rPr>
          <w:rFonts w:ascii="宋体" w:hAnsi="宋体" w:cs="MingLiU"/>
          <w:color w:val="auto"/>
          <w:kern w:val="0"/>
          <w:sz w:val="20"/>
        </w:rPr>
      </w:pPr>
    </w:p>
    <w:p>
      <w:pPr>
        <w:tabs>
          <w:tab w:val="left" w:pos="6080"/>
          <w:tab w:val="left" w:pos="6640"/>
        </w:tabs>
        <w:autoSpaceDE w:val="0"/>
        <w:autoSpaceDN w:val="0"/>
        <w:adjustRightInd w:val="0"/>
        <w:snapToGrid w:val="0"/>
        <w:spacing w:line="480" w:lineRule="auto"/>
        <w:jc w:val="center"/>
        <w:rPr>
          <w:rFonts w:ascii="宋体" w:hAnsi="宋体"/>
          <w:color w:val="auto"/>
          <w:w w:val="99"/>
          <w:kern w:val="0"/>
          <w:sz w:val="28"/>
          <w:szCs w:val="28"/>
        </w:rPr>
      </w:pPr>
      <w:r>
        <w:rPr>
          <w:rFonts w:ascii="宋体" w:hAnsi="宋体"/>
          <w:color w:val="auto"/>
          <w:w w:val="99"/>
          <w:kern w:val="0"/>
          <w:sz w:val="28"/>
          <w:szCs w:val="28"/>
        </w:rPr>
        <w:t>投标人</w:t>
      </w:r>
      <w:r>
        <w:rPr>
          <w:rFonts w:ascii="宋体" w:hAnsi="宋体"/>
          <w:color w:val="auto"/>
          <w:spacing w:val="1"/>
          <w:w w:val="99"/>
          <w:kern w:val="0"/>
          <w:sz w:val="28"/>
          <w:szCs w:val="28"/>
        </w:rPr>
        <w:t>：</w:t>
      </w:r>
      <w:r>
        <w:rPr>
          <w:rFonts w:ascii="宋体" w:hAnsi="宋体"/>
          <w:color w:val="auto"/>
          <w:w w:val="198"/>
          <w:kern w:val="0"/>
          <w:sz w:val="28"/>
          <w:szCs w:val="28"/>
          <w:u w:val="single"/>
        </w:rPr>
        <w:t xml:space="preserve"> 　　 　　 　　</w:t>
      </w:r>
      <w:r>
        <w:rPr>
          <w:rFonts w:ascii="宋体" w:hAnsi="宋体"/>
          <w:color w:val="auto"/>
          <w:w w:val="99"/>
          <w:kern w:val="0"/>
          <w:sz w:val="28"/>
          <w:szCs w:val="28"/>
        </w:rPr>
        <w:t>（盖单位法人章）</w:t>
      </w:r>
    </w:p>
    <w:p>
      <w:pPr>
        <w:tabs>
          <w:tab w:val="left" w:pos="6080"/>
          <w:tab w:val="left" w:pos="6640"/>
        </w:tabs>
        <w:autoSpaceDE w:val="0"/>
        <w:autoSpaceDN w:val="0"/>
        <w:adjustRightInd w:val="0"/>
        <w:snapToGrid w:val="0"/>
        <w:spacing w:line="480" w:lineRule="auto"/>
        <w:ind w:firstLine="1108" w:firstLineChars="400"/>
        <w:rPr>
          <w:rFonts w:ascii="宋体" w:hAnsi="宋体"/>
          <w:color w:val="auto"/>
          <w:kern w:val="0"/>
          <w:sz w:val="28"/>
          <w:szCs w:val="28"/>
        </w:rPr>
      </w:pPr>
      <w:r>
        <w:rPr>
          <w:rFonts w:ascii="宋体" w:hAnsi="宋体"/>
          <w:color w:val="auto"/>
          <w:w w:val="99"/>
          <w:kern w:val="0"/>
          <w:sz w:val="28"/>
          <w:szCs w:val="28"/>
        </w:rPr>
        <w:t>法定代表人或其委托代理人：</w:t>
      </w:r>
      <w:r>
        <w:rPr>
          <w:rFonts w:ascii="宋体" w:hAnsi="宋体"/>
          <w:color w:val="auto"/>
          <w:w w:val="198"/>
          <w:kern w:val="0"/>
          <w:sz w:val="28"/>
          <w:szCs w:val="28"/>
          <w:u w:val="single"/>
        </w:rPr>
        <w:t xml:space="preserve"> 　 　</w:t>
      </w:r>
      <w:r>
        <w:rPr>
          <w:rFonts w:hint="eastAsia" w:ascii="宋体" w:hAnsi="宋体"/>
          <w:color w:val="auto"/>
          <w:w w:val="198"/>
          <w:kern w:val="0"/>
          <w:sz w:val="28"/>
          <w:szCs w:val="28"/>
          <w:u w:val="single"/>
        </w:rPr>
        <w:t xml:space="preserve">  </w:t>
      </w:r>
      <w:r>
        <w:rPr>
          <w:rFonts w:ascii="宋体" w:hAnsi="宋体"/>
          <w:color w:val="auto"/>
          <w:w w:val="99"/>
          <w:kern w:val="0"/>
          <w:sz w:val="28"/>
          <w:szCs w:val="28"/>
        </w:rPr>
        <w:t>（</w:t>
      </w:r>
      <w:r>
        <w:rPr>
          <w:rFonts w:hint="eastAsia" w:ascii="宋体" w:hAnsi="宋体"/>
          <w:color w:val="auto"/>
          <w:w w:val="99"/>
          <w:kern w:val="0"/>
          <w:sz w:val="28"/>
          <w:szCs w:val="28"/>
        </w:rPr>
        <w:t>签名</w:t>
      </w:r>
      <w:r>
        <w:rPr>
          <w:rFonts w:ascii="宋体" w:hAnsi="宋体"/>
          <w:color w:val="auto"/>
          <w:w w:val="99"/>
          <w:kern w:val="0"/>
          <w:sz w:val="28"/>
          <w:szCs w:val="28"/>
        </w:rPr>
        <w:t>或盖章）</w:t>
      </w:r>
    </w:p>
    <w:p>
      <w:pPr>
        <w:tabs>
          <w:tab w:val="left" w:pos="3280"/>
          <w:tab w:val="left" w:pos="4680"/>
          <w:tab w:val="left" w:pos="6080"/>
        </w:tabs>
        <w:autoSpaceDE w:val="0"/>
        <w:autoSpaceDN w:val="0"/>
        <w:adjustRightInd w:val="0"/>
        <w:snapToGrid w:val="0"/>
        <w:spacing w:line="480" w:lineRule="auto"/>
        <w:jc w:val="center"/>
        <w:rPr>
          <w:rFonts w:ascii="宋体" w:hAnsi="宋体"/>
          <w:color w:val="auto"/>
          <w:w w:val="99"/>
          <w:kern w:val="0"/>
          <w:sz w:val="28"/>
          <w:szCs w:val="28"/>
        </w:rPr>
      </w:pPr>
      <w:r>
        <w:rPr>
          <w:rFonts w:ascii="宋体" w:hAnsi="宋体"/>
          <w:color w:val="auto"/>
          <w:w w:val="198"/>
          <w:kern w:val="0"/>
          <w:sz w:val="28"/>
          <w:szCs w:val="28"/>
          <w:u w:val="single"/>
        </w:rPr>
        <w:t xml:space="preserve"> </w:t>
      </w:r>
      <w:r>
        <w:rPr>
          <w:rFonts w:hint="eastAsia" w:ascii="宋体" w:hAnsi="宋体"/>
          <w:color w:val="auto"/>
          <w:w w:val="198"/>
          <w:kern w:val="0"/>
          <w:sz w:val="28"/>
          <w:szCs w:val="28"/>
          <w:u w:val="single"/>
        </w:rPr>
        <w:t xml:space="preserve"> </w:t>
      </w:r>
      <w:r>
        <w:rPr>
          <w:rFonts w:ascii="宋体" w:hAnsi="宋体"/>
          <w:color w:val="auto"/>
          <w:w w:val="198"/>
          <w:kern w:val="0"/>
          <w:sz w:val="28"/>
          <w:szCs w:val="28"/>
          <w:u w:val="single"/>
        </w:rPr>
        <w:t xml:space="preserve"> </w:t>
      </w:r>
      <w:r>
        <w:rPr>
          <w:rFonts w:hint="eastAsia" w:ascii="宋体" w:hAnsi="宋体"/>
          <w:color w:val="auto"/>
          <w:w w:val="198"/>
          <w:kern w:val="0"/>
          <w:sz w:val="28"/>
          <w:szCs w:val="28"/>
          <w:u w:val="single"/>
        </w:rPr>
        <w:t xml:space="preserve"> </w:t>
      </w:r>
      <w:r>
        <w:rPr>
          <w:rFonts w:ascii="宋体" w:hAnsi="宋体"/>
          <w:color w:val="auto"/>
          <w:w w:val="99"/>
          <w:kern w:val="0"/>
          <w:sz w:val="28"/>
          <w:szCs w:val="28"/>
        </w:rPr>
        <w:t>年</w:t>
      </w:r>
      <w:r>
        <w:rPr>
          <w:rFonts w:ascii="宋体" w:hAnsi="宋体"/>
          <w:color w:val="auto"/>
          <w:w w:val="198"/>
          <w:kern w:val="0"/>
          <w:sz w:val="28"/>
          <w:szCs w:val="28"/>
          <w:u w:val="single"/>
        </w:rPr>
        <w:t xml:space="preserve"> </w:t>
      </w:r>
      <w:r>
        <w:rPr>
          <w:rFonts w:hint="eastAsia" w:ascii="宋体" w:hAnsi="宋体"/>
          <w:color w:val="auto"/>
          <w:w w:val="198"/>
          <w:kern w:val="0"/>
          <w:sz w:val="28"/>
          <w:szCs w:val="28"/>
          <w:u w:val="single"/>
        </w:rPr>
        <w:t xml:space="preserve"> </w:t>
      </w:r>
      <w:r>
        <w:rPr>
          <w:rFonts w:ascii="宋体" w:hAnsi="宋体"/>
          <w:color w:val="auto"/>
          <w:w w:val="198"/>
          <w:kern w:val="0"/>
          <w:sz w:val="28"/>
          <w:szCs w:val="28"/>
          <w:u w:val="single"/>
        </w:rPr>
        <w:t xml:space="preserve"> </w:t>
      </w:r>
      <w:r>
        <w:rPr>
          <w:rFonts w:hint="eastAsia" w:ascii="宋体" w:hAnsi="宋体"/>
          <w:color w:val="auto"/>
          <w:w w:val="198"/>
          <w:kern w:val="0"/>
          <w:sz w:val="28"/>
          <w:szCs w:val="28"/>
          <w:u w:val="single"/>
        </w:rPr>
        <w:t xml:space="preserve"> </w:t>
      </w:r>
      <w:r>
        <w:rPr>
          <w:rFonts w:ascii="宋体" w:hAnsi="宋体"/>
          <w:color w:val="auto"/>
          <w:w w:val="99"/>
          <w:kern w:val="0"/>
          <w:sz w:val="28"/>
          <w:szCs w:val="28"/>
        </w:rPr>
        <w:t>月</w:t>
      </w:r>
      <w:r>
        <w:rPr>
          <w:rFonts w:ascii="宋体" w:hAnsi="宋体"/>
          <w:color w:val="auto"/>
          <w:w w:val="198"/>
          <w:kern w:val="0"/>
          <w:sz w:val="28"/>
          <w:szCs w:val="28"/>
          <w:u w:val="single"/>
        </w:rPr>
        <w:t xml:space="preserve"> </w:t>
      </w:r>
      <w:r>
        <w:rPr>
          <w:rFonts w:hint="eastAsia" w:ascii="宋体" w:hAnsi="宋体"/>
          <w:color w:val="auto"/>
          <w:w w:val="198"/>
          <w:kern w:val="0"/>
          <w:sz w:val="28"/>
          <w:szCs w:val="28"/>
          <w:u w:val="single"/>
        </w:rPr>
        <w:t xml:space="preserve"> </w:t>
      </w:r>
      <w:r>
        <w:rPr>
          <w:rFonts w:ascii="宋体" w:hAnsi="宋体"/>
          <w:color w:val="auto"/>
          <w:w w:val="198"/>
          <w:kern w:val="0"/>
          <w:sz w:val="28"/>
          <w:szCs w:val="28"/>
          <w:u w:val="single"/>
        </w:rPr>
        <w:t xml:space="preserve"> </w:t>
      </w:r>
      <w:r>
        <w:rPr>
          <w:rFonts w:hint="eastAsia" w:ascii="宋体" w:hAnsi="宋体"/>
          <w:color w:val="auto"/>
          <w:w w:val="198"/>
          <w:kern w:val="0"/>
          <w:sz w:val="28"/>
          <w:szCs w:val="28"/>
          <w:u w:val="single"/>
        </w:rPr>
        <w:t xml:space="preserve"> </w:t>
      </w:r>
      <w:r>
        <w:rPr>
          <w:rFonts w:ascii="宋体" w:hAnsi="宋体"/>
          <w:color w:val="auto"/>
          <w:w w:val="99"/>
          <w:kern w:val="0"/>
          <w:sz w:val="28"/>
          <w:szCs w:val="28"/>
        </w:rPr>
        <w:t>日</w:t>
      </w:r>
    </w:p>
    <w:p>
      <w:pPr>
        <w:tabs>
          <w:tab w:val="left" w:pos="3280"/>
          <w:tab w:val="left" w:pos="4680"/>
          <w:tab w:val="left" w:pos="6080"/>
        </w:tabs>
        <w:autoSpaceDE w:val="0"/>
        <w:autoSpaceDN w:val="0"/>
        <w:adjustRightInd w:val="0"/>
        <w:snapToGrid w:val="0"/>
        <w:spacing w:line="480" w:lineRule="auto"/>
        <w:jc w:val="center"/>
        <w:rPr>
          <w:rFonts w:ascii="宋体" w:hAnsi="宋体"/>
          <w:b/>
          <w:color w:val="auto"/>
          <w:kern w:val="0"/>
          <w:sz w:val="28"/>
          <w:szCs w:val="28"/>
        </w:rPr>
      </w:pPr>
      <w:r>
        <w:rPr>
          <w:rFonts w:ascii="宋体" w:hAnsi="宋体"/>
          <w:color w:val="auto"/>
          <w:w w:val="99"/>
          <w:kern w:val="0"/>
          <w:sz w:val="28"/>
          <w:szCs w:val="28"/>
        </w:rPr>
        <w:br w:type="page"/>
      </w:r>
    </w:p>
    <w:p>
      <w:pPr>
        <w:autoSpaceDE w:val="0"/>
        <w:autoSpaceDN w:val="0"/>
        <w:adjustRightInd w:val="0"/>
        <w:snapToGrid w:val="0"/>
        <w:jc w:val="center"/>
        <w:rPr>
          <w:rFonts w:ascii="宋体" w:hAnsi="宋体"/>
          <w:color w:val="auto"/>
          <w:kern w:val="0"/>
          <w:sz w:val="32"/>
          <w:szCs w:val="32"/>
        </w:rPr>
      </w:pPr>
      <w:r>
        <w:rPr>
          <w:rFonts w:hint="eastAsia" w:ascii="宋体" w:hAnsi="宋体"/>
          <w:color w:val="auto"/>
          <w:kern w:val="0"/>
          <w:sz w:val="32"/>
          <w:szCs w:val="32"/>
        </w:rPr>
        <w:t>目  录</w:t>
      </w:r>
    </w:p>
    <w:p>
      <w:pPr>
        <w:spacing w:line="360" w:lineRule="auto"/>
        <w:jc w:val="center"/>
        <w:rPr>
          <w:rFonts w:ascii="宋体" w:hAnsi="宋体"/>
          <w:b/>
          <w:color w:val="auto"/>
          <w:kern w:val="0"/>
          <w:sz w:val="32"/>
          <w:szCs w:val="32"/>
        </w:rPr>
      </w:pPr>
    </w:p>
    <w:p>
      <w:pPr>
        <w:spacing w:line="700" w:lineRule="exact"/>
        <w:ind w:firstLine="480" w:firstLineChars="200"/>
        <w:rPr>
          <w:rFonts w:ascii="宋体" w:hAnsi="宋体"/>
          <w:color w:val="auto"/>
          <w:sz w:val="24"/>
          <w:szCs w:val="24"/>
        </w:rPr>
      </w:pPr>
      <w:r>
        <w:rPr>
          <w:rFonts w:ascii="宋体" w:hAnsi="宋体"/>
          <w:color w:val="auto"/>
          <w:sz w:val="24"/>
          <w:szCs w:val="24"/>
        </w:rPr>
        <w:t>（一）</w:t>
      </w:r>
      <w:r>
        <w:rPr>
          <w:rFonts w:hint="eastAsia" w:ascii="宋体" w:hAnsi="宋体"/>
          <w:color w:val="auto"/>
          <w:sz w:val="24"/>
          <w:szCs w:val="24"/>
        </w:rPr>
        <w:t>法定代表人身份证明或附有法定代表人身份证明的授权委托书</w:t>
      </w:r>
    </w:p>
    <w:p>
      <w:pPr>
        <w:spacing w:line="700" w:lineRule="exact"/>
        <w:ind w:firstLine="480" w:firstLineChars="200"/>
        <w:rPr>
          <w:rFonts w:ascii="宋体" w:hAnsi="宋体"/>
          <w:color w:val="auto"/>
          <w:sz w:val="24"/>
          <w:szCs w:val="24"/>
        </w:rPr>
      </w:pPr>
      <w:r>
        <w:rPr>
          <w:rFonts w:ascii="宋体" w:hAnsi="宋体"/>
          <w:color w:val="auto"/>
          <w:sz w:val="24"/>
          <w:szCs w:val="24"/>
        </w:rPr>
        <w:t>（</w:t>
      </w:r>
      <w:r>
        <w:rPr>
          <w:rFonts w:hint="eastAsia" w:ascii="宋体" w:hAnsi="宋体"/>
          <w:color w:val="auto"/>
          <w:sz w:val="24"/>
          <w:szCs w:val="24"/>
        </w:rPr>
        <w:t>二</w:t>
      </w:r>
      <w:r>
        <w:rPr>
          <w:rFonts w:ascii="宋体" w:hAnsi="宋体"/>
          <w:color w:val="auto"/>
          <w:sz w:val="24"/>
          <w:szCs w:val="24"/>
        </w:rPr>
        <w:t>）投标人基本情况表</w:t>
      </w:r>
    </w:p>
    <w:p>
      <w:pPr>
        <w:spacing w:line="700" w:lineRule="exact"/>
        <w:ind w:firstLine="480" w:firstLineChars="200"/>
        <w:rPr>
          <w:rFonts w:ascii="宋体" w:hAnsi="宋体"/>
          <w:color w:val="auto"/>
          <w:sz w:val="24"/>
          <w:szCs w:val="24"/>
        </w:rPr>
      </w:pPr>
      <w:r>
        <w:rPr>
          <w:rFonts w:ascii="宋体" w:hAnsi="宋体"/>
          <w:color w:val="auto"/>
          <w:sz w:val="24"/>
          <w:szCs w:val="24"/>
        </w:rPr>
        <w:t>（</w:t>
      </w:r>
      <w:r>
        <w:rPr>
          <w:rFonts w:hint="eastAsia" w:ascii="宋体" w:hAnsi="宋体"/>
          <w:color w:val="auto"/>
          <w:sz w:val="24"/>
          <w:szCs w:val="24"/>
        </w:rPr>
        <w:t>三</w:t>
      </w:r>
      <w:r>
        <w:rPr>
          <w:rFonts w:ascii="宋体" w:hAnsi="宋体"/>
          <w:color w:val="auto"/>
          <w:sz w:val="24"/>
          <w:szCs w:val="24"/>
        </w:rPr>
        <w:t>）项目管理机构</w:t>
      </w:r>
    </w:p>
    <w:p>
      <w:pPr>
        <w:spacing w:line="700" w:lineRule="exact"/>
        <w:ind w:firstLine="480" w:firstLineChars="200"/>
        <w:rPr>
          <w:rFonts w:ascii="宋体" w:hAnsi="宋体"/>
          <w:color w:val="auto"/>
          <w:sz w:val="24"/>
          <w:szCs w:val="24"/>
        </w:rPr>
      </w:pPr>
      <w:r>
        <w:rPr>
          <w:rFonts w:ascii="宋体" w:hAnsi="宋体"/>
          <w:color w:val="auto"/>
          <w:sz w:val="24"/>
          <w:szCs w:val="24"/>
        </w:rPr>
        <w:t>（</w:t>
      </w:r>
      <w:r>
        <w:rPr>
          <w:rFonts w:hint="eastAsia" w:ascii="宋体" w:hAnsi="宋体"/>
          <w:color w:val="auto"/>
          <w:sz w:val="24"/>
          <w:szCs w:val="24"/>
        </w:rPr>
        <w:t>四</w:t>
      </w:r>
      <w:r>
        <w:rPr>
          <w:rFonts w:ascii="宋体" w:hAnsi="宋体"/>
          <w:color w:val="auto"/>
          <w:sz w:val="24"/>
          <w:szCs w:val="24"/>
        </w:rPr>
        <w:t>）</w:t>
      </w:r>
      <w:r>
        <w:rPr>
          <w:rFonts w:hint="eastAsia" w:ascii="宋体" w:hAnsi="宋体"/>
          <w:color w:val="auto"/>
          <w:sz w:val="24"/>
          <w:szCs w:val="24"/>
        </w:rPr>
        <w:t>承诺</w:t>
      </w:r>
    </w:p>
    <w:p>
      <w:pPr>
        <w:spacing w:line="700" w:lineRule="exact"/>
        <w:ind w:firstLine="480" w:firstLineChars="200"/>
        <w:jc w:val="left"/>
        <w:rPr>
          <w:rFonts w:ascii="宋体" w:hAnsi="宋体"/>
          <w:b/>
          <w:color w:val="auto"/>
          <w:kern w:val="0"/>
          <w:sz w:val="24"/>
          <w:szCs w:val="24"/>
        </w:rPr>
      </w:pPr>
      <w:r>
        <w:rPr>
          <w:rFonts w:ascii="宋体" w:hAnsi="宋体"/>
          <w:color w:val="auto"/>
          <w:sz w:val="24"/>
          <w:szCs w:val="24"/>
        </w:rPr>
        <w:t>（</w:t>
      </w:r>
      <w:r>
        <w:rPr>
          <w:rFonts w:hint="eastAsia" w:ascii="宋体" w:hAnsi="宋体"/>
          <w:color w:val="auto"/>
          <w:sz w:val="24"/>
          <w:szCs w:val="24"/>
        </w:rPr>
        <w:t>五</w:t>
      </w:r>
      <w:r>
        <w:rPr>
          <w:rFonts w:ascii="宋体" w:hAnsi="宋体"/>
          <w:color w:val="auto"/>
          <w:sz w:val="24"/>
          <w:szCs w:val="24"/>
        </w:rPr>
        <w:t>）其他资料</w:t>
      </w:r>
    </w:p>
    <w:p>
      <w:pPr>
        <w:spacing w:line="360" w:lineRule="auto"/>
        <w:jc w:val="center"/>
        <w:rPr>
          <w:rFonts w:ascii="宋体" w:hAnsi="宋体"/>
          <w:b/>
          <w:color w:val="auto"/>
          <w:kern w:val="0"/>
          <w:sz w:val="32"/>
          <w:szCs w:val="32"/>
        </w:rPr>
      </w:pPr>
    </w:p>
    <w:p>
      <w:pPr>
        <w:pStyle w:val="5"/>
        <w:spacing w:line="240" w:lineRule="auto"/>
        <w:rPr>
          <w:rFonts w:ascii="宋体" w:hAnsi="宋体"/>
          <w:color w:val="auto"/>
          <w:sz w:val="36"/>
          <w:szCs w:val="36"/>
        </w:rPr>
      </w:pPr>
      <w:r>
        <w:rPr>
          <w:rFonts w:ascii="宋体" w:hAnsi="宋体"/>
          <w:color w:val="auto"/>
        </w:rPr>
        <w:br w:type="page"/>
      </w:r>
      <w:bookmarkStart w:id="958" w:name="_Toc430530546"/>
      <w:bookmarkStart w:id="959" w:name="_Toc224103511"/>
      <w:bookmarkStart w:id="960" w:name="_Toc287620830"/>
      <w:bookmarkStart w:id="961" w:name="_Toc277082657"/>
      <w:bookmarkStart w:id="962" w:name="_Toc15507"/>
      <w:bookmarkStart w:id="963" w:name="_Toc287607883"/>
      <w:bookmarkStart w:id="964" w:name="_Toc19892"/>
      <w:r>
        <w:rPr>
          <w:rFonts w:hint="eastAsia" w:ascii="宋体" w:hAnsi="宋体"/>
          <w:b w:val="0"/>
          <w:bCs w:val="0"/>
          <w:color w:val="auto"/>
        </w:rPr>
        <w:t>（一）法定代表人身份证明或附有法定代表人身份证明的授权委托书</w:t>
      </w:r>
      <w:bookmarkEnd w:id="958"/>
      <w:bookmarkEnd w:id="959"/>
      <w:bookmarkEnd w:id="960"/>
      <w:bookmarkEnd w:id="961"/>
      <w:bookmarkEnd w:id="962"/>
      <w:bookmarkEnd w:id="963"/>
      <w:bookmarkEnd w:id="964"/>
    </w:p>
    <w:p>
      <w:pPr>
        <w:spacing w:line="480" w:lineRule="auto"/>
        <w:jc w:val="center"/>
        <w:rPr>
          <w:rFonts w:ascii="宋体" w:hAnsi="宋体"/>
          <w:color w:val="auto"/>
          <w:sz w:val="28"/>
        </w:rPr>
      </w:pPr>
      <w:r>
        <w:rPr>
          <w:rFonts w:hint="eastAsia" w:ascii="宋体" w:hAnsi="宋体"/>
          <w:color w:val="auto"/>
          <w:sz w:val="28"/>
        </w:rPr>
        <w:t>法定代表人身份证明</w:t>
      </w:r>
    </w:p>
    <w:p>
      <w:pPr>
        <w:spacing w:line="480" w:lineRule="auto"/>
        <w:jc w:val="center"/>
        <w:rPr>
          <w:rFonts w:ascii="宋体" w:hAnsi="宋体"/>
          <w:color w:val="auto"/>
        </w:rPr>
      </w:pPr>
    </w:p>
    <w:p>
      <w:pPr>
        <w:tabs>
          <w:tab w:val="left" w:pos="5565"/>
        </w:tabs>
        <w:autoSpaceDE w:val="0"/>
        <w:autoSpaceDN w:val="0"/>
        <w:adjustRightInd w:val="0"/>
        <w:snapToGrid w:val="0"/>
        <w:spacing w:line="700" w:lineRule="exact"/>
        <w:ind w:firstLine="390" w:firstLineChars="186"/>
        <w:jc w:val="left"/>
        <w:rPr>
          <w:rFonts w:ascii="宋体" w:hAnsi="宋体"/>
          <w:color w:val="auto"/>
          <w:kern w:val="0"/>
          <w:szCs w:val="21"/>
        </w:rPr>
      </w:pPr>
      <w:r>
        <w:rPr>
          <w:rFonts w:ascii="宋体" w:hAnsi="宋体"/>
          <w:color w:val="auto"/>
          <w:kern w:val="0"/>
          <w:szCs w:val="21"/>
        </w:rPr>
        <w:t>投标人名称：</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p>
    <w:p>
      <w:pPr>
        <w:tabs>
          <w:tab w:val="left" w:pos="5475"/>
        </w:tabs>
        <w:autoSpaceDE w:val="0"/>
        <w:autoSpaceDN w:val="0"/>
        <w:adjustRightInd w:val="0"/>
        <w:snapToGrid w:val="0"/>
        <w:spacing w:line="700" w:lineRule="exact"/>
        <w:ind w:firstLine="390" w:firstLineChars="186"/>
        <w:jc w:val="left"/>
        <w:rPr>
          <w:rFonts w:ascii="宋体" w:hAnsi="宋体"/>
          <w:color w:val="auto"/>
          <w:kern w:val="0"/>
          <w:szCs w:val="21"/>
        </w:rPr>
      </w:pPr>
      <w:r>
        <w:rPr>
          <w:rFonts w:ascii="宋体" w:hAnsi="宋体"/>
          <w:color w:val="auto"/>
          <w:kern w:val="0"/>
          <w:szCs w:val="21"/>
        </w:rPr>
        <w:t>单位性质：</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p>
    <w:p>
      <w:pPr>
        <w:tabs>
          <w:tab w:val="left" w:pos="5475"/>
        </w:tabs>
        <w:autoSpaceDE w:val="0"/>
        <w:autoSpaceDN w:val="0"/>
        <w:adjustRightInd w:val="0"/>
        <w:snapToGrid w:val="0"/>
        <w:spacing w:line="700" w:lineRule="exact"/>
        <w:ind w:firstLine="390" w:firstLineChars="186"/>
        <w:jc w:val="left"/>
        <w:rPr>
          <w:rFonts w:ascii="宋体" w:hAnsi="宋体"/>
          <w:color w:val="auto"/>
          <w:kern w:val="0"/>
          <w:szCs w:val="21"/>
        </w:rPr>
      </w:pPr>
      <w:r>
        <w:rPr>
          <w:rFonts w:ascii="宋体" w:hAnsi="宋体"/>
          <w:color w:val="auto"/>
          <w:kern w:val="0"/>
          <w:szCs w:val="21"/>
        </w:rPr>
        <w:t>地</w:t>
      </w:r>
      <w:r>
        <w:rPr>
          <w:rFonts w:hint="eastAsia" w:ascii="宋体" w:hAnsi="宋体"/>
          <w:color w:val="auto"/>
          <w:kern w:val="0"/>
          <w:szCs w:val="21"/>
        </w:rPr>
        <w:t xml:space="preserve">    </w:t>
      </w:r>
      <w:r>
        <w:rPr>
          <w:rFonts w:ascii="宋体" w:hAnsi="宋体"/>
          <w:color w:val="auto"/>
          <w:kern w:val="0"/>
          <w:szCs w:val="21"/>
        </w:rPr>
        <w:t>址：</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p>
    <w:p>
      <w:pPr>
        <w:tabs>
          <w:tab w:val="left" w:pos="2520"/>
          <w:tab w:val="left" w:pos="3836"/>
        </w:tabs>
        <w:autoSpaceDE w:val="0"/>
        <w:autoSpaceDN w:val="0"/>
        <w:adjustRightInd w:val="0"/>
        <w:snapToGrid w:val="0"/>
        <w:spacing w:line="700" w:lineRule="exact"/>
        <w:ind w:firstLine="390" w:firstLineChars="186"/>
        <w:jc w:val="left"/>
        <w:rPr>
          <w:rFonts w:ascii="宋体" w:hAnsi="宋体"/>
          <w:color w:val="auto"/>
          <w:kern w:val="0"/>
          <w:sz w:val="10"/>
          <w:szCs w:val="10"/>
        </w:rPr>
      </w:pPr>
      <w:r>
        <w:rPr>
          <w:rFonts w:ascii="宋体" w:hAnsi="宋体"/>
          <w:color w:val="auto"/>
          <w:kern w:val="0"/>
          <w:szCs w:val="21"/>
        </w:rPr>
        <w:t>成立时间：</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kern w:val="0"/>
          <w:szCs w:val="21"/>
        </w:rPr>
        <w:t>年</w:t>
      </w:r>
      <w:r>
        <w:rPr>
          <w:rFonts w:ascii="宋体" w:hAnsi="宋体"/>
          <w:color w:val="auto"/>
          <w:w w:val="200"/>
          <w:kern w:val="0"/>
          <w:szCs w:val="21"/>
          <w:u w:val="single"/>
        </w:rPr>
        <w:t xml:space="preserve"> </w:t>
      </w:r>
      <w:r>
        <w:rPr>
          <w:rFonts w:hint="eastAsia" w:ascii="宋体" w:hAnsi="宋体"/>
          <w:color w:val="auto"/>
          <w:kern w:val="0"/>
          <w:szCs w:val="21"/>
          <w:u w:val="single"/>
        </w:rPr>
        <w:t xml:space="preserve">      </w:t>
      </w:r>
      <w:r>
        <w:rPr>
          <w:rFonts w:ascii="宋体" w:hAnsi="宋体"/>
          <w:color w:val="auto"/>
          <w:kern w:val="0"/>
          <w:szCs w:val="21"/>
          <w:u w:val="single"/>
        </w:rPr>
        <w:t xml:space="preserve"> </w:t>
      </w:r>
      <w:r>
        <w:rPr>
          <w:rFonts w:ascii="宋体" w:hAnsi="宋体"/>
          <w:color w:val="auto"/>
          <w:kern w:val="0"/>
          <w:szCs w:val="21"/>
        </w:rPr>
        <w:t>月</w:t>
      </w:r>
      <w:r>
        <w:rPr>
          <w:rFonts w:ascii="宋体" w:hAnsi="宋体"/>
          <w:color w:val="auto"/>
          <w:w w:val="200"/>
          <w:kern w:val="0"/>
          <w:szCs w:val="21"/>
          <w:u w:val="single"/>
        </w:rPr>
        <w:t xml:space="preserve"> </w:t>
      </w:r>
      <w:r>
        <w:rPr>
          <w:rFonts w:ascii="宋体" w:hAnsi="宋体"/>
          <w:color w:val="auto"/>
          <w:kern w:val="0"/>
          <w:szCs w:val="21"/>
          <w:u w:val="single"/>
        </w:rPr>
        <w:t xml:space="preserve">       </w:t>
      </w:r>
      <w:r>
        <w:rPr>
          <w:rFonts w:ascii="宋体" w:hAnsi="宋体"/>
          <w:color w:val="auto"/>
          <w:kern w:val="0"/>
          <w:szCs w:val="21"/>
        </w:rPr>
        <w:t>日</w:t>
      </w:r>
    </w:p>
    <w:p>
      <w:pPr>
        <w:tabs>
          <w:tab w:val="left" w:pos="5475"/>
        </w:tabs>
        <w:autoSpaceDE w:val="0"/>
        <w:autoSpaceDN w:val="0"/>
        <w:adjustRightInd w:val="0"/>
        <w:snapToGrid w:val="0"/>
        <w:spacing w:line="700" w:lineRule="exact"/>
        <w:ind w:firstLine="390" w:firstLineChars="186"/>
        <w:jc w:val="left"/>
        <w:rPr>
          <w:rFonts w:ascii="宋体" w:hAnsi="宋体"/>
          <w:color w:val="auto"/>
          <w:kern w:val="0"/>
          <w:szCs w:val="21"/>
        </w:rPr>
      </w:pPr>
      <w:r>
        <w:rPr>
          <w:rFonts w:ascii="宋体" w:hAnsi="宋体"/>
          <w:color w:val="auto"/>
          <w:kern w:val="0"/>
          <w:szCs w:val="21"/>
        </w:rPr>
        <w:t>经营期限：</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p>
    <w:p>
      <w:pPr>
        <w:tabs>
          <w:tab w:val="left" w:pos="1580"/>
          <w:tab w:val="left" w:pos="3260"/>
          <w:tab w:val="left" w:pos="4840"/>
          <w:tab w:val="left" w:pos="6300"/>
        </w:tabs>
        <w:autoSpaceDE w:val="0"/>
        <w:autoSpaceDN w:val="0"/>
        <w:adjustRightInd w:val="0"/>
        <w:snapToGrid w:val="0"/>
        <w:spacing w:line="700" w:lineRule="exact"/>
        <w:ind w:firstLine="390" w:firstLineChars="186"/>
        <w:jc w:val="left"/>
        <w:rPr>
          <w:rFonts w:ascii="宋体" w:hAnsi="宋体"/>
          <w:color w:val="auto"/>
          <w:kern w:val="0"/>
          <w:szCs w:val="21"/>
        </w:rPr>
      </w:pPr>
      <w:r>
        <w:rPr>
          <w:rFonts w:ascii="宋体" w:hAnsi="宋体"/>
          <w:color w:val="auto"/>
          <w:kern w:val="0"/>
          <w:szCs w:val="21"/>
        </w:rPr>
        <w:t>姓名：</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kern w:val="0"/>
          <w:szCs w:val="21"/>
        </w:rPr>
        <w:t>性别</w:t>
      </w:r>
      <w:r>
        <w:rPr>
          <w:rFonts w:ascii="宋体" w:hAnsi="宋体"/>
          <w:color w:val="auto"/>
          <w:spacing w:val="-1"/>
          <w:kern w:val="0"/>
          <w:szCs w:val="21"/>
        </w:rPr>
        <w:t>：</w:t>
      </w:r>
      <w:r>
        <w:rPr>
          <w:rFonts w:hint="eastAsia" w:ascii="宋体" w:hAnsi="宋体"/>
          <w:color w:val="auto"/>
          <w:kern w:val="0"/>
          <w:szCs w:val="21"/>
          <w:u w:val="single"/>
        </w:rPr>
        <w:t xml:space="preserve">      </w:t>
      </w:r>
      <w:r>
        <w:rPr>
          <w:rFonts w:ascii="宋体" w:hAnsi="宋体"/>
          <w:color w:val="auto"/>
          <w:kern w:val="0"/>
          <w:szCs w:val="21"/>
          <w:u w:val="single"/>
        </w:rPr>
        <w:t xml:space="preserve"> </w:t>
      </w:r>
      <w:r>
        <w:rPr>
          <w:rFonts w:ascii="宋体" w:hAnsi="宋体"/>
          <w:color w:val="auto"/>
          <w:spacing w:val="-1"/>
          <w:kern w:val="0"/>
          <w:szCs w:val="21"/>
        </w:rPr>
        <w:t>年</w:t>
      </w:r>
      <w:r>
        <w:rPr>
          <w:rFonts w:ascii="宋体" w:hAnsi="宋体"/>
          <w:color w:val="auto"/>
          <w:kern w:val="0"/>
          <w:szCs w:val="21"/>
        </w:rPr>
        <w:t>龄：</w:t>
      </w:r>
      <w:r>
        <w:rPr>
          <w:rFonts w:hint="eastAsia" w:ascii="宋体" w:hAnsi="宋体"/>
          <w:color w:val="auto"/>
          <w:kern w:val="0"/>
          <w:szCs w:val="21"/>
          <w:u w:val="single"/>
        </w:rPr>
        <w:t xml:space="preserve">      </w:t>
      </w:r>
      <w:r>
        <w:rPr>
          <w:rFonts w:ascii="宋体" w:hAnsi="宋体"/>
          <w:color w:val="auto"/>
          <w:kern w:val="0"/>
          <w:szCs w:val="21"/>
          <w:u w:val="single"/>
        </w:rPr>
        <w:t xml:space="preserve"> </w:t>
      </w:r>
      <w:r>
        <w:rPr>
          <w:rFonts w:ascii="宋体" w:hAnsi="宋体"/>
          <w:color w:val="auto"/>
          <w:kern w:val="0"/>
          <w:szCs w:val="21"/>
        </w:rPr>
        <w:t>职务：</w:t>
      </w:r>
      <w:r>
        <w:rPr>
          <w:rFonts w:hint="eastAsia" w:ascii="宋体" w:hAnsi="宋体"/>
          <w:color w:val="auto"/>
          <w:kern w:val="0"/>
          <w:szCs w:val="21"/>
          <w:u w:val="single"/>
        </w:rPr>
        <w:t xml:space="preserve">              </w:t>
      </w:r>
      <w:r>
        <w:rPr>
          <w:rFonts w:ascii="宋体" w:hAnsi="宋体"/>
          <w:color w:val="auto"/>
          <w:kern w:val="0"/>
          <w:szCs w:val="21"/>
          <w:u w:val="single"/>
        </w:rPr>
        <w:t xml:space="preserve"> </w:t>
      </w:r>
    </w:p>
    <w:p>
      <w:pPr>
        <w:tabs>
          <w:tab w:val="left" w:pos="3360"/>
        </w:tabs>
        <w:autoSpaceDE w:val="0"/>
        <w:autoSpaceDN w:val="0"/>
        <w:adjustRightInd w:val="0"/>
        <w:snapToGrid w:val="0"/>
        <w:spacing w:line="700" w:lineRule="exact"/>
        <w:ind w:firstLine="390" w:firstLineChars="186"/>
        <w:jc w:val="left"/>
        <w:rPr>
          <w:rFonts w:ascii="宋体" w:hAnsi="宋体"/>
          <w:color w:val="auto"/>
          <w:kern w:val="0"/>
          <w:szCs w:val="21"/>
        </w:rPr>
      </w:pPr>
      <w:r>
        <w:rPr>
          <w:rFonts w:ascii="宋体" w:hAnsi="宋体"/>
          <w:color w:val="auto"/>
          <w:kern w:val="0"/>
          <w:szCs w:val="21"/>
        </w:rPr>
        <w:t>系</w:t>
      </w:r>
      <w:r>
        <w:rPr>
          <w:rFonts w:hint="eastAsia" w:ascii="宋体" w:hAnsi="宋体"/>
          <w:color w:val="auto"/>
          <w:kern w:val="0"/>
          <w:szCs w:val="21"/>
          <w:u w:val="single"/>
        </w:rPr>
        <w:t xml:space="preserve">                                                        </w:t>
      </w:r>
      <w:r>
        <w:rPr>
          <w:rFonts w:ascii="宋体" w:hAnsi="宋体"/>
          <w:color w:val="auto"/>
          <w:kern w:val="0"/>
          <w:szCs w:val="21"/>
          <w:u w:val="single"/>
        </w:rPr>
        <w:t xml:space="preserve"> （投标人名称）</w:t>
      </w:r>
      <w:r>
        <w:rPr>
          <w:rFonts w:ascii="宋体" w:hAnsi="宋体"/>
          <w:color w:val="auto"/>
          <w:kern w:val="0"/>
          <w:szCs w:val="21"/>
        </w:rPr>
        <w:t>的法定代表人。</w:t>
      </w:r>
    </w:p>
    <w:p>
      <w:pPr>
        <w:tabs>
          <w:tab w:val="left" w:pos="3360"/>
        </w:tabs>
        <w:autoSpaceDE w:val="0"/>
        <w:autoSpaceDN w:val="0"/>
        <w:adjustRightInd w:val="0"/>
        <w:snapToGrid w:val="0"/>
        <w:spacing w:line="700" w:lineRule="exact"/>
        <w:ind w:firstLine="390" w:firstLineChars="186"/>
        <w:jc w:val="left"/>
        <w:rPr>
          <w:rFonts w:ascii="宋体" w:hAnsi="宋体"/>
          <w:color w:val="auto"/>
          <w:kern w:val="0"/>
          <w:szCs w:val="21"/>
        </w:rPr>
      </w:pPr>
      <w:r>
        <w:rPr>
          <w:rFonts w:ascii="宋体" w:hAnsi="宋体"/>
          <w:color w:val="auto"/>
          <w:kern w:val="0"/>
          <w:szCs w:val="21"/>
        </w:rPr>
        <w:t>特此证明。</w:t>
      </w:r>
    </w:p>
    <w:p>
      <w:pPr>
        <w:autoSpaceDE w:val="0"/>
        <w:autoSpaceDN w:val="0"/>
        <w:adjustRightInd w:val="0"/>
        <w:snapToGrid w:val="0"/>
        <w:spacing w:line="700" w:lineRule="exact"/>
        <w:ind w:firstLine="810" w:firstLineChars="386"/>
        <w:jc w:val="left"/>
        <w:rPr>
          <w:rFonts w:ascii="宋体" w:hAnsi="宋体"/>
          <w:color w:val="auto"/>
          <w:kern w:val="0"/>
          <w:szCs w:val="21"/>
        </w:rPr>
      </w:pPr>
    </w:p>
    <w:p>
      <w:pPr>
        <w:autoSpaceDE w:val="0"/>
        <w:autoSpaceDN w:val="0"/>
        <w:adjustRightInd w:val="0"/>
        <w:snapToGrid w:val="0"/>
        <w:spacing w:line="700" w:lineRule="exact"/>
        <w:ind w:firstLine="810" w:firstLineChars="386"/>
        <w:jc w:val="left"/>
        <w:rPr>
          <w:rFonts w:ascii="宋体" w:hAnsi="宋体"/>
          <w:color w:val="auto"/>
          <w:szCs w:val="21"/>
        </w:rPr>
      </w:pPr>
      <w:r>
        <w:rPr>
          <w:rFonts w:hint="eastAsia" w:ascii="宋体" w:hAnsi="宋体"/>
          <w:color w:val="auto"/>
          <w:kern w:val="0"/>
          <w:szCs w:val="21"/>
        </w:rPr>
        <w:t>附：法定代表人身份证明扫描件（双面）</w:t>
      </w:r>
    </w:p>
    <w:p>
      <w:pPr>
        <w:autoSpaceDE w:val="0"/>
        <w:autoSpaceDN w:val="0"/>
        <w:adjustRightInd w:val="0"/>
        <w:snapToGrid w:val="0"/>
        <w:spacing w:line="700" w:lineRule="exact"/>
        <w:ind w:firstLine="420" w:firstLineChars="200"/>
        <w:jc w:val="right"/>
        <w:rPr>
          <w:rFonts w:ascii="宋体" w:hAnsi="宋体"/>
          <w:color w:val="auto"/>
          <w:kern w:val="0"/>
          <w:szCs w:val="21"/>
        </w:rPr>
      </w:pPr>
    </w:p>
    <w:p>
      <w:pPr>
        <w:autoSpaceDE w:val="0"/>
        <w:autoSpaceDN w:val="0"/>
        <w:adjustRightInd w:val="0"/>
        <w:snapToGrid w:val="0"/>
        <w:spacing w:line="700" w:lineRule="exact"/>
        <w:ind w:firstLine="420" w:firstLineChars="200"/>
        <w:jc w:val="right"/>
        <w:rPr>
          <w:rFonts w:ascii="宋体" w:hAnsi="宋体"/>
          <w:color w:val="auto"/>
          <w:kern w:val="0"/>
          <w:sz w:val="20"/>
        </w:rPr>
      </w:pPr>
      <w:r>
        <w:rPr>
          <w:rFonts w:ascii="宋体" w:hAnsi="宋体"/>
          <w:color w:val="auto"/>
          <w:kern w:val="0"/>
          <w:szCs w:val="21"/>
        </w:rPr>
        <w:t>投标</w:t>
      </w:r>
      <w:r>
        <w:rPr>
          <w:rFonts w:ascii="宋体" w:hAnsi="宋体"/>
          <w:color w:val="auto"/>
          <w:spacing w:val="-1"/>
          <w:kern w:val="0"/>
          <w:szCs w:val="21"/>
        </w:rPr>
        <w:t>人</w:t>
      </w:r>
      <w:r>
        <w:rPr>
          <w:rFonts w:ascii="宋体" w:hAnsi="宋体"/>
          <w:color w:val="auto"/>
          <w:kern w:val="0"/>
          <w:szCs w:val="21"/>
        </w:rPr>
        <w:t>：</w:t>
      </w:r>
      <w:r>
        <w:rPr>
          <w:rFonts w:ascii="宋体" w:hAnsi="宋体"/>
          <w:color w:val="auto"/>
          <w:w w:val="200"/>
          <w:kern w:val="0"/>
          <w:szCs w:val="21"/>
          <w:u w:val="single"/>
        </w:rPr>
        <w:t xml:space="preserve">              </w:t>
      </w:r>
      <w:r>
        <w:rPr>
          <w:rFonts w:ascii="宋体" w:hAnsi="宋体"/>
          <w:color w:val="auto"/>
          <w:kern w:val="0"/>
          <w:szCs w:val="21"/>
          <w:u w:val="single"/>
        </w:rPr>
        <w:tab/>
      </w:r>
      <w:r>
        <w:rPr>
          <w:rFonts w:ascii="宋体" w:hAnsi="宋体"/>
          <w:color w:val="auto"/>
          <w:spacing w:val="-1"/>
          <w:kern w:val="0"/>
          <w:szCs w:val="21"/>
        </w:rPr>
        <w:t>（</w:t>
      </w:r>
      <w:r>
        <w:rPr>
          <w:rFonts w:ascii="宋体" w:hAnsi="宋体"/>
          <w:color w:val="auto"/>
          <w:kern w:val="0"/>
          <w:szCs w:val="21"/>
        </w:rPr>
        <w:t>盖单位法人章）</w:t>
      </w:r>
    </w:p>
    <w:p>
      <w:pPr>
        <w:tabs>
          <w:tab w:val="left" w:pos="4935"/>
          <w:tab w:val="left" w:pos="5460"/>
          <w:tab w:val="left" w:pos="6400"/>
        </w:tabs>
        <w:wordWrap w:val="0"/>
        <w:autoSpaceDE w:val="0"/>
        <w:autoSpaceDN w:val="0"/>
        <w:adjustRightInd w:val="0"/>
        <w:snapToGrid w:val="0"/>
        <w:spacing w:line="700" w:lineRule="exact"/>
        <w:ind w:firstLine="3780"/>
        <w:jc w:val="right"/>
        <w:rPr>
          <w:rFonts w:ascii="宋体" w:hAnsi="宋体"/>
          <w:color w:val="auto"/>
          <w:kern w:val="0"/>
          <w:szCs w:val="21"/>
        </w:rPr>
      </w:pPr>
      <w:r>
        <w:rPr>
          <w:rFonts w:hint="eastAsia" w:ascii="宋体" w:hAnsi="宋体"/>
          <w:color w:val="auto"/>
          <w:w w:val="200"/>
          <w:kern w:val="0"/>
          <w:szCs w:val="21"/>
          <w:u w:val="single"/>
        </w:rPr>
        <w:t xml:space="preserve">     </w:t>
      </w:r>
      <w:r>
        <w:rPr>
          <w:rFonts w:ascii="宋体" w:hAnsi="宋体"/>
          <w:color w:val="auto"/>
          <w:kern w:val="0"/>
          <w:szCs w:val="21"/>
        </w:rPr>
        <w:t>年</w:t>
      </w:r>
      <w:r>
        <w:rPr>
          <w:rFonts w:ascii="宋体" w:hAnsi="宋体"/>
          <w:color w:val="auto"/>
          <w:w w:val="200"/>
          <w:kern w:val="0"/>
          <w:szCs w:val="21"/>
          <w:u w:val="single"/>
        </w:rPr>
        <w:t xml:space="preserve"> </w:t>
      </w:r>
      <w:r>
        <w:rPr>
          <w:rFonts w:hint="eastAsia" w:ascii="宋体" w:hAnsi="宋体"/>
          <w:color w:val="auto"/>
          <w:kern w:val="0"/>
          <w:szCs w:val="21"/>
          <w:u w:val="single"/>
        </w:rPr>
        <w:t xml:space="preserve">    </w:t>
      </w:r>
      <w:r>
        <w:rPr>
          <w:rFonts w:ascii="宋体" w:hAnsi="宋体"/>
          <w:color w:val="auto"/>
          <w:kern w:val="0"/>
          <w:szCs w:val="21"/>
          <w:u w:val="single"/>
        </w:rPr>
        <w:t xml:space="preserve"> </w:t>
      </w:r>
      <w:r>
        <w:rPr>
          <w:rFonts w:ascii="宋体" w:hAnsi="宋体"/>
          <w:color w:val="auto"/>
          <w:kern w:val="0"/>
          <w:szCs w:val="21"/>
        </w:rPr>
        <w:t>月</w:t>
      </w:r>
      <w:r>
        <w:rPr>
          <w:rFonts w:ascii="宋体" w:hAnsi="宋体"/>
          <w:color w:val="auto"/>
          <w:w w:val="200"/>
          <w:kern w:val="0"/>
          <w:szCs w:val="21"/>
          <w:u w:val="single"/>
        </w:rPr>
        <w:t xml:space="preserve"> </w:t>
      </w:r>
      <w:r>
        <w:rPr>
          <w:rFonts w:ascii="宋体" w:hAnsi="宋体"/>
          <w:color w:val="auto"/>
          <w:kern w:val="0"/>
          <w:szCs w:val="21"/>
          <w:u w:val="single"/>
        </w:rPr>
        <w:t xml:space="preserve">     </w:t>
      </w:r>
      <w:r>
        <w:rPr>
          <w:rFonts w:ascii="宋体" w:hAnsi="宋体"/>
          <w:color w:val="auto"/>
          <w:kern w:val="0"/>
          <w:szCs w:val="21"/>
        </w:rPr>
        <w:t>日</w:t>
      </w:r>
      <w:r>
        <w:rPr>
          <w:rFonts w:hint="eastAsia" w:ascii="宋体" w:hAnsi="宋体"/>
          <w:color w:val="auto"/>
          <w:kern w:val="0"/>
          <w:szCs w:val="21"/>
        </w:rPr>
        <w:t xml:space="preserve">  </w:t>
      </w:r>
    </w:p>
    <w:p>
      <w:pPr>
        <w:autoSpaceDE w:val="0"/>
        <w:autoSpaceDN w:val="0"/>
        <w:adjustRightInd w:val="0"/>
        <w:snapToGrid w:val="0"/>
        <w:spacing w:line="700" w:lineRule="exact"/>
        <w:jc w:val="left"/>
        <w:rPr>
          <w:rFonts w:ascii="宋体" w:hAnsi="宋体"/>
          <w:color w:val="auto"/>
          <w:kern w:val="0"/>
        </w:rPr>
      </w:pPr>
    </w:p>
    <w:p>
      <w:pPr>
        <w:tabs>
          <w:tab w:val="left" w:pos="1680"/>
          <w:tab w:val="left" w:pos="4215"/>
          <w:tab w:val="left" w:pos="4305"/>
          <w:tab w:val="left" w:pos="8000"/>
        </w:tabs>
        <w:autoSpaceDE w:val="0"/>
        <w:autoSpaceDN w:val="0"/>
        <w:adjustRightInd w:val="0"/>
        <w:snapToGrid w:val="0"/>
        <w:spacing w:line="700" w:lineRule="exact"/>
        <w:ind w:firstLine="411" w:firstLineChars="196"/>
        <w:jc w:val="left"/>
        <w:rPr>
          <w:rFonts w:ascii="宋体" w:hAnsi="宋体"/>
          <w:color w:val="auto"/>
          <w:kern w:val="0"/>
          <w:szCs w:val="21"/>
        </w:rPr>
      </w:pPr>
      <w:r>
        <w:rPr>
          <w:rFonts w:ascii="宋体" w:hAnsi="宋体"/>
          <w:color w:val="auto"/>
        </w:rPr>
        <w:t>注：法定代表人身份证明需按上述格式填写完整，不可缺少内容。在此基础上增加内容的不影响其有效性</w:t>
      </w:r>
      <w:r>
        <w:rPr>
          <w:rFonts w:hint="eastAsia" w:ascii="宋体" w:hAnsi="宋体"/>
          <w:color w:val="auto"/>
          <w:kern w:val="0"/>
          <w:szCs w:val="21"/>
        </w:rPr>
        <w:t>。</w:t>
      </w:r>
    </w:p>
    <w:p>
      <w:pPr>
        <w:tabs>
          <w:tab w:val="left" w:pos="1680"/>
          <w:tab w:val="left" w:pos="4215"/>
          <w:tab w:val="left" w:pos="4305"/>
          <w:tab w:val="left" w:pos="8000"/>
        </w:tabs>
        <w:autoSpaceDE w:val="0"/>
        <w:autoSpaceDN w:val="0"/>
        <w:adjustRightInd w:val="0"/>
        <w:snapToGrid w:val="0"/>
        <w:spacing w:line="700" w:lineRule="exact"/>
        <w:ind w:firstLine="411" w:firstLineChars="196"/>
        <w:jc w:val="left"/>
        <w:rPr>
          <w:rFonts w:ascii="宋体" w:hAnsi="宋体"/>
          <w:color w:val="auto"/>
          <w:kern w:val="0"/>
          <w:szCs w:val="21"/>
        </w:rPr>
      </w:pPr>
    </w:p>
    <w:p>
      <w:pPr>
        <w:tabs>
          <w:tab w:val="left" w:pos="1680"/>
          <w:tab w:val="left" w:pos="4215"/>
          <w:tab w:val="left" w:pos="4305"/>
          <w:tab w:val="left" w:pos="8000"/>
        </w:tabs>
        <w:autoSpaceDE w:val="0"/>
        <w:autoSpaceDN w:val="0"/>
        <w:adjustRightInd w:val="0"/>
        <w:snapToGrid w:val="0"/>
        <w:spacing w:line="360" w:lineRule="auto"/>
        <w:jc w:val="center"/>
        <w:rPr>
          <w:rFonts w:ascii="宋体" w:hAnsi="宋体"/>
          <w:color w:val="auto"/>
          <w:kern w:val="0"/>
          <w:sz w:val="28"/>
          <w:szCs w:val="28"/>
        </w:rPr>
      </w:pPr>
      <w:r>
        <w:rPr>
          <w:rFonts w:ascii="宋体" w:hAnsi="宋体"/>
          <w:b/>
          <w:color w:val="auto"/>
          <w:kern w:val="0"/>
          <w:sz w:val="28"/>
          <w:szCs w:val="28"/>
        </w:rPr>
        <w:br w:type="page"/>
      </w:r>
      <w:r>
        <w:rPr>
          <w:rFonts w:ascii="宋体" w:hAnsi="宋体"/>
          <w:snapToGrid w:val="0"/>
          <w:color w:val="auto"/>
          <w:kern w:val="0"/>
          <w:sz w:val="32"/>
          <w:szCs w:val="32"/>
        </w:rPr>
        <w:t>授权委托书</w:t>
      </w:r>
    </w:p>
    <w:p>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color w:val="auto"/>
          <w:kern w:val="0"/>
          <w:szCs w:val="21"/>
        </w:rPr>
      </w:pPr>
    </w:p>
    <w:p>
      <w:pPr>
        <w:tabs>
          <w:tab w:val="left" w:pos="1680"/>
          <w:tab w:val="left" w:pos="4215"/>
          <w:tab w:val="left" w:pos="4305"/>
          <w:tab w:val="left" w:pos="8000"/>
        </w:tabs>
        <w:autoSpaceDE w:val="0"/>
        <w:autoSpaceDN w:val="0"/>
        <w:adjustRightInd w:val="0"/>
        <w:snapToGrid w:val="0"/>
        <w:spacing w:line="700" w:lineRule="exact"/>
        <w:ind w:firstLine="420"/>
        <w:jc w:val="left"/>
        <w:rPr>
          <w:rFonts w:ascii="宋体" w:hAnsi="宋体"/>
          <w:color w:val="auto"/>
          <w:kern w:val="0"/>
          <w:szCs w:val="21"/>
        </w:rPr>
      </w:pPr>
      <w:r>
        <w:rPr>
          <w:rFonts w:ascii="宋体" w:hAnsi="宋体"/>
          <w:color w:val="auto"/>
          <w:kern w:val="0"/>
          <w:szCs w:val="21"/>
        </w:rPr>
        <w:t>本人</w:t>
      </w:r>
      <w:r>
        <w:rPr>
          <w:rFonts w:hint="eastAsia" w:ascii="宋体" w:hAnsi="宋体"/>
          <w:color w:val="auto"/>
          <w:w w:val="200"/>
          <w:kern w:val="0"/>
          <w:szCs w:val="21"/>
          <w:u w:val="single"/>
        </w:rPr>
        <w:t xml:space="preserve">    </w:t>
      </w:r>
      <w:r>
        <w:rPr>
          <w:rFonts w:ascii="宋体" w:hAnsi="宋体"/>
          <w:color w:val="auto"/>
          <w:kern w:val="0"/>
          <w:szCs w:val="21"/>
          <w:u w:val="single"/>
        </w:rPr>
        <w:t>（姓名）</w:t>
      </w:r>
      <w:r>
        <w:rPr>
          <w:rFonts w:ascii="宋体" w:hAnsi="宋体"/>
          <w:color w:val="auto"/>
          <w:kern w:val="0"/>
          <w:szCs w:val="21"/>
        </w:rPr>
        <w:t>系</w:t>
      </w:r>
      <w:r>
        <w:rPr>
          <w:rFonts w:hint="eastAsia" w:ascii="宋体" w:hAnsi="宋体"/>
          <w:color w:val="auto"/>
          <w:w w:val="200"/>
          <w:kern w:val="0"/>
          <w:szCs w:val="21"/>
          <w:u w:val="single"/>
        </w:rPr>
        <w:t xml:space="preserve">        </w:t>
      </w:r>
      <w:r>
        <w:rPr>
          <w:rFonts w:ascii="宋体" w:hAnsi="宋体"/>
          <w:color w:val="auto"/>
          <w:kern w:val="0"/>
          <w:szCs w:val="21"/>
          <w:u w:val="single"/>
        </w:rPr>
        <w:t>（</w:t>
      </w:r>
      <w:r>
        <w:rPr>
          <w:rFonts w:ascii="宋体" w:hAnsi="宋体"/>
          <w:color w:val="auto"/>
          <w:spacing w:val="-1"/>
          <w:kern w:val="0"/>
          <w:szCs w:val="21"/>
          <w:u w:val="single"/>
        </w:rPr>
        <w:t>投</w:t>
      </w:r>
      <w:r>
        <w:rPr>
          <w:rFonts w:ascii="宋体" w:hAnsi="宋体"/>
          <w:color w:val="auto"/>
          <w:kern w:val="0"/>
          <w:szCs w:val="21"/>
          <w:u w:val="single"/>
        </w:rPr>
        <w:t>标人名称</w:t>
      </w:r>
      <w:r>
        <w:rPr>
          <w:rFonts w:ascii="宋体" w:hAnsi="宋体"/>
          <w:color w:val="auto"/>
          <w:spacing w:val="1"/>
          <w:kern w:val="0"/>
          <w:szCs w:val="21"/>
          <w:u w:val="single"/>
        </w:rPr>
        <w:t>）</w:t>
      </w:r>
      <w:r>
        <w:rPr>
          <w:rFonts w:ascii="宋体" w:hAnsi="宋体"/>
          <w:color w:val="auto"/>
          <w:kern w:val="0"/>
          <w:szCs w:val="21"/>
        </w:rPr>
        <w:t>的法定代</w:t>
      </w:r>
      <w:r>
        <w:rPr>
          <w:rFonts w:ascii="宋体" w:hAnsi="宋体"/>
          <w:color w:val="auto"/>
          <w:spacing w:val="1"/>
          <w:kern w:val="0"/>
          <w:szCs w:val="21"/>
        </w:rPr>
        <w:t>表</w:t>
      </w:r>
      <w:r>
        <w:rPr>
          <w:rFonts w:ascii="宋体" w:hAnsi="宋体"/>
          <w:color w:val="auto"/>
          <w:kern w:val="0"/>
          <w:szCs w:val="21"/>
        </w:rPr>
        <w:t>人，现委托</w:t>
      </w:r>
      <w:r>
        <w:rPr>
          <w:rFonts w:hint="eastAsia" w:ascii="宋体" w:hAnsi="宋体"/>
          <w:color w:val="auto"/>
          <w:w w:val="200"/>
          <w:kern w:val="0"/>
          <w:szCs w:val="21"/>
          <w:u w:val="single"/>
        </w:rPr>
        <w:t xml:space="preserve">    </w:t>
      </w:r>
      <w:r>
        <w:rPr>
          <w:rFonts w:ascii="宋体" w:hAnsi="宋体"/>
          <w:color w:val="auto"/>
          <w:kern w:val="0"/>
          <w:szCs w:val="21"/>
          <w:u w:val="single"/>
        </w:rPr>
        <w:t>（姓名）</w:t>
      </w:r>
      <w:r>
        <w:rPr>
          <w:rFonts w:ascii="宋体" w:hAnsi="宋体"/>
          <w:color w:val="auto"/>
          <w:kern w:val="0"/>
          <w:szCs w:val="21"/>
        </w:rPr>
        <w:t>为我方代理人。代理人根据授权，以我方名义签署、澄清、说明、补正、递交、撤回、 修改</w:t>
      </w:r>
      <w:r>
        <w:rPr>
          <w:rFonts w:hint="eastAsia" w:ascii="宋体" w:hAnsi="宋体"/>
          <w:color w:val="auto"/>
          <w:w w:val="200"/>
          <w:kern w:val="0"/>
          <w:szCs w:val="21"/>
          <w:u w:val="single"/>
        </w:rPr>
        <w:t xml:space="preserve">        </w:t>
      </w:r>
      <w:r>
        <w:rPr>
          <w:rFonts w:ascii="宋体" w:hAnsi="宋体"/>
          <w:color w:val="auto"/>
          <w:kern w:val="0"/>
          <w:szCs w:val="21"/>
          <w:u w:val="single"/>
        </w:rPr>
        <w:t>（项</w:t>
      </w:r>
      <w:r>
        <w:rPr>
          <w:rFonts w:ascii="宋体" w:hAnsi="宋体"/>
          <w:color w:val="auto"/>
          <w:spacing w:val="-1"/>
          <w:kern w:val="0"/>
          <w:szCs w:val="21"/>
          <w:u w:val="single"/>
        </w:rPr>
        <w:t>目</w:t>
      </w:r>
      <w:r>
        <w:rPr>
          <w:rFonts w:ascii="宋体" w:hAnsi="宋体"/>
          <w:color w:val="auto"/>
          <w:kern w:val="0"/>
          <w:szCs w:val="21"/>
          <w:u w:val="single"/>
        </w:rPr>
        <w:t>名称）</w:t>
      </w:r>
      <w:r>
        <w:rPr>
          <w:rFonts w:ascii="宋体" w:hAnsi="宋体"/>
          <w:color w:val="auto"/>
          <w:kern w:val="0"/>
          <w:szCs w:val="21"/>
        </w:rPr>
        <w:t>投标文件、签订合同和处理有关事宜， 其法律后果由我方承担。</w:t>
      </w:r>
    </w:p>
    <w:p>
      <w:pPr>
        <w:tabs>
          <w:tab w:val="left" w:pos="1680"/>
          <w:tab w:val="left" w:pos="4200"/>
          <w:tab w:val="left" w:pos="4305"/>
          <w:tab w:val="left" w:pos="8000"/>
        </w:tabs>
        <w:autoSpaceDE w:val="0"/>
        <w:autoSpaceDN w:val="0"/>
        <w:adjustRightInd w:val="0"/>
        <w:snapToGrid w:val="0"/>
        <w:spacing w:line="700" w:lineRule="exact"/>
        <w:ind w:firstLine="420"/>
        <w:rPr>
          <w:rFonts w:ascii="宋体" w:hAnsi="宋体"/>
          <w:color w:val="auto"/>
          <w:kern w:val="0"/>
          <w:szCs w:val="21"/>
        </w:rPr>
      </w:pPr>
      <w:r>
        <w:rPr>
          <w:rFonts w:ascii="宋体" w:hAnsi="宋体"/>
          <w:color w:val="auto"/>
          <w:kern w:val="0"/>
          <w:szCs w:val="21"/>
        </w:rPr>
        <w:t>委托</w:t>
      </w:r>
      <w:r>
        <w:rPr>
          <w:rFonts w:ascii="宋体" w:hAnsi="宋体"/>
          <w:color w:val="auto"/>
          <w:spacing w:val="-1"/>
          <w:kern w:val="0"/>
          <w:szCs w:val="21"/>
        </w:rPr>
        <w:t>期</w:t>
      </w:r>
      <w:r>
        <w:rPr>
          <w:rFonts w:ascii="宋体" w:hAnsi="宋体"/>
          <w:color w:val="auto"/>
          <w:kern w:val="0"/>
          <w:szCs w:val="21"/>
        </w:rPr>
        <w:t>限：</w:t>
      </w:r>
      <w:r>
        <w:rPr>
          <w:rFonts w:hint="eastAsia" w:ascii="宋体" w:hAnsi="宋体"/>
          <w:color w:val="auto"/>
          <w:w w:val="200"/>
          <w:kern w:val="0"/>
          <w:szCs w:val="21"/>
          <w:u w:val="single"/>
        </w:rPr>
        <w:t xml:space="preserve">        </w:t>
      </w:r>
      <w:r>
        <w:rPr>
          <w:rFonts w:ascii="宋体" w:hAnsi="宋体"/>
          <w:color w:val="auto"/>
          <w:kern w:val="0"/>
          <w:szCs w:val="21"/>
        </w:rPr>
        <w:t xml:space="preserve">。 </w:t>
      </w:r>
    </w:p>
    <w:p>
      <w:pPr>
        <w:tabs>
          <w:tab w:val="left" w:pos="1680"/>
          <w:tab w:val="left" w:pos="4200"/>
          <w:tab w:val="left" w:pos="4305"/>
          <w:tab w:val="left" w:pos="8000"/>
        </w:tabs>
        <w:autoSpaceDE w:val="0"/>
        <w:autoSpaceDN w:val="0"/>
        <w:adjustRightInd w:val="0"/>
        <w:snapToGrid w:val="0"/>
        <w:spacing w:line="700" w:lineRule="exact"/>
        <w:ind w:firstLine="420"/>
        <w:rPr>
          <w:rFonts w:ascii="宋体" w:hAnsi="宋体"/>
          <w:color w:val="auto"/>
          <w:kern w:val="0"/>
          <w:szCs w:val="21"/>
        </w:rPr>
      </w:pPr>
      <w:r>
        <w:rPr>
          <w:rFonts w:ascii="宋体" w:hAnsi="宋体"/>
          <w:color w:val="auto"/>
          <w:kern w:val="0"/>
          <w:szCs w:val="21"/>
        </w:rPr>
        <w:t>代理人无转委托权。</w:t>
      </w:r>
    </w:p>
    <w:p>
      <w:pPr>
        <w:tabs>
          <w:tab w:val="left" w:pos="1680"/>
          <w:tab w:val="left" w:pos="4200"/>
          <w:tab w:val="left" w:pos="4305"/>
          <w:tab w:val="left" w:pos="8000"/>
        </w:tabs>
        <w:autoSpaceDE w:val="0"/>
        <w:autoSpaceDN w:val="0"/>
        <w:adjustRightInd w:val="0"/>
        <w:snapToGrid w:val="0"/>
        <w:spacing w:line="700" w:lineRule="exact"/>
        <w:ind w:firstLine="420"/>
        <w:rPr>
          <w:rFonts w:ascii="宋体" w:hAnsi="宋体"/>
          <w:color w:val="auto"/>
          <w:kern w:val="0"/>
          <w:szCs w:val="21"/>
        </w:rPr>
      </w:pPr>
    </w:p>
    <w:p>
      <w:pPr>
        <w:tabs>
          <w:tab w:val="left" w:pos="1680"/>
          <w:tab w:val="left" w:pos="4200"/>
          <w:tab w:val="left" w:pos="4305"/>
          <w:tab w:val="left" w:pos="8000"/>
        </w:tabs>
        <w:autoSpaceDE w:val="0"/>
        <w:autoSpaceDN w:val="0"/>
        <w:adjustRightInd w:val="0"/>
        <w:snapToGrid w:val="0"/>
        <w:spacing w:line="700" w:lineRule="exact"/>
        <w:ind w:firstLine="420"/>
        <w:rPr>
          <w:rFonts w:ascii="宋体" w:hAnsi="宋体"/>
          <w:color w:val="auto"/>
          <w:kern w:val="0"/>
          <w:szCs w:val="21"/>
        </w:rPr>
      </w:pPr>
      <w:r>
        <w:rPr>
          <w:rFonts w:ascii="宋体" w:hAnsi="宋体"/>
          <w:color w:val="auto"/>
          <w:kern w:val="0"/>
          <w:szCs w:val="21"/>
        </w:rPr>
        <w:t>投  标  人：</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ascii="宋体" w:hAnsi="宋体"/>
          <w:color w:val="auto"/>
          <w:kern w:val="0"/>
          <w:szCs w:val="21"/>
        </w:rPr>
        <w:t>（</w:t>
      </w:r>
      <w:r>
        <w:rPr>
          <w:rFonts w:ascii="宋体" w:hAnsi="宋体"/>
          <w:color w:val="auto"/>
          <w:spacing w:val="-1"/>
          <w:kern w:val="0"/>
          <w:szCs w:val="21"/>
        </w:rPr>
        <w:t>盖单位法人章</w:t>
      </w:r>
      <w:r>
        <w:rPr>
          <w:rFonts w:ascii="宋体" w:hAnsi="宋体"/>
          <w:color w:val="auto"/>
          <w:kern w:val="0"/>
          <w:szCs w:val="21"/>
        </w:rPr>
        <w:t>）</w:t>
      </w:r>
    </w:p>
    <w:p>
      <w:pPr>
        <w:tabs>
          <w:tab w:val="left" w:pos="6300"/>
        </w:tabs>
        <w:autoSpaceDE w:val="0"/>
        <w:autoSpaceDN w:val="0"/>
        <w:adjustRightInd w:val="0"/>
        <w:snapToGrid w:val="0"/>
        <w:spacing w:line="700" w:lineRule="exact"/>
        <w:ind w:firstLine="420" w:firstLineChars="200"/>
        <w:jc w:val="left"/>
        <w:rPr>
          <w:rFonts w:ascii="宋体" w:hAnsi="宋体"/>
          <w:color w:val="auto"/>
          <w:kern w:val="0"/>
          <w:szCs w:val="21"/>
        </w:rPr>
      </w:pPr>
      <w:r>
        <w:rPr>
          <w:rFonts w:ascii="宋体" w:hAnsi="宋体"/>
          <w:color w:val="auto"/>
          <w:kern w:val="0"/>
          <w:szCs w:val="21"/>
        </w:rPr>
        <w:t>法定代表人：</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kern w:val="0"/>
          <w:szCs w:val="21"/>
        </w:rPr>
        <w:t>（</w:t>
      </w:r>
      <w:r>
        <w:rPr>
          <w:rFonts w:hint="eastAsia" w:ascii="宋体" w:hAnsi="宋体"/>
          <w:color w:val="auto"/>
          <w:kern w:val="0"/>
          <w:szCs w:val="21"/>
        </w:rPr>
        <w:t>签名</w:t>
      </w:r>
      <w:r>
        <w:rPr>
          <w:rFonts w:ascii="宋体" w:hAnsi="宋体"/>
          <w:color w:val="auto"/>
          <w:kern w:val="0"/>
          <w:szCs w:val="21"/>
        </w:rPr>
        <w:t>或盖章）</w:t>
      </w:r>
    </w:p>
    <w:p>
      <w:pPr>
        <w:tabs>
          <w:tab w:val="left" w:pos="5260"/>
        </w:tabs>
        <w:autoSpaceDE w:val="0"/>
        <w:autoSpaceDN w:val="0"/>
        <w:adjustRightInd w:val="0"/>
        <w:snapToGrid w:val="0"/>
        <w:spacing w:line="700" w:lineRule="exact"/>
        <w:ind w:firstLine="420" w:firstLineChars="200"/>
        <w:jc w:val="left"/>
        <w:rPr>
          <w:rFonts w:ascii="宋体" w:hAnsi="宋体"/>
          <w:color w:val="auto"/>
          <w:kern w:val="0"/>
          <w:szCs w:val="21"/>
          <w:u w:val="single"/>
        </w:rPr>
      </w:pPr>
      <w:r>
        <w:rPr>
          <w:rFonts w:ascii="宋体" w:hAnsi="宋体"/>
          <w:color w:val="auto"/>
          <w:kern w:val="0"/>
          <w:szCs w:val="21"/>
        </w:rPr>
        <w:t>身份证号码：</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p>
    <w:p>
      <w:pPr>
        <w:tabs>
          <w:tab w:val="left" w:pos="5260"/>
        </w:tabs>
        <w:autoSpaceDE w:val="0"/>
        <w:autoSpaceDN w:val="0"/>
        <w:adjustRightInd w:val="0"/>
        <w:snapToGrid w:val="0"/>
        <w:spacing w:line="700" w:lineRule="exact"/>
        <w:ind w:firstLine="420" w:firstLineChars="200"/>
        <w:jc w:val="left"/>
        <w:rPr>
          <w:rFonts w:ascii="宋体" w:hAnsi="宋体"/>
          <w:color w:val="auto"/>
          <w:kern w:val="0"/>
          <w:szCs w:val="21"/>
        </w:rPr>
      </w:pPr>
      <w:r>
        <w:rPr>
          <w:rFonts w:ascii="宋体" w:hAnsi="宋体"/>
          <w:color w:val="auto"/>
          <w:kern w:val="0"/>
          <w:szCs w:val="21"/>
        </w:rPr>
        <w:t>委托代理人：</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ascii="宋体" w:hAnsi="宋体"/>
          <w:color w:val="auto"/>
          <w:kern w:val="0"/>
          <w:szCs w:val="21"/>
        </w:rPr>
        <w:t>（</w:t>
      </w:r>
      <w:r>
        <w:rPr>
          <w:rFonts w:hint="eastAsia" w:ascii="宋体" w:hAnsi="宋体"/>
          <w:color w:val="auto"/>
          <w:kern w:val="0"/>
          <w:szCs w:val="21"/>
        </w:rPr>
        <w:t>签名</w:t>
      </w:r>
      <w:r>
        <w:rPr>
          <w:rFonts w:hint="eastAsia" w:ascii="宋体" w:hAnsi="宋体"/>
          <w:color w:val="auto"/>
          <w:spacing w:val="-1"/>
          <w:kern w:val="0"/>
          <w:szCs w:val="21"/>
        </w:rPr>
        <w:t>）</w:t>
      </w:r>
    </w:p>
    <w:p>
      <w:pPr>
        <w:tabs>
          <w:tab w:val="left" w:pos="6825"/>
        </w:tabs>
        <w:autoSpaceDE w:val="0"/>
        <w:autoSpaceDN w:val="0"/>
        <w:adjustRightInd w:val="0"/>
        <w:snapToGrid w:val="0"/>
        <w:spacing w:line="700" w:lineRule="exact"/>
        <w:ind w:firstLine="420" w:firstLineChars="200"/>
        <w:jc w:val="left"/>
        <w:rPr>
          <w:rFonts w:ascii="宋体" w:hAnsi="宋体"/>
          <w:color w:val="auto"/>
          <w:w w:val="200"/>
          <w:kern w:val="0"/>
          <w:szCs w:val="21"/>
          <w:u w:val="single"/>
        </w:rPr>
      </w:pPr>
      <w:r>
        <w:rPr>
          <w:rFonts w:ascii="宋体" w:hAnsi="宋体"/>
          <w:color w:val="auto"/>
          <w:kern w:val="0"/>
          <w:szCs w:val="21"/>
        </w:rPr>
        <w:t>身份证号码：</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p>
    <w:p>
      <w:pPr>
        <w:tabs>
          <w:tab w:val="left" w:pos="6825"/>
        </w:tabs>
        <w:autoSpaceDE w:val="0"/>
        <w:autoSpaceDN w:val="0"/>
        <w:adjustRightInd w:val="0"/>
        <w:snapToGrid w:val="0"/>
        <w:spacing w:line="700" w:lineRule="exact"/>
        <w:ind w:firstLine="420" w:firstLineChars="200"/>
        <w:jc w:val="left"/>
        <w:rPr>
          <w:rFonts w:ascii="宋体" w:hAnsi="宋体"/>
          <w:color w:val="auto"/>
          <w:kern w:val="0"/>
          <w:szCs w:val="21"/>
          <w:u w:val="single"/>
        </w:rPr>
      </w:pPr>
      <w:r>
        <w:rPr>
          <w:rFonts w:hint="eastAsia" w:ascii="宋体" w:hAnsi="宋体"/>
          <w:color w:val="auto"/>
          <w:kern w:val="0"/>
          <w:szCs w:val="21"/>
        </w:rPr>
        <w:t>单位电话（座机）：</w:t>
      </w:r>
      <w:r>
        <w:rPr>
          <w:rFonts w:hint="eastAsia" w:ascii="宋体" w:hAnsi="宋体"/>
          <w:color w:val="auto"/>
          <w:kern w:val="0"/>
          <w:szCs w:val="21"/>
          <w:u w:val="single"/>
        </w:rPr>
        <w:t xml:space="preserve">                              </w:t>
      </w:r>
    </w:p>
    <w:p>
      <w:pPr>
        <w:tabs>
          <w:tab w:val="left" w:pos="5260"/>
        </w:tabs>
        <w:autoSpaceDE w:val="0"/>
        <w:autoSpaceDN w:val="0"/>
        <w:adjustRightInd w:val="0"/>
        <w:snapToGrid w:val="0"/>
        <w:spacing w:line="700" w:lineRule="exact"/>
        <w:ind w:firstLine="420" w:firstLineChars="200"/>
        <w:jc w:val="left"/>
        <w:rPr>
          <w:rFonts w:ascii="宋体" w:hAnsi="宋体"/>
          <w:color w:val="auto"/>
          <w:kern w:val="0"/>
          <w:szCs w:val="21"/>
        </w:rPr>
      </w:pPr>
      <w:r>
        <w:rPr>
          <w:rFonts w:hint="eastAsia" w:ascii="宋体" w:hAnsi="宋体"/>
          <w:color w:val="auto"/>
          <w:kern w:val="0"/>
          <w:szCs w:val="21"/>
        </w:rPr>
        <w:t xml:space="preserve">委托代理人电话（手机）：                                          </w:t>
      </w:r>
    </w:p>
    <w:p>
      <w:pPr>
        <w:autoSpaceDE w:val="0"/>
        <w:autoSpaceDN w:val="0"/>
        <w:adjustRightInd w:val="0"/>
        <w:snapToGrid w:val="0"/>
        <w:spacing w:line="700" w:lineRule="exact"/>
        <w:ind w:firstLine="810" w:firstLineChars="386"/>
        <w:jc w:val="left"/>
        <w:rPr>
          <w:rFonts w:ascii="宋体" w:hAnsi="宋体"/>
          <w:color w:val="auto"/>
          <w:kern w:val="0"/>
          <w:szCs w:val="21"/>
        </w:rPr>
      </w:pPr>
      <w:r>
        <w:rPr>
          <w:rFonts w:hint="eastAsia" w:ascii="宋体" w:hAnsi="宋体"/>
          <w:color w:val="auto"/>
          <w:kern w:val="0"/>
          <w:szCs w:val="21"/>
        </w:rPr>
        <w:t>附：法定代表人和委托代理人身份证明扫描件（双面）</w:t>
      </w:r>
    </w:p>
    <w:p>
      <w:pPr>
        <w:tabs>
          <w:tab w:val="left" w:pos="4005"/>
          <w:tab w:val="left" w:pos="4100"/>
          <w:tab w:val="left" w:pos="5040"/>
        </w:tabs>
        <w:wordWrap w:val="0"/>
        <w:autoSpaceDE w:val="0"/>
        <w:autoSpaceDN w:val="0"/>
        <w:adjustRightInd w:val="0"/>
        <w:snapToGrid w:val="0"/>
        <w:spacing w:line="700" w:lineRule="exact"/>
        <w:ind w:firstLine="3780"/>
        <w:jc w:val="right"/>
        <w:rPr>
          <w:rFonts w:ascii="宋体" w:hAnsi="宋体"/>
          <w:color w:val="auto"/>
          <w:kern w:val="0"/>
        </w:rPr>
      </w:pPr>
      <w:r>
        <w:rPr>
          <w:rFonts w:hint="eastAsia" w:ascii="宋体" w:hAnsi="宋体"/>
          <w:color w:val="auto"/>
          <w:w w:val="200"/>
          <w:kern w:val="0"/>
          <w:szCs w:val="21"/>
          <w:u w:val="single"/>
        </w:rPr>
        <w:t xml:space="preserve">  </w:t>
      </w:r>
      <w:r>
        <w:rPr>
          <w:rFonts w:ascii="宋体" w:hAnsi="宋体"/>
          <w:color w:val="auto"/>
          <w:kern w:val="0"/>
          <w:szCs w:val="21"/>
        </w:rPr>
        <w:t>年</w:t>
      </w:r>
      <w:r>
        <w:rPr>
          <w:rFonts w:hint="eastAsia" w:ascii="宋体" w:hAnsi="宋体"/>
          <w:color w:val="auto"/>
          <w:w w:val="200"/>
          <w:kern w:val="0"/>
          <w:szCs w:val="21"/>
          <w:u w:val="single"/>
          <w:lang w:val="en-US" w:eastAsia="zh-CN"/>
        </w:rPr>
        <w:t xml:space="preserve">  </w:t>
      </w:r>
      <w:r>
        <w:rPr>
          <w:rFonts w:hint="eastAsia" w:ascii="宋体" w:hAnsi="宋体"/>
          <w:color w:val="auto"/>
          <w:w w:val="200"/>
          <w:kern w:val="0"/>
          <w:szCs w:val="21"/>
          <w:u w:val="single"/>
          <w:lang w:eastAsia="zh-CN"/>
        </w:rPr>
        <w:t>月</w:t>
      </w:r>
      <w:r>
        <w:rPr>
          <w:rFonts w:hint="eastAsia" w:ascii="宋体" w:hAnsi="宋体"/>
          <w:color w:val="auto"/>
          <w:w w:val="200"/>
          <w:kern w:val="0"/>
          <w:szCs w:val="21"/>
          <w:u w:val="single"/>
          <w:lang w:val="en-US" w:eastAsia="zh-CN"/>
        </w:rPr>
        <w:t xml:space="preserve">  </w:t>
      </w:r>
      <w:r>
        <w:rPr>
          <w:rFonts w:hint="eastAsia" w:ascii="宋体" w:hAnsi="宋体"/>
          <w:color w:val="auto"/>
          <w:w w:val="200"/>
          <w:kern w:val="0"/>
          <w:szCs w:val="21"/>
          <w:u w:val="single"/>
          <w:lang w:eastAsia="zh-CN"/>
        </w:rPr>
        <w:t>日</w:t>
      </w:r>
      <w:r>
        <w:rPr>
          <w:rFonts w:hint="eastAsia" w:ascii="宋体" w:hAnsi="宋体"/>
          <w:color w:val="auto"/>
          <w:kern w:val="0"/>
          <w:szCs w:val="21"/>
        </w:rPr>
        <w:t xml:space="preserve"> </w:t>
      </w:r>
    </w:p>
    <w:p>
      <w:pPr>
        <w:tabs>
          <w:tab w:val="left" w:pos="1680"/>
          <w:tab w:val="left" w:pos="4215"/>
          <w:tab w:val="left" w:pos="4305"/>
          <w:tab w:val="left" w:pos="8000"/>
        </w:tabs>
        <w:autoSpaceDE w:val="0"/>
        <w:autoSpaceDN w:val="0"/>
        <w:adjustRightInd w:val="0"/>
        <w:snapToGrid w:val="0"/>
        <w:spacing w:line="700" w:lineRule="exact"/>
        <w:ind w:firstLine="420" w:firstLineChars="200"/>
        <w:rPr>
          <w:rFonts w:ascii="宋体" w:hAnsi="宋体"/>
          <w:color w:val="auto"/>
          <w:kern w:val="0"/>
          <w:szCs w:val="21"/>
        </w:rPr>
      </w:pPr>
      <w:r>
        <w:rPr>
          <w:rFonts w:ascii="宋体" w:hAnsi="宋体"/>
          <w:color w:val="auto"/>
          <w:kern w:val="0"/>
          <w:szCs w:val="21"/>
        </w:rPr>
        <w:t>注：1、法定代表人参加投标活动并签署文件的不需要授权委托书，只需提供法定代表人身份证明；非法定代表人参加投标活动及签署文件的除提供法定代表人身份证明外还须提供授权委托书。</w:t>
      </w:r>
    </w:p>
    <w:p>
      <w:pPr>
        <w:autoSpaceDE w:val="0"/>
        <w:autoSpaceDN w:val="0"/>
        <w:adjustRightInd w:val="0"/>
        <w:snapToGrid w:val="0"/>
        <w:spacing w:line="700" w:lineRule="exact"/>
        <w:ind w:firstLine="420" w:firstLineChars="200"/>
        <w:rPr>
          <w:rFonts w:ascii="宋体" w:hAnsi="宋体"/>
          <w:color w:val="auto"/>
        </w:rPr>
      </w:pPr>
      <w:r>
        <w:rPr>
          <w:rFonts w:hint="eastAsia" w:ascii="宋体" w:hAnsi="宋体"/>
          <w:color w:val="auto"/>
          <w:kern w:val="0"/>
          <w:szCs w:val="21"/>
        </w:rPr>
        <w:t>2.</w:t>
      </w:r>
      <w:r>
        <w:rPr>
          <w:rFonts w:hint="eastAsia" w:ascii="宋体" w:hAnsi="宋体"/>
          <w:color w:val="auto"/>
        </w:rPr>
        <w:t>授权委托书</w:t>
      </w:r>
      <w:r>
        <w:rPr>
          <w:rFonts w:ascii="宋体" w:hAnsi="宋体"/>
          <w:color w:val="auto"/>
        </w:rPr>
        <w:t>需按上述格式填写完整，不可缺少内容。在此基础上增加内容的不影响其有效性。</w:t>
      </w:r>
    </w:p>
    <w:p>
      <w:pPr>
        <w:autoSpaceDE w:val="0"/>
        <w:autoSpaceDN w:val="0"/>
        <w:adjustRightInd w:val="0"/>
        <w:snapToGrid w:val="0"/>
        <w:jc w:val="center"/>
        <w:rPr>
          <w:rFonts w:ascii="宋体" w:hAnsi="宋体"/>
          <w:color w:val="auto"/>
        </w:rPr>
      </w:pPr>
      <w:r>
        <w:rPr>
          <w:rFonts w:ascii="宋体" w:hAnsi="宋体"/>
          <w:color w:val="auto"/>
        </w:rPr>
        <w:br w:type="page"/>
      </w:r>
    </w:p>
    <w:p>
      <w:pPr>
        <w:pStyle w:val="5"/>
        <w:spacing w:line="240" w:lineRule="auto"/>
        <w:rPr>
          <w:rFonts w:ascii="宋体" w:hAnsi="宋体"/>
          <w:color w:val="auto"/>
        </w:rPr>
      </w:pPr>
      <w:bookmarkStart w:id="965" w:name="_Toc224103512"/>
      <w:bookmarkStart w:id="966" w:name="_Toc287620831"/>
      <w:bookmarkStart w:id="967" w:name="_Toc430530547"/>
      <w:bookmarkStart w:id="968" w:name="_Toc287607884"/>
      <w:bookmarkStart w:id="969" w:name="_Toc277082658"/>
      <w:bookmarkStart w:id="970" w:name="_Toc5288"/>
      <w:bookmarkStart w:id="971" w:name="_Toc9914"/>
      <w:r>
        <w:rPr>
          <w:rFonts w:hint="eastAsia" w:ascii="宋体" w:hAnsi="宋体"/>
          <w:b w:val="0"/>
          <w:bCs w:val="0"/>
          <w:color w:val="auto"/>
        </w:rPr>
        <w:t>（二）</w:t>
      </w:r>
      <w:bookmarkEnd w:id="965"/>
      <w:bookmarkEnd w:id="966"/>
      <w:bookmarkEnd w:id="967"/>
      <w:bookmarkEnd w:id="968"/>
      <w:bookmarkEnd w:id="969"/>
      <w:bookmarkStart w:id="972" w:name="_Toc277082659"/>
      <w:bookmarkStart w:id="973" w:name="_Toc287607887"/>
      <w:r>
        <w:rPr>
          <w:rFonts w:hint="eastAsia" w:ascii="宋体" w:hAnsi="宋体"/>
          <w:b w:val="0"/>
          <w:bCs w:val="0"/>
          <w:color w:val="auto"/>
        </w:rPr>
        <w:t>投标人基本情况表</w:t>
      </w:r>
      <w:bookmarkEnd w:id="970"/>
      <w:bookmarkEnd w:id="971"/>
    </w:p>
    <w:tbl>
      <w:tblPr>
        <w:tblStyle w:val="52"/>
        <w:tblW w:w="9770"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862"/>
        <w:gridCol w:w="967"/>
        <w:gridCol w:w="1024"/>
        <w:gridCol w:w="904"/>
        <w:gridCol w:w="452"/>
        <w:gridCol w:w="103"/>
        <w:gridCol w:w="1392"/>
        <w:gridCol w:w="529"/>
        <w:gridCol w:w="925"/>
        <w:gridCol w:w="1612"/>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投标人名称</w:t>
            </w:r>
          </w:p>
        </w:tc>
        <w:tc>
          <w:tcPr>
            <w:tcW w:w="7908" w:type="dxa"/>
            <w:gridSpan w:val="9"/>
            <w:vAlign w:val="center"/>
          </w:tcPr>
          <w:p>
            <w:pPr>
              <w:autoSpaceDE w:val="0"/>
              <w:autoSpaceDN w:val="0"/>
              <w:adjustRightInd w:val="0"/>
              <w:snapToGrid w:val="0"/>
              <w:jc w:val="center"/>
              <w:rPr>
                <w:rFonts w:ascii="宋体" w:hAnsi="宋体"/>
                <w:color w:val="auto"/>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注册地址</w:t>
            </w:r>
          </w:p>
        </w:tc>
        <w:tc>
          <w:tcPr>
            <w:tcW w:w="3450" w:type="dxa"/>
            <w:gridSpan w:val="5"/>
            <w:vAlign w:val="center"/>
          </w:tcPr>
          <w:p>
            <w:pPr>
              <w:autoSpaceDE w:val="0"/>
              <w:autoSpaceDN w:val="0"/>
              <w:adjustRightInd w:val="0"/>
              <w:snapToGrid w:val="0"/>
              <w:jc w:val="center"/>
              <w:rPr>
                <w:rFonts w:ascii="宋体" w:hAnsi="宋体"/>
                <w:color w:val="auto"/>
                <w:kern w:val="0"/>
                <w:szCs w:val="21"/>
              </w:rPr>
            </w:pPr>
          </w:p>
        </w:tc>
        <w:tc>
          <w:tcPr>
            <w:tcW w:w="1392" w:type="dxa"/>
            <w:vAlign w:val="center"/>
          </w:tcPr>
          <w:p>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邮政编码</w:t>
            </w:r>
          </w:p>
        </w:tc>
        <w:tc>
          <w:tcPr>
            <w:tcW w:w="3066" w:type="dxa"/>
            <w:gridSpan w:val="3"/>
            <w:vAlign w:val="center"/>
          </w:tcPr>
          <w:p>
            <w:pPr>
              <w:autoSpaceDE w:val="0"/>
              <w:autoSpaceDN w:val="0"/>
              <w:adjustRightInd w:val="0"/>
              <w:snapToGrid w:val="0"/>
              <w:jc w:val="center"/>
              <w:rPr>
                <w:rFonts w:ascii="宋体" w:hAnsi="宋体"/>
                <w:color w:val="auto"/>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51" w:hRule="exact"/>
        </w:trPr>
        <w:tc>
          <w:tcPr>
            <w:tcW w:w="1862" w:type="dxa"/>
            <w:vMerge w:val="restart"/>
            <w:vAlign w:val="center"/>
          </w:tcPr>
          <w:p>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联系方式</w:t>
            </w:r>
          </w:p>
        </w:tc>
        <w:tc>
          <w:tcPr>
            <w:tcW w:w="967" w:type="dxa"/>
            <w:vAlign w:val="center"/>
          </w:tcPr>
          <w:p>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联系人</w:t>
            </w:r>
          </w:p>
        </w:tc>
        <w:tc>
          <w:tcPr>
            <w:tcW w:w="2483" w:type="dxa"/>
            <w:gridSpan w:val="4"/>
            <w:vAlign w:val="center"/>
          </w:tcPr>
          <w:p>
            <w:pPr>
              <w:autoSpaceDE w:val="0"/>
              <w:autoSpaceDN w:val="0"/>
              <w:adjustRightInd w:val="0"/>
              <w:snapToGrid w:val="0"/>
              <w:jc w:val="center"/>
              <w:rPr>
                <w:rFonts w:ascii="宋体" w:hAnsi="宋体"/>
                <w:color w:val="auto"/>
                <w:kern w:val="0"/>
                <w:szCs w:val="21"/>
              </w:rPr>
            </w:pPr>
          </w:p>
        </w:tc>
        <w:tc>
          <w:tcPr>
            <w:tcW w:w="1392" w:type="dxa"/>
            <w:vAlign w:val="center"/>
          </w:tcPr>
          <w:p>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电话</w:t>
            </w:r>
          </w:p>
        </w:tc>
        <w:tc>
          <w:tcPr>
            <w:tcW w:w="3066" w:type="dxa"/>
            <w:gridSpan w:val="3"/>
            <w:vAlign w:val="center"/>
          </w:tcPr>
          <w:p>
            <w:pPr>
              <w:autoSpaceDE w:val="0"/>
              <w:autoSpaceDN w:val="0"/>
              <w:adjustRightInd w:val="0"/>
              <w:snapToGrid w:val="0"/>
              <w:jc w:val="center"/>
              <w:rPr>
                <w:rFonts w:ascii="宋体" w:hAnsi="宋体"/>
                <w:color w:val="auto"/>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51" w:hRule="exact"/>
        </w:trPr>
        <w:tc>
          <w:tcPr>
            <w:tcW w:w="1862" w:type="dxa"/>
            <w:vMerge w:val="continue"/>
            <w:vAlign w:val="center"/>
          </w:tcPr>
          <w:p>
            <w:pPr>
              <w:autoSpaceDE w:val="0"/>
              <w:autoSpaceDN w:val="0"/>
              <w:adjustRightInd w:val="0"/>
              <w:snapToGrid w:val="0"/>
              <w:jc w:val="center"/>
              <w:rPr>
                <w:rFonts w:ascii="宋体" w:hAnsi="宋体"/>
                <w:color w:val="auto"/>
                <w:kern w:val="0"/>
                <w:szCs w:val="21"/>
              </w:rPr>
            </w:pPr>
          </w:p>
        </w:tc>
        <w:tc>
          <w:tcPr>
            <w:tcW w:w="967" w:type="dxa"/>
            <w:vAlign w:val="center"/>
          </w:tcPr>
          <w:p>
            <w:pPr>
              <w:tabs>
                <w:tab w:val="left" w:pos="540"/>
              </w:tabs>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传  真</w:t>
            </w:r>
          </w:p>
        </w:tc>
        <w:tc>
          <w:tcPr>
            <w:tcW w:w="2483" w:type="dxa"/>
            <w:gridSpan w:val="4"/>
            <w:vAlign w:val="center"/>
          </w:tcPr>
          <w:p>
            <w:pPr>
              <w:autoSpaceDE w:val="0"/>
              <w:autoSpaceDN w:val="0"/>
              <w:adjustRightInd w:val="0"/>
              <w:snapToGrid w:val="0"/>
              <w:jc w:val="center"/>
              <w:rPr>
                <w:rFonts w:ascii="宋体" w:hAnsi="宋体"/>
                <w:color w:val="auto"/>
                <w:kern w:val="0"/>
                <w:szCs w:val="21"/>
              </w:rPr>
            </w:pPr>
          </w:p>
        </w:tc>
        <w:tc>
          <w:tcPr>
            <w:tcW w:w="1392" w:type="dxa"/>
            <w:vAlign w:val="center"/>
          </w:tcPr>
          <w:p>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网址</w:t>
            </w:r>
          </w:p>
        </w:tc>
        <w:tc>
          <w:tcPr>
            <w:tcW w:w="3066" w:type="dxa"/>
            <w:gridSpan w:val="3"/>
            <w:vAlign w:val="center"/>
          </w:tcPr>
          <w:p>
            <w:pPr>
              <w:autoSpaceDE w:val="0"/>
              <w:autoSpaceDN w:val="0"/>
              <w:adjustRightInd w:val="0"/>
              <w:snapToGrid w:val="0"/>
              <w:jc w:val="center"/>
              <w:rPr>
                <w:rFonts w:ascii="宋体" w:hAnsi="宋体"/>
                <w:color w:val="auto"/>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组织结构</w:t>
            </w:r>
          </w:p>
        </w:tc>
        <w:tc>
          <w:tcPr>
            <w:tcW w:w="7908" w:type="dxa"/>
            <w:gridSpan w:val="9"/>
            <w:vAlign w:val="center"/>
          </w:tcPr>
          <w:p>
            <w:pPr>
              <w:autoSpaceDE w:val="0"/>
              <w:autoSpaceDN w:val="0"/>
              <w:adjustRightInd w:val="0"/>
              <w:snapToGrid w:val="0"/>
              <w:jc w:val="center"/>
              <w:rPr>
                <w:rFonts w:ascii="宋体" w:hAnsi="宋体"/>
                <w:color w:val="auto"/>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法定代表人</w:t>
            </w:r>
          </w:p>
        </w:tc>
        <w:tc>
          <w:tcPr>
            <w:tcW w:w="967" w:type="dxa"/>
            <w:vAlign w:val="center"/>
          </w:tcPr>
          <w:p>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姓  名</w:t>
            </w:r>
          </w:p>
        </w:tc>
        <w:tc>
          <w:tcPr>
            <w:tcW w:w="1024" w:type="dxa"/>
            <w:vAlign w:val="center"/>
          </w:tcPr>
          <w:p>
            <w:pPr>
              <w:autoSpaceDE w:val="0"/>
              <w:autoSpaceDN w:val="0"/>
              <w:adjustRightInd w:val="0"/>
              <w:snapToGrid w:val="0"/>
              <w:jc w:val="center"/>
              <w:rPr>
                <w:rFonts w:ascii="宋体" w:hAnsi="宋体"/>
                <w:color w:val="auto"/>
                <w:kern w:val="0"/>
                <w:szCs w:val="21"/>
              </w:rPr>
            </w:pPr>
          </w:p>
        </w:tc>
        <w:tc>
          <w:tcPr>
            <w:tcW w:w="1356" w:type="dxa"/>
            <w:gridSpan w:val="2"/>
            <w:vAlign w:val="center"/>
          </w:tcPr>
          <w:p>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技术职称</w:t>
            </w:r>
          </w:p>
        </w:tc>
        <w:tc>
          <w:tcPr>
            <w:tcW w:w="2024" w:type="dxa"/>
            <w:gridSpan w:val="3"/>
            <w:vAlign w:val="center"/>
          </w:tcPr>
          <w:p>
            <w:pPr>
              <w:autoSpaceDE w:val="0"/>
              <w:autoSpaceDN w:val="0"/>
              <w:adjustRightInd w:val="0"/>
              <w:snapToGrid w:val="0"/>
              <w:jc w:val="center"/>
              <w:rPr>
                <w:rFonts w:ascii="宋体" w:hAnsi="宋体"/>
                <w:color w:val="auto"/>
                <w:kern w:val="0"/>
                <w:szCs w:val="21"/>
              </w:rPr>
            </w:pPr>
          </w:p>
        </w:tc>
        <w:tc>
          <w:tcPr>
            <w:tcW w:w="925" w:type="dxa"/>
            <w:vAlign w:val="center"/>
          </w:tcPr>
          <w:p>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电  话</w:t>
            </w:r>
          </w:p>
        </w:tc>
        <w:tc>
          <w:tcPr>
            <w:tcW w:w="1612" w:type="dxa"/>
            <w:vAlign w:val="center"/>
          </w:tcPr>
          <w:p>
            <w:pPr>
              <w:autoSpaceDE w:val="0"/>
              <w:autoSpaceDN w:val="0"/>
              <w:adjustRightInd w:val="0"/>
              <w:snapToGrid w:val="0"/>
              <w:jc w:val="center"/>
              <w:rPr>
                <w:rFonts w:ascii="宋体" w:hAnsi="宋体"/>
                <w:color w:val="auto"/>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技术负责人</w:t>
            </w:r>
          </w:p>
        </w:tc>
        <w:tc>
          <w:tcPr>
            <w:tcW w:w="967" w:type="dxa"/>
            <w:vAlign w:val="center"/>
          </w:tcPr>
          <w:p>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姓  名</w:t>
            </w:r>
          </w:p>
        </w:tc>
        <w:tc>
          <w:tcPr>
            <w:tcW w:w="1024" w:type="dxa"/>
            <w:vAlign w:val="center"/>
          </w:tcPr>
          <w:p>
            <w:pPr>
              <w:autoSpaceDE w:val="0"/>
              <w:autoSpaceDN w:val="0"/>
              <w:adjustRightInd w:val="0"/>
              <w:snapToGrid w:val="0"/>
              <w:jc w:val="center"/>
              <w:rPr>
                <w:rFonts w:ascii="宋体" w:hAnsi="宋体"/>
                <w:color w:val="auto"/>
                <w:kern w:val="0"/>
                <w:szCs w:val="21"/>
              </w:rPr>
            </w:pPr>
          </w:p>
        </w:tc>
        <w:tc>
          <w:tcPr>
            <w:tcW w:w="1356" w:type="dxa"/>
            <w:gridSpan w:val="2"/>
            <w:vAlign w:val="center"/>
          </w:tcPr>
          <w:p>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技术职称</w:t>
            </w:r>
          </w:p>
        </w:tc>
        <w:tc>
          <w:tcPr>
            <w:tcW w:w="2024" w:type="dxa"/>
            <w:gridSpan w:val="3"/>
            <w:vAlign w:val="center"/>
          </w:tcPr>
          <w:p>
            <w:pPr>
              <w:autoSpaceDE w:val="0"/>
              <w:autoSpaceDN w:val="0"/>
              <w:adjustRightInd w:val="0"/>
              <w:snapToGrid w:val="0"/>
              <w:jc w:val="center"/>
              <w:rPr>
                <w:rFonts w:ascii="宋体" w:hAnsi="宋体"/>
                <w:color w:val="auto"/>
                <w:kern w:val="0"/>
                <w:szCs w:val="21"/>
              </w:rPr>
            </w:pPr>
          </w:p>
        </w:tc>
        <w:tc>
          <w:tcPr>
            <w:tcW w:w="925" w:type="dxa"/>
            <w:vAlign w:val="center"/>
          </w:tcPr>
          <w:p>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电  话</w:t>
            </w:r>
          </w:p>
        </w:tc>
        <w:tc>
          <w:tcPr>
            <w:tcW w:w="1612" w:type="dxa"/>
            <w:vAlign w:val="center"/>
          </w:tcPr>
          <w:p>
            <w:pPr>
              <w:autoSpaceDE w:val="0"/>
              <w:autoSpaceDN w:val="0"/>
              <w:adjustRightInd w:val="0"/>
              <w:snapToGrid w:val="0"/>
              <w:jc w:val="center"/>
              <w:rPr>
                <w:rFonts w:ascii="宋体" w:hAnsi="宋体"/>
                <w:color w:val="auto"/>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成立时间</w:t>
            </w:r>
          </w:p>
        </w:tc>
        <w:tc>
          <w:tcPr>
            <w:tcW w:w="1991" w:type="dxa"/>
            <w:gridSpan w:val="2"/>
            <w:vAlign w:val="center"/>
          </w:tcPr>
          <w:p>
            <w:pPr>
              <w:autoSpaceDE w:val="0"/>
              <w:autoSpaceDN w:val="0"/>
              <w:adjustRightInd w:val="0"/>
              <w:snapToGrid w:val="0"/>
              <w:jc w:val="center"/>
              <w:rPr>
                <w:rFonts w:ascii="宋体" w:hAnsi="宋体"/>
                <w:color w:val="auto"/>
                <w:kern w:val="0"/>
                <w:szCs w:val="21"/>
              </w:rPr>
            </w:pPr>
          </w:p>
        </w:tc>
        <w:tc>
          <w:tcPr>
            <w:tcW w:w="5917" w:type="dxa"/>
            <w:gridSpan w:val="7"/>
            <w:vAlign w:val="center"/>
          </w:tcPr>
          <w:p>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员工总人数：</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企业资质等级</w:t>
            </w:r>
          </w:p>
        </w:tc>
        <w:tc>
          <w:tcPr>
            <w:tcW w:w="1991" w:type="dxa"/>
            <w:gridSpan w:val="2"/>
            <w:vAlign w:val="center"/>
          </w:tcPr>
          <w:p>
            <w:pPr>
              <w:autoSpaceDE w:val="0"/>
              <w:autoSpaceDN w:val="0"/>
              <w:adjustRightInd w:val="0"/>
              <w:snapToGrid w:val="0"/>
              <w:jc w:val="center"/>
              <w:rPr>
                <w:rFonts w:ascii="宋体" w:hAnsi="宋体"/>
                <w:color w:val="auto"/>
                <w:kern w:val="0"/>
                <w:szCs w:val="21"/>
              </w:rPr>
            </w:pPr>
          </w:p>
        </w:tc>
        <w:tc>
          <w:tcPr>
            <w:tcW w:w="904" w:type="dxa"/>
            <w:vMerge w:val="restart"/>
            <w:vAlign w:val="center"/>
          </w:tcPr>
          <w:p>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其中</w:t>
            </w:r>
          </w:p>
        </w:tc>
        <w:tc>
          <w:tcPr>
            <w:tcW w:w="2476" w:type="dxa"/>
            <w:gridSpan w:val="4"/>
            <w:vAlign w:val="center"/>
          </w:tcPr>
          <w:p>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项目经理</w:t>
            </w:r>
          </w:p>
        </w:tc>
        <w:tc>
          <w:tcPr>
            <w:tcW w:w="2537" w:type="dxa"/>
            <w:gridSpan w:val="2"/>
            <w:vAlign w:val="center"/>
          </w:tcPr>
          <w:p>
            <w:pPr>
              <w:autoSpaceDE w:val="0"/>
              <w:autoSpaceDN w:val="0"/>
              <w:adjustRightInd w:val="0"/>
              <w:snapToGrid w:val="0"/>
              <w:jc w:val="center"/>
              <w:rPr>
                <w:rFonts w:ascii="宋体" w:hAnsi="宋体"/>
                <w:color w:val="auto"/>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营业执照号</w:t>
            </w:r>
          </w:p>
        </w:tc>
        <w:tc>
          <w:tcPr>
            <w:tcW w:w="1991" w:type="dxa"/>
            <w:gridSpan w:val="2"/>
            <w:vAlign w:val="center"/>
          </w:tcPr>
          <w:p>
            <w:pPr>
              <w:autoSpaceDE w:val="0"/>
              <w:autoSpaceDN w:val="0"/>
              <w:adjustRightInd w:val="0"/>
              <w:snapToGrid w:val="0"/>
              <w:jc w:val="center"/>
              <w:rPr>
                <w:rFonts w:ascii="宋体" w:hAnsi="宋体"/>
                <w:color w:val="auto"/>
                <w:kern w:val="0"/>
                <w:szCs w:val="21"/>
              </w:rPr>
            </w:pPr>
          </w:p>
        </w:tc>
        <w:tc>
          <w:tcPr>
            <w:tcW w:w="904" w:type="dxa"/>
            <w:vMerge w:val="continue"/>
            <w:vAlign w:val="center"/>
          </w:tcPr>
          <w:p>
            <w:pPr>
              <w:autoSpaceDE w:val="0"/>
              <w:autoSpaceDN w:val="0"/>
              <w:adjustRightInd w:val="0"/>
              <w:snapToGrid w:val="0"/>
              <w:jc w:val="center"/>
              <w:rPr>
                <w:rFonts w:ascii="宋体" w:hAnsi="宋体"/>
                <w:color w:val="auto"/>
                <w:kern w:val="0"/>
                <w:szCs w:val="21"/>
              </w:rPr>
            </w:pPr>
          </w:p>
        </w:tc>
        <w:tc>
          <w:tcPr>
            <w:tcW w:w="2476" w:type="dxa"/>
            <w:gridSpan w:val="4"/>
            <w:vAlign w:val="center"/>
          </w:tcPr>
          <w:p>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高级职称人员</w:t>
            </w:r>
          </w:p>
        </w:tc>
        <w:tc>
          <w:tcPr>
            <w:tcW w:w="2537" w:type="dxa"/>
            <w:gridSpan w:val="2"/>
            <w:vAlign w:val="center"/>
          </w:tcPr>
          <w:p>
            <w:pPr>
              <w:autoSpaceDE w:val="0"/>
              <w:autoSpaceDN w:val="0"/>
              <w:adjustRightInd w:val="0"/>
              <w:snapToGrid w:val="0"/>
              <w:jc w:val="center"/>
              <w:rPr>
                <w:rFonts w:ascii="宋体" w:hAnsi="宋体"/>
                <w:color w:val="auto"/>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注册资金</w:t>
            </w:r>
          </w:p>
        </w:tc>
        <w:tc>
          <w:tcPr>
            <w:tcW w:w="1991" w:type="dxa"/>
            <w:gridSpan w:val="2"/>
            <w:vAlign w:val="center"/>
          </w:tcPr>
          <w:p>
            <w:pPr>
              <w:autoSpaceDE w:val="0"/>
              <w:autoSpaceDN w:val="0"/>
              <w:adjustRightInd w:val="0"/>
              <w:snapToGrid w:val="0"/>
              <w:jc w:val="center"/>
              <w:rPr>
                <w:rFonts w:ascii="宋体" w:hAnsi="宋体"/>
                <w:color w:val="auto"/>
                <w:kern w:val="0"/>
                <w:szCs w:val="21"/>
              </w:rPr>
            </w:pPr>
          </w:p>
        </w:tc>
        <w:tc>
          <w:tcPr>
            <w:tcW w:w="904" w:type="dxa"/>
            <w:vMerge w:val="continue"/>
            <w:vAlign w:val="center"/>
          </w:tcPr>
          <w:p>
            <w:pPr>
              <w:autoSpaceDE w:val="0"/>
              <w:autoSpaceDN w:val="0"/>
              <w:adjustRightInd w:val="0"/>
              <w:snapToGrid w:val="0"/>
              <w:jc w:val="center"/>
              <w:rPr>
                <w:rFonts w:ascii="宋体" w:hAnsi="宋体"/>
                <w:color w:val="auto"/>
                <w:kern w:val="0"/>
                <w:szCs w:val="21"/>
              </w:rPr>
            </w:pPr>
          </w:p>
        </w:tc>
        <w:tc>
          <w:tcPr>
            <w:tcW w:w="2476" w:type="dxa"/>
            <w:gridSpan w:val="4"/>
            <w:vAlign w:val="center"/>
          </w:tcPr>
          <w:p>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中级职称人员</w:t>
            </w:r>
          </w:p>
        </w:tc>
        <w:tc>
          <w:tcPr>
            <w:tcW w:w="2537" w:type="dxa"/>
            <w:gridSpan w:val="2"/>
            <w:vAlign w:val="center"/>
          </w:tcPr>
          <w:p>
            <w:pPr>
              <w:autoSpaceDE w:val="0"/>
              <w:autoSpaceDN w:val="0"/>
              <w:adjustRightInd w:val="0"/>
              <w:snapToGrid w:val="0"/>
              <w:jc w:val="center"/>
              <w:rPr>
                <w:rFonts w:ascii="宋体" w:hAnsi="宋体"/>
                <w:color w:val="auto"/>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开户银行</w:t>
            </w:r>
          </w:p>
        </w:tc>
        <w:tc>
          <w:tcPr>
            <w:tcW w:w="1991" w:type="dxa"/>
            <w:gridSpan w:val="2"/>
            <w:vAlign w:val="center"/>
          </w:tcPr>
          <w:p>
            <w:pPr>
              <w:autoSpaceDE w:val="0"/>
              <w:autoSpaceDN w:val="0"/>
              <w:adjustRightInd w:val="0"/>
              <w:snapToGrid w:val="0"/>
              <w:jc w:val="center"/>
              <w:rPr>
                <w:rFonts w:ascii="宋体" w:hAnsi="宋体"/>
                <w:color w:val="auto"/>
                <w:kern w:val="0"/>
                <w:szCs w:val="21"/>
              </w:rPr>
            </w:pPr>
          </w:p>
        </w:tc>
        <w:tc>
          <w:tcPr>
            <w:tcW w:w="904" w:type="dxa"/>
            <w:vMerge w:val="continue"/>
            <w:vAlign w:val="center"/>
          </w:tcPr>
          <w:p>
            <w:pPr>
              <w:autoSpaceDE w:val="0"/>
              <w:autoSpaceDN w:val="0"/>
              <w:adjustRightInd w:val="0"/>
              <w:snapToGrid w:val="0"/>
              <w:jc w:val="center"/>
              <w:rPr>
                <w:rFonts w:ascii="宋体" w:hAnsi="宋体"/>
                <w:color w:val="auto"/>
                <w:kern w:val="0"/>
                <w:szCs w:val="21"/>
              </w:rPr>
            </w:pPr>
          </w:p>
        </w:tc>
        <w:tc>
          <w:tcPr>
            <w:tcW w:w="2476" w:type="dxa"/>
            <w:gridSpan w:val="4"/>
            <w:vAlign w:val="center"/>
          </w:tcPr>
          <w:p>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初级职称人员</w:t>
            </w:r>
          </w:p>
        </w:tc>
        <w:tc>
          <w:tcPr>
            <w:tcW w:w="2537" w:type="dxa"/>
            <w:gridSpan w:val="2"/>
            <w:vAlign w:val="center"/>
          </w:tcPr>
          <w:p>
            <w:pPr>
              <w:autoSpaceDE w:val="0"/>
              <w:autoSpaceDN w:val="0"/>
              <w:adjustRightInd w:val="0"/>
              <w:snapToGrid w:val="0"/>
              <w:jc w:val="center"/>
              <w:rPr>
                <w:rFonts w:ascii="宋体" w:hAnsi="宋体"/>
                <w:color w:val="auto"/>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color w:val="auto"/>
                <w:kern w:val="0"/>
                <w:szCs w:val="21"/>
              </w:rPr>
            </w:pPr>
            <w:r>
              <w:rPr>
                <w:rFonts w:hint="eastAsia" w:ascii="宋体" w:hAnsi="宋体"/>
                <w:color w:val="auto"/>
                <w:kern w:val="0"/>
                <w:szCs w:val="21"/>
              </w:rPr>
              <w:t>账号</w:t>
            </w:r>
          </w:p>
        </w:tc>
        <w:tc>
          <w:tcPr>
            <w:tcW w:w="1991" w:type="dxa"/>
            <w:gridSpan w:val="2"/>
            <w:vAlign w:val="center"/>
          </w:tcPr>
          <w:p>
            <w:pPr>
              <w:autoSpaceDE w:val="0"/>
              <w:autoSpaceDN w:val="0"/>
              <w:adjustRightInd w:val="0"/>
              <w:snapToGrid w:val="0"/>
              <w:jc w:val="center"/>
              <w:rPr>
                <w:rFonts w:ascii="宋体" w:hAnsi="宋体"/>
                <w:color w:val="auto"/>
                <w:kern w:val="0"/>
                <w:szCs w:val="21"/>
              </w:rPr>
            </w:pPr>
          </w:p>
        </w:tc>
        <w:tc>
          <w:tcPr>
            <w:tcW w:w="904" w:type="dxa"/>
            <w:vMerge w:val="continue"/>
            <w:vAlign w:val="center"/>
          </w:tcPr>
          <w:p>
            <w:pPr>
              <w:autoSpaceDE w:val="0"/>
              <w:autoSpaceDN w:val="0"/>
              <w:adjustRightInd w:val="0"/>
              <w:snapToGrid w:val="0"/>
              <w:jc w:val="center"/>
              <w:rPr>
                <w:rFonts w:ascii="宋体" w:hAnsi="宋体"/>
                <w:color w:val="auto"/>
                <w:kern w:val="0"/>
                <w:szCs w:val="21"/>
              </w:rPr>
            </w:pPr>
          </w:p>
        </w:tc>
        <w:tc>
          <w:tcPr>
            <w:tcW w:w="2476" w:type="dxa"/>
            <w:gridSpan w:val="4"/>
            <w:vAlign w:val="center"/>
          </w:tcPr>
          <w:p>
            <w:pPr>
              <w:tabs>
                <w:tab w:val="left" w:pos="1240"/>
              </w:tabs>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技</w:t>
            </w:r>
            <w:r>
              <w:rPr>
                <w:rFonts w:ascii="宋体" w:hAnsi="宋体"/>
                <w:color w:val="auto"/>
                <w:kern w:val="0"/>
                <w:szCs w:val="21"/>
              </w:rPr>
              <w:tab/>
            </w:r>
            <w:r>
              <w:rPr>
                <w:rFonts w:hint="eastAsia" w:ascii="宋体" w:hAnsi="宋体" w:cs="MingLiU"/>
                <w:color w:val="auto"/>
                <w:kern w:val="0"/>
                <w:szCs w:val="21"/>
              </w:rPr>
              <w:t>工</w:t>
            </w:r>
          </w:p>
        </w:tc>
        <w:tc>
          <w:tcPr>
            <w:tcW w:w="2537" w:type="dxa"/>
            <w:gridSpan w:val="2"/>
            <w:vAlign w:val="center"/>
          </w:tcPr>
          <w:p>
            <w:pPr>
              <w:autoSpaceDE w:val="0"/>
              <w:autoSpaceDN w:val="0"/>
              <w:adjustRightInd w:val="0"/>
              <w:snapToGrid w:val="0"/>
              <w:jc w:val="center"/>
              <w:rPr>
                <w:rFonts w:ascii="宋体" w:hAnsi="宋体"/>
                <w:color w:val="auto"/>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经营范围</w:t>
            </w:r>
          </w:p>
        </w:tc>
        <w:tc>
          <w:tcPr>
            <w:tcW w:w="7908" w:type="dxa"/>
            <w:gridSpan w:val="9"/>
            <w:vAlign w:val="center"/>
          </w:tcPr>
          <w:p>
            <w:pPr>
              <w:autoSpaceDE w:val="0"/>
              <w:autoSpaceDN w:val="0"/>
              <w:adjustRightInd w:val="0"/>
              <w:snapToGrid w:val="0"/>
              <w:jc w:val="center"/>
              <w:rPr>
                <w:rFonts w:ascii="宋体" w:hAnsi="宋体"/>
                <w:color w:val="auto"/>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备注</w:t>
            </w:r>
          </w:p>
        </w:tc>
        <w:tc>
          <w:tcPr>
            <w:tcW w:w="7908" w:type="dxa"/>
            <w:gridSpan w:val="9"/>
            <w:vAlign w:val="center"/>
          </w:tcPr>
          <w:p>
            <w:pPr>
              <w:autoSpaceDE w:val="0"/>
              <w:autoSpaceDN w:val="0"/>
              <w:adjustRightInd w:val="0"/>
              <w:snapToGrid w:val="0"/>
              <w:jc w:val="center"/>
              <w:rPr>
                <w:rFonts w:ascii="宋体" w:hAnsi="宋体"/>
                <w:color w:val="auto"/>
                <w:kern w:val="0"/>
                <w:szCs w:val="21"/>
              </w:rPr>
            </w:pPr>
          </w:p>
        </w:tc>
      </w:tr>
    </w:tbl>
    <w:p>
      <w:pPr>
        <w:spacing w:line="360" w:lineRule="auto"/>
        <w:jc w:val="center"/>
        <w:rPr>
          <w:rFonts w:ascii="宋体" w:hAnsi="宋体"/>
          <w:color w:val="auto"/>
          <w:szCs w:val="21"/>
        </w:rPr>
      </w:pPr>
    </w:p>
    <w:p>
      <w:pPr>
        <w:pStyle w:val="5"/>
        <w:spacing w:before="0" w:after="0" w:line="240" w:lineRule="auto"/>
        <w:jc w:val="center"/>
        <w:rPr>
          <w:rFonts w:ascii="宋体" w:hAnsi="宋体"/>
          <w:b w:val="0"/>
          <w:bCs w:val="0"/>
          <w:color w:val="auto"/>
          <w:highlight w:val="none"/>
        </w:rPr>
      </w:pPr>
      <w:r>
        <w:rPr>
          <w:rFonts w:ascii="宋体" w:hAnsi="宋体"/>
          <w:color w:val="auto"/>
          <w:szCs w:val="21"/>
        </w:rPr>
        <w:br w:type="page"/>
      </w:r>
      <w:bookmarkStart w:id="974" w:name="_Toc33106479"/>
      <w:bookmarkStart w:id="975" w:name="_Toc57796022"/>
      <w:r>
        <w:rPr>
          <w:rFonts w:hint="eastAsia" w:ascii="宋体" w:hAnsi="宋体"/>
          <w:b w:val="0"/>
          <w:bCs w:val="0"/>
          <w:color w:val="auto"/>
          <w:highlight w:val="none"/>
        </w:rPr>
        <w:t>（四）项目管理机构</w:t>
      </w:r>
      <w:bookmarkEnd w:id="974"/>
      <w:bookmarkEnd w:id="975"/>
    </w:p>
    <w:p>
      <w:pPr>
        <w:spacing w:line="360" w:lineRule="auto"/>
        <w:rPr>
          <w:rFonts w:ascii="宋体" w:hAnsi="宋体"/>
          <w:color w:val="auto"/>
          <w:highlight w:val="none"/>
        </w:rPr>
      </w:pPr>
    </w:p>
    <w:p>
      <w:pPr>
        <w:autoSpaceDE w:val="0"/>
        <w:autoSpaceDN w:val="0"/>
        <w:adjustRightInd w:val="0"/>
        <w:snapToGrid w:val="0"/>
        <w:spacing w:line="360" w:lineRule="auto"/>
        <w:jc w:val="center"/>
        <w:rPr>
          <w:rFonts w:ascii="宋体" w:hAnsi="宋体" w:cs="MingLiU"/>
          <w:color w:val="auto"/>
          <w:kern w:val="0"/>
          <w:sz w:val="28"/>
          <w:szCs w:val="28"/>
          <w:highlight w:val="none"/>
        </w:rPr>
      </w:pPr>
      <w:r>
        <w:rPr>
          <w:rFonts w:hint="eastAsia" w:ascii="宋体" w:hAnsi="宋体" w:cs="MingLiU"/>
          <w:color w:val="auto"/>
          <w:kern w:val="0"/>
          <w:sz w:val="28"/>
          <w:szCs w:val="28"/>
          <w:highlight w:val="none"/>
        </w:rPr>
        <w:t>项目管理机构组成表</w:t>
      </w:r>
    </w:p>
    <w:tbl>
      <w:tblPr>
        <w:tblStyle w:val="52"/>
        <w:tblW w:w="9482" w:type="dxa"/>
        <w:tblInd w:w="-5"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856"/>
        <w:gridCol w:w="734"/>
        <w:gridCol w:w="776"/>
        <w:gridCol w:w="1167"/>
        <w:gridCol w:w="776"/>
        <w:gridCol w:w="778"/>
        <w:gridCol w:w="776"/>
        <w:gridCol w:w="2723"/>
        <w:gridCol w:w="896"/>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08" w:hRule="exact"/>
        </w:trPr>
        <w:tc>
          <w:tcPr>
            <w:tcW w:w="856" w:type="dxa"/>
            <w:vMerge w:val="restart"/>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职务</w:t>
            </w:r>
          </w:p>
        </w:tc>
        <w:tc>
          <w:tcPr>
            <w:tcW w:w="734" w:type="dxa"/>
            <w:vMerge w:val="restart"/>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姓名</w:t>
            </w:r>
          </w:p>
        </w:tc>
        <w:tc>
          <w:tcPr>
            <w:tcW w:w="776" w:type="dxa"/>
            <w:vMerge w:val="restart"/>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职称</w:t>
            </w:r>
          </w:p>
        </w:tc>
        <w:tc>
          <w:tcPr>
            <w:tcW w:w="6220" w:type="dxa"/>
            <w:gridSpan w:val="5"/>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执业或职业资格证明</w:t>
            </w:r>
          </w:p>
        </w:tc>
        <w:tc>
          <w:tcPr>
            <w:tcW w:w="896" w:type="dxa"/>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备注</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08" w:hRule="exact"/>
        </w:trPr>
        <w:tc>
          <w:tcPr>
            <w:tcW w:w="856" w:type="dxa"/>
            <w:vMerge w:val="continue"/>
            <w:vAlign w:val="top"/>
          </w:tcPr>
          <w:p>
            <w:pPr>
              <w:autoSpaceDE w:val="0"/>
              <w:autoSpaceDN w:val="0"/>
              <w:adjustRightInd w:val="0"/>
              <w:snapToGrid w:val="0"/>
              <w:jc w:val="left"/>
              <w:rPr>
                <w:rFonts w:ascii="宋体" w:hAnsi="宋体"/>
                <w:color w:val="auto"/>
                <w:kern w:val="0"/>
                <w:szCs w:val="21"/>
                <w:highlight w:val="none"/>
              </w:rPr>
            </w:pPr>
          </w:p>
        </w:tc>
        <w:tc>
          <w:tcPr>
            <w:tcW w:w="734" w:type="dxa"/>
            <w:vMerge w:val="continue"/>
            <w:vAlign w:val="top"/>
          </w:tcPr>
          <w:p>
            <w:pPr>
              <w:autoSpaceDE w:val="0"/>
              <w:autoSpaceDN w:val="0"/>
              <w:adjustRightInd w:val="0"/>
              <w:snapToGrid w:val="0"/>
              <w:jc w:val="left"/>
              <w:rPr>
                <w:rFonts w:ascii="宋体" w:hAnsi="宋体"/>
                <w:color w:val="auto"/>
                <w:kern w:val="0"/>
                <w:szCs w:val="21"/>
                <w:highlight w:val="none"/>
              </w:rPr>
            </w:pPr>
          </w:p>
        </w:tc>
        <w:tc>
          <w:tcPr>
            <w:tcW w:w="776" w:type="dxa"/>
            <w:vMerge w:val="continue"/>
            <w:vAlign w:val="top"/>
          </w:tcPr>
          <w:p>
            <w:pPr>
              <w:autoSpaceDE w:val="0"/>
              <w:autoSpaceDN w:val="0"/>
              <w:adjustRightInd w:val="0"/>
              <w:snapToGrid w:val="0"/>
              <w:jc w:val="left"/>
              <w:rPr>
                <w:rFonts w:ascii="宋体" w:hAnsi="宋体"/>
                <w:color w:val="auto"/>
                <w:kern w:val="0"/>
                <w:szCs w:val="21"/>
                <w:highlight w:val="none"/>
              </w:rPr>
            </w:pPr>
          </w:p>
        </w:tc>
        <w:tc>
          <w:tcPr>
            <w:tcW w:w="1167" w:type="dxa"/>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证书名称</w:t>
            </w:r>
          </w:p>
        </w:tc>
        <w:tc>
          <w:tcPr>
            <w:tcW w:w="776" w:type="dxa"/>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级别</w:t>
            </w:r>
          </w:p>
        </w:tc>
        <w:tc>
          <w:tcPr>
            <w:tcW w:w="778" w:type="dxa"/>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证号</w:t>
            </w:r>
          </w:p>
        </w:tc>
        <w:tc>
          <w:tcPr>
            <w:tcW w:w="776" w:type="dxa"/>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专业</w:t>
            </w:r>
          </w:p>
        </w:tc>
        <w:tc>
          <w:tcPr>
            <w:tcW w:w="2723" w:type="dxa"/>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养老保险</w:t>
            </w:r>
          </w:p>
        </w:tc>
        <w:tc>
          <w:tcPr>
            <w:tcW w:w="896" w:type="dxa"/>
            <w:vAlign w:val="top"/>
          </w:tcPr>
          <w:p>
            <w:pPr>
              <w:autoSpaceDE w:val="0"/>
              <w:autoSpaceDN w:val="0"/>
              <w:adjustRightInd w:val="0"/>
              <w:snapToGrid w:val="0"/>
              <w:jc w:val="left"/>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08" w:hRule="exact"/>
        </w:trPr>
        <w:tc>
          <w:tcPr>
            <w:tcW w:w="856" w:type="dxa"/>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olor w:val="auto"/>
                <w:kern w:val="0"/>
                <w:szCs w:val="21"/>
                <w:highlight w:val="none"/>
              </w:rPr>
              <w:t>项目经理</w:t>
            </w:r>
          </w:p>
        </w:tc>
        <w:tc>
          <w:tcPr>
            <w:tcW w:w="734" w:type="dxa"/>
            <w:vAlign w:val="top"/>
          </w:tcPr>
          <w:p>
            <w:pPr>
              <w:autoSpaceDE w:val="0"/>
              <w:autoSpaceDN w:val="0"/>
              <w:adjustRightInd w:val="0"/>
              <w:snapToGrid w:val="0"/>
              <w:jc w:val="left"/>
              <w:rPr>
                <w:rFonts w:ascii="宋体" w:hAnsi="宋体"/>
                <w:color w:val="auto"/>
                <w:kern w:val="0"/>
                <w:szCs w:val="21"/>
                <w:highlight w:val="none"/>
              </w:rPr>
            </w:pPr>
          </w:p>
        </w:tc>
        <w:tc>
          <w:tcPr>
            <w:tcW w:w="776" w:type="dxa"/>
            <w:vAlign w:val="top"/>
          </w:tcPr>
          <w:p>
            <w:pPr>
              <w:autoSpaceDE w:val="0"/>
              <w:autoSpaceDN w:val="0"/>
              <w:adjustRightInd w:val="0"/>
              <w:snapToGrid w:val="0"/>
              <w:jc w:val="left"/>
              <w:rPr>
                <w:rFonts w:ascii="宋体" w:hAnsi="宋体"/>
                <w:color w:val="auto"/>
                <w:kern w:val="0"/>
                <w:szCs w:val="21"/>
                <w:highlight w:val="none"/>
              </w:rPr>
            </w:pPr>
          </w:p>
        </w:tc>
        <w:tc>
          <w:tcPr>
            <w:tcW w:w="1167" w:type="dxa"/>
            <w:vAlign w:val="top"/>
          </w:tcPr>
          <w:p>
            <w:pPr>
              <w:autoSpaceDE w:val="0"/>
              <w:autoSpaceDN w:val="0"/>
              <w:adjustRightInd w:val="0"/>
              <w:snapToGrid w:val="0"/>
              <w:jc w:val="left"/>
              <w:rPr>
                <w:rFonts w:ascii="宋体" w:hAnsi="宋体"/>
                <w:color w:val="auto"/>
                <w:kern w:val="0"/>
                <w:szCs w:val="21"/>
                <w:highlight w:val="none"/>
              </w:rPr>
            </w:pPr>
          </w:p>
        </w:tc>
        <w:tc>
          <w:tcPr>
            <w:tcW w:w="776" w:type="dxa"/>
            <w:vAlign w:val="top"/>
          </w:tcPr>
          <w:p>
            <w:pPr>
              <w:autoSpaceDE w:val="0"/>
              <w:autoSpaceDN w:val="0"/>
              <w:adjustRightInd w:val="0"/>
              <w:snapToGrid w:val="0"/>
              <w:jc w:val="left"/>
              <w:rPr>
                <w:rFonts w:ascii="宋体" w:hAnsi="宋体"/>
                <w:color w:val="auto"/>
                <w:kern w:val="0"/>
                <w:szCs w:val="21"/>
                <w:highlight w:val="none"/>
              </w:rPr>
            </w:pPr>
          </w:p>
        </w:tc>
        <w:tc>
          <w:tcPr>
            <w:tcW w:w="778" w:type="dxa"/>
            <w:vAlign w:val="top"/>
          </w:tcPr>
          <w:p>
            <w:pPr>
              <w:autoSpaceDE w:val="0"/>
              <w:autoSpaceDN w:val="0"/>
              <w:adjustRightInd w:val="0"/>
              <w:snapToGrid w:val="0"/>
              <w:jc w:val="left"/>
              <w:rPr>
                <w:rFonts w:ascii="宋体" w:hAnsi="宋体"/>
                <w:color w:val="auto"/>
                <w:kern w:val="0"/>
                <w:szCs w:val="21"/>
                <w:highlight w:val="none"/>
              </w:rPr>
            </w:pPr>
          </w:p>
        </w:tc>
        <w:tc>
          <w:tcPr>
            <w:tcW w:w="776" w:type="dxa"/>
            <w:vAlign w:val="top"/>
          </w:tcPr>
          <w:p>
            <w:pPr>
              <w:autoSpaceDE w:val="0"/>
              <w:autoSpaceDN w:val="0"/>
              <w:adjustRightInd w:val="0"/>
              <w:snapToGrid w:val="0"/>
              <w:jc w:val="left"/>
              <w:rPr>
                <w:rFonts w:ascii="宋体" w:hAnsi="宋体"/>
                <w:color w:val="auto"/>
                <w:kern w:val="0"/>
                <w:szCs w:val="21"/>
                <w:highlight w:val="none"/>
              </w:rPr>
            </w:pPr>
          </w:p>
        </w:tc>
        <w:tc>
          <w:tcPr>
            <w:tcW w:w="2723" w:type="dxa"/>
            <w:vAlign w:val="top"/>
          </w:tcPr>
          <w:p>
            <w:pPr>
              <w:autoSpaceDE w:val="0"/>
              <w:autoSpaceDN w:val="0"/>
              <w:adjustRightInd w:val="0"/>
              <w:snapToGrid w:val="0"/>
              <w:jc w:val="left"/>
              <w:rPr>
                <w:rFonts w:ascii="宋体" w:hAnsi="宋体"/>
                <w:color w:val="auto"/>
                <w:kern w:val="0"/>
                <w:szCs w:val="21"/>
                <w:highlight w:val="none"/>
              </w:rPr>
            </w:pPr>
          </w:p>
        </w:tc>
        <w:tc>
          <w:tcPr>
            <w:tcW w:w="896" w:type="dxa"/>
            <w:vAlign w:val="top"/>
          </w:tcPr>
          <w:p>
            <w:pPr>
              <w:autoSpaceDE w:val="0"/>
              <w:autoSpaceDN w:val="0"/>
              <w:adjustRightInd w:val="0"/>
              <w:snapToGrid w:val="0"/>
              <w:jc w:val="left"/>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03" w:hRule="exact"/>
        </w:trPr>
        <w:tc>
          <w:tcPr>
            <w:tcW w:w="856" w:type="dxa"/>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olor w:val="auto"/>
                <w:kern w:val="0"/>
                <w:szCs w:val="21"/>
                <w:highlight w:val="none"/>
              </w:rPr>
              <w:t>项目总工</w:t>
            </w:r>
          </w:p>
        </w:tc>
        <w:tc>
          <w:tcPr>
            <w:tcW w:w="734" w:type="dxa"/>
            <w:vAlign w:val="top"/>
          </w:tcPr>
          <w:p>
            <w:pPr>
              <w:autoSpaceDE w:val="0"/>
              <w:autoSpaceDN w:val="0"/>
              <w:adjustRightInd w:val="0"/>
              <w:snapToGrid w:val="0"/>
              <w:jc w:val="left"/>
              <w:rPr>
                <w:rFonts w:ascii="宋体" w:hAnsi="宋体"/>
                <w:color w:val="auto"/>
                <w:kern w:val="0"/>
                <w:szCs w:val="21"/>
                <w:highlight w:val="none"/>
              </w:rPr>
            </w:pPr>
          </w:p>
        </w:tc>
        <w:tc>
          <w:tcPr>
            <w:tcW w:w="776" w:type="dxa"/>
            <w:vAlign w:val="top"/>
          </w:tcPr>
          <w:p>
            <w:pPr>
              <w:autoSpaceDE w:val="0"/>
              <w:autoSpaceDN w:val="0"/>
              <w:adjustRightInd w:val="0"/>
              <w:snapToGrid w:val="0"/>
              <w:jc w:val="left"/>
              <w:rPr>
                <w:rFonts w:ascii="宋体" w:hAnsi="宋体"/>
                <w:color w:val="auto"/>
                <w:kern w:val="0"/>
                <w:szCs w:val="21"/>
                <w:highlight w:val="none"/>
              </w:rPr>
            </w:pPr>
          </w:p>
        </w:tc>
        <w:tc>
          <w:tcPr>
            <w:tcW w:w="1167" w:type="dxa"/>
            <w:vAlign w:val="top"/>
          </w:tcPr>
          <w:p>
            <w:pPr>
              <w:autoSpaceDE w:val="0"/>
              <w:autoSpaceDN w:val="0"/>
              <w:adjustRightInd w:val="0"/>
              <w:snapToGrid w:val="0"/>
              <w:jc w:val="left"/>
              <w:rPr>
                <w:rFonts w:ascii="宋体" w:hAnsi="宋体"/>
                <w:color w:val="auto"/>
                <w:kern w:val="0"/>
                <w:szCs w:val="21"/>
                <w:highlight w:val="none"/>
              </w:rPr>
            </w:pPr>
          </w:p>
        </w:tc>
        <w:tc>
          <w:tcPr>
            <w:tcW w:w="776" w:type="dxa"/>
            <w:vAlign w:val="top"/>
          </w:tcPr>
          <w:p>
            <w:pPr>
              <w:autoSpaceDE w:val="0"/>
              <w:autoSpaceDN w:val="0"/>
              <w:adjustRightInd w:val="0"/>
              <w:snapToGrid w:val="0"/>
              <w:jc w:val="left"/>
              <w:rPr>
                <w:rFonts w:ascii="宋体" w:hAnsi="宋体"/>
                <w:color w:val="auto"/>
                <w:kern w:val="0"/>
                <w:szCs w:val="21"/>
                <w:highlight w:val="none"/>
              </w:rPr>
            </w:pPr>
          </w:p>
        </w:tc>
        <w:tc>
          <w:tcPr>
            <w:tcW w:w="778" w:type="dxa"/>
            <w:vAlign w:val="top"/>
          </w:tcPr>
          <w:p>
            <w:pPr>
              <w:autoSpaceDE w:val="0"/>
              <w:autoSpaceDN w:val="0"/>
              <w:adjustRightInd w:val="0"/>
              <w:snapToGrid w:val="0"/>
              <w:jc w:val="left"/>
              <w:rPr>
                <w:rFonts w:ascii="宋体" w:hAnsi="宋体"/>
                <w:color w:val="auto"/>
                <w:kern w:val="0"/>
                <w:szCs w:val="21"/>
                <w:highlight w:val="none"/>
              </w:rPr>
            </w:pPr>
          </w:p>
        </w:tc>
        <w:tc>
          <w:tcPr>
            <w:tcW w:w="776" w:type="dxa"/>
            <w:vAlign w:val="top"/>
          </w:tcPr>
          <w:p>
            <w:pPr>
              <w:autoSpaceDE w:val="0"/>
              <w:autoSpaceDN w:val="0"/>
              <w:adjustRightInd w:val="0"/>
              <w:snapToGrid w:val="0"/>
              <w:jc w:val="left"/>
              <w:rPr>
                <w:rFonts w:ascii="宋体" w:hAnsi="宋体"/>
                <w:color w:val="auto"/>
                <w:kern w:val="0"/>
                <w:szCs w:val="21"/>
                <w:highlight w:val="none"/>
              </w:rPr>
            </w:pPr>
          </w:p>
        </w:tc>
        <w:tc>
          <w:tcPr>
            <w:tcW w:w="2723" w:type="dxa"/>
            <w:vAlign w:val="top"/>
          </w:tcPr>
          <w:p>
            <w:pPr>
              <w:autoSpaceDE w:val="0"/>
              <w:autoSpaceDN w:val="0"/>
              <w:adjustRightInd w:val="0"/>
              <w:snapToGrid w:val="0"/>
              <w:jc w:val="left"/>
              <w:rPr>
                <w:rFonts w:ascii="宋体" w:hAnsi="宋体"/>
                <w:color w:val="auto"/>
                <w:kern w:val="0"/>
                <w:szCs w:val="21"/>
                <w:highlight w:val="none"/>
              </w:rPr>
            </w:pPr>
          </w:p>
        </w:tc>
        <w:tc>
          <w:tcPr>
            <w:tcW w:w="896" w:type="dxa"/>
            <w:vAlign w:val="top"/>
          </w:tcPr>
          <w:p>
            <w:pPr>
              <w:autoSpaceDE w:val="0"/>
              <w:autoSpaceDN w:val="0"/>
              <w:adjustRightInd w:val="0"/>
              <w:snapToGrid w:val="0"/>
              <w:jc w:val="left"/>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08" w:hRule="exact"/>
        </w:trPr>
        <w:tc>
          <w:tcPr>
            <w:tcW w:w="856" w:type="dxa"/>
            <w:vAlign w:val="top"/>
          </w:tcPr>
          <w:p>
            <w:pPr>
              <w:autoSpaceDE w:val="0"/>
              <w:autoSpaceDN w:val="0"/>
              <w:adjustRightInd w:val="0"/>
              <w:snapToGrid w:val="0"/>
              <w:jc w:val="left"/>
              <w:rPr>
                <w:rFonts w:ascii="宋体" w:hAnsi="宋体"/>
                <w:color w:val="auto"/>
                <w:kern w:val="0"/>
                <w:szCs w:val="21"/>
                <w:highlight w:val="none"/>
              </w:rPr>
            </w:pPr>
          </w:p>
        </w:tc>
        <w:tc>
          <w:tcPr>
            <w:tcW w:w="734" w:type="dxa"/>
            <w:vAlign w:val="top"/>
          </w:tcPr>
          <w:p>
            <w:pPr>
              <w:autoSpaceDE w:val="0"/>
              <w:autoSpaceDN w:val="0"/>
              <w:adjustRightInd w:val="0"/>
              <w:snapToGrid w:val="0"/>
              <w:jc w:val="left"/>
              <w:rPr>
                <w:rFonts w:ascii="宋体" w:hAnsi="宋体"/>
                <w:color w:val="auto"/>
                <w:kern w:val="0"/>
                <w:szCs w:val="21"/>
                <w:highlight w:val="none"/>
              </w:rPr>
            </w:pPr>
          </w:p>
        </w:tc>
        <w:tc>
          <w:tcPr>
            <w:tcW w:w="776" w:type="dxa"/>
            <w:vAlign w:val="top"/>
          </w:tcPr>
          <w:p>
            <w:pPr>
              <w:autoSpaceDE w:val="0"/>
              <w:autoSpaceDN w:val="0"/>
              <w:adjustRightInd w:val="0"/>
              <w:snapToGrid w:val="0"/>
              <w:jc w:val="left"/>
              <w:rPr>
                <w:rFonts w:ascii="宋体" w:hAnsi="宋体"/>
                <w:color w:val="auto"/>
                <w:kern w:val="0"/>
                <w:szCs w:val="21"/>
                <w:highlight w:val="none"/>
              </w:rPr>
            </w:pPr>
          </w:p>
        </w:tc>
        <w:tc>
          <w:tcPr>
            <w:tcW w:w="1167" w:type="dxa"/>
            <w:vAlign w:val="top"/>
          </w:tcPr>
          <w:p>
            <w:pPr>
              <w:autoSpaceDE w:val="0"/>
              <w:autoSpaceDN w:val="0"/>
              <w:adjustRightInd w:val="0"/>
              <w:snapToGrid w:val="0"/>
              <w:jc w:val="left"/>
              <w:rPr>
                <w:rFonts w:ascii="宋体" w:hAnsi="宋体"/>
                <w:color w:val="auto"/>
                <w:kern w:val="0"/>
                <w:szCs w:val="21"/>
                <w:highlight w:val="none"/>
              </w:rPr>
            </w:pPr>
          </w:p>
        </w:tc>
        <w:tc>
          <w:tcPr>
            <w:tcW w:w="776" w:type="dxa"/>
            <w:vAlign w:val="top"/>
          </w:tcPr>
          <w:p>
            <w:pPr>
              <w:autoSpaceDE w:val="0"/>
              <w:autoSpaceDN w:val="0"/>
              <w:adjustRightInd w:val="0"/>
              <w:snapToGrid w:val="0"/>
              <w:jc w:val="left"/>
              <w:rPr>
                <w:rFonts w:ascii="宋体" w:hAnsi="宋体"/>
                <w:color w:val="auto"/>
                <w:kern w:val="0"/>
                <w:szCs w:val="21"/>
                <w:highlight w:val="none"/>
              </w:rPr>
            </w:pPr>
          </w:p>
        </w:tc>
        <w:tc>
          <w:tcPr>
            <w:tcW w:w="778" w:type="dxa"/>
            <w:vAlign w:val="top"/>
          </w:tcPr>
          <w:p>
            <w:pPr>
              <w:autoSpaceDE w:val="0"/>
              <w:autoSpaceDN w:val="0"/>
              <w:adjustRightInd w:val="0"/>
              <w:snapToGrid w:val="0"/>
              <w:jc w:val="left"/>
              <w:rPr>
                <w:rFonts w:ascii="宋体" w:hAnsi="宋体"/>
                <w:color w:val="auto"/>
                <w:kern w:val="0"/>
                <w:szCs w:val="21"/>
                <w:highlight w:val="none"/>
              </w:rPr>
            </w:pPr>
          </w:p>
        </w:tc>
        <w:tc>
          <w:tcPr>
            <w:tcW w:w="776" w:type="dxa"/>
            <w:vAlign w:val="top"/>
          </w:tcPr>
          <w:p>
            <w:pPr>
              <w:autoSpaceDE w:val="0"/>
              <w:autoSpaceDN w:val="0"/>
              <w:adjustRightInd w:val="0"/>
              <w:snapToGrid w:val="0"/>
              <w:jc w:val="left"/>
              <w:rPr>
                <w:rFonts w:ascii="宋体" w:hAnsi="宋体"/>
                <w:color w:val="auto"/>
                <w:kern w:val="0"/>
                <w:szCs w:val="21"/>
                <w:highlight w:val="none"/>
              </w:rPr>
            </w:pPr>
          </w:p>
        </w:tc>
        <w:tc>
          <w:tcPr>
            <w:tcW w:w="2723" w:type="dxa"/>
            <w:vAlign w:val="top"/>
          </w:tcPr>
          <w:p>
            <w:pPr>
              <w:autoSpaceDE w:val="0"/>
              <w:autoSpaceDN w:val="0"/>
              <w:adjustRightInd w:val="0"/>
              <w:snapToGrid w:val="0"/>
              <w:jc w:val="left"/>
              <w:rPr>
                <w:rFonts w:ascii="宋体" w:hAnsi="宋体"/>
                <w:color w:val="auto"/>
                <w:kern w:val="0"/>
                <w:szCs w:val="21"/>
                <w:highlight w:val="none"/>
              </w:rPr>
            </w:pPr>
          </w:p>
        </w:tc>
        <w:tc>
          <w:tcPr>
            <w:tcW w:w="896" w:type="dxa"/>
            <w:vAlign w:val="top"/>
          </w:tcPr>
          <w:p>
            <w:pPr>
              <w:autoSpaceDE w:val="0"/>
              <w:autoSpaceDN w:val="0"/>
              <w:adjustRightInd w:val="0"/>
              <w:snapToGrid w:val="0"/>
              <w:jc w:val="left"/>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08" w:hRule="exact"/>
        </w:trPr>
        <w:tc>
          <w:tcPr>
            <w:tcW w:w="856" w:type="dxa"/>
            <w:vAlign w:val="top"/>
          </w:tcPr>
          <w:p>
            <w:pPr>
              <w:autoSpaceDE w:val="0"/>
              <w:autoSpaceDN w:val="0"/>
              <w:adjustRightInd w:val="0"/>
              <w:snapToGrid w:val="0"/>
              <w:jc w:val="left"/>
              <w:rPr>
                <w:rFonts w:ascii="宋体" w:hAnsi="宋体"/>
                <w:color w:val="auto"/>
                <w:kern w:val="0"/>
                <w:szCs w:val="21"/>
                <w:highlight w:val="none"/>
              </w:rPr>
            </w:pPr>
          </w:p>
        </w:tc>
        <w:tc>
          <w:tcPr>
            <w:tcW w:w="734" w:type="dxa"/>
            <w:vAlign w:val="top"/>
          </w:tcPr>
          <w:p>
            <w:pPr>
              <w:autoSpaceDE w:val="0"/>
              <w:autoSpaceDN w:val="0"/>
              <w:adjustRightInd w:val="0"/>
              <w:snapToGrid w:val="0"/>
              <w:jc w:val="left"/>
              <w:rPr>
                <w:rFonts w:ascii="宋体" w:hAnsi="宋体"/>
                <w:color w:val="auto"/>
                <w:kern w:val="0"/>
                <w:szCs w:val="21"/>
                <w:highlight w:val="none"/>
              </w:rPr>
            </w:pPr>
          </w:p>
        </w:tc>
        <w:tc>
          <w:tcPr>
            <w:tcW w:w="776" w:type="dxa"/>
            <w:vAlign w:val="top"/>
          </w:tcPr>
          <w:p>
            <w:pPr>
              <w:autoSpaceDE w:val="0"/>
              <w:autoSpaceDN w:val="0"/>
              <w:adjustRightInd w:val="0"/>
              <w:snapToGrid w:val="0"/>
              <w:jc w:val="left"/>
              <w:rPr>
                <w:rFonts w:ascii="宋体" w:hAnsi="宋体"/>
                <w:color w:val="auto"/>
                <w:kern w:val="0"/>
                <w:szCs w:val="21"/>
                <w:highlight w:val="none"/>
              </w:rPr>
            </w:pPr>
          </w:p>
        </w:tc>
        <w:tc>
          <w:tcPr>
            <w:tcW w:w="1167" w:type="dxa"/>
            <w:vAlign w:val="top"/>
          </w:tcPr>
          <w:p>
            <w:pPr>
              <w:autoSpaceDE w:val="0"/>
              <w:autoSpaceDN w:val="0"/>
              <w:adjustRightInd w:val="0"/>
              <w:snapToGrid w:val="0"/>
              <w:jc w:val="left"/>
              <w:rPr>
                <w:rFonts w:ascii="宋体" w:hAnsi="宋体"/>
                <w:color w:val="auto"/>
                <w:kern w:val="0"/>
                <w:szCs w:val="21"/>
                <w:highlight w:val="none"/>
              </w:rPr>
            </w:pPr>
          </w:p>
        </w:tc>
        <w:tc>
          <w:tcPr>
            <w:tcW w:w="776" w:type="dxa"/>
            <w:vAlign w:val="top"/>
          </w:tcPr>
          <w:p>
            <w:pPr>
              <w:autoSpaceDE w:val="0"/>
              <w:autoSpaceDN w:val="0"/>
              <w:adjustRightInd w:val="0"/>
              <w:snapToGrid w:val="0"/>
              <w:jc w:val="left"/>
              <w:rPr>
                <w:rFonts w:ascii="宋体" w:hAnsi="宋体"/>
                <w:color w:val="auto"/>
                <w:kern w:val="0"/>
                <w:szCs w:val="21"/>
                <w:highlight w:val="none"/>
              </w:rPr>
            </w:pPr>
          </w:p>
        </w:tc>
        <w:tc>
          <w:tcPr>
            <w:tcW w:w="778" w:type="dxa"/>
            <w:vAlign w:val="top"/>
          </w:tcPr>
          <w:p>
            <w:pPr>
              <w:autoSpaceDE w:val="0"/>
              <w:autoSpaceDN w:val="0"/>
              <w:adjustRightInd w:val="0"/>
              <w:snapToGrid w:val="0"/>
              <w:jc w:val="left"/>
              <w:rPr>
                <w:rFonts w:ascii="宋体" w:hAnsi="宋体"/>
                <w:color w:val="auto"/>
                <w:kern w:val="0"/>
                <w:szCs w:val="21"/>
                <w:highlight w:val="none"/>
              </w:rPr>
            </w:pPr>
          </w:p>
        </w:tc>
        <w:tc>
          <w:tcPr>
            <w:tcW w:w="776" w:type="dxa"/>
            <w:vAlign w:val="top"/>
          </w:tcPr>
          <w:p>
            <w:pPr>
              <w:autoSpaceDE w:val="0"/>
              <w:autoSpaceDN w:val="0"/>
              <w:adjustRightInd w:val="0"/>
              <w:snapToGrid w:val="0"/>
              <w:jc w:val="left"/>
              <w:rPr>
                <w:rFonts w:ascii="宋体" w:hAnsi="宋体"/>
                <w:color w:val="auto"/>
                <w:kern w:val="0"/>
                <w:szCs w:val="21"/>
                <w:highlight w:val="none"/>
              </w:rPr>
            </w:pPr>
          </w:p>
        </w:tc>
        <w:tc>
          <w:tcPr>
            <w:tcW w:w="2723" w:type="dxa"/>
            <w:vAlign w:val="top"/>
          </w:tcPr>
          <w:p>
            <w:pPr>
              <w:autoSpaceDE w:val="0"/>
              <w:autoSpaceDN w:val="0"/>
              <w:adjustRightInd w:val="0"/>
              <w:snapToGrid w:val="0"/>
              <w:jc w:val="left"/>
              <w:rPr>
                <w:rFonts w:ascii="宋体" w:hAnsi="宋体"/>
                <w:color w:val="auto"/>
                <w:kern w:val="0"/>
                <w:szCs w:val="21"/>
                <w:highlight w:val="none"/>
              </w:rPr>
            </w:pPr>
          </w:p>
        </w:tc>
        <w:tc>
          <w:tcPr>
            <w:tcW w:w="896" w:type="dxa"/>
            <w:vAlign w:val="top"/>
          </w:tcPr>
          <w:p>
            <w:pPr>
              <w:autoSpaceDE w:val="0"/>
              <w:autoSpaceDN w:val="0"/>
              <w:adjustRightInd w:val="0"/>
              <w:snapToGrid w:val="0"/>
              <w:jc w:val="left"/>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08" w:hRule="exact"/>
        </w:trPr>
        <w:tc>
          <w:tcPr>
            <w:tcW w:w="856" w:type="dxa"/>
            <w:vAlign w:val="top"/>
          </w:tcPr>
          <w:p>
            <w:pPr>
              <w:autoSpaceDE w:val="0"/>
              <w:autoSpaceDN w:val="0"/>
              <w:adjustRightInd w:val="0"/>
              <w:snapToGrid w:val="0"/>
              <w:jc w:val="left"/>
              <w:rPr>
                <w:rFonts w:ascii="宋体" w:hAnsi="宋体"/>
                <w:color w:val="auto"/>
                <w:kern w:val="0"/>
                <w:szCs w:val="21"/>
                <w:highlight w:val="none"/>
              </w:rPr>
            </w:pPr>
          </w:p>
        </w:tc>
        <w:tc>
          <w:tcPr>
            <w:tcW w:w="734" w:type="dxa"/>
            <w:vAlign w:val="top"/>
          </w:tcPr>
          <w:p>
            <w:pPr>
              <w:autoSpaceDE w:val="0"/>
              <w:autoSpaceDN w:val="0"/>
              <w:adjustRightInd w:val="0"/>
              <w:snapToGrid w:val="0"/>
              <w:jc w:val="left"/>
              <w:rPr>
                <w:rFonts w:ascii="宋体" w:hAnsi="宋体"/>
                <w:color w:val="auto"/>
                <w:kern w:val="0"/>
                <w:szCs w:val="21"/>
                <w:highlight w:val="none"/>
              </w:rPr>
            </w:pPr>
          </w:p>
        </w:tc>
        <w:tc>
          <w:tcPr>
            <w:tcW w:w="776" w:type="dxa"/>
            <w:vAlign w:val="top"/>
          </w:tcPr>
          <w:p>
            <w:pPr>
              <w:autoSpaceDE w:val="0"/>
              <w:autoSpaceDN w:val="0"/>
              <w:adjustRightInd w:val="0"/>
              <w:snapToGrid w:val="0"/>
              <w:jc w:val="left"/>
              <w:rPr>
                <w:rFonts w:ascii="宋体" w:hAnsi="宋体"/>
                <w:color w:val="auto"/>
                <w:kern w:val="0"/>
                <w:szCs w:val="21"/>
                <w:highlight w:val="none"/>
              </w:rPr>
            </w:pPr>
          </w:p>
        </w:tc>
        <w:tc>
          <w:tcPr>
            <w:tcW w:w="1167" w:type="dxa"/>
            <w:vAlign w:val="top"/>
          </w:tcPr>
          <w:p>
            <w:pPr>
              <w:autoSpaceDE w:val="0"/>
              <w:autoSpaceDN w:val="0"/>
              <w:adjustRightInd w:val="0"/>
              <w:snapToGrid w:val="0"/>
              <w:jc w:val="left"/>
              <w:rPr>
                <w:rFonts w:ascii="宋体" w:hAnsi="宋体"/>
                <w:color w:val="auto"/>
                <w:kern w:val="0"/>
                <w:szCs w:val="21"/>
                <w:highlight w:val="none"/>
              </w:rPr>
            </w:pPr>
          </w:p>
        </w:tc>
        <w:tc>
          <w:tcPr>
            <w:tcW w:w="776" w:type="dxa"/>
            <w:vAlign w:val="top"/>
          </w:tcPr>
          <w:p>
            <w:pPr>
              <w:autoSpaceDE w:val="0"/>
              <w:autoSpaceDN w:val="0"/>
              <w:adjustRightInd w:val="0"/>
              <w:snapToGrid w:val="0"/>
              <w:jc w:val="left"/>
              <w:rPr>
                <w:rFonts w:ascii="宋体" w:hAnsi="宋体"/>
                <w:color w:val="auto"/>
                <w:kern w:val="0"/>
                <w:szCs w:val="21"/>
                <w:highlight w:val="none"/>
              </w:rPr>
            </w:pPr>
          </w:p>
        </w:tc>
        <w:tc>
          <w:tcPr>
            <w:tcW w:w="778" w:type="dxa"/>
            <w:vAlign w:val="top"/>
          </w:tcPr>
          <w:p>
            <w:pPr>
              <w:autoSpaceDE w:val="0"/>
              <w:autoSpaceDN w:val="0"/>
              <w:adjustRightInd w:val="0"/>
              <w:snapToGrid w:val="0"/>
              <w:jc w:val="left"/>
              <w:rPr>
                <w:rFonts w:ascii="宋体" w:hAnsi="宋体"/>
                <w:color w:val="auto"/>
                <w:kern w:val="0"/>
                <w:szCs w:val="21"/>
                <w:highlight w:val="none"/>
              </w:rPr>
            </w:pPr>
          </w:p>
        </w:tc>
        <w:tc>
          <w:tcPr>
            <w:tcW w:w="776" w:type="dxa"/>
            <w:vAlign w:val="top"/>
          </w:tcPr>
          <w:p>
            <w:pPr>
              <w:autoSpaceDE w:val="0"/>
              <w:autoSpaceDN w:val="0"/>
              <w:adjustRightInd w:val="0"/>
              <w:snapToGrid w:val="0"/>
              <w:jc w:val="left"/>
              <w:rPr>
                <w:rFonts w:ascii="宋体" w:hAnsi="宋体"/>
                <w:color w:val="auto"/>
                <w:kern w:val="0"/>
                <w:szCs w:val="21"/>
                <w:highlight w:val="none"/>
              </w:rPr>
            </w:pPr>
          </w:p>
        </w:tc>
        <w:tc>
          <w:tcPr>
            <w:tcW w:w="2723" w:type="dxa"/>
            <w:vAlign w:val="top"/>
          </w:tcPr>
          <w:p>
            <w:pPr>
              <w:autoSpaceDE w:val="0"/>
              <w:autoSpaceDN w:val="0"/>
              <w:adjustRightInd w:val="0"/>
              <w:snapToGrid w:val="0"/>
              <w:jc w:val="left"/>
              <w:rPr>
                <w:rFonts w:ascii="宋体" w:hAnsi="宋体"/>
                <w:color w:val="auto"/>
                <w:kern w:val="0"/>
                <w:szCs w:val="21"/>
                <w:highlight w:val="none"/>
              </w:rPr>
            </w:pPr>
          </w:p>
        </w:tc>
        <w:tc>
          <w:tcPr>
            <w:tcW w:w="896" w:type="dxa"/>
            <w:vAlign w:val="top"/>
          </w:tcPr>
          <w:p>
            <w:pPr>
              <w:autoSpaceDE w:val="0"/>
              <w:autoSpaceDN w:val="0"/>
              <w:adjustRightInd w:val="0"/>
              <w:snapToGrid w:val="0"/>
              <w:jc w:val="left"/>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08" w:hRule="exact"/>
        </w:trPr>
        <w:tc>
          <w:tcPr>
            <w:tcW w:w="856" w:type="dxa"/>
            <w:vAlign w:val="top"/>
          </w:tcPr>
          <w:p>
            <w:pPr>
              <w:autoSpaceDE w:val="0"/>
              <w:autoSpaceDN w:val="0"/>
              <w:adjustRightInd w:val="0"/>
              <w:snapToGrid w:val="0"/>
              <w:jc w:val="left"/>
              <w:rPr>
                <w:rFonts w:ascii="宋体" w:hAnsi="宋体"/>
                <w:color w:val="auto"/>
                <w:kern w:val="0"/>
                <w:szCs w:val="21"/>
                <w:highlight w:val="none"/>
              </w:rPr>
            </w:pPr>
          </w:p>
        </w:tc>
        <w:tc>
          <w:tcPr>
            <w:tcW w:w="734" w:type="dxa"/>
            <w:vAlign w:val="top"/>
          </w:tcPr>
          <w:p>
            <w:pPr>
              <w:autoSpaceDE w:val="0"/>
              <w:autoSpaceDN w:val="0"/>
              <w:adjustRightInd w:val="0"/>
              <w:snapToGrid w:val="0"/>
              <w:jc w:val="left"/>
              <w:rPr>
                <w:rFonts w:ascii="宋体" w:hAnsi="宋体"/>
                <w:color w:val="auto"/>
                <w:kern w:val="0"/>
                <w:szCs w:val="21"/>
                <w:highlight w:val="none"/>
              </w:rPr>
            </w:pPr>
          </w:p>
        </w:tc>
        <w:tc>
          <w:tcPr>
            <w:tcW w:w="776" w:type="dxa"/>
            <w:vAlign w:val="top"/>
          </w:tcPr>
          <w:p>
            <w:pPr>
              <w:autoSpaceDE w:val="0"/>
              <w:autoSpaceDN w:val="0"/>
              <w:adjustRightInd w:val="0"/>
              <w:snapToGrid w:val="0"/>
              <w:jc w:val="left"/>
              <w:rPr>
                <w:rFonts w:ascii="宋体" w:hAnsi="宋体"/>
                <w:color w:val="auto"/>
                <w:kern w:val="0"/>
                <w:szCs w:val="21"/>
                <w:highlight w:val="none"/>
              </w:rPr>
            </w:pPr>
          </w:p>
        </w:tc>
        <w:tc>
          <w:tcPr>
            <w:tcW w:w="1167" w:type="dxa"/>
            <w:vAlign w:val="top"/>
          </w:tcPr>
          <w:p>
            <w:pPr>
              <w:autoSpaceDE w:val="0"/>
              <w:autoSpaceDN w:val="0"/>
              <w:adjustRightInd w:val="0"/>
              <w:snapToGrid w:val="0"/>
              <w:jc w:val="left"/>
              <w:rPr>
                <w:rFonts w:ascii="宋体" w:hAnsi="宋体"/>
                <w:color w:val="auto"/>
                <w:kern w:val="0"/>
                <w:szCs w:val="21"/>
                <w:highlight w:val="none"/>
              </w:rPr>
            </w:pPr>
          </w:p>
        </w:tc>
        <w:tc>
          <w:tcPr>
            <w:tcW w:w="776" w:type="dxa"/>
            <w:vAlign w:val="top"/>
          </w:tcPr>
          <w:p>
            <w:pPr>
              <w:autoSpaceDE w:val="0"/>
              <w:autoSpaceDN w:val="0"/>
              <w:adjustRightInd w:val="0"/>
              <w:snapToGrid w:val="0"/>
              <w:jc w:val="left"/>
              <w:rPr>
                <w:rFonts w:ascii="宋体" w:hAnsi="宋体"/>
                <w:color w:val="auto"/>
                <w:kern w:val="0"/>
                <w:szCs w:val="21"/>
                <w:highlight w:val="none"/>
              </w:rPr>
            </w:pPr>
          </w:p>
        </w:tc>
        <w:tc>
          <w:tcPr>
            <w:tcW w:w="778" w:type="dxa"/>
            <w:vAlign w:val="top"/>
          </w:tcPr>
          <w:p>
            <w:pPr>
              <w:autoSpaceDE w:val="0"/>
              <w:autoSpaceDN w:val="0"/>
              <w:adjustRightInd w:val="0"/>
              <w:snapToGrid w:val="0"/>
              <w:jc w:val="left"/>
              <w:rPr>
                <w:rFonts w:ascii="宋体" w:hAnsi="宋体"/>
                <w:color w:val="auto"/>
                <w:kern w:val="0"/>
                <w:szCs w:val="21"/>
                <w:highlight w:val="none"/>
              </w:rPr>
            </w:pPr>
          </w:p>
        </w:tc>
        <w:tc>
          <w:tcPr>
            <w:tcW w:w="776" w:type="dxa"/>
            <w:vAlign w:val="top"/>
          </w:tcPr>
          <w:p>
            <w:pPr>
              <w:autoSpaceDE w:val="0"/>
              <w:autoSpaceDN w:val="0"/>
              <w:adjustRightInd w:val="0"/>
              <w:snapToGrid w:val="0"/>
              <w:jc w:val="left"/>
              <w:rPr>
                <w:rFonts w:ascii="宋体" w:hAnsi="宋体"/>
                <w:color w:val="auto"/>
                <w:kern w:val="0"/>
                <w:szCs w:val="21"/>
                <w:highlight w:val="none"/>
              </w:rPr>
            </w:pPr>
          </w:p>
        </w:tc>
        <w:tc>
          <w:tcPr>
            <w:tcW w:w="2723" w:type="dxa"/>
            <w:vAlign w:val="top"/>
          </w:tcPr>
          <w:p>
            <w:pPr>
              <w:autoSpaceDE w:val="0"/>
              <w:autoSpaceDN w:val="0"/>
              <w:adjustRightInd w:val="0"/>
              <w:snapToGrid w:val="0"/>
              <w:jc w:val="left"/>
              <w:rPr>
                <w:rFonts w:ascii="宋体" w:hAnsi="宋体"/>
                <w:color w:val="auto"/>
                <w:kern w:val="0"/>
                <w:szCs w:val="21"/>
                <w:highlight w:val="none"/>
              </w:rPr>
            </w:pPr>
          </w:p>
        </w:tc>
        <w:tc>
          <w:tcPr>
            <w:tcW w:w="896" w:type="dxa"/>
            <w:vAlign w:val="top"/>
          </w:tcPr>
          <w:p>
            <w:pPr>
              <w:autoSpaceDE w:val="0"/>
              <w:autoSpaceDN w:val="0"/>
              <w:adjustRightInd w:val="0"/>
              <w:snapToGrid w:val="0"/>
              <w:jc w:val="left"/>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08" w:hRule="exact"/>
        </w:trPr>
        <w:tc>
          <w:tcPr>
            <w:tcW w:w="856" w:type="dxa"/>
            <w:vAlign w:val="top"/>
          </w:tcPr>
          <w:p>
            <w:pPr>
              <w:autoSpaceDE w:val="0"/>
              <w:autoSpaceDN w:val="0"/>
              <w:adjustRightInd w:val="0"/>
              <w:snapToGrid w:val="0"/>
              <w:jc w:val="left"/>
              <w:rPr>
                <w:rFonts w:ascii="宋体" w:hAnsi="宋体"/>
                <w:color w:val="auto"/>
                <w:kern w:val="0"/>
                <w:szCs w:val="21"/>
                <w:highlight w:val="none"/>
              </w:rPr>
            </w:pPr>
          </w:p>
        </w:tc>
        <w:tc>
          <w:tcPr>
            <w:tcW w:w="734" w:type="dxa"/>
            <w:vAlign w:val="top"/>
          </w:tcPr>
          <w:p>
            <w:pPr>
              <w:autoSpaceDE w:val="0"/>
              <w:autoSpaceDN w:val="0"/>
              <w:adjustRightInd w:val="0"/>
              <w:snapToGrid w:val="0"/>
              <w:jc w:val="left"/>
              <w:rPr>
                <w:rFonts w:ascii="宋体" w:hAnsi="宋体"/>
                <w:color w:val="auto"/>
                <w:kern w:val="0"/>
                <w:szCs w:val="21"/>
                <w:highlight w:val="none"/>
              </w:rPr>
            </w:pPr>
          </w:p>
        </w:tc>
        <w:tc>
          <w:tcPr>
            <w:tcW w:w="776" w:type="dxa"/>
            <w:vAlign w:val="top"/>
          </w:tcPr>
          <w:p>
            <w:pPr>
              <w:autoSpaceDE w:val="0"/>
              <w:autoSpaceDN w:val="0"/>
              <w:adjustRightInd w:val="0"/>
              <w:snapToGrid w:val="0"/>
              <w:jc w:val="left"/>
              <w:rPr>
                <w:rFonts w:ascii="宋体" w:hAnsi="宋体"/>
                <w:color w:val="auto"/>
                <w:kern w:val="0"/>
                <w:szCs w:val="21"/>
                <w:highlight w:val="none"/>
              </w:rPr>
            </w:pPr>
          </w:p>
        </w:tc>
        <w:tc>
          <w:tcPr>
            <w:tcW w:w="1167" w:type="dxa"/>
            <w:vAlign w:val="top"/>
          </w:tcPr>
          <w:p>
            <w:pPr>
              <w:autoSpaceDE w:val="0"/>
              <w:autoSpaceDN w:val="0"/>
              <w:adjustRightInd w:val="0"/>
              <w:snapToGrid w:val="0"/>
              <w:jc w:val="left"/>
              <w:rPr>
                <w:rFonts w:ascii="宋体" w:hAnsi="宋体"/>
                <w:color w:val="auto"/>
                <w:kern w:val="0"/>
                <w:szCs w:val="21"/>
                <w:highlight w:val="none"/>
              </w:rPr>
            </w:pPr>
          </w:p>
        </w:tc>
        <w:tc>
          <w:tcPr>
            <w:tcW w:w="776" w:type="dxa"/>
            <w:vAlign w:val="top"/>
          </w:tcPr>
          <w:p>
            <w:pPr>
              <w:autoSpaceDE w:val="0"/>
              <w:autoSpaceDN w:val="0"/>
              <w:adjustRightInd w:val="0"/>
              <w:snapToGrid w:val="0"/>
              <w:jc w:val="left"/>
              <w:rPr>
                <w:rFonts w:ascii="宋体" w:hAnsi="宋体"/>
                <w:color w:val="auto"/>
                <w:kern w:val="0"/>
                <w:szCs w:val="21"/>
                <w:highlight w:val="none"/>
              </w:rPr>
            </w:pPr>
          </w:p>
        </w:tc>
        <w:tc>
          <w:tcPr>
            <w:tcW w:w="778" w:type="dxa"/>
            <w:vAlign w:val="top"/>
          </w:tcPr>
          <w:p>
            <w:pPr>
              <w:autoSpaceDE w:val="0"/>
              <w:autoSpaceDN w:val="0"/>
              <w:adjustRightInd w:val="0"/>
              <w:snapToGrid w:val="0"/>
              <w:jc w:val="left"/>
              <w:rPr>
                <w:rFonts w:ascii="宋体" w:hAnsi="宋体"/>
                <w:color w:val="auto"/>
                <w:kern w:val="0"/>
                <w:szCs w:val="21"/>
                <w:highlight w:val="none"/>
              </w:rPr>
            </w:pPr>
          </w:p>
        </w:tc>
        <w:tc>
          <w:tcPr>
            <w:tcW w:w="776" w:type="dxa"/>
            <w:vAlign w:val="top"/>
          </w:tcPr>
          <w:p>
            <w:pPr>
              <w:autoSpaceDE w:val="0"/>
              <w:autoSpaceDN w:val="0"/>
              <w:adjustRightInd w:val="0"/>
              <w:snapToGrid w:val="0"/>
              <w:jc w:val="left"/>
              <w:rPr>
                <w:rFonts w:ascii="宋体" w:hAnsi="宋体"/>
                <w:color w:val="auto"/>
                <w:kern w:val="0"/>
                <w:szCs w:val="21"/>
                <w:highlight w:val="none"/>
              </w:rPr>
            </w:pPr>
          </w:p>
        </w:tc>
        <w:tc>
          <w:tcPr>
            <w:tcW w:w="2723" w:type="dxa"/>
            <w:vAlign w:val="top"/>
          </w:tcPr>
          <w:p>
            <w:pPr>
              <w:autoSpaceDE w:val="0"/>
              <w:autoSpaceDN w:val="0"/>
              <w:adjustRightInd w:val="0"/>
              <w:snapToGrid w:val="0"/>
              <w:jc w:val="left"/>
              <w:rPr>
                <w:rFonts w:ascii="宋体" w:hAnsi="宋体"/>
                <w:color w:val="auto"/>
                <w:kern w:val="0"/>
                <w:szCs w:val="21"/>
                <w:highlight w:val="none"/>
              </w:rPr>
            </w:pPr>
          </w:p>
        </w:tc>
        <w:tc>
          <w:tcPr>
            <w:tcW w:w="896" w:type="dxa"/>
            <w:vAlign w:val="top"/>
          </w:tcPr>
          <w:p>
            <w:pPr>
              <w:autoSpaceDE w:val="0"/>
              <w:autoSpaceDN w:val="0"/>
              <w:adjustRightInd w:val="0"/>
              <w:snapToGrid w:val="0"/>
              <w:jc w:val="left"/>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08" w:hRule="exact"/>
        </w:trPr>
        <w:tc>
          <w:tcPr>
            <w:tcW w:w="856" w:type="dxa"/>
            <w:vAlign w:val="top"/>
          </w:tcPr>
          <w:p>
            <w:pPr>
              <w:autoSpaceDE w:val="0"/>
              <w:autoSpaceDN w:val="0"/>
              <w:adjustRightInd w:val="0"/>
              <w:snapToGrid w:val="0"/>
              <w:jc w:val="left"/>
              <w:rPr>
                <w:rFonts w:ascii="宋体" w:hAnsi="宋体"/>
                <w:color w:val="auto"/>
                <w:kern w:val="0"/>
                <w:szCs w:val="21"/>
                <w:highlight w:val="none"/>
              </w:rPr>
            </w:pPr>
          </w:p>
        </w:tc>
        <w:tc>
          <w:tcPr>
            <w:tcW w:w="734" w:type="dxa"/>
            <w:vAlign w:val="top"/>
          </w:tcPr>
          <w:p>
            <w:pPr>
              <w:autoSpaceDE w:val="0"/>
              <w:autoSpaceDN w:val="0"/>
              <w:adjustRightInd w:val="0"/>
              <w:snapToGrid w:val="0"/>
              <w:jc w:val="left"/>
              <w:rPr>
                <w:rFonts w:ascii="宋体" w:hAnsi="宋体"/>
                <w:color w:val="auto"/>
                <w:kern w:val="0"/>
                <w:szCs w:val="21"/>
                <w:highlight w:val="none"/>
              </w:rPr>
            </w:pPr>
          </w:p>
        </w:tc>
        <w:tc>
          <w:tcPr>
            <w:tcW w:w="776" w:type="dxa"/>
            <w:vAlign w:val="top"/>
          </w:tcPr>
          <w:p>
            <w:pPr>
              <w:autoSpaceDE w:val="0"/>
              <w:autoSpaceDN w:val="0"/>
              <w:adjustRightInd w:val="0"/>
              <w:snapToGrid w:val="0"/>
              <w:jc w:val="left"/>
              <w:rPr>
                <w:rFonts w:ascii="宋体" w:hAnsi="宋体"/>
                <w:color w:val="auto"/>
                <w:kern w:val="0"/>
                <w:szCs w:val="21"/>
                <w:highlight w:val="none"/>
              </w:rPr>
            </w:pPr>
          </w:p>
        </w:tc>
        <w:tc>
          <w:tcPr>
            <w:tcW w:w="1167" w:type="dxa"/>
            <w:vAlign w:val="top"/>
          </w:tcPr>
          <w:p>
            <w:pPr>
              <w:autoSpaceDE w:val="0"/>
              <w:autoSpaceDN w:val="0"/>
              <w:adjustRightInd w:val="0"/>
              <w:snapToGrid w:val="0"/>
              <w:jc w:val="left"/>
              <w:rPr>
                <w:rFonts w:ascii="宋体" w:hAnsi="宋体"/>
                <w:color w:val="auto"/>
                <w:kern w:val="0"/>
                <w:szCs w:val="21"/>
                <w:highlight w:val="none"/>
              </w:rPr>
            </w:pPr>
          </w:p>
        </w:tc>
        <w:tc>
          <w:tcPr>
            <w:tcW w:w="776" w:type="dxa"/>
            <w:vAlign w:val="top"/>
          </w:tcPr>
          <w:p>
            <w:pPr>
              <w:autoSpaceDE w:val="0"/>
              <w:autoSpaceDN w:val="0"/>
              <w:adjustRightInd w:val="0"/>
              <w:snapToGrid w:val="0"/>
              <w:jc w:val="left"/>
              <w:rPr>
                <w:rFonts w:ascii="宋体" w:hAnsi="宋体"/>
                <w:color w:val="auto"/>
                <w:kern w:val="0"/>
                <w:szCs w:val="21"/>
                <w:highlight w:val="none"/>
              </w:rPr>
            </w:pPr>
          </w:p>
        </w:tc>
        <w:tc>
          <w:tcPr>
            <w:tcW w:w="778" w:type="dxa"/>
            <w:vAlign w:val="top"/>
          </w:tcPr>
          <w:p>
            <w:pPr>
              <w:autoSpaceDE w:val="0"/>
              <w:autoSpaceDN w:val="0"/>
              <w:adjustRightInd w:val="0"/>
              <w:snapToGrid w:val="0"/>
              <w:jc w:val="left"/>
              <w:rPr>
                <w:rFonts w:ascii="宋体" w:hAnsi="宋体"/>
                <w:color w:val="auto"/>
                <w:kern w:val="0"/>
                <w:szCs w:val="21"/>
                <w:highlight w:val="none"/>
              </w:rPr>
            </w:pPr>
          </w:p>
        </w:tc>
        <w:tc>
          <w:tcPr>
            <w:tcW w:w="776" w:type="dxa"/>
            <w:vAlign w:val="top"/>
          </w:tcPr>
          <w:p>
            <w:pPr>
              <w:autoSpaceDE w:val="0"/>
              <w:autoSpaceDN w:val="0"/>
              <w:adjustRightInd w:val="0"/>
              <w:snapToGrid w:val="0"/>
              <w:jc w:val="left"/>
              <w:rPr>
                <w:rFonts w:ascii="宋体" w:hAnsi="宋体"/>
                <w:color w:val="auto"/>
                <w:kern w:val="0"/>
                <w:szCs w:val="21"/>
                <w:highlight w:val="none"/>
              </w:rPr>
            </w:pPr>
          </w:p>
        </w:tc>
        <w:tc>
          <w:tcPr>
            <w:tcW w:w="2723" w:type="dxa"/>
            <w:vAlign w:val="top"/>
          </w:tcPr>
          <w:p>
            <w:pPr>
              <w:autoSpaceDE w:val="0"/>
              <w:autoSpaceDN w:val="0"/>
              <w:adjustRightInd w:val="0"/>
              <w:snapToGrid w:val="0"/>
              <w:jc w:val="left"/>
              <w:rPr>
                <w:rFonts w:ascii="宋体" w:hAnsi="宋体"/>
                <w:color w:val="auto"/>
                <w:kern w:val="0"/>
                <w:szCs w:val="21"/>
                <w:highlight w:val="none"/>
              </w:rPr>
            </w:pPr>
          </w:p>
        </w:tc>
        <w:tc>
          <w:tcPr>
            <w:tcW w:w="896" w:type="dxa"/>
            <w:vAlign w:val="top"/>
          </w:tcPr>
          <w:p>
            <w:pPr>
              <w:autoSpaceDE w:val="0"/>
              <w:autoSpaceDN w:val="0"/>
              <w:adjustRightInd w:val="0"/>
              <w:snapToGrid w:val="0"/>
              <w:jc w:val="left"/>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08" w:hRule="exact"/>
        </w:trPr>
        <w:tc>
          <w:tcPr>
            <w:tcW w:w="856" w:type="dxa"/>
            <w:vAlign w:val="top"/>
          </w:tcPr>
          <w:p>
            <w:pPr>
              <w:autoSpaceDE w:val="0"/>
              <w:autoSpaceDN w:val="0"/>
              <w:adjustRightInd w:val="0"/>
              <w:snapToGrid w:val="0"/>
              <w:jc w:val="left"/>
              <w:rPr>
                <w:rFonts w:ascii="宋体" w:hAnsi="宋体"/>
                <w:color w:val="auto"/>
                <w:kern w:val="0"/>
                <w:szCs w:val="21"/>
                <w:highlight w:val="none"/>
              </w:rPr>
            </w:pPr>
          </w:p>
        </w:tc>
        <w:tc>
          <w:tcPr>
            <w:tcW w:w="734" w:type="dxa"/>
            <w:vAlign w:val="top"/>
          </w:tcPr>
          <w:p>
            <w:pPr>
              <w:autoSpaceDE w:val="0"/>
              <w:autoSpaceDN w:val="0"/>
              <w:adjustRightInd w:val="0"/>
              <w:snapToGrid w:val="0"/>
              <w:jc w:val="left"/>
              <w:rPr>
                <w:rFonts w:ascii="宋体" w:hAnsi="宋体"/>
                <w:color w:val="auto"/>
                <w:kern w:val="0"/>
                <w:szCs w:val="21"/>
                <w:highlight w:val="none"/>
              </w:rPr>
            </w:pPr>
          </w:p>
        </w:tc>
        <w:tc>
          <w:tcPr>
            <w:tcW w:w="776" w:type="dxa"/>
            <w:vAlign w:val="top"/>
          </w:tcPr>
          <w:p>
            <w:pPr>
              <w:autoSpaceDE w:val="0"/>
              <w:autoSpaceDN w:val="0"/>
              <w:adjustRightInd w:val="0"/>
              <w:snapToGrid w:val="0"/>
              <w:jc w:val="left"/>
              <w:rPr>
                <w:rFonts w:ascii="宋体" w:hAnsi="宋体"/>
                <w:color w:val="auto"/>
                <w:kern w:val="0"/>
                <w:szCs w:val="21"/>
                <w:highlight w:val="none"/>
              </w:rPr>
            </w:pPr>
          </w:p>
        </w:tc>
        <w:tc>
          <w:tcPr>
            <w:tcW w:w="1167" w:type="dxa"/>
            <w:vAlign w:val="top"/>
          </w:tcPr>
          <w:p>
            <w:pPr>
              <w:autoSpaceDE w:val="0"/>
              <w:autoSpaceDN w:val="0"/>
              <w:adjustRightInd w:val="0"/>
              <w:snapToGrid w:val="0"/>
              <w:jc w:val="left"/>
              <w:rPr>
                <w:rFonts w:ascii="宋体" w:hAnsi="宋体"/>
                <w:color w:val="auto"/>
                <w:kern w:val="0"/>
                <w:szCs w:val="21"/>
                <w:highlight w:val="none"/>
              </w:rPr>
            </w:pPr>
          </w:p>
        </w:tc>
        <w:tc>
          <w:tcPr>
            <w:tcW w:w="776" w:type="dxa"/>
            <w:vAlign w:val="top"/>
          </w:tcPr>
          <w:p>
            <w:pPr>
              <w:autoSpaceDE w:val="0"/>
              <w:autoSpaceDN w:val="0"/>
              <w:adjustRightInd w:val="0"/>
              <w:snapToGrid w:val="0"/>
              <w:jc w:val="left"/>
              <w:rPr>
                <w:rFonts w:ascii="宋体" w:hAnsi="宋体"/>
                <w:color w:val="auto"/>
                <w:kern w:val="0"/>
                <w:szCs w:val="21"/>
                <w:highlight w:val="none"/>
              </w:rPr>
            </w:pPr>
          </w:p>
        </w:tc>
        <w:tc>
          <w:tcPr>
            <w:tcW w:w="778" w:type="dxa"/>
            <w:vAlign w:val="top"/>
          </w:tcPr>
          <w:p>
            <w:pPr>
              <w:autoSpaceDE w:val="0"/>
              <w:autoSpaceDN w:val="0"/>
              <w:adjustRightInd w:val="0"/>
              <w:snapToGrid w:val="0"/>
              <w:jc w:val="left"/>
              <w:rPr>
                <w:rFonts w:ascii="宋体" w:hAnsi="宋体"/>
                <w:color w:val="auto"/>
                <w:kern w:val="0"/>
                <w:szCs w:val="21"/>
                <w:highlight w:val="none"/>
              </w:rPr>
            </w:pPr>
          </w:p>
        </w:tc>
        <w:tc>
          <w:tcPr>
            <w:tcW w:w="776" w:type="dxa"/>
            <w:vAlign w:val="top"/>
          </w:tcPr>
          <w:p>
            <w:pPr>
              <w:autoSpaceDE w:val="0"/>
              <w:autoSpaceDN w:val="0"/>
              <w:adjustRightInd w:val="0"/>
              <w:snapToGrid w:val="0"/>
              <w:jc w:val="left"/>
              <w:rPr>
                <w:rFonts w:ascii="宋体" w:hAnsi="宋体"/>
                <w:color w:val="auto"/>
                <w:kern w:val="0"/>
                <w:szCs w:val="21"/>
                <w:highlight w:val="none"/>
              </w:rPr>
            </w:pPr>
          </w:p>
        </w:tc>
        <w:tc>
          <w:tcPr>
            <w:tcW w:w="2723" w:type="dxa"/>
            <w:vAlign w:val="top"/>
          </w:tcPr>
          <w:p>
            <w:pPr>
              <w:autoSpaceDE w:val="0"/>
              <w:autoSpaceDN w:val="0"/>
              <w:adjustRightInd w:val="0"/>
              <w:snapToGrid w:val="0"/>
              <w:jc w:val="left"/>
              <w:rPr>
                <w:rFonts w:ascii="宋体" w:hAnsi="宋体"/>
                <w:color w:val="auto"/>
                <w:kern w:val="0"/>
                <w:szCs w:val="21"/>
                <w:highlight w:val="none"/>
              </w:rPr>
            </w:pPr>
          </w:p>
        </w:tc>
        <w:tc>
          <w:tcPr>
            <w:tcW w:w="896" w:type="dxa"/>
            <w:vAlign w:val="top"/>
          </w:tcPr>
          <w:p>
            <w:pPr>
              <w:autoSpaceDE w:val="0"/>
              <w:autoSpaceDN w:val="0"/>
              <w:adjustRightInd w:val="0"/>
              <w:snapToGrid w:val="0"/>
              <w:jc w:val="left"/>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08" w:hRule="exact"/>
        </w:trPr>
        <w:tc>
          <w:tcPr>
            <w:tcW w:w="856" w:type="dxa"/>
            <w:vAlign w:val="top"/>
          </w:tcPr>
          <w:p>
            <w:pPr>
              <w:autoSpaceDE w:val="0"/>
              <w:autoSpaceDN w:val="0"/>
              <w:adjustRightInd w:val="0"/>
              <w:snapToGrid w:val="0"/>
              <w:jc w:val="left"/>
              <w:rPr>
                <w:rFonts w:ascii="宋体" w:hAnsi="宋体"/>
                <w:color w:val="auto"/>
                <w:kern w:val="0"/>
                <w:szCs w:val="21"/>
                <w:highlight w:val="none"/>
              </w:rPr>
            </w:pPr>
          </w:p>
        </w:tc>
        <w:tc>
          <w:tcPr>
            <w:tcW w:w="734" w:type="dxa"/>
            <w:vAlign w:val="top"/>
          </w:tcPr>
          <w:p>
            <w:pPr>
              <w:autoSpaceDE w:val="0"/>
              <w:autoSpaceDN w:val="0"/>
              <w:adjustRightInd w:val="0"/>
              <w:snapToGrid w:val="0"/>
              <w:jc w:val="left"/>
              <w:rPr>
                <w:rFonts w:ascii="宋体" w:hAnsi="宋体"/>
                <w:color w:val="auto"/>
                <w:kern w:val="0"/>
                <w:szCs w:val="21"/>
                <w:highlight w:val="none"/>
              </w:rPr>
            </w:pPr>
          </w:p>
        </w:tc>
        <w:tc>
          <w:tcPr>
            <w:tcW w:w="776" w:type="dxa"/>
            <w:vAlign w:val="top"/>
          </w:tcPr>
          <w:p>
            <w:pPr>
              <w:autoSpaceDE w:val="0"/>
              <w:autoSpaceDN w:val="0"/>
              <w:adjustRightInd w:val="0"/>
              <w:snapToGrid w:val="0"/>
              <w:jc w:val="left"/>
              <w:rPr>
                <w:rFonts w:ascii="宋体" w:hAnsi="宋体"/>
                <w:color w:val="auto"/>
                <w:kern w:val="0"/>
                <w:szCs w:val="21"/>
                <w:highlight w:val="none"/>
              </w:rPr>
            </w:pPr>
          </w:p>
        </w:tc>
        <w:tc>
          <w:tcPr>
            <w:tcW w:w="1167" w:type="dxa"/>
            <w:vAlign w:val="top"/>
          </w:tcPr>
          <w:p>
            <w:pPr>
              <w:autoSpaceDE w:val="0"/>
              <w:autoSpaceDN w:val="0"/>
              <w:adjustRightInd w:val="0"/>
              <w:snapToGrid w:val="0"/>
              <w:jc w:val="left"/>
              <w:rPr>
                <w:rFonts w:ascii="宋体" w:hAnsi="宋体"/>
                <w:color w:val="auto"/>
                <w:kern w:val="0"/>
                <w:szCs w:val="21"/>
                <w:highlight w:val="none"/>
              </w:rPr>
            </w:pPr>
          </w:p>
        </w:tc>
        <w:tc>
          <w:tcPr>
            <w:tcW w:w="776" w:type="dxa"/>
            <w:vAlign w:val="top"/>
          </w:tcPr>
          <w:p>
            <w:pPr>
              <w:autoSpaceDE w:val="0"/>
              <w:autoSpaceDN w:val="0"/>
              <w:adjustRightInd w:val="0"/>
              <w:snapToGrid w:val="0"/>
              <w:jc w:val="left"/>
              <w:rPr>
                <w:rFonts w:ascii="宋体" w:hAnsi="宋体"/>
                <w:color w:val="auto"/>
                <w:kern w:val="0"/>
                <w:szCs w:val="21"/>
                <w:highlight w:val="none"/>
              </w:rPr>
            </w:pPr>
          </w:p>
        </w:tc>
        <w:tc>
          <w:tcPr>
            <w:tcW w:w="778" w:type="dxa"/>
            <w:vAlign w:val="top"/>
          </w:tcPr>
          <w:p>
            <w:pPr>
              <w:autoSpaceDE w:val="0"/>
              <w:autoSpaceDN w:val="0"/>
              <w:adjustRightInd w:val="0"/>
              <w:snapToGrid w:val="0"/>
              <w:jc w:val="left"/>
              <w:rPr>
                <w:rFonts w:ascii="宋体" w:hAnsi="宋体"/>
                <w:color w:val="auto"/>
                <w:kern w:val="0"/>
                <w:szCs w:val="21"/>
                <w:highlight w:val="none"/>
              </w:rPr>
            </w:pPr>
          </w:p>
        </w:tc>
        <w:tc>
          <w:tcPr>
            <w:tcW w:w="776" w:type="dxa"/>
            <w:vAlign w:val="top"/>
          </w:tcPr>
          <w:p>
            <w:pPr>
              <w:autoSpaceDE w:val="0"/>
              <w:autoSpaceDN w:val="0"/>
              <w:adjustRightInd w:val="0"/>
              <w:snapToGrid w:val="0"/>
              <w:jc w:val="left"/>
              <w:rPr>
                <w:rFonts w:ascii="宋体" w:hAnsi="宋体"/>
                <w:color w:val="auto"/>
                <w:kern w:val="0"/>
                <w:szCs w:val="21"/>
                <w:highlight w:val="none"/>
              </w:rPr>
            </w:pPr>
          </w:p>
        </w:tc>
        <w:tc>
          <w:tcPr>
            <w:tcW w:w="2723" w:type="dxa"/>
            <w:vAlign w:val="top"/>
          </w:tcPr>
          <w:p>
            <w:pPr>
              <w:autoSpaceDE w:val="0"/>
              <w:autoSpaceDN w:val="0"/>
              <w:adjustRightInd w:val="0"/>
              <w:snapToGrid w:val="0"/>
              <w:jc w:val="left"/>
              <w:rPr>
                <w:rFonts w:ascii="宋体" w:hAnsi="宋体"/>
                <w:color w:val="auto"/>
                <w:kern w:val="0"/>
                <w:szCs w:val="21"/>
                <w:highlight w:val="none"/>
              </w:rPr>
            </w:pPr>
          </w:p>
        </w:tc>
        <w:tc>
          <w:tcPr>
            <w:tcW w:w="896" w:type="dxa"/>
            <w:vAlign w:val="top"/>
          </w:tcPr>
          <w:p>
            <w:pPr>
              <w:autoSpaceDE w:val="0"/>
              <w:autoSpaceDN w:val="0"/>
              <w:adjustRightInd w:val="0"/>
              <w:snapToGrid w:val="0"/>
              <w:jc w:val="left"/>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08" w:hRule="exact"/>
        </w:trPr>
        <w:tc>
          <w:tcPr>
            <w:tcW w:w="856" w:type="dxa"/>
            <w:vAlign w:val="top"/>
          </w:tcPr>
          <w:p>
            <w:pPr>
              <w:autoSpaceDE w:val="0"/>
              <w:autoSpaceDN w:val="0"/>
              <w:adjustRightInd w:val="0"/>
              <w:snapToGrid w:val="0"/>
              <w:jc w:val="left"/>
              <w:rPr>
                <w:rFonts w:ascii="宋体" w:hAnsi="宋体"/>
                <w:color w:val="auto"/>
                <w:kern w:val="0"/>
                <w:szCs w:val="21"/>
                <w:highlight w:val="none"/>
              </w:rPr>
            </w:pPr>
          </w:p>
        </w:tc>
        <w:tc>
          <w:tcPr>
            <w:tcW w:w="734" w:type="dxa"/>
            <w:vAlign w:val="top"/>
          </w:tcPr>
          <w:p>
            <w:pPr>
              <w:autoSpaceDE w:val="0"/>
              <w:autoSpaceDN w:val="0"/>
              <w:adjustRightInd w:val="0"/>
              <w:snapToGrid w:val="0"/>
              <w:jc w:val="left"/>
              <w:rPr>
                <w:rFonts w:ascii="宋体" w:hAnsi="宋体"/>
                <w:color w:val="auto"/>
                <w:kern w:val="0"/>
                <w:szCs w:val="21"/>
                <w:highlight w:val="none"/>
              </w:rPr>
            </w:pPr>
          </w:p>
        </w:tc>
        <w:tc>
          <w:tcPr>
            <w:tcW w:w="776" w:type="dxa"/>
            <w:vAlign w:val="top"/>
          </w:tcPr>
          <w:p>
            <w:pPr>
              <w:autoSpaceDE w:val="0"/>
              <w:autoSpaceDN w:val="0"/>
              <w:adjustRightInd w:val="0"/>
              <w:snapToGrid w:val="0"/>
              <w:jc w:val="left"/>
              <w:rPr>
                <w:rFonts w:ascii="宋体" w:hAnsi="宋体"/>
                <w:color w:val="auto"/>
                <w:kern w:val="0"/>
                <w:szCs w:val="21"/>
                <w:highlight w:val="none"/>
              </w:rPr>
            </w:pPr>
          </w:p>
        </w:tc>
        <w:tc>
          <w:tcPr>
            <w:tcW w:w="1167" w:type="dxa"/>
            <w:vAlign w:val="top"/>
          </w:tcPr>
          <w:p>
            <w:pPr>
              <w:autoSpaceDE w:val="0"/>
              <w:autoSpaceDN w:val="0"/>
              <w:adjustRightInd w:val="0"/>
              <w:snapToGrid w:val="0"/>
              <w:jc w:val="left"/>
              <w:rPr>
                <w:rFonts w:ascii="宋体" w:hAnsi="宋体"/>
                <w:color w:val="auto"/>
                <w:kern w:val="0"/>
                <w:szCs w:val="21"/>
                <w:highlight w:val="none"/>
              </w:rPr>
            </w:pPr>
          </w:p>
        </w:tc>
        <w:tc>
          <w:tcPr>
            <w:tcW w:w="776" w:type="dxa"/>
            <w:vAlign w:val="top"/>
          </w:tcPr>
          <w:p>
            <w:pPr>
              <w:autoSpaceDE w:val="0"/>
              <w:autoSpaceDN w:val="0"/>
              <w:adjustRightInd w:val="0"/>
              <w:snapToGrid w:val="0"/>
              <w:jc w:val="left"/>
              <w:rPr>
                <w:rFonts w:ascii="宋体" w:hAnsi="宋体"/>
                <w:color w:val="auto"/>
                <w:kern w:val="0"/>
                <w:szCs w:val="21"/>
                <w:highlight w:val="none"/>
              </w:rPr>
            </w:pPr>
          </w:p>
        </w:tc>
        <w:tc>
          <w:tcPr>
            <w:tcW w:w="778" w:type="dxa"/>
            <w:vAlign w:val="top"/>
          </w:tcPr>
          <w:p>
            <w:pPr>
              <w:autoSpaceDE w:val="0"/>
              <w:autoSpaceDN w:val="0"/>
              <w:adjustRightInd w:val="0"/>
              <w:snapToGrid w:val="0"/>
              <w:jc w:val="left"/>
              <w:rPr>
                <w:rFonts w:ascii="宋体" w:hAnsi="宋体"/>
                <w:color w:val="auto"/>
                <w:kern w:val="0"/>
                <w:szCs w:val="21"/>
                <w:highlight w:val="none"/>
              </w:rPr>
            </w:pPr>
          </w:p>
        </w:tc>
        <w:tc>
          <w:tcPr>
            <w:tcW w:w="776" w:type="dxa"/>
            <w:vAlign w:val="top"/>
          </w:tcPr>
          <w:p>
            <w:pPr>
              <w:autoSpaceDE w:val="0"/>
              <w:autoSpaceDN w:val="0"/>
              <w:adjustRightInd w:val="0"/>
              <w:snapToGrid w:val="0"/>
              <w:jc w:val="left"/>
              <w:rPr>
                <w:rFonts w:ascii="宋体" w:hAnsi="宋体"/>
                <w:color w:val="auto"/>
                <w:kern w:val="0"/>
                <w:szCs w:val="21"/>
                <w:highlight w:val="none"/>
              </w:rPr>
            </w:pPr>
          </w:p>
        </w:tc>
        <w:tc>
          <w:tcPr>
            <w:tcW w:w="2723" w:type="dxa"/>
            <w:vAlign w:val="top"/>
          </w:tcPr>
          <w:p>
            <w:pPr>
              <w:autoSpaceDE w:val="0"/>
              <w:autoSpaceDN w:val="0"/>
              <w:adjustRightInd w:val="0"/>
              <w:snapToGrid w:val="0"/>
              <w:jc w:val="left"/>
              <w:rPr>
                <w:rFonts w:ascii="宋体" w:hAnsi="宋体"/>
                <w:color w:val="auto"/>
                <w:kern w:val="0"/>
                <w:szCs w:val="21"/>
                <w:highlight w:val="none"/>
              </w:rPr>
            </w:pPr>
          </w:p>
        </w:tc>
        <w:tc>
          <w:tcPr>
            <w:tcW w:w="896" w:type="dxa"/>
            <w:vAlign w:val="top"/>
          </w:tcPr>
          <w:p>
            <w:pPr>
              <w:autoSpaceDE w:val="0"/>
              <w:autoSpaceDN w:val="0"/>
              <w:adjustRightInd w:val="0"/>
              <w:snapToGrid w:val="0"/>
              <w:jc w:val="left"/>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08" w:hRule="exact"/>
        </w:trPr>
        <w:tc>
          <w:tcPr>
            <w:tcW w:w="856" w:type="dxa"/>
            <w:vAlign w:val="top"/>
          </w:tcPr>
          <w:p>
            <w:pPr>
              <w:autoSpaceDE w:val="0"/>
              <w:autoSpaceDN w:val="0"/>
              <w:adjustRightInd w:val="0"/>
              <w:snapToGrid w:val="0"/>
              <w:jc w:val="left"/>
              <w:rPr>
                <w:rFonts w:ascii="宋体" w:hAnsi="宋体"/>
                <w:color w:val="auto"/>
                <w:kern w:val="0"/>
                <w:szCs w:val="21"/>
                <w:highlight w:val="none"/>
              </w:rPr>
            </w:pPr>
          </w:p>
        </w:tc>
        <w:tc>
          <w:tcPr>
            <w:tcW w:w="734" w:type="dxa"/>
            <w:vAlign w:val="top"/>
          </w:tcPr>
          <w:p>
            <w:pPr>
              <w:autoSpaceDE w:val="0"/>
              <w:autoSpaceDN w:val="0"/>
              <w:adjustRightInd w:val="0"/>
              <w:snapToGrid w:val="0"/>
              <w:jc w:val="left"/>
              <w:rPr>
                <w:rFonts w:ascii="宋体" w:hAnsi="宋体"/>
                <w:color w:val="auto"/>
                <w:kern w:val="0"/>
                <w:szCs w:val="21"/>
                <w:highlight w:val="none"/>
              </w:rPr>
            </w:pPr>
          </w:p>
        </w:tc>
        <w:tc>
          <w:tcPr>
            <w:tcW w:w="776" w:type="dxa"/>
            <w:vAlign w:val="top"/>
          </w:tcPr>
          <w:p>
            <w:pPr>
              <w:autoSpaceDE w:val="0"/>
              <w:autoSpaceDN w:val="0"/>
              <w:adjustRightInd w:val="0"/>
              <w:snapToGrid w:val="0"/>
              <w:jc w:val="left"/>
              <w:rPr>
                <w:rFonts w:ascii="宋体" w:hAnsi="宋体"/>
                <w:color w:val="auto"/>
                <w:kern w:val="0"/>
                <w:szCs w:val="21"/>
                <w:highlight w:val="none"/>
              </w:rPr>
            </w:pPr>
          </w:p>
        </w:tc>
        <w:tc>
          <w:tcPr>
            <w:tcW w:w="1167" w:type="dxa"/>
            <w:vAlign w:val="top"/>
          </w:tcPr>
          <w:p>
            <w:pPr>
              <w:autoSpaceDE w:val="0"/>
              <w:autoSpaceDN w:val="0"/>
              <w:adjustRightInd w:val="0"/>
              <w:snapToGrid w:val="0"/>
              <w:jc w:val="left"/>
              <w:rPr>
                <w:rFonts w:ascii="宋体" w:hAnsi="宋体"/>
                <w:color w:val="auto"/>
                <w:kern w:val="0"/>
                <w:szCs w:val="21"/>
                <w:highlight w:val="none"/>
              </w:rPr>
            </w:pPr>
          </w:p>
        </w:tc>
        <w:tc>
          <w:tcPr>
            <w:tcW w:w="776" w:type="dxa"/>
            <w:vAlign w:val="top"/>
          </w:tcPr>
          <w:p>
            <w:pPr>
              <w:autoSpaceDE w:val="0"/>
              <w:autoSpaceDN w:val="0"/>
              <w:adjustRightInd w:val="0"/>
              <w:snapToGrid w:val="0"/>
              <w:jc w:val="left"/>
              <w:rPr>
                <w:rFonts w:ascii="宋体" w:hAnsi="宋体"/>
                <w:color w:val="auto"/>
                <w:kern w:val="0"/>
                <w:szCs w:val="21"/>
                <w:highlight w:val="none"/>
              </w:rPr>
            </w:pPr>
          </w:p>
        </w:tc>
        <w:tc>
          <w:tcPr>
            <w:tcW w:w="778" w:type="dxa"/>
            <w:vAlign w:val="top"/>
          </w:tcPr>
          <w:p>
            <w:pPr>
              <w:autoSpaceDE w:val="0"/>
              <w:autoSpaceDN w:val="0"/>
              <w:adjustRightInd w:val="0"/>
              <w:snapToGrid w:val="0"/>
              <w:jc w:val="left"/>
              <w:rPr>
                <w:rFonts w:ascii="宋体" w:hAnsi="宋体"/>
                <w:color w:val="auto"/>
                <w:kern w:val="0"/>
                <w:szCs w:val="21"/>
                <w:highlight w:val="none"/>
              </w:rPr>
            </w:pPr>
          </w:p>
        </w:tc>
        <w:tc>
          <w:tcPr>
            <w:tcW w:w="776" w:type="dxa"/>
            <w:vAlign w:val="top"/>
          </w:tcPr>
          <w:p>
            <w:pPr>
              <w:autoSpaceDE w:val="0"/>
              <w:autoSpaceDN w:val="0"/>
              <w:adjustRightInd w:val="0"/>
              <w:snapToGrid w:val="0"/>
              <w:jc w:val="left"/>
              <w:rPr>
                <w:rFonts w:ascii="宋体" w:hAnsi="宋体"/>
                <w:color w:val="auto"/>
                <w:kern w:val="0"/>
                <w:szCs w:val="21"/>
                <w:highlight w:val="none"/>
              </w:rPr>
            </w:pPr>
          </w:p>
        </w:tc>
        <w:tc>
          <w:tcPr>
            <w:tcW w:w="2723" w:type="dxa"/>
            <w:vAlign w:val="top"/>
          </w:tcPr>
          <w:p>
            <w:pPr>
              <w:autoSpaceDE w:val="0"/>
              <w:autoSpaceDN w:val="0"/>
              <w:adjustRightInd w:val="0"/>
              <w:snapToGrid w:val="0"/>
              <w:jc w:val="left"/>
              <w:rPr>
                <w:rFonts w:ascii="宋体" w:hAnsi="宋体"/>
                <w:color w:val="auto"/>
                <w:kern w:val="0"/>
                <w:szCs w:val="21"/>
                <w:highlight w:val="none"/>
              </w:rPr>
            </w:pPr>
          </w:p>
        </w:tc>
        <w:tc>
          <w:tcPr>
            <w:tcW w:w="896" w:type="dxa"/>
            <w:vAlign w:val="top"/>
          </w:tcPr>
          <w:p>
            <w:pPr>
              <w:autoSpaceDE w:val="0"/>
              <w:autoSpaceDN w:val="0"/>
              <w:adjustRightInd w:val="0"/>
              <w:snapToGrid w:val="0"/>
              <w:jc w:val="left"/>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08" w:hRule="exact"/>
        </w:trPr>
        <w:tc>
          <w:tcPr>
            <w:tcW w:w="856" w:type="dxa"/>
            <w:vAlign w:val="top"/>
          </w:tcPr>
          <w:p>
            <w:pPr>
              <w:autoSpaceDE w:val="0"/>
              <w:autoSpaceDN w:val="0"/>
              <w:adjustRightInd w:val="0"/>
              <w:snapToGrid w:val="0"/>
              <w:jc w:val="left"/>
              <w:rPr>
                <w:rFonts w:ascii="宋体" w:hAnsi="宋体"/>
                <w:color w:val="auto"/>
                <w:kern w:val="0"/>
                <w:szCs w:val="21"/>
                <w:highlight w:val="none"/>
              </w:rPr>
            </w:pPr>
          </w:p>
        </w:tc>
        <w:tc>
          <w:tcPr>
            <w:tcW w:w="734" w:type="dxa"/>
            <w:vAlign w:val="top"/>
          </w:tcPr>
          <w:p>
            <w:pPr>
              <w:autoSpaceDE w:val="0"/>
              <w:autoSpaceDN w:val="0"/>
              <w:adjustRightInd w:val="0"/>
              <w:snapToGrid w:val="0"/>
              <w:jc w:val="left"/>
              <w:rPr>
                <w:rFonts w:ascii="宋体" w:hAnsi="宋体"/>
                <w:color w:val="auto"/>
                <w:kern w:val="0"/>
                <w:szCs w:val="21"/>
                <w:highlight w:val="none"/>
              </w:rPr>
            </w:pPr>
          </w:p>
        </w:tc>
        <w:tc>
          <w:tcPr>
            <w:tcW w:w="776" w:type="dxa"/>
            <w:vAlign w:val="top"/>
          </w:tcPr>
          <w:p>
            <w:pPr>
              <w:autoSpaceDE w:val="0"/>
              <w:autoSpaceDN w:val="0"/>
              <w:adjustRightInd w:val="0"/>
              <w:snapToGrid w:val="0"/>
              <w:jc w:val="left"/>
              <w:rPr>
                <w:rFonts w:ascii="宋体" w:hAnsi="宋体"/>
                <w:color w:val="auto"/>
                <w:kern w:val="0"/>
                <w:szCs w:val="21"/>
                <w:highlight w:val="none"/>
              </w:rPr>
            </w:pPr>
          </w:p>
        </w:tc>
        <w:tc>
          <w:tcPr>
            <w:tcW w:w="1167" w:type="dxa"/>
            <w:vAlign w:val="top"/>
          </w:tcPr>
          <w:p>
            <w:pPr>
              <w:autoSpaceDE w:val="0"/>
              <w:autoSpaceDN w:val="0"/>
              <w:adjustRightInd w:val="0"/>
              <w:snapToGrid w:val="0"/>
              <w:jc w:val="left"/>
              <w:rPr>
                <w:rFonts w:ascii="宋体" w:hAnsi="宋体"/>
                <w:color w:val="auto"/>
                <w:kern w:val="0"/>
                <w:szCs w:val="21"/>
                <w:highlight w:val="none"/>
              </w:rPr>
            </w:pPr>
          </w:p>
        </w:tc>
        <w:tc>
          <w:tcPr>
            <w:tcW w:w="776" w:type="dxa"/>
            <w:vAlign w:val="top"/>
          </w:tcPr>
          <w:p>
            <w:pPr>
              <w:autoSpaceDE w:val="0"/>
              <w:autoSpaceDN w:val="0"/>
              <w:adjustRightInd w:val="0"/>
              <w:snapToGrid w:val="0"/>
              <w:jc w:val="left"/>
              <w:rPr>
                <w:rFonts w:ascii="宋体" w:hAnsi="宋体"/>
                <w:color w:val="auto"/>
                <w:kern w:val="0"/>
                <w:szCs w:val="21"/>
                <w:highlight w:val="none"/>
              </w:rPr>
            </w:pPr>
          </w:p>
        </w:tc>
        <w:tc>
          <w:tcPr>
            <w:tcW w:w="778" w:type="dxa"/>
            <w:vAlign w:val="top"/>
          </w:tcPr>
          <w:p>
            <w:pPr>
              <w:autoSpaceDE w:val="0"/>
              <w:autoSpaceDN w:val="0"/>
              <w:adjustRightInd w:val="0"/>
              <w:snapToGrid w:val="0"/>
              <w:jc w:val="left"/>
              <w:rPr>
                <w:rFonts w:ascii="宋体" w:hAnsi="宋体"/>
                <w:color w:val="auto"/>
                <w:kern w:val="0"/>
                <w:szCs w:val="21"/>
                <w:highlight w:val="none"/>
              </w:rPr>
            </w:pPr>
          </w:p>
        </w:tc>
        <w:tc>
          <w:tcPr>
            <w:tcW w:w="776" w:type="dxa"/>
            <w:vAlign w:val="top"/>
          </w:tcPr>
          <w:p>
            <w:pPr>
              <w:autoSpaceDE w:val="0"/>
              <w:autoSpaceDN w:val="0"/>
              <w:adjustRightInd w:val="0"/>
              <w:snapToGrid w:val="0"/>
              <w:jc w:val="left"/>
              <w:rPr>
                <w:rFonts w:ascii="宋体" w:hAnsi="宋体"/>
                <w:color w:val="auto"/>
                <w:kern w:val="0"/>
                <w:szCs w:val="21"/>
                <w:highlight w:val="none"/>
              </w:rPr>
            </w:pPr>
          </w:p>
        </w:tc>
        <w:tc>
          <w:tcPr>
            <w:tcW w:w="2723" w:type="dxa"/>
            <w:vAlign w:val="top"/>
          </w:tcPr>
          <w:p>
            <w:pPr>
              <w:autoSpaceDE w:val="0"/>
              <w:autoSpaceDN w:val="0"/>
              <w:adjustRightInd w:val="0"/>
              <w:snapToGrid w:val="0"/>
              <w:jc w:val="left"/>
              <w:rPr>
                <w:rFonts w:ascii="宋体" w:hAnsi="宋体"/>
                <w:color w:val="auto"/>
                <w:kern w:val="0"/>
                <w:szCs w:val="21"/>
                <w:highlight w:val="none"/>
              </w:rPr>
            </w:pPr>
          </w:p>
        </w:tc>
        <w:tc>
          <w:tcPr>
            <w:tcW w:w="896" w:type="dxa"/>
            <w:vAlign w:val="top"/>
          </w:tcPr>
          <w:p>
            <w:pPr>
              <w:autoSpaceDE w:val="0"/>
              <w:autoSpaceDN w:val="0"/>
              <w:adjustRightInd w:val="0"/>
              <w:snapToGrid w:val="0"/>
              <w:jc w:val="left"/>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08" w:hRule="exact"/>
        </w:trPr>
        <w:tc>
          <w:tcPr>
            <w:tcW w:w="856" w:type="dxa"/>
            <w:vAlign w:val="top"/>
          </w:tcPr>
          <w:p>
            <w:pPr>
              <w:autoSpaceDE w:val="0"/>
              <w:autoSpaceDN w:val="0"/>
              <w:adjustRightInd w:val="0"/>
              <w:snapToGrid w:val="0"/>
              <w:jc w:val="left"/>
              <w:rPr>
                <w:rFonts w:ascii="宋体" w:hAnsi="宋体"/>
                <w:color w:val="auto"/>
                <w:kern w:val="0"/>
                <w:szCs w:val="21"/>
                <w:highlight w:val="none"/>
              </w:rPr>
            </w:pPr>
          </w:p>
        </w:tc>
        <w:tc>
          <w:tcPr>
            <w:tcW w:w="734" w:type="dxa"/>
            <w:vAlign w:val="top"/>
          </w:tcPr>
          <w:p>
            <w:pPr>
              <w:autoSpaceDE w:val="0"/>
              <w:autoSpaceDN w:val="0"/>
              <w:adjustRightInd w:val="0"/>
              <w:snapToGrid w:val="0"/>
              <w:jc w:val="left"/>
              <w:rPr>
                <w:rFonts w:ascii="宋体" w:hAnsi="宋体"/>
                <w:color w:val="auto"/>
                <w:kern w:val="0"/>
                <w:szCs w:val="21"/>
                <w:highlight w:val="none"/>
              </w:rPr>
            </w:pPr>
          </w:p>
        </w:tc>
        <w:tc>
          <w:tcPr>
            <w:tcW w:w="776" w:type="dxa"/>
            <w:vAlign w:val="top"/>
          </w:tcPr>
          <w:p>
            <w:pPr>
              <w:autoSpaceDE w:val="0"/>
              <w:autoSpaceDN w:val="0"/>
              <w:adjustRightInd w:val="0"/>
              <w:snapToGrid w:val="0"/>
              <w:jc w:val="left"/>
              <w:rPr>
                <w:rFonts w:ascii="宋体" w:hAnsi="宋体"/>
                <w:color w:val="auto"/>
                <w:kern w:val="0"/>
                <w:szCs w:val="21"/>
                <w:highlight w:val="none"/>
              </w:rPr>
            </w:pPr>
          </w:p>
        </w:tc>
        <w:tc>
          <w:tcPr>
            <w:tcW w:w="1167" w:type="dxa"/>
            <w:vAlign w:val="top"/>
          </w:tcPr>
          <w:p>
            <w:pPr>
              <w:autoSpaceDE w:val="0"/>
              <w:autoSpaceDN w:val="0"/>
              <w:adjustRightInd w:val="0"/>
              <w:snapToGrid w:val="0"/>
              <w:jc w:val="left"/>
              <w:rPr>
                <w:rFonts w:ascii="宋体" w:hAnsi="宋体"/>
                <w:color w:val="auto"/>
                <w:kern w:val="0"/>
                <w:szCs w:val="21"/>
                <w:highlight w:val="none"/>
              </w:rPr>
            </w:pPr>
          </w:p>
        </w:tc>
        <w:tc>
          <w:tcPr>
            <w:tcW w:w="776" w:type="dxa"/>
            <w:vAlign w:val="top"/>
          </w:tcPr>
          <w:p>
            <w:pPr>
              <w:autoSpaceDE w:val="0"/>
              <w:autoSpaceDN w:val="0"/>
              <w:adjustRightInd w:val="0"/>
              <w:snapToGrid w:val="0"/>
              <w:jc w:val="left"/>
              <w:rPr>
                <w:rFonts w:ascii="宋体" w:hAnsi="宋体"/>
                <w:color w:val="auto"/>
                <w:kern w:val="0"/>
                <w:szCs w:val="21"/>
                <w:highlight w:val="none"/>
              </w:rPr>
            </w:pPr>
          </w:p>
        </w:tc>
        <w:tc>
          <w:tcPr>
            <w:tcW w:w="778" w:type="dxa"/>
            <w:vAlign w:val="top"/>
          </w:tcPr>
          <w:p>
            <w:pPr>
              <w:autoSpaceDE w:val="0"/>
              <w:autoSpaceDN w:val="0"/>
              <w:adjustRightInd w:val="0"/>
              <w:snapToGrid w:val="0"/>
              <w:jc w:val="left"/>
              <w:rPr>
                <w:rFonts w:ascii="宋体" w:hAnsi="宋体"/>
                <w:color w:val="auto"/>
                <w:kern w:val="0"/>
                <w:szCs w:val="21"/>
                <w:highlight w:val="none"/>
              </w:rPr>
            </w:pPr>
          </w:p>
        </w:tc>
        <w:tc>
          <w:tcPr>
            <w:tcW w:w="776" w:type="dxa"/>
            <w:vAlign w:val="top"/>
          </w:tcPr>
          <w:p>
            <w:pPr>
              <w:autoSpaceDE w:val="0"/>
              <w:autoSpaceDN w:val="0"/>
              <w:adjustRightInd w:val="0"/>
              <w:snapToGrid w:val="0"/>
              <w:jc w:val="left"/>
              <w:rPr>
                <w:rFonts w:ascii="宋体" w:hAnsi="宋体"/>
                <w:color w:val="auto"/>
                <w:kern w:val="0"/>
                <w:szCs w:val="21"/>
                <w:highlight w:val="none"/>
              </w:rPr>
            </w:pPr>
          </w:p>
        </w:tc>
        <w:tc>
          <w:tcPr>
            <w:tcW w:w="2723" w:type="dxa"/>
            <w:vAlign w:val="top"/>
          </w:tcPr>
          <w:p>
            <w:pPr>
              <w:autoSpaceDE w:val="0"/>
              <w:autoSpaceDN w:val="0"/>
              <w:adjustRightInd w:val="0"/>
              <w:snapToGrid w:val="0"/>
              <w:jc w:val="left"/>
              <w:rPr>
                <w:rFonts w:ascii="宋体" w:hAnsi="宋体"/>
                <w:color w:val="auto"/>
                <w:kern w:val="0"/>
                <w:szCs w:val="21"/>
                <w:highlight w:val="none"/>
              </w:rPr>
            </w:pPr>
          </w:p>
        </w:tc>
        <w:tc>
          <w:tcPr>
            <w:tcW w:w="896" w:type="dxa"/>
            <w:vAlign w:val="top"/>
          </w:tcPr>
          <w:p>
            <w:pPr>
              <w:autoSpaceDE w:val="0"/>
              <w:autoSpaceDN w:val="0"/>
              <w:adjustRightInd w:val="0"/>
              <w:snapToGrid w:val="0"/>
              <w:jc w:val="left"/>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08" w:hRule="exact"/>
        </w:trPr>
        <w:tc>
          <w:tcPr>
            <w:tcW w:w="856" w:type="dxa"/>
            <w:vAlign w:val="top"/>
          </w:tcPr>
          <w:p>
            <w:pPr>
              <w:autoSpaceDE w:val="0"/>
              <w:autoSpaceDN w:val="0"/>
              <w:adjustRightInd w:val="0"/>
              <w:snapToGrid w:val="0"/>
              <w:jc w:val="left"/>
              <w:rPr>
                <w:rFonts w:ascii="宋体" w:hAnsi="宋体"/>
                <w:color w:val="auto"/>
                <w:kern w:val="0"/>
                <w:szCs w:val="21"/>
                <w:highlight w:val="none"/>
              </w:rPr>
            </w:pPr>
          </w:p>
        </w:tc>
        <w:tc>
          <w:tcPr>
            <w:tcW w:w="734" w:type="dxa"/>
            <w:vAlign w:val="top"/>
          </w:tcPr>
          <w:p>
            <w:pPr>
              <w:autoSpaceDE w:val="0"/>
              <w:autoSpaceDN w:val="0"/>
              <w:adjustRightInd w:val="0"/>
              <w:snapToGrid w:val="0"/>
              <w:jc w:val="left"/>
              <w:rPr>
                <w:rFonts w:ascii="宋体" w:hAnsi="宋体"/>
                <w:color w:val="auto"/>
                <w:kern w:val="0"/>
                <w:szCs w:val="21"/>
                <w:highlight w:val="none"/>
              </w:rPr>
            </w:pPr>
          </w:p>
        </w:tc>
        <w:tc>
          <w:tcPr>
            <w:tcW w:w="776" w:type="dxa"/>
            <w:vAlign w:val="top"/>
          </w:tcPr>
          <w:p>
            <w:pPr>
              <w:autoSpaceDE w:val="0"/>
              <w:autoSpaceDN w:val="0"/>
              <w:adjustRightInd w:val="0"/>
              <w:snapToGrid w:val="0"/>
              <w:jc w:val="left"/>
              <w:rPr>
                <w:rFonts w:ascii="宋体" w:hAnsi="宋体"/>
                <w:color w:val="auto"/>
                <w:kern w:val="0"/>
                <w:szCs w:val="21"/>
                <w:highlight w:val="none"/>
              </w:rPr>
            </w:pPr>
          </w:p>
        </w:tc>
        <w:tc>
          <w:tcPr>
            <w:tcW w:w="1167" w:type="dxa"/>
            <w:vAlign w:val="top"/>
          </w:tcPr>
          <w:p>
            <w:pPr>
              <w:autoSpaceDE w:val="0"/>
              <w:autoSpaceDN w:val="0"/>
              <w:adjustRightInd w:val="0"/>
              <w:snapToGrid w:val="0"/>
              <w:jc w:val="left"/>
              <w:rPr>
                <w:rFonts w:ascii="宋体" w:hAnsi="宋体"/>
                <w:color w:val="auto"/>
                <w:kern w:val="0"/>
                <w:szCs w:val="21"/>
                <w:highlight w:val="none"/>
              </w:rPr>
            </w:pPr>
          </w:p>
        </w:tc>
        <w:tc>
          <w:tcPr>
            <w:tcW w:w="776" w:type="dxa"/>
            <w:vAlign w:val="top"/>
          </w:tcPr>
          <w:p>
            <w:pPr>
              <w:autoSpaceDE w:val="0"/>
              <w:autoSpaceDN w:val="0"/>
              <w:adjustRightInd w:val="0"/>
              <w:snapToGrid w:val="0"/>
              <w:jc w:val="left"/>
              <w:rPr>
                <w:rFonts w:ascii="宋体" w:hAnsi="宋体"/>
                <w:color w:val="auto"/>
                <w:kern w:val="0"/>
                <w:szCs w:val="21"/>
                <w:highlight w:val="none"/>
              </w:rPr>
            </w:pPr>
          </w:p>
        </w:tc>
        <w:tc>
          <w:tcPr>
            <w:tcW w:w="778" w:type="dxa"/>
            <w:vAlign w:val="top"/>
          </w:tcPr>
          <w:p>
            <w:pPr>
              <w:autoSpaceDE w:val="0"/>
              <w:autoSpaceDN w:val="0"/>
              <w:adjustRightInd w:val="0"/>
              <w:snapToGrid w:val="0"/>
              <w:jc w:val="left"/>
              <w:rPr>
                <w:rFonts w:ascii="宋体" w:hAnsi="宋体"/>
                <w:color w:val="auto"/>
                <w:kern w:val="0"/>
                <w:szCs w:val="21"/>
                <w:highlight w:val="none"/>
              </w:rPr>
            </w:pPr>
          </w:p>
        </w:tc>
        <w:tc>
          <w:tcPr>
            <w:tcW w:w="776" w:type="dxa"/>
            <w:vAlign w:val="top"/>
          </w:tcPr>
          <w:p>
            <w:pPr>
              <w:autoSpaceDE w:val="0"/>
              <w:autoSpaceDN w:val="0"/>
              <w:adjustRightInd w:val="0"/>
              <w:snapToGrid w:val="0"/>
              <w:jc w:val="left"/>
              <w:rPr>
                <w:rFonts w:ascii="宋体" w:hAnsi="宋体"/>
                <w:color w:val="auto"/>
                <w:kern w:val="0"/>
                <w:szCs w:val="21"/>
                <w:highlight w:val="none"/>
              </w:rPr>
            </w:pPr>
          </w:p>
        </w:tc>
        <w:tc>
          <w:tcPr>
            <w:tcW w:w="2723" w:type="dxa"/>
            <w:vAlign w:val="top"/>
          </w:tcPr>
          <w:p>
            <w:pPr>
              <w:autoSpaceDE w:val="0"/>
              <w:autoSpaceDN w:val="0"/>
              <w:adjustRightInd w:val="0"/>
              <w:snapToGrid w:val="0"/>
              <w:jc w:val="left"/>
              <w:rPr>
                <w:rFonts w:ascii="宋体" w:hAnsi="宋体"/>
                <w:color w:val="auto"/>
                <w:kern w:val="0"/>
                <w:szCs w:val="21"/>
                <w:highlight w:val="none"/>
              </w:rPr>
            </w:pPr>
          </w:p>
        </w:tc>
        <w:tc>
          <w:tcPr>
            <w:tcW w:w="896" w:type="dxa"/>
            <w:vAlign w:val="top"/>
          </w:tcPr>
          <w:p>
            <w:pPr>
              <w:autoSpaceDE w:val="0"/>
              <w:autoSpaceDN w:val="0"/>
              <w:adjustRightInd w:val="0"/>
              <w:snapToGrid w:val="0"/>
              <w:jc w:val="left"/>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08" w:hRule="exact"/>
        </w:trPr>
        <w:tc>
          <w:tcPr>
            <w:tcW w:w="856" w:type="dxa"/>
            <w:vAlign w:val="top"/>
          </w:tcPr>
          <w:p>
            <w:pPr>
              <w:autoSpaceDE w:val="0"/>
              <w:autoSpaceDN w:val="0"/>
              <w:adjustRightInd w:val="0"/>
              <w:snapToGrid w:val="0"/>
              <w:jc w:val="left"/>
              <w:rPr>
                <w:rFonts w:ascii="宋体" w:hAnsi="宋体"/>
                <w:color w:val="auto"/>
                <w:kern w:val="0"/>
                <w:szCs w:val="21"/>
                <w:highlight w:val="none"/>
              </w:rPr>
            </w:pPr>
          </w:p>
        </w:tc>
        <w:tc>
          <w:tcPr>
            <w:tcW w:w="734" w:type="dxa"/>
            <w:vAlign w:val="top"/>
          </w:tcPr>
          <w:p>
            <w:pPr>
              <w:autoSpaceDE w:val="0"/>
              <w:autoSpaceDN w:val="0"/>
              <w:adjustRightInd w:val="0"/>
              <w:snapToGrid w:val="0"/>
              <w:jc w:val="left"/>
              <w:rPr>
                <w:rFonts w:ascii="宋体" w:hAnsi="宋体"/>
                <w:color w:val="auto"/>
                <w:kern w:val="0"/>
                <w:szCs w:val="21"/>
                <w:highlight w:val="none"/>
              </w:rPr>
            </w:pPr>
          </w:p>
        </w:tc>
        <w:tc>
          <w:tcPr>
            <w:tcW w:w="776" w:type="dxa"/>
            <w:vAlign w:val="top"/>
          </w:tcPr>
          <w:p>
            <w:pPr>
              <w:autoSpaceDE w:val="0"/>
              <w:autoSpaceDN w:val="0"/>
              <w:adjustRightInd w:val="0"/>
              <w:snapToGrid w:val="0"/>
              <w:jc w:val="left"/>
              <w:rPr>
                <w:rFonts w:ascii="宋体" w:hAnsi="宋体"/>
                <w:color w:val="auto"/>
                <w:kern w:val="0"/>
                <w:szCs w:val="21"/>
                <w:highlight w:val="none"/>
              </w:rPr>
            </w:pPr>
          </w:p>
        </w:tc>
        <w:tc>
          <w:tcPr>
            <w:tcW w:w="1167" w:type="dxa"/>
            <w:vAlign w:val="top"/>
          </w:tcPr>
          <w:p>
            <w:pPr>
              <w:autoSpaceDE w:val="0"/>
              <w:autoSpaceDN w:val="0"/>
              <w:adjustRightInd w:val="0"/>
              <w:snapToGrid w:val="0"/>
              <w:jc w:val="left"/>
              <w:rPr>
                <w:rFonts w:ascii="宋体" w:hAnsi="宋体"/>
                <w:color w:val="auto"/>
                <w:kern w:val="0"/>
                <w:szCs w:val="21"/>
                <w:highlight w:val="none"/>
              </w:rPr>
            </w:pPr>
          </w:p>
        </w:tc>
        <w:tc>
          <w:tcPr>
            <w:tcW w:w="776" w:type="dxa"/>
            <w:vAlign w:val="top"/>
          </w:tcPr>
          <w:p>
            <w:pPr>
              <w:autoSpaceDE w:val="0"/>
              <w:autoSpaceDN w:val="0"/>
              <w:adjustRightInd w:val="0"/>
              <w:snapToGrid w:val="0"/>
              <w:jc w:val="left"/>
              <w:rPr>
                <w:rFonts w:ascii="宋体" w:hAnsi="宋体"/>
                <w:color w:val="auto"/>
                <w:kern w:val="0"/>
                <w:szCs w:val="21"/>
                <w:highlight w:val="none"/>
              </w:rPr>
            </w:pPr>
          </w:p>
        </w:tc>
        <w:tc>
          <w:tcPr>
            <w:tcW w:w="778" w:type="dxa"/>
            <w:vAlign w:val="top"/>
          </w:tcPr>
          <w:p>
            <w:pPr>
              <w:autoSpaceDE w:val="0"/>
              <w:autoSpaceDN w:val="0"/>
              <w:adjustRightInd w:val="0"/>
              <w:snapToGrid w:val="0"/>
              <w:jc w:val="left"/>
              <w:rPr>
                <w:rFonts w:ascii="宋体" w:hAnsi="宋体"/>
                <w:color w:val="auto"/>
                <w:kern w:val="0"/>
                <w:szCs w:val="21"/>
                <w:highlight w:val="none"/>
              </w:rPr>
            </w:pPr>
          </w:p>
        </w:tc>
        <w:tc>
          <w:tcPr>
            <w:tcW w:w="776" w:type="dxa"/>
            <w:vAlign w:val="top"/>
          </w:tcPr>
          <w:p>
            <w:pPr>
              <w:autoSpaceDE w:val="0"/>
              <w:autoSpaceDN w:val="0"/>
              <w:adjustRightInd w:val="0"/>
              <w:snapToGrid w:val="0"/>
              <w:jc w:val="left"/>
              <w:rPr>
                <w:rFonts w:ascii="宋体" w:hAnsi="宋体"/>
                <w:color w:val="auto"/>
                <w:kern w:val="0"/>
                <w:szCs w:val="21"/>
                <w:highlight w:val="none"/>
              </w:rPr>
            </w:pPr>
          </w:p>
        </w:tc>
        <w:tc>
          <w:tcPr>
            <w:tcW w:w="2723" w:type="dxa"/>
            <w:vAlign w:val="top"/>
          </w:tcPr>
          <w:p>
            <w:pPr>
              <w:autoSpaceDE w:val="0"/>
              <w:autoSpaceDN w:val="0"/>
              <w:adjustRightInd w:val="0"/>
              <w:snapToGrid w:val="0"/>
              <w:jc w:val="left"/>
              <w:rPr>
                <w:rFonts w:ascii="宋体" w:hAnsi="宋体"/>
                <w:color w:val="auto"/>
                <w:kern w:val="0"/>
                <w:szCs w:val="21"/>
                <w:highlight w:val="none"/>
              </w:rPr>
            </w:pPr>
          </w:p>
        </w:tc>
        <w:tc>
          <w:tcPr>
            <w:tcW w:w="896" w:type="dxa"/>
            <w:vAlign w:val="top"/>
          </w:tcPr>
          <w:p>
            <w:pPr>
              <w:autoSpaceDE w:val="0"/>
              <w:autoSpaceDN w:val="0"/>
              <w:adjustRightInd w:val="0"/>
              <w:snapToGrid w:val="0"/>
              <w:jc w:val="left"/>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08" w:hRule="exact"/>
        </w:trPr>
        <w:tc>
          <w:tcPr>
            <w:tcW w:w="856" w:type="dxa"/>
            <w:vAlign w:val="top"/>
          </w:tcPr>
          <w:p>
            <w:pPr>
              <w:autoSpaceDE w:val="0"/>
              <w:autoSpaceDN w:val="0"/>
              <w:adjustRightInd w:val="0"/>
              <w:snapToGrid w:val="0"/>
              <w:jc w:val="left"/>
              <w:rPr>
                <w:rFonts w:ascii="宋体" w:hAnsi="宋体"/>
                <w:color w:val="auto"/>
                <w:kern w:val="0"/>
                <w:szCs w:val="21"/>
                <w:highlight w:val="none"/>
              </w:rPr>
            </w:pPr>
          </w:p>
        </w:tc>
        <w:tc>
          <w:tcPr>
            <w:tcW w:w="734" w:type="dxa"/>
            <w:vAlign w:val="top"/>
          </w:tcPr>
          <w:p>
            <w:pPr>
              <w:autoSpaceDE w:val="0"/>
              <w:autoSpaceDN w:val="0"/>
              <w:adjustRightInd w:val="0"/>
              <w:snapToGrid w:val="0"/>
              <w:jc w:val="left"/>
              <w:rPr>
                <w:rFonts w:ascii="宋体" w:hAnsi="宋体"/>
                <w:color w:val="auto"/>
                <w:kern w:val="0"/>
                <w:szCs w:val="21"/>
                <w:highlight w:val="none"/>
              </w:rPr>
            </w:pPr>
          </w:p>
        </w:tc>
        <w:tc>
          <w:tcPr>
            <w:tcW w:w="776" w:type="dxa"/>
            <w:vAlign w:val="top"/>
          </w:tcPr>
          <w:p>
            <w:pPr>
              <w:autoSpaceDE w:val="0"/>
              <w:autoSpaceDN w:val="0"/>
              <w:adjustRightInd w:val="0"/>
              <w:snapToGrid w:val="0"/>
              <w:jc w:val="left"/>
              <w:rPr>
                <w:rFonts w:ascii="宋体" w:hAnsi="宋体"/>
                <w:color w:val="auto"/>
                <w:kern w:val="0"/>
                <w:szCs w:val="21"/>
                <w:highlight w:val="none"/>
              </w:rPr>
            </w:pPr>
          </w:p>
        </w:tc>
        <w:tc>
          <w:tcPr>
            <w:tcW w:w="1167" w:type="dxa"/>
            <w:vAlign w:val="top"/>
          </w:tcPr>
          <w:p>
            <w:pPr>
              <w:autoSpaceDE w:val="0"/>
              <w:autoSpaceDN w:val="0"/>
              <w:adjustRightInd w:val="0"/>
              <w:snapToGrid w:val="0"/>
              <w:jc w:val="left"/>
              <w:rPr>
                <w:rFonts w:ascii="宋体" w:hAnsi="宋体"/>
                <w:color w:val="auto"/>
                <w:kern w:val="0"/>
                <w:szCs w:val="21"/>
                <w:highlight w:val="none"/>
              </w:rPr>
            </w:pPr>
          </w:p>
        </w:tc>
        <w:tc>
          <w:tcPr>
            <w:tcW w:w="776" w:type="dxa"/>
            <w:vAlign w:val="top"/>
          </w:tcPr>
          <w:p>
            <w:pPr>
              <w:autoSpaceDE w:val="0"/>
              <w:autoSpaceDN w:val="0"/>
              <w:adjustRightInd w:val="0"/>
              <w:snapToGrid w:val="0"/>
              <w:jc w:val="left"/>
              <w:rPr>
                <w:rFonts w:ascii="宋体" w:hAnsi="宋体"/>
                <w:color w:val="auto"/>
                <w:kern w:val="0"/>
                <w:szCs w:val="21"/>
                <w:highlight w:val="none"/>
              </w:rPr>
            </w:pPr>
          </w:p>
        </w:tc>
        <w:tc>
          <w:tcPr>
            <w:tcW w:w="778" w:type="dxa"/>
            <w:vAlign w:val="top"/>
          </w:tcPr>
          <w:p>
            <w:pPr>
              <w:autoSpaceDE w:val="0"/>
              <w:autoSpaceDN w:val="0"/>
              <w:adjustRightInd w:val="0"/>
              <w:snapToGrid w:val="0"/>
              <w:jc w:val="left"/>
              <w:rPr>
                <w:rFonts w:ascii="宋体" w:hAnsi="宋体"/>
                <w:color w:val="auto"/>
                <w:kern w:val="0"/>
                <w:szCs w:val="21"/>
                <w:highlight w:val="none"/>
              </w:rPr>
            </w:pPr>
          </w:p>
        </w:tc>
        <w:tc>
          <w:tcPr>
            <w:tcW w:w="776" w:type="dxa"/>
            <w:vAlign w:val="top"/>
          </w:tcPr>
          <w:p>
            <w:pPr>
              <w:autoSpaceDE w:val="0"/>
              <w:autoSpaceDN w:val="0"/>
              <w:adjustRightInd w:val="0"/>
              <w:snapToGrid w:val="0"/>
              <w:jc w:val="left"/>
              <w:rPr>
                <w:rFonts w:ascii="宋体" w:hAnsi="宋体"/>
                <w:color w:val="auto"/>
                <w:kern w:val="0"/>
                <w:szCs w:val="21"/>
                <w:highlight w:val="none"/>
              </w:rPr>
            </w:pPr>
          </w:p>
        </w:tc>
        <w:tc>
          <w:tcPr>
            <w:tcW w:w="2723" w:type="dxa"/>
            <w:vAlign w:val="top"/>
          </w:tcPr>
          <w:p>
            <w:pPr>
              <w:autoSpaceDE w:val="0"/>
              <w:autoSpaceDN w:val="0"/>
              <w:adjustRightInd w:val="0"/>
              <w:snapToGrid w:val="0"/>
              <w:jc w:val="left"/>
              <w:rPr>
                <w:rFonts w:ascii="宋体" w:hAnsi="宋体"/>
                <w:color w:val="auto"/>
                <w:kern w:val="0"/>
                <w:szCs w:val="21"/>
                <w:highlight w:val="none"/>
              </w:rPr>
            </w:pPr>
          </w:p>
        </w:tc>
        <w:tc>
          <w:tcPr>
            <w:tcW w:w="896" w:type="dxa"/>
            <w:vAlign w:val="top"/>
          </w:tcPr>
          <w:p>
            <w:pPr>
              <w:autoSpaceDE w:val="0"/>
              <w:autoSpaceDN w:val="0"/>
              <w:adjustRightInd w:val="0"/>
              <w:snapToGrid w:val="0"/>
              <w:jc w:val="left"/>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08" w:hRule="exact"/>
        </w:trPr>
        <w:tc>
          <w:tcPr>
            <w:tcW w:w="856" w:type="dxa"/>
            <w:vAlign w:val="top"/>
          </w:tcPr>
          <w:p>
            <w:pPr>
              <w:autoSpaceDE w:val="0"/>
              <w:autoSpaceDN w:val="0"/>
              <w:adjustRightInd w:val="0"/>
              <w:snapToGrid w:val="0"/>
              <w:jc w:val="left"/>
              <w:rPr>
                <w:rFonts w:ascii="宋体" w:hAnsi="宋体"/>
                <w:color w:val="auto"/>
                <w:kern w:val="0"/>
                <w:szCs w:val="21"/>
                <w:highlight w:val="none"/>
              </w:rPr>
            </w:pPr>
          </w:p>
        </w:tc>
        <w:tc>
          <w:tcPr>
            <w:tcW w:w="734" w:type="dxa"/>
            <w:vAlign w:val="top"/>
          </w:tcPr>
          <w:p>
            <w:pPr>
              <w:autoSpaceDE w:val="0"/>
              <w:autoSpaceDN w:val="0"/>
              <w:adjustRightInd w:val="0"/>
              <w:snapToGrid w:val="0"/>
              <w:jc w:val="left"/>
              <w:rPr>
                <w:rFonts w:ascii="宋体" w:hAnsi="宋体"/>
                <w:color w:val="auto"/>
                <w:kern w:val="0"/>
                <w:szCs w:val="21"/>
                <w:highlight w:val="none"/>
              </w:rPr>
            </w:pPr>
          </w:p>
        </w:tc>
        <w:tc>
          <w:tcPr>
            <w:tcW w:w="776" w:type="dxa"/>
            <w:vAlign w:val="top"/>
          </w:tcPr>
          <w:p>
            <w:pPr>
              <w:autoSpaceDE w:val="0"/>
              <w:autoSpaceDN w:val="0"/>
              <w:adjustRightInd w:val="0"/>
              <w:snapToGrid w:val="0"/>
              <w:jc w:val="left"/>
              <w:rPr>
                <w:rFonts w:ascii="宋体" w:hAnsi="宋体"/>
                <w:color w:val="auto"/>
                <w:kern w:val="0"/>
                <w:szCs w:val="21"/>
                <w:highlight w:val="none"/>
              </w:rPr>
            </w:pPr>
          </w:p>
        </w:tc>
        <w:tc>
          <w:tcPr>
            <w:tcW w:w="1167" w:type="dxa"/>
            <w:vAlign w:val="top"/>
          </w:tcPr>
          <w:p>
            <w:pPr>
              <w:autoSpaceDE w:val="0"/>
              <w:autoSpaceDN w:val="0"/>
              <w:adjustRightInd w:val="0"/>
              <w:snapToGrid w:val="0"/>
              <w:jc w:val="left"/>
              <w:rPr>
                <w:rFonts w:ascii="宋体" w:hAnsi="宋体"/>
                <w:color w:val="auto"/>
                <w:kern w:val="0"/>
                <w:szCs w:val="21"/>
                <w:highlight w:val="none"/>
              </w:rPr>
            </w:pPr>
          </w:p>
        </w:tc>
        <w:tc>
          <w:tcPr>
            <w:tcW w:w="776" w:type="dxa"/>
            <w:vAlign w:val="top"/>
          </w:tcPr>
          <w:p>
            <w:pPr>
              <w:autoSpaceDE w:val="0"/>
              <w:autoSpaceDN w:val="0"/>
              <w:adjustRightInd w:val="0"/>
              <w:snapToGrid w:val="0"/>
              <w:jc w:val="left"/>
              <w:rPr>
                <w:rFonts w:ascii="宋体" w:hAnsi="宋体"/>
                <w:color w:val="auto"/>
                <w:kern w:val="0"/>
                <w:szCs w:val="21"/>
                <w:highlight w:val="none"/>
              </w:rPr>
            </w:pPr>
          </w:p>
        </w:tc>
        <w:tc>
          <w:tcPr>
            <w:tcW w:w="778" w:type="dxa"/>
            <w:vAlign w:val="top"/>
          </w:tcPr>
          <w:p>
            <w:pPr>
              <w:autoSpaceDE w:val="0"/>
              <w:autoSpaceDN w:val="0"/>
              <w:adjustRightInd w:val="0"/>
              <w:snapToGrid w:val="0"/>
              <w:jc w:val="left"/>
              <w:rPr>
                <w:rFonts w:ascii="宋体" w:hAnsi="宋体"/>
                <w:color w:val="auto"/>
                <w:kern w:val="0"/>
                <w:szCs w:val="21"/>
                <w:highlight w:val="none"/>
              </w:rPr>
            </w:pPr>
          </w:p>
        </w:tc>
        <w:tc>
          <w:tcPr>
            <w:tcW w:w="776" w:type="dxa"/>
            <w:vAlign w:val="top"/>
          </w:tcPr>
          <w:p>
            <w:pPr>
              <w:autoSpaceDE w:val="0"/>
              <w:autoSpaceDN w:val="0"/>
              <w:adjustRightInd w:val="0"/>
              <w:snapToGrid w:val="0"/>
              <w:jc w:val="left"/>
              <w:rPr>
                <w:rFonts w:ascii="宋体" w:hAnsi="宋体"/>
                <w:color w:val="auto"/>
                <w:kern w:val="0"/>
                <w:szCs w:val="21"/>
                <w:highlight w:val="none"/>
              </w:rPr>
            </w:pPr>
          </w:p>
        </w:tc>
        <w:tc>
          <w:tcPr>
            <w:tcW w:w="2723" w:type="dxa"/>
            <w:vAlign w:val="top"/>
          </w:tcPr>
          <w:p>
            <w:pPr>
              <w:autoSpaceDE w:val="0"/>
              <w:autoSpaceDN w:val="0"/>
              <w:adjustRightInd w:val="0"/>
              <w:snapToGrid w:val="0"/>
              <w:jc w:val="left"/>
              <w:rPr>
                <w:rFonts w:ascii="宋体" w:hAnsi="宋体"/>
                <w:color w:val="auto"/>
                <w:kern w:val="0"/>
                <w:szCs w:val="21"/>
                <w:highlight w:val="none"/>
              </w:rPr>
            </w:pPr>
          </w:p>
        </w:tc>
        <w:tc>
          <w:tcPr>
            <w:tcW w:w="896" w:type="dxa"/>
            <w:vAlign w:val="top"/>
          </w:tcPr>
          <w:p>
            <w:pPr>
              <w:autoSpaceDE w:val="0"/>
              <w:autoSpaceDN w:val="0"/>
              <w:adjustRightInd w:val="0"/>
              <w:snapToGrid w:val="0"/>
              <w:jc w:val="left"/>
              <w:rPr>
                <w:rFonts w:ascii="宋体" w:hAnsi="宋体"/>
                <w:color w:val="auto"/>
                <w:kern w:val="0"/>
                <w:szCs w:val="21"/>
                <w:highlight w:val="none"/>
              </w:rPr>
            </w:pPr>
          </w:p>
        </w:tc>
      </w:tr>
    </w:tbl>
    <w:p>
      <w:pPr>
        <w:spacing w:line="20" w:lineRule="exact"/>
        <w:jc w:val="center"/>
        <w:rPr>
          <w:rFonts w:ascii="宋体" w:hAnsi="宋体"/>
          <w:color w:val="auto"/>
          <w:szCs w:val="21"/>
          <w:highlight w:val="none"/>
        </w:rPr>
      </w:pPr>
    </w:p>
    <w:p>
      <w:pPr>
        <w:spacing w:line="360" w:lineRule="auto"/>
        <w:jc w:val="left"/>
        <w:rPr>
          <w:rFonts w:ascii="宋体" w:hAnsi="宋体"/>
          <w:color w:val="auto"/>
          <w:szCs w:val="21"/>
        </w:rPr>
      </w:pPr>
      <w:r>
        <w:rPr>
          <w:rFonts w:hint="eastAsia" w:ascii="宋体" w:hAnsi="宋体"/>
          <w:color w:val="auto"/>
          <w:szCs w:val="21"/>
          <w:highlight w:val="none"/>
        </w:rPr>
        <w:t>注：本表仅填项目经理、项目总工相关信息</w:t>
      </w:r>
    </w:p>
    <w:p>
      <w:pPr>
        <w:spacing w:line="360" w:lineRule="auto"/>
        <w:ind w:firstLine="640"/>
        <w:jc w:val="center"/>
        <w:rPr>
          <w:rFonts w:ascii="宋体" w:hAnsi="宋体"/>
          <w:color w:val="auto"/>
          <w:sz w:val="32"/>
          <w:szCs w:val="32"/>
        </w:rPr>
      </w:pPr>
      <w:r>
        <w:rPr>
          <w:rFonts w:ascii="宋体" w:hAnsi="宋体"/>
          <w:color w:val="auto"/>
          <w:sz w:val="32"/>
          <w:szCs w:val="32"/>
        </w:rPr>
        <w:br w:type="page"/>
      </w:r>
      <w:bookmarkEnd w:id="972"/>
      <w:bookmarkEnd w:id="973"/>
      <w:r>
        <w:rPr>
          <w:rFonts w:hint="eastAsia" w:ascii="宋体" w:hAnsi="宋体" w:cs="MingLiU"/>
          <w:color w:val="auto"/>
          <w:kern w:val="0"/>
          <w:sz w:val="28"/>
          <w:szCs w:val="28"/>
          <w:highlight w:val="none"/>
        </w:rPr>
        <w:t>项目经理及项目总工简历表</w:t>
      </w:r>
    </w:p>
    <w:tbl>
      <w:tblPr>
        <w:tblStyle w:val="52"/>
        <w:tblW w:w="9755"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306"/>
        <w:gridCol w:w="397"/>
        <w:gridCol w:w="793"/>
        <w:gridCol w:w="1020"/>
        <w:gridCol w:w="1175"/>
        <w:gridCol w:w="780"/>
        <w:gridCol w:w="1388"/>
        <w:gridCol w:w="178"/>
        <w:gridCol w:w="2718"/>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712" w:hRule="exact"/>
        </w:trPr>
        <w:tc>
          <w:tcPr>
            <w:tcW w:w="1306" w:type="dxa"/>
            <w:vAlign w:val="center"/>
          </w:tcPr>
          <w:p>
            <w:pPr>
              <w:tabs>
                <w:tab w:val="left" w:pos="520"/>
              </w:tabs>
              <w:autoSpaceDE w:val="0"/>
              <w:autoSpaceDN w:val="0"/>
              <w:adjustRightInd w:val="0"/>
              <w:snapToGrid w:val="0"/>
              <w:jc w:val="center"/>
              <w:rPr>
                <w:rFonts w:ascii="宋体" w:hAnsi="宋体"/>
                <w:color w:val="auto"/>
                <w:kern w:val="0"/>
                <w:szCs w:val="21"/>
              </w:rPr>
            </w:pPr>
            <w:r>
              <w:rPr>
                <w:rFonts w:ascii="宋体" w:hAnsi="宋体"/>
                <w:color w:val="auto"/>
                <w:kern w:val="0"/>
                <w:szCs w:val="21"/>
              </w:rPr>
              <w:t>姓名</w:t>
            </w:r>
          </w:p>
        </w:tc>
        <w:tc>
          <w:tcPr>
            <w:tcW w:w="1190" w:type="dxa"/>
            <w:gridSpan w:val="2"/>
            <w:vAlign w:val="center"/>
          </w:tcPr>
          <w:p>
            <w:pPr>
              <w:autoSpaceDE w:val="0"/>
              <w:autoSpaceDN w:val="0"/>
              <w:adjustRightInd w:val="0"/>
              <w:snapToGrid w:val="0"/>
              <w:jc w:val="center"/>
              <w:rPr>
                <w:rFonts w:ascii="宋体" w:hAnsi="宋体"/>
                <w:color w:val="auto"/>
                <w:kern w:val="0"/>
                <w:szCs w:val="21"/>
              </w:rPr>
            </w:pPr>
          </w:p>
        </w:tc>
        <w:tc>
          <w:tcPr>
            <w:tcW w:w="1020" w:type="dxa"/>
            <w:vAlign w:val="center"/>
          </w:tcPr>
          <w:p>
            <w:pPr>
              <w:autoSpaceDE w:val="0"/>
              <w:autoSpaceDN w:val="0"/>
              <w:adjustRightInd w:val="0"/>
              <w:snapToGrid w:val="0"/>
              <w:jc w:val="center"/>
              <w:rPr>
                <w:rFonts w:ascii="宋体" w:hAnsi="宋体"/>
                <w:color w:val="auto"/>
                <w:kern w:val="0"/>
                <w:szCs w:val="21"/>
              </w:rPr>
            </w:pPr>
            <w:r>
              <w:rPr>
                <w:rFonts w:ascii="宋体" w:hAnsi="宋体"/>
                <w:color w:val="auto"/>
                <w:kern w:val="0"/>
                <w:szCs w:val="21"/>
              </w:rPr>
              <w:t>年龄</w:t>
            </w:r>
          </w:p>
        </w:tc>
        <w:tc>
          <w:tcPr>
            <w:tcW w:w="1175" w:type="dxa"/>
            <w:vAlign w:val="center"/>
          </w:tcPr>
          <w:p>
            <w:pPr>
              <w:autoSpaceDE w:val="0"/>
              <w:autoSpaceDN w:val="0"/>
              <w:adjustRightInd w:val="0"/>
              <w:snapToGrid w:val="0"/>
              <w:jc w:val="center"/>
              <w:rPr>
                <w:rFonts w:ascii="宋体" w:hAnsi="宋体"/>
                <w:color w:val="auto"/>
                <w:kern w:val="0"/>
                <w:szCs w:val="21"/>
              </w:rPr>
            </w:pPr>
          </w:p>
        </w:tc>
        <w:tc>
          <w:tcPr>
            <w:tcW w:w="2346" w:type="dxa"/>
            <w:gridSpan w:val="3"/>
            <w:vAlign w:val="center"/>
          </w:tcPr>
          <w:p>
            <w:pPr>
              <w:autoSpaceDE w:val="0"/>
              <w:autoSpaceDN w:val="0"/>
              <w:adjustRightInd w:val="0"/>
              <w:snapToGrid w:val="0"/>
              <w:jc w:val="center"/>
              <w:rPr>
                <w:rFonts w:ascii="宋体" w:hAnsi="宋体"/>
                <w:color w:val="auto"/>
                <w:kern w:val="0"/>
                <w:szCs w:val="21"/>
              </w:rPr>
            </w:pPr>
            <w:r>
              <w:rPr>
                <w:rFonts w:ascii="宋体" w:hAnsi="宋体"/>
                <w:color w:val="auto"/>
                <w:kern w:val="0"/>
                <w:szCs w:val="21"/>
              </w:rPr>
              <w:t>学历</w:t>
            </w:r>
          </w:p>
        </w:tc>
        <w:tc>
          <w:tcPr>
            <w:tcW w:w="2718" w:type="dxa"/>
            <w:vAlign w:val="center"/>
          </w:tcPr>
          <w:p>
            <w:pPr>
              <w:autoSpaceDE w:val="0"/>
              <w:autoSpaceDN w:val="0"/>
              <w:adjustRightInd w:val="0"/>
              <w:snapToGrid w:val="0"/>
              <w:jc w:val="center"/>
              <w:rPr>
                <w:rFonts w:ascii="宋体" w:hAnsi="宋体"/>
                <w:color w:val="auto"/>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712" w:hRule="exact"/>
        </w:trPr>
        <w:tc>
          <w:tcPr>
            <w:tcW w:w="1306" w:type="dxa"/>
            <w:vAlign w:val="center"/>
          </w:tcPr>
          <w:p>
            <w:pPr>
              <w:tabs>
                <w:tab w:val="left" w:pos="520"/>
              </w:tabs>
              <w:autoSpaceDE w:val="0"/>
              <w:autoSpaceDN w:val="0"/>
              <w:adjustRightInd w:val="0"/>
              <w:snapToGrid w:val="0"/>
              <w:jc w:val="center"/>
              <w:rPr>
                <w:rFonts w:ascii="宋体" w:hAnsi="宋体"/>
                <w:color w:val="auto"/>
                <w:kern w:val="0"/>
                <w:szCs w:val="21"/>
              </w:rPr>
            </w:pPr>
            <w:r>
              <w:rPr>
                <w:rFonts w:ascii="宋体" w:hAnsi="宋体"/>
                <w:color w:val="auto"/>
                <w:kern w:val="0"/>
                <w:szCs w:val="21"/>
              </w:rPr>
              <w:t>职称</w:t>
            </w:r>
          </w:p>
        </w:tc>
        <w:tc>
          <w:tcPr>
            <w:tcW w:w="1190" w:type="dxa"/>
            <w:gridSpan w:val="2"/>
            <w:vAlign w:val="center"/>
          </w:tcPr>
          <w:p>
            <w:pPr>
              <w:autoSpaceDE w:val="0"/>
              <w:autoSpaceDN w:val="0"/>
              <w:adjustRightInd w:val="0"/>
              <w:snapToGrid w:val="0"/>
              <w:jc w:val="center"/>
              <w:rPr>
                <w:rFonts w:ascii="宋体" w:hAnsi="宋体"/>
                <w:color w:val="auto"/>
                <w:kern w:val="0"/>
                <w:szCs w:val="21"/>
              </w:rPr>
            </w:pPr>
          </w:p>
        </w:tc>
        <w:tc>
          <w:tcPr>
            <w:tcW w:w="1020" w:type="dxa"/>
            <w:vAlign w:val="center"/>
          </w:tcPr>
          <w:p>
            <w:pPr>
              <w:autoSpaceDE w:val="0"/>
              <w:autoSpaceDN w:val="0"/>
              <w:adjustRightInd w:val="0"/>
              <w:snapToGrid w:val="0"/>
              <w:jc w:val="center"/>
              <w:rPr>
                <w:rFonts w:ascii="宋体" w:hAnsi="宋体"/>
                <w:color w:val="auto"/>
                <w:kern w:val="0"/>
                <w:szCs w:val="21"/>
              </w:rPr>
            </w:pPr>
            <w:r>
              <w:rPr>
                <w:rFonts w:ascii="宋体" w:hAnsi="宋体"/>
                <w:color w:val="auto"/>
                <w:kern w:val="0"/>
                <w:szCs w:val="21"/>
              </w:rPr>
              <w:t>职务</w:t>
            </w:r>
          </w:p>
        </w:tc>
        <w:tc>
          <w:tcPr>
            <w:tcW w:w="1175" w:type="dxa"/>
            <w:vAlign w:val="center"/>
          </w:tcPr>
          <w:p>
            <w:pPr>
              <w:autoSpaceDE w:val="0"/>
              <w:autoSpaceDN w:val="0"/>
              <w:adjustRightInd w:val="0"/>
              <w:snapToGrid w:val="0"/>
              <w:jc w:val="center"/>
              <w:rPr>
                <w:rFonts w:ascii="宋体" w:hAnsi="宋体"/>
                <w:color w:val="auto"/>
                <w:kern w:val="0"/>
                <w:szCs w:val="21"/>
              </w:rPr>
            </w:pPr>
          </w:p>
        </w:tc>
        <w:tc>
          <w:tcPr>
            <w:tcW w:w="2346" w:type="dxa"/>
            <w:gridSpan w:val="3"/>
            <w:vAlign w:val="center"/>
          </w:tcPr>
          <w:p>
            <w:pPr>
              <w:autoSpaceDE w:val="0"/>
              <w:autoSpaceDN w:val="0"/>
              <w:adjustRightInd w:val="0"/>
              <w:snapToGrid w:val="0"/>
              <w:jc w:val="center"/>
              <w:rPr>
                <w:rFonts w:ascii="宋体" w:hAnsi="宋体"/>
                <w:color w:val="auto"/>
                <w:kern w:val="0"/>
                <w:szCs w:val="21"/>
              </w:rPr>
            </w:pPr>
            <w:r>
              <w:rPr>
                <w:rFonts w:ascii="宋体" w:hAnsi="宋体"/>
                <w:color w:val="auto"/>
                <w:kern w:val="0"/>
                <w:szCs w:val="21"/>
              </w:rPr>
              <w:t>拟在本合同任职</w:t>
            </w:r>
          </w:p>
        </w:tc>
        <w:tc>
          <w:tcPr>
            <w:tcW w:w="2718" w:type="dxa"/>
            <w:vAlign w:val="center"/>
          </w:tcPr>
          <w:p>
            <w:pPr>
              <w:autoSpaceDE w:val="0"/>
              <w:autoSpaceDN w:val="0"/>
              <w:adjustRightInd w:val="0"/>
              <w:snapToGrid w:val="0"/>
              <w:jc w:val="center"/>
              <w:rPr>
                <w:rFonts w:ascii="宋体" w:hAnsi="宋体"/>
                <w:color w:val="auto"/>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712" w:hRule="exact"/>
        </w:trPr>
        <w:tc>
          <w:tcPr>
            <w:tcW w:w="1306" w:type="dxa"/>
            <w:vAlign w:val="center"/>
          </w:tcPr>
          <w:p>
            <w:pPr>
              <w:autoSpaceDE w:val="0"/>
              <w:autoSpaceDN w:val="0"/>
              <w:adjustRightInd w:val="0"/>
              <w:snapToGrid w:val="0"/>
              <w:jc w:val="center"/>
              <w:rPr>
                <w:rFonts w:ascii="宋体" w:hAnsi="宋体"/>
                <w:color w:val="auto"/>
                <w:kern w:val="0"/>
                <w:szCs w:val="21"/>
              </w:rPr>
            </w:pPr>
            <w:r>
              <w:rPr>
                <w:rFonts w:ascii="宋体" w:hAnsi="宋体"/>
                <w:color w:val="auto"/>
                <w:kern w:val="0"/>
                <w:szCs w:val="21"/>
              </w:rPr>
              <w:t>毕业学校</w:t>
            </w:r>
          </w:p>
        </w:tc>
        <w:tc>
          <w:tcPr>
            <w:tcW w:w="8449" w:type="dxa"/>
            <w:gridSpan w:val="8"/>
            <w:vAlign w:val="center"/>
          </w:tcPr>
          <w:p>
            <w:pPr>
              <w:tabs>
                <w:tab w:val="left" w:pos="2820"/>
                <w:tab w:val="left" w:pos="4080"/>
              </w:tabs>
              <w:autoSpaceDE w:val="0"/>
              <w:autoSpaceDN w:val="0"/>
              <w:adjustRightInd w:val="0"/>
              <w:snapToGrid w:val="0"/>
              <w:jc w:val="center"/>
              <w:rPr>
                <w:rFonts w:ascii="宋体" w:hAnsi="宋体"/>
                <w:color w:val="auto"/>
                <w:kern w:val="0"/>
                <w:szCs w:val="21"/>
              </w:rPr>
            </w:pPr>
            <w:r>
              <w:rPr>
                <w:rFonts w:ascii="宋体" w:hAnsi="宋体"/>
                <w:color w:val="auto"/>
                <w:kern w:val="0"/>
                <w:szCs w:val="21"/>
              </w:rPr>
              <w:t>年</w:t>
            </w:r>
            <w:r>
              <w:rPr>
                <w:rFonts w:ascii="宋体" w:hAnsi="宋体"/>
                <w:color w:val="auto"/>
                <w:spacing w:val="-1"/>
                <w:kern w:val="0"/>
                <w:szCs w:val="21"/>
              </w:rPr>
              <w:t>毕</w:t>
            </w:r>
            <w:r>
              <w:rPr>
                <w:rFonts w:ascii="宋体" w:hAnsi="宋体"/>
                <w:color w:val="auto"/>
                <w:kern w:val="0"/>
                <w:szCs w:val="21"/>
              </w:rPr>
              <w:t>业于</w:t>
            </w:r>
            <w:r>
              <w:rPr>
                <w:rFonts w:ascii="宋体" w:hAnsi="宋体"/>
                <w:color w:val="auto"/>
                <w:kern w:val="0"/>
                <w:szCs w:val="21"/>
              </w:rPr>
              <w:tab/>
            </w:r>
            <w:r>
              <w:rPr>
                <w:rFonts w:ascii="宋体" w:hAnsi="宋体"/>
                <w:color w:val="auto"/>
                <w:kern w:val="0"/>
                <w:szCs w:val="21"/>
              </w:rPr>
              <w:t>学校</w:t>
            </w:r>
            <w:r>
              <w:rPr>
                <w:rFonts w:ascii="宋体" w:hAnsi="宋体"/>
                <w:color w:val="auto"/>
                <w:kern w:val="0"/>
                <w:szCs w:val="21"/>
              </w:rPr>
              <w:tab/>
            </w:r>
            <w:r>
              <w:rPr>
                <w:rFonts w:ascii="宋体" w:hAnsi="宋体"/>
                <w:color w:val="auto"/>
                <w:kern w:val="0"/>
                <w:szCs w:val="21"/>
              </w:rPr>
              <w:t>专业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712" w:hRule="exact"/>
        </w:trPr>
        <w:tc>
          <w:tcPr>
            <w:tcW w:w="9755" w:type="dxa"/>
            <w:gridSpan w:val="9"/>
            <w:vAlign w:val="center"/>
          </w:tcPr>
          <w:p>
            <w:pPr>
              <w:autoSpaceDE w:val="0"/>
              <w:autoSpaceDN w:val="0"/>
              <w:adjustRightInd w:val="0"/>
              <w:snapToGrid w:val="0"/>
              <w:jc w:val="center"/>
              <w:rPr>
                <w:rFonts w:ascii="宋体" w:hAnsi="宋体"/>
                <w:color w:val="auto"/>
                <w:kern w:val="0"/>
                <w:szCs w:val="21"/>
              </w:rPr>
            </w:pPr>
            <w:r>
              <w:rPr>
                <w:rFonts w:ascii="宋体" w:hAnsi="宋体"/>
                <w:color w:val="auto"/>
                <w:kern w:val="0"/>
                <w:szCs w:val="21"/>
              </w:rPr>
              <w:t>主要工作经历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712" w:hRule="exact"/>
        </w:trPr>
        <w:tc>
          <w:tcPr>
            <w:tcW w:w="1703" w:type="dxa"/>
            <w:gridSpan w:val="2"/>
            <w:vAlign w:val="center"/>
          </w:tcPr>
          <w:p>
            <w:pPr>
              <w:tabs>
                <w:tab w:val="left" w:pos="520"/>
              </w:tabs>
              <w:autoSpaceDE w:val="0"/>
              <w:autoSpaceDN w:val="0"/>
              <w:adjustRightInd w:val="0"/>
              <w:snapToGrid w:val="0"/>
              <w:jc w:val="center"/>
              <w:rPr>
                <w:rFonts w:ascii="宋体" w:hAnsi="宋体"/>
                <w:color w:val="auto"/>
                <w:kern w:val="0"/>
                <w:szCs w:val="21"/>
              </w:rPr>
            </w:pPr>
            <w:r>
              <w:rPr>
                <w:rFonts w:ascii="宋体" w:hAnsi="宋体"/>
                <w:color w:val="auto"/>
                <w:kern w:val="0"/>
                <w:szCs w:val="21"/>
              </w:rPr>
              <w:t>时间</w:t>
            </w:r>
          </w:p>
        </w:tc>
        <w:tc>
          <w:tcPr>
            <w:tcW w:w="3768" w:type="dxa"/>
            <w:gridSpan w:val="4"/>
            <w:vAlign w:val="center"/>
          </w:tcPr>
          <w:p>
            <w:pPr>
              <w:autoSpaceDE w:val="0"/>
              <w:autoSpaceDN w:val="0"/>
              <w:adjustRightInd w:val="0"/>
              <w:snapToGrid w:val="0"/>
              <w:jc w:val="center"/>
              <w:rPr>
                <w:rFonts w:ascii="宋体" w:hAnsi="宋体"/>
                <w:color w:val="auto"/>
                <w:kern w:val="0"/>
                <w:szCs w:val="21"/>
              </w:rPr>
            </w:pPr>
            <w:r>
              <w:rPr>
                <w:rFonts w:ascii="宋体" w:hAnsi="宋体"/>
                <w:color w:val="auto"/>
                <w:kern w:val="0"/>
                <w:szCs w:val="21"/>
              </w:rPr>
              <w:t>参加过的类似项目</w:t>
            </w:r>
          </w:p>
        </w:tc>
        <w:tc>
          <w:tcPr>
            <w:tcW w:w="1388" w:type="dxa"/>
            <w:vAlign w:val="center"/>
          </w:tcPr>
          <w:p>
            <w:pPr>
              <w:autoSpaceDE w:val="0"/>
              <w:autoSpaceDN w:val="0"/>
              <w:adjustRightInd w:val="0"/>
              <w:snapToGrid w:val="0"/>
              <w:jc w:val="center"/>
              <w:rPr>
                <w:rFonts w:ascii="宋体" w:hAnsi="宋体"/>
                <w:color w:val="auto"/>
                <w:kern w:val="0"/>
                <w:szCs w:val="21"/>
              </w:rPr>
            </w:pPr>
            <w:r>
              <w:rPr>
                <w:rFonts w:ascii="宋体" w:hAnsi="宋体"/>
                <w:color w:val="auto"/>
                <w:kern w:val="0"/>
                <w:szCs w:val="21"/>
              </w:rPr>
              <w:t>担任职务</w:t>
            </w:r>
          </w:p>
        </w:tc>
        <w:tc>
          <w:tcPr>
            <w:tcW w:w="2896" w:type="dxa"/>
            <w:gridSpan w:val="2"/>
            <w:vAlign w:val="center"/>
          </w:tcPr>
          <w:p>
            <w:pPr>
              <w:autoSpaceDE w:val="0"/>
              <w:autoSpaceDN w:val="0"/>
              <w:adjustRightInd w:val="0"/>
              <w:snapToGrid w:val="0"/>
              <w:jc w:val="center"/>
              <w:rPr>
                <w:rFonts w:ascii="宋体" w:hAnsi="宋体"/>
                <w:color w:val="auto"/>
                <w:kern w:val="0"/>
                <w:szCs w:val="21"/>
              </w:rPr>
            </w:pPr>
            <w:r>
              <w:rPr>
                <w:rFonts w:ascii="宋体" w:hAnsi="宋体"/>
                <w:color w:val="auto"/>
                <w:kern w:val="0"/>
                <w:szCs w:val="21"/>
              </w:rPr>
              <w:t>发包人及联系电话</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color w:val="auto"/>
                <w:kern w:val="0"/>
                <w:szCs w:val="21"/>
              </w:rPr>
            </w:pPr>
          </w:p>
        </w:tc>
        <w:tc>
          <w:tcPr>
            <w:tcW w:w="3768" w:type="dxa"/>
            <w:gridSpan w:val="4"/>
            <w:vAlign w:val="center"/>
          </w:tcPr>
          <w:p>
            <w:pPr>
              <w:autoSpaceDE w:val="0"/>
              <w:autoSpaceDN w:val="0"/>
              <w:adjustRightInd w:val="0"/>
              <w:snapToGrid w:val="0"/>
              <w:jc w:val="center"/>
              <w:rPr>
                <w:rFonts w:ascii="宋体" w:hAnsi="宋体"/>
                <w:color w:val="auto"/>
                <w:kern w:val="0"/>
                <w:szCs w:val="21"/>
              </w:rPr>
            </w:pPr>
          </w:p>
        </w:tc>
        <w:tc>
          <w:tcPr>
            <w:tcW w:w="1388" w:type="dxa"/>
            <w:vAlign w:val="center"/>
          </w:tcPr>
          <w:p>
            <w:pPr>
              <w:autoSpaceDE w:val="0"/>
              <w:autoSpaceDN w:val="0"/>
              <w:adjustRightInd w:val="0"/>
              <w:snapToGrid w:val="0"/>
              <w:jc w:val="center"/>
              <w:rPr>
                <w:rFonts w:ascii="宋体" w:hAnsi="宋体"/>
                <w:color w:val="auto"/>
                <w:kern w:val="0"/>
                <w:szCs w:val="21"/>
              </w:rPr>
            </w:pPr>
          </w:p>
        </w:tc>
        <w:tc>
          <w:tcPr>
            <w:tcW w:w="2896" w:type="dxa"/>
            <w:gridSpan w:val="2"/>
            <w:vAlign w:val="center"/>
          </w:tcPr>
          <w:p>
            <w:pPr>
              <w:autoSpaceDE w:val="0"/>
              <w:autoSpaceDN w:val="0"/>
              <w:adjustRightInd w:val="0"/>
              <w:snapToGrid w:val="0"/>
              <w:jc w:val="center"/>
              <w:rPr>
                <w:rFonts w:ascii="宋体" w:hAnsi="宋体"/>
                <w:color w:val="auto"/>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color w:val="auto"/>
                <w:kern w:val="0"/>
                <w:szCs w:val="21"/>
              </w:rPr>
            </w:pPr>
          </w:p>
        </w:tc>
        <w:tc>
          <w:tcPr>
            <w:tcW w:w="3768" w:type="dxa"/>
            <w:gridSpan w:val="4"/>
            <w:vAlign w:val="center"/>
          </w:tcPr>
          <w:p>
            <w:pPr>
              <w:autoSpaceDE w:val="0"/>
              <w:autoSpaceDN w:val="0"/>
              <w:adjustRightInd w:val="0"/>
              <w:snapToGrid w:val="0"/>
              <w:jc w:val="center"/>
              <w:rPr>
                <w:rFonts w:ascii="宋体" w:hAnsi="宋体"/>
                <w:color w:val="auto"/>
                <w:kern w:val="0"/>
                <w:szCs w:val="21"/>
              </w:rPr>
            </w:pPr>
          </w:p>
        </w:tc>
        <w:tc>
          <w:tcPr>
            <w:tcW w:w="1388" w:type="dxa"/>
            <w:vAlign w:val="center"/>
          </w:tcPr>
          <w:p>
            <w:pPr>
              <w:autoSpaceDE w:val="0"/>
              <w:autoSpaceDN w:val="0"/>
              <w:adjustRightInd w:val="0"/>
              <w:snapToGrid w:val="0"/>
              <w:jc w:val="center"/>
              <w:rPr>
                <w:rFonts w:ascii="宋体" w:hAnsi="宋体"/>
                <w:color w:val="auto"/>
                <w:kern w:val="0"/>
                <w:szCs w:val="21"/>
              </w:rPr>
            </w:pPr>
          </w:p>
        </w:tc>
        <w:tc>
          <w:tcPr>
            <w:tcW w:w="2896" w:type="dxa"/>
            <w:gridSpan w:val="2"/>
            <w:vAlign w:val="center"/>
          </w:tcPr>
          <w:p>
            <w:pPr>
              <w:autoSpaceDE w:val="0"/>
              <w:autoSpaceDN w:val="0"/>
              <w:adjustRightInd w:val="0"/>
              <w:snapToGrid w:val="0"/>
              <w:jc w:val="center"/>
              <w:rPr>
                <w:rFonts w:ascii="宋体" w:hAnsi="宋体"/>
                <w:color w:val="auto"/>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color w:val="auto"/>
                <w:kern w:val="0"/>
                <w:szCs w:val="21"/>
              </w:rPr>
            </w:pPr>
          </w:p>
        </w:tc>
        <w:tc>
          <w:tcPr>
            <w:tcW w:w="3768" w:type="dxa"/>
            <w:gridSpan w:val="4"/>
            <w:vAlign w:val="center"/>
          </w:tcPr>
          <w:p>
            <w:pPr>
              <w:autoSpaceDE w:val="0"/>
              <w:autoSpaceDN w:val="0"/>
              <w:adjustRightInd w:val="0"/>
              <w:snapToGrid w:val="0"/>
              <w:jc w:val="center"/>
              <w:rPr>
                <w:rFonts w:ascii="宋体" w:hAnsi="宋体"/>
                <w:color w:val="auto"/>
                <w:kern w:val="0"/>
                <w:szCs w:val="21"/>
              </w:rPr>
            </w:pPr>
          </w:p>
        </w:tc>
        <w:tc>
          <w:tcPr>
            <w:tcW w:w="1388" w:type="dxa"/>
            <w:vAlign w:val="center"/>
          </w:tcPr>
          <w:p>
            <w:pPr>
              <w:autoSpaceDE w:val="0"/>
              <w:autoSpaceDN w:val="0"/>
              <w:adjustRightInd w:val="0"/>
              <w:snapToGrid w:val="0"/>
              <w:jc w:val="center"/>
              <w:rPr>
                <w:rFonts w:ascii="宋体" w:hAnsi="宋体"/>
                <w:color w:val="auto"/>
                <w:kern w:val="0"/>
                <w:szCs w:val="21"/>
              </w:rPr>
            </w:pPr>
          </w:p>
        </w:tc>
        <w:tc>
          <w:tcPr>
            <w:tcW w:w="2896" w:type="dxa"/>
            <w:gridSpan w:val="2"/>
            <w:vAlign w:val="center"/>
          </w:tcPr>
          <w:p>
            <w:pPr>
              <w:autoSpaceDE w:val="0"/>
              <w:autoSpaceDN w:val="0"/>
              <w:adjustRightInd w:val="0"/>
              <w:snapToGrid w:val="0"/>
              <w:jc w:val="center"/>
              <w:rPr>
                <w:rFonts w:ascii="宋体" w:hAnsi="宋体"/>
                <w:color w:val="auto"/>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color w:val="auto"/>
                <w:kern w:val="0"/>
                <w:szCs w:val="21"/>
              </w:rPr>
            </w:pPr>
          </w:p>
        </w:tc>
        <w:tc>
          <w:tcPr>
            <w:tcW w:w="3768" w:type="dxa"/>
            <w:gridSpan w:val="4"/>
            <w:vAlign w:val="center"/>
          </w:tcPr>
          <w:p>
            <w:pPr>
              <w:autoSpaceDE w:val="0"/>
              <w:autoSpaceDN w:val="0"/>
              <w:adjustRightInd w:val="0"/>
              <w:snapToGrid w:val="0"/>
              <w:jc w:val="center"/>
              <w:rPr>
                <w:rFonts w:ascii="宋体" w:hAnsi="宋体"/>
                <w:color w:val="auto"/>
                <w:kern w:val="0"/>
                <w:szCs w:val="21"/>
              </w:rPr>
            </w:pPr>
          </w:p>
        </w:tc>
        <w:tc>
          <w:tcPr>
            <w:tcW w:w="1388" w:type="dxa"/>
            <w:vAlign w:val="center"/>
          </w:tcPr>
          <w:p>
            <w:pPr>
              <w:autoSpaceDE w:val="0"/>
              <w:autoSpaceDN w:val="0"/>
              <w:adjustRightInd w:val="0"/>
              <w:snapToGrid w:val="0"/>
              <w:jc w:val="center"/>
              <w:rPr>
                <w:rFonts w:ascii="宋体" w:hAnsi="宋体"/>
                <w:color w:val="auto"/>
                <w:kern w:val="0"/>
                <w:szCs w:val="21"/>
              </w:rPr>
            </w:pPr>
          </w:p>
        </w:tc>
        <w:tc>
          <w:tcPr>
            <w:tcW w:w="2896" w:type="dxa"/>
            <w:gridSpan w:val="2"/>
            <w:vAlign w:val="center"/>
          </w:tcPr>
          <w:p>
            <w:pPr>
              <w:autoSpaceDE w:val="0"/>
              <w:autoSpaceDN w:val="0"/>
              <w:adjustRightInd w:val="0"/>
              <w:snapToGrid w:val="0"/>
              <w:jc w:val="center"/>
              <w:rPr>
                <w:rFonts w:ascii="宋体" w:hAnsi="宋体"/>
                <w:color w:val="auto"/>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color w:val="auto"/>
                <w:kern w:val="0"/>
                <w:szCs w:val="21"/>
              </w:rPr>
            </w:pPr>
          </w:p>
        </w:tc>
        <w:tc>
          <w:tcPr>
            <w:tcW w:w="3768" w:type="dxa"/>
            <w:gridSpan w:val="4"/>
            <w:vAlign w:val="center"/>
          </w:tcPr>
          <w:p>
            <w:pPr>
              <w:autoSpaceDE w:val="0"/>
              <w:autoSpaceDN w:val="0"/>
              <w:adjustRightInd w:val="0"/>
              <w:snapToGrid w:val="0"/>
              <w:jc w:val="center"/>
              <w:rPr>
                <w:rFonts w:ascii="宋体" w:hAnsi="宋体"/>
                <w:color w:val="auto"/>
                <w:kern w:val="0"/>
                <w:szCs w:val="21"/>
              </w:rPr>
            </w:pPr>
          </w:p>
        </w:tc>
        <w:tc>
          <w:tcPr>
            <w:tcW w:w="1388" w:type="dxa"/>
            <w:vAlign w:val="center"/>
          </w:tcPr>
          <w:p>
            <w:pPr>
              <w:autoSpaceDE w:val="0"/>
              <w:autoSpaceDN w:val="0"/>
              <w:adjustRightInd w:val="0"/>
              <w:snapToGrid w:val="0"/>
              <w:jc w:val="center"/>
              <w:rPr>
                <w:rFonts w:ascii="宋体" w:hAnsi="宋体"/>
                <w:color w:val="auto"/>
                <w:kern w:val="0"/>
                <w:szCs w:val="21"/>
              </w:rPr>
            </w:pPr>
          </w:p>
        </w:tc>
        <w:tc>
          <w:tcPr>
            <w:tcW w:w="2896" w:type="dxa"/>
            <w:gridSpan w:val="2"/>
            <w:vAlign w:val="center"/>
          </w:tcPr>
          <w:p>
            <w:pPr>
              <w:autoSpaceDE w:val="0"/>
              <w:autoSpaceDN w:val="0"/>
              <w:adjustRightInd w:val="0"/>
              <w:snapToGrid w:val="0"/>
              <w:jc w:val="center"/>
              <w:rPr>
                <w:rFonts w:ascii="宋体" w:hAnsi="宋体"/>
                <w:color w:val="auto"/>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color w:val="auto"/>
                <w:kern w:val="0"/>
                <w:szCs w:val="21"/>
              </w:rPr>
            </w:pPr>
          </w:p>
        </w:tc>
        <w:tc>
          <w:tcPr>
            <w:tcW w:w="3768" w:type="dxa"/>
            <w:gridSpan w:val="4"/>
            <w:vAlign w:val="center"/>
          </w:tcPr>
          <w:p>
            <w:pPr>
              <w:autoSpaceDE w:val="0"/>
              <w:autoSpaceDN w:val="0"/>
              <w:adjustRightInd w:val="0"/>
              <w:snapToGrid w:val="0"/>
              <w:jc w:val="center"/>
              <w:rPr>
                <w:rFonts w:ascii="宋体" w:hAnsi="宋体"/>
                <w:color w:val="auto"/>
                <w:kern w:val="0"/>
                <w:szCs w:val="21"/>
              </w:rPr>
            </w:pPr>
          </w:p>
        </w:tc>
        <w:tc>
          <w:tcPr>
            <w:tcW w:w="1388" w:type="dxa"/>
            <w:vAlign w:val="center"/>
          </w:tcPr>
          <w:p>
            <w:pPr>
              <w:autoSpaceDE w:val="0"/>
              <w:autoSpaceDN w:val="0"/>
              <w:adjustRightInd w:val="0"/>
              <w:snapToGrid w:val="0"/>
              <w:jc w:val="center"/>
              <w:rPr>
                <w:rFonts w:ascii="宋体" w:hAnsi="宋体"/>
                <w:color w:val="auto"/>
                <w:kern w:val="0"/>
                <w:szCs w:val="21"/>
              </w:rPr>
            </w:pPr>
          </w:p>
        </w:tc>
        <w:tc>
          <w:tcPr>
            <w:tcW w:w="2896" w:type="dxa"/>
            <w:gridSpan w:val="2"/>
            <w:vAlign w:val="center"/>
          </w:tcPr>
          <w:p>
            <w:pPr>
              <w:autoSpaceDE w:val="0"/>
              <w:autoSpaceDN w:val="0"/>
              <w:adjustRightInd w:val="0"/>
              <w:snapToGrid w:val="0"/>
              <w:jc w:val="center"/>
              <w:rPr>
                <w:rFonts w:ascii="宋体" w:hAnsi="宋体"/>
                <w:color w:val="auto"/>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color w:val="auto"/>
                <w:kern w:val="0"/>
                <w:szCs w:val="21"/>
              </w:rPr>
            </w:pPr>
          </w:p>
        </w:tc>
        <w:tc>
          <w:tcPr>
            <w:tcW w:w="3768" w:type="dxa"/>
            <w:gridSpan w:val="4"/>
            <w:vAlign w:val="center"/>
          </w:tcPr>
          <w:p>
            <w:pPr>
              <w:autoSpaceDE w:val="0"/>
              <w:autoSpaceDN w:val="0"/>
              <w:adjustRightInd w:val="0"/>
              <w:snapToGrid w:val="0"/>
              <w:jc w:val="center"/>
              <w:rPr>
                <w:rFonts w:ascii="宋体" w:hAnsi="宋体"/>
                <w:color w:val="auto"/>
                <w:kern w:val="0"/>
                <w:szCs w:val="21"/>
              </w:rPr>
            </w:pPr>
          </w:p>
        </w:tc>
        <w:tc>
          <w:tcPr>
            <w:tcW w:w="1388" w:type="dxa"/>
            <w:vAlign w:val="center"/>
          </w:tcPr>
          <w:p>
            <w:pPr>
              <w:autoSpaceDE w:val="0"/>
              <w:autoSpaceDN w:val="0"/>
              <w:adjustRightInd w:val="0"/>
              <w:snapToGrid w:val="0"/>
              <w:jc w:val="center"/>
              <w:rPr>
                <w:rFonts w:ascii="宋体" w:hAnsi="宋体"/>
                <w:color w:val="auto"/>
                <w:kern w:val="0"/>
                <w:szCs w:val="21"/>
              </w:rPr>
            </w:pPr>
          </w:p>
        </w:tc>
        <w:tc>
          <w:tcPr>
            <w:tcW w:w="2896" w:type="dxa"/>
            <w:gridSpan w:val="2"/>
            <w:vAlign w:val="center"/>
          </w:tcPr>
          <w:p>
            <w:pPr>
              <w:autoSpaceDE w:val="0"/>
              <w:autoSpaceDN w:val="0"/>
              <w:adjustRightInd w:val="0"/>
              <w:snapToGrid w:val="0"/>
              <w:jc w:val="center"/>
              <w:rPr>
                <w:rFonts w:ascii="宋体" w:hAnsi="宋体"/>
                <w:color w:val="auto"/>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color w:val="auto"/>
                <w:kern w:val="0"/>
                <w:szCs w:val="21"/>
              </w:rPr>
            </w:pPr>
          </w:p>
        </w:tc>
        <w:tc>
          <w:tcPr>
            <w:tcW w:w="3768" w:type="dxa"/>
            <w:gridSpan w:val="4"/>
            <w:vAlign w:val="center"/>
          </w:tcPr>
          <w:p>
            <w:pPr>
              <w:autoSpaceDE w:val="0"/>
              <w:autoSpaceDN w:val="0"/>
              <w:adjustRightInd w:val="0"/>
              <w:snapToGrid w:val="0"/>
              <w:jc w:val="center"/>
              <w:rPr>
                <w:rFonts w:ascii="宋体" w:hAnsi="宋体"/>
                <w:color w:val="auto"/>
                <w:kern w:val="0"/>
                <w:szCs w:val="21"/>
              </w:rPr>
            </w:pPr>
          </w:p>
        </w:tc>
        <w:tc>
          <w:tcPr>
            <w:tcW w:w="1388" w:type="dxa"/>
            <w:vAlign w:val="center"/>
          </w:tcPr>
          <w:p>
            <w:pPr>
              <w:autoSpaceDE w:val="0"/>
              <w:autoSpaceDN w:val="0"/>
              <w:adjustRightInd w:val="0"/>
              <w:snapToGrid w:val="0"/>
              <w:jc w:val="center"/>
              <w:rPr>
                <w:rFonts w:ascii="宋体" w:hAnsi="宋体"/>
                <w:color w:val="auto"/>
                <w:kern w:val="0"/>
                <w:szCs w:val="21"/>
              </w:rPr>
            </w:pPr>
          </w:p>
        </w:tc>
        <w:tc>
          <w:tcPr>
            <w:tcW w:w="2896" w:type="dxa"/>
            <w:gridSpan w:val="2"/>
            <w:vAlign w:val="center"/>
          </w:tcPr>
          <w:p>
            <w:pPr>
              <w:autoSpaceDE w:val="0"/>
              <w:autoSpaceDN w:val="0"/>
              <w:adjustRightInd w:val="0"/>
              <w:snapToGrid w:val="0"/>
              <w:jc w:val="center"/>
              <w:rPr>
                <w:rFonts w:ascii="宋体" w:hAnsi="宋体"/>
                <w:color w:val="auto"/>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color w:val="auto"/>
                <w:kern w:val="0"/>
                <w:szCs w:val="21"/>
              </w:rPr>
            </w:pPr>
          </w:p>
        </w:tc>
        <w:tc>
          <w:tcPr>
            <w:tcW w:w="3768" w:type="dxa"/>
            <w:gridSpan w:val="4"/>
            <w:vAlign w:val="center"/>
          </w:tcPr>
          <w:p>
            <w:pPr>
              <w:autoSpaceDE w:val="0"/>
              <w:autoSpaceDN w:val="0"/>
              <w:adjustRightInd w:val="0"/>
              <w:snapToGrid w:val="0"/>
              <w:jc w:val="center"/>
              <w:rPr>
                <w:rFonts w:ascii="宋体" w:hAnsi="宋体"/>
                <w:color w:val="auto"/>
                <w:kern w:val="0"/>
                <w:szCs w:val="21"/>
              </w:rPr>
            </w:pPr>
          </w:p>
        </w:tc>
        <w:tc>
          <w:tcPr>
            <w:tcW w:w="1388" w:type="dxa"/>
            <w:vAlign w:val="center"/>
          </w:tcPr>
          <w:p>
            <w:pPr>
              <w:autoSpaceDE w:val="0"/>
              <w:autoSpaceDN w:val="0"/>
              <w:adjustRightInd w:val="0"/>
              <w:snapToGrid w:val="0"/>
              <w:jc w:val="center"/>
              <w:rPr>
                <w:rFonts w:ascii="宋体" w:hAnsi="宋体"/>
                <w:color w:val="auto"/>
                <w:kern w:val="0"/>
                <w:szCs w:val="21"/>
              </w:rPr>
            </w:pPr>
          </w:p>
        </w:tc>
        <w:tc>
          <w:tcPr>
            <w:tcW w:w="2896" w:type="dxa"/>
            <w:gridSpan w:val="2"/>
            <w:vAlign w:val="center"/>
          </w:tcPr>
          <w:p>
            <w:pPr>
              <w:autoSpaceDE w:val="0"/>
              <w:autoSpaceDN w:val="0"/>
              <w:adjustRightInd w:val="0"/>
              <w:snapToGrid w:val="0"/>
              <w:jc w:val="center"/>
              <w:rPr>
                <w:rFonts w:ascii="宋体" w:hAnsi="宋体"/>
                <w:color w:val="auto"/>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color w:val="auto"/>
                <w:kern w:val="0"/>
                <w:szCs w:val="21"/>
              </w:rPr>
            </w:pPr>
          </w:p>
        </w:tc>
        <w:tc>
          <w:tcPr>
            <w:tcW w:w="3768" w:type="dxa"/>
            <w:gridSpan w:val="4"/>
            <w:vAlign w:val="center"/>
          </w:tcPr>
          <w:p>
            <w:pPr>
              <w:autoSpaceDE w:val="0"/>
              <w:autoSpaceDN w:val="0"/>
              <w:adjustRightInd w:val="0"/>
              <w:snapToGrid w:val="0"/>
              <w:jc w:val="center"/>
              <w:rPr>
                <w:rFonts w:ascii="宋体" w:hAnsi="宋体"/>
                <w:color w:val="auto"/>
                <w:kern w:val="0"/>
                <w:szCs w:val="21"/>
              </w:rPr>
            </w:pPr>
          </w:p>
        </w:tc>
        <w:tc>
          <w:tcPr>
            <w:tcW w:w="1388" w:type="dxa"/>
            <w:vAlign w:val="center"/>
          </w:tcPr>
          <w:p>
            <w:pPr>
              <w:autoSpaceDE w:val="0"/>
              <w:autoSpaceDN w:val="0"/>
              <w:adjustRightInd w:val="0"/>
              <w:snapToGrid w:val="0"/>
              <w:jc w:val="center"/>
              <w:rPr>
                <w:rFonts w:ascii="宋体" w:hAnsi="宋体"/>
                <w:color w:val="auto"/>
                <w:kern w:val="0"/>
                <w:szCs w:val="21"/>
              </w:rPr>
            </w:pPr>
          </w:p>
        </w:tc>
        <w:tc>
          <w:tcPr>
            <w:tcW w:w="2896" w:type="dxa"/>
            <w:gridSpan w:val="2"/>
            <w:vAlign w:val="center"/>
          </w:tcPr>
          <w:p>
            <w:pPr>
              <w:autoSpaceDE w:val="0"/>
              <w:autoSpaceDN w:val="0"/>
              <w:adjustRightInd w:val="0"/>
              <w:snapToGrid w:val="0"/>
              <w:jc w:val="center"/>
              <w:rPr>
                <w:rFonts w:ascii="宋体" w:hAnsi="宋体"/>
                <w:color w:val="auto"/>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color w:val="auto"/>
                <w:kern w:val="0"/>
                <w:szCs w:val="21"/>
              </w:rPr>
            </w:pPr>
          </w:p>
        </w:tc>
        <w:tc>
          <w:tcPr>
            <w:tcW w:w="3768" w:type="dxa"/>
            <w:gridSpan w:val="4"/>
            <w:vAlign w:val="center"/>
          </w:tcPr>
          <w:p>
            <w:pPr>
              <w:autoSpaceDE w:val="0"/>
              <w:autoSpaceDN w:val="0"/>
              <w:adjustRightInd w:val="0"/>
              <w:snapToGrid w:val="0"/>
              <w:jc w:val="center"/>
              <w:rPr>
                <w:rFonts w:ascii="宋体" w:hAnsi="宋体"/>
                <w:color w:val="auto"/>
                <w:kern w:val="0"/>
                <w:szCs w:val="21"/>
              </w:rPr>
            </w:pPr>
          </w:p>
        </w:tc>
        <w:tc>
          <w:tcPr>
            <w:tcW w:w="1388" w:type="dxa"/>
            <w:vAlign w:val="center"/>
          </w:tcPr>
          <w:p>
            <w:pPr>
              <w:autoSpaceDE w:val="0"/>
              <w:autoSpaceDN w:val="0"/>
              <w:adjustRightInd w:val="0"/>
              <w:snapToGrid w:val="0"/>
              <w:jc w:val="center"/>
              <w:rPr>
                <w:rFonts w:ascii="宋体" w:hAnsi="宋体"/>
                <w:color w:val="auto"/>
                <w:kern w:val="0"/>
                <w:szCs w:val="21"/>
              </w:rPr>
            </w:pPr>
          </w:p>
        </w:tc>
        <w:tc>
          <w:tcPr>
            <w:tcW w:w="2896" w:type="dxa"/>
            <w:gridSpan w:val="2"/>
            <w:vAlign w:val="center"/>
          </w:tcPr>
          <w:p>
            <w:pPr>
              <w:autoSpaceDE w:val="0"/>
              <w:autoSpaceDN w:val="0"/>
              <w:adjustRightInd w:val="0"/>
              <w:snapToGrid w:val="0"/>
              <w:jc w:val="center"/>
              <w:rPr>
                <w:rFonts w:ascii="宋体" w:hAnsi="宋体"/>
                <w:color w:val="auto"/>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color w:val="auto"/>
                <w:kern w:val="0"/>
                <w:szCs w:val="21"/>
              </w:rPr>
            </w:pPr>
          </w:p>
        </w:tc>
        <w:tc>
          <w:tcPr>
            <w:tcW w:w="3768" w:type="dxa"/>
            <w:gridSpan w:val="4"/>
            <w:vAlign w:val="center"/>
          </w:tcPr>
          <w:p>
            <w:pPr>
              <w:autoSpaceDE w:val="0"/>
              <w:autoSpaceDN w:val="0"/>
              <w:adjustRightInd w:val="0"/>
              <w:snapToGrid w:val="0"/>
              <w:jc w:val="center"/>
              <w:rPr>
                <w:rFonts w:ascii="宋体" w:hAnsi="宋体"/>
                <w:color w:val="auto"/>
                <w:kern w:val="0"/>
                <w:szCs w:val="21"/>
              </w:rPr>
            </w:pPr>
          </w:p>
        </w:tc>
        <w:tc>
          <w:tcPr>
            <w:tcW w:w="1388" w:type="dxa"/>
            <w:vAlign w:val="center"/>
          </w:tcPr>
          <w:p>
            <w:pPr>
              <w:autoSpaceDE w:val="0"/>
              <w:autoSpaceDN w:val="0"/>
              <w:adjustRightInd w:val="0"/>
              <w:snapToGrid w:val="0"/>
              <w:jc w:val="center"/>
              <w:rPr>
                <w:rFonts w:ascii="宋体" w:hAnsi="宋体"/>
                <w:color w:val="auto"/>
                <w:kern w:val="0"/>
                <w:szCs w:val="21"/>
              </w:rPr>
            </w:pPr>
          </w:p>
        </w:tc>
        <w:tc>
          <w:tcPr>
            <w:tcW w:w="2896" w:type="dxa"/>
            <w:gridSpan w:val="2"/>
            <w:vAlign w:val="center"/>
          </w:tcPr>
          <w:p>
            <w:pPr>
              <w:autoSpaceDE w:val="0"/>
              <w:autoSpaceDN w:val="0"/>
              <w:adjustRightInd w:val="0"/>
              <w:snapToGrid w:val="0"/>
              <w:jc w:val="center"/>
              <w:rPr>
                <w:rFonts w:ascii="宋体" w:hAnsi="宋体"/>
                <w:color w:val="auto"/>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color w:val="auto"/>
                <w:kern w:val="0"/>
                <w:szCs w:val="21"/>
              </w:rPr>
            </w:pPr>
          </w:p>
        </w:tc>
        <w:tc>
          <w:tcPr>
            <w:tcW w:w="3768" w:type="dxa"/>
            <w:gridSpan w:val="4"/>
            <w:vAlign w:val="center"/>
          </w:tcPr>
          <w:p>
            <w:pPr>
              <w:autoSpaceDE w:val="0"/>
              <w:autoSpaceDN w:val="0"/>
              <w:adjustRightInd w:val="0"/>
              <w:snapToGrid w:val="0"/>
              <w:jc w:val="center"/>
              <w:rPr>
                <w:rFonts w:ascii="宋体" w:hAnsi="宋体"/>
                <w:color w:val="auto"/>
                <w:kern w:val="0"/>
                <w:szCs w:val="21"/>
              </w:rPr>
            </w:pPr>
          </w:p>
        </w:tc>
        <w:tc>
          <w:tcPr>
            <w:tcW w:w="1388" w:type="dxa"/>
            <w:vAlign w:val="center"/>
          </w:tcPr>
          <w:p>
            <w:pPr>
              <w:autoSpaceDE w:val="0"/>
              <w:autoSpaceDN w:val="0"/>
              <w:adjustRightInd w:val="0"/>
              <w:snapToGrid w:val="0"/>
              <w:jc w:val="center"/>
              <w:rPr>
                <w:rFonts w:ascii="宋体" w:hAnsi="宋体"/>
                <w:color w:val="auto"/>
                <w:kern w:val="0"/>
                <w:szCs w:val="21"/>
              </w:rPr>
            </w:pPr>
          </w:p>
        </w:tc>
        <w:tc>
          <w:tcPr>
            <w:tcW w:w="2896" w:type="dxa"/>
            <w:gridSpan w:val="2"/>
            <w:vAlign w:val="center"/>
          </w:tcPr>
          <w:p>
            <w:pPr>
              <w:autoSpaceDE w:val="0"/>
              <w:autoSpaceDN w:val="0"/>
              <w:adjustRightInd w:val="0"/>
              <w:snapToGrid w:val="0"/>
              <w:jc w:val="center"/>
              <w:rPr>
                <w:rFonts w:ascii="宋体" w:hAnsi="宋体"/>
                <w:color w:val="auto"/>
                <w:kern w:val="0"/>
                <w:szCs w:val="21"/>
              </w:rPr>
            </w:pPr>
          </w:p>
        </w:tc>
      </w:tr>
    </w:tbl>
    <w:p>
      <w:pPr>
        <w:spacing w:line="360" w:lineRule="auto"/>
        <w:rPr>
          <w:rFonts w:ascii="宋体" w:hAnsi="宋体"/>
          <w:color w:val="auto"/>
        </w:rPr>
      </w:pPr>
      <w:bookmarkStart w:id="976" w:name="_Toc224103515"/>
    </w:p>
    <w:bookmarkEnd w:id="976"/>
    <w:p>
      <w:pPr>
        <w:pStyle w:val="5"/>
        <w:spacing w:before="0" w:line="360" w:lineRule="auto"/>
        <w:jc w:val="center"/>
        <w:rPr>
          <w:rFonts w:hint="eastAsia" w:ascii="宋体" w:hAnsi="宋体"/>
          <w:b w:val="0"/>
          <w:color w:val="auto"/>
          <w:highlight w:val="none"/>
        </w:rPr>
      </w:pPr>
      <w:bookmarkStart w:id="977" w:name="_Toc1320"/>
      <w:bookmarkStart w:id="978" w:name="_Toc509218866"/>
      <w:bookmarkStart w:id="979" w:name="_Toc224103520"/>
      <w:bookmarkStart w:id="980" w:name="_Toc287607893"/>
      <w:bookmarkStart w:id="981" w:name="_Toc430530552"/>
      <w:bookmarkStart w:id="982" w:name="_Toc277082663"/>
      <w:bookmarkStart w:id="983" w:name="_Toc287620839"/>
      <w:bookmarkStart w:id="984" w:name="_Toc26467"/>
      <w:bookmarkStart w:id="985" w:name="_Toc534185843"/>
      <w:r>
        <w:rPr>
          <w:rFonts w:ascii="宋体" w:hAnsi="宋体"/>
          <w:b w:val="0"/>
          <w:color w:val="auto"/>
        </w:rPr>
        <w:t>（</w:t>
      </w:r>
      <w:r>
        <w:rPr>
          <w:rFonts w:hint="eastAsia" w:ascii="宋体" w:hAnsi="宋体"/>
          <w:b w:val="0"/>
          <w:color w:val="auto"/>
        </w:rPr>
        <w:t>四</w:t>
      </w:r>
      <w:r>
        <w:rPr>
          <w:rFonts w:ascii="宋体" w:hAnsi="宋体"/>
          <w:b w:val="0"/>
          <w:color w:val="auto"/>
        </w:rPr>
        <w:t>）</w:t>
      </w:r>
      <w:bookmarkEnd w:id="977"/>
      <w:bookmarkEnd w:id="978"/>
      <w:bookmarkEnd w:id="979"/>
      <w:bookmarkEnd w:id="980"/>
      <w:bookmarkEnd w:id="981"/>
      <w:bookmarkEnd w:id="982"/>
      <w:bookmarkEnd w:id="983"/>
      <w:bookmarkEnd w:id="984"/>
      <w:bookmarkEnd w:id="985"/>
      <w:r>
        <w:rPr>
          <w:rFonts w:hint="eastAsia" w:ascii="宋体" w:hAnsi="宋体"/>
          <w:b w:val="0"/>
          <w:color w:val="auto"/>
          <w:highlight w:val="none"/>
        </w:rPr>
        <w:t>承诺</w:t>
      </w:r>
    </w:p>
    <w:p>
      <w:pPr>
        <w:keepNext w:val="0"/>
        <w:keepLines w:val="0"/>
        <w:pageBreakBefore w:val="0"/>
        <w:widowControl w:val="0"/>
        <w:kinsoku/>
        <w:wordWrap/>
        <w:overflowPunct/>
        <w:topLinePunct w:val="0"/>
        <w:bidi w:val="0"/>
        <w:snapToGrid w:val="0"/>
        <w:spacing w:line="380" w:lineRule="exact"/>
        <w:textAlignment w:val="auto"/>
        <w:rPr>
          <w:rFonts w:hint="eastAsia" w:ascii="宋体" w:hAnsi="宋体"/>
          <w:color w:val="auto"/>
          <w:szCs w:val="21"/>
          <w:highlight w:val="none"/>
          <w:u w:val="single"/>
        </w:rPr>
      </w:pP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招标人</w:t>
      </w:r>
      <w:r>
        <w:rPr>
          <w:rFonts w:hint="eastAsia" w:ascii="宋体" w:hAnsi="宋体"/>
          <w:color w:val="auto"/>
          <w:szCs w:val="21"/>
          <w:highlight w:val="none"/>
          <w:u w:val="single"/>
        </w:rPr>
        <w:t>名称）</w:t>
      </w:r>
      <w:r>
        <w:rPr>
          <w:rFonts w:hint="eastAsia" w:ascii="宋体" w:hAnsi="宋体"/>
          <w:color w:val="auto"/>
          <w:szCs w:val="21"/>
          <w:highlight w:val="none"/>
        </w:rPr>
        <w:t>：</w:t>
      </w:r>
    </w:p>
    <w:p>
      <w:pPr>
        <w:keepNext w:val="0"/>
        <w:keepLines w:val="0"/>
        <w:pageBreakBefore w:val="0"/>
        <w:widowControl w:val="0"/>
        <w:kinsoku/>
        <w:wordWrap/>
        <w:overflowPunct/>
        <w:topLinePunct w:val="0"/>
        <w:bidi w:val="0"/>
        <w:snapToGrid w:val="0"/>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我公司</w:t>
      </w:r>
      <w:r>
        <w:rPr>
          <w:rFonts w:hint="eastAsia" w:ascii="宋体" w:hAnsi="宋体"/>
          <w:color w:val="auto"/>
          <w:szCs w:val="21"/>
          <w:highlight w:val="none"/>
          <w:u w:val="single"/>
        </w:rPr>
        <w:t xml:space="preserve">        （投标人名称）</w:t>
      </w:r>
      <w:r>
        <w:rPr>
          <w:rFonts w:hint="eastAsia" w:ascii="宋体" w:hAnsi="宋体"/>
          <w:color w:val="auto"/>
          <w:szCs w:val="21"/>
          <w:highlight w:val="none"/>
        </w:rPr>
        <w:t>参加了贵单位</w:t>
      </w:r>
      <w:r>
        <w:rPr>
          <w:rFonts w:hint="eastAsia" w:ascii="宋体" w:hAnsi="宋体"/>
          <w:color w:val="auto"/>
          <w:szCs w:val="21"/>
          <w:highlight w:val="none"/>
          <w:u w:val="single"/>
        </w:rPr>
        <w:t xml:space="preserve">        （项目名称）</w:t>
      </w:r>
      <w:r>
        <w:rPr>
          <w:rFonts w:hint="eastAsia" w:ascii="宋体" w:hAnsi="宋体"/>
          <w:color w:val="auto"/>
          <w:szCs w:val="21"/>
          <w:highlight w:val="none"/>
        </w:rPr>
        <w:t>的投标，自愿作出以下承诺：</w:t>
      </w:r>
    </w:p>
    <w:p>
      <w:pPr>
        <w:keepNext w:val="0"/>
        <w:keepLines w:val="0"/>
        <w:pageBreakBefore w:val="0"/>
        <w:widowControl w:val="0"/>
        <w:kinsoku/>
        <w:wordWrap/>
        <w:overflowPunct/>
        <w:topLinePunct w:val="0"/>
        <w:bidi w:val="0"/>
        <w:snapToGrid w:val="0"/>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rPr>
        <w:t>投标截止日投标资格情况不存在下列情形之一：</w:t>
      </w:r>
    </w:p>
    <w:p>
      <w:pPr>
        <w:keepNext w:val="0"/>
        <w:keepLines w:val="0"/>
        <w:pageBreakBefore w:val="0"/>
        <w:widowControl w:val="0"/>
        <w:kinsoku/>
        <w:wordWrap/>
        <w:overflowPunct/>
        <w:topLinePunct w:val="0"/>
        <w:bidi w:val="0"/>
        <w:snapToGrid w:val="0"/>
        <w:spacing w:line="38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（1）被人民法院列入失信被执行人名单且在被执行期内；</w:t>
      </w:r>
    </w:p>
    <w:p>
      <w:pPr>
        <w:keepNext w:val="0"/>
        <w:keepLines w:val="0"/>
        <w:pageBreakBefore w:val="0"/>
        <w:widowControl w:val="0"/>
        <w:kinsoku/>
        <w:wordWrap/>
        <w:overflowPunct/>
        <w:topLinePunct w:val="0"/>
        <w:bidi w:val="0"/>
        <w:snapToGrid w:val="0"/>
        <w:spacing w:line="38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（2）被列入《重庆市工程建设领域招标投标信用管理暂行办法》规定的重点关注名单且记分达到12分且在记分有效期内；</w:t>
      </w:r>
    </w:p>
    <w:p>
      <w:pPr>
        <w:keepNext w:val="0"/>
        <w:keepLines w:val="0"/>
        <w:pageBreakBefore w:val="0"/>
        <w:widowControl w:val="0"/>
        <w:kinsoku/>
        <w:wordWrap/>
        <w:overflowPunct/>
        <w:topLinePunct w:val="0"/>
        <w:bidi w:val="0"/>
        <w:snapToGrid w:val="0"/>
        <w:spacing w:line="38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（3）被列入《重庆市工程建设领域招标投标信用管理暂行办法》规定的黑名单且在记分有效期内；</w:t>
      </w:r>
    </w:p>
    <w:p>
      <w:pPr>
        <w:keepNext w:val="0"/>
        <w:keepLines w:val="0"/>
        <w:pageBreakBefore w:val="0"/>
        <w:widowControl w:val="0"/>
        <w:kinsoku/>
        <w:wordWrap/>
        <w:overflowPunct/>
        <w:topLinePunct w:val="0"/>
        <w:bidi w:val="0"/>
        <w:snapToGrid w:val="0"/>
        <w:spacing w:line="38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（4）被国家、重庆市（含市或任意区县）有关行政部门处以暂停投标资格行政处罚，且在处罚期限内；</w:t>
      </w:r>
    </w:p>
    <w:p>
      <w:pPr>
        <w:keepNext w:val="0"/>
        <w:keepLines w:val="0"/>
        <w:pageBreakBefore w:val="0"/>
        <w:widowControl w:val="0"/>
        <w:kinsoku/>
        <w:wordWrap/>
        <w:overflowPunct/>
        <w:topLinePunct w:val="0"/>
        <w:bidi w:val="0"/>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（5）被重庆市</w:t>
      </w:r>
      <w:r>
        <w:rPr>
          <w:rFonts w:hint="eastAsia" w:ascii="宋体" w:hAnsi="宋体"/>
          <w:color w:val="auto"/>
          <w:szCs w:val="21"/>
          <w:lang w:eastAsia="zh-CN"/>
        </w:rPr>
        <w:t>市级有关行业</w:t>
      </w:r>
      <w:r>
        <w:rPr>
          <w:rFonts w:hint="eastAsia" w:ascii="宋体" w:hAnsi="宋体"/>
          <w:color w:val="auto"/>
          <w:szCs w:val="21"/>
          <w:highlight w:val="none"/>
        </w:rPr>
        <w:t>主管部门暂停在渝承揽新业务且在暂停期内；</w:t>
      </w:r>
    </w:p>
    <w:p>
      <w:pPr>
        <w:keepNext w:val="0"/>
        <w:keepLines w:val="0"/>
        <w:pageBreakBefore w:val="0"/>
        <w:widowControl w:val="0"/>
        <w:kinsoku/>
        <w:wordWrap/>
        <w:overflowPunct/>
        <w:topLinePunct w:val="0"/>
        <w:bidi w:val="0"/>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（6）被责令停业，暂扣或吊销执照，或吊销资质证书；</w:t>
      </w:r>
    </w:p>
    <w:p>
      <w:pPr>
        <w:keepNext w:val="0"/>
        <w:keepLines w:val="0"/>
        <w:pageBreakBefore w:val="0"/>
        <w:widowControl w:val="0"/>
        <w:kinsoku/>
        <w:wordWrap/>
        <w:overflowPunct/>
        <w:topLinePunct w:val="0"/>
        <w:bidi w:val="0"/>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（7）进入清算程序，或被宣告破产，或其他丧失履约能力的情形；</w:t>
      </w:r>
    </w:p>
    <w:p>
      <w:pPr>
        <w:keepNext w:val="0"/>
        <w:keepLines w:val="0"/>
        <w:pageBreakBefore w:val="0"/>
        <w:widowControl w:val="0"/>
        <w:kinsoku/>
        <w:wordWrap/>
        <w:overflowPunct/>
        <w:topLinePunct w:val="0"/>
        <w:bidi w:val="0"/>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（8）在国家企业信用信息公示系统（http://www.gsxt.gov.cn</w:t>
      </w:r>
      <w:r>
        <w:rPr>
          <w:rFonts w:hint="eastAsia" w:ascii="宋体" w:hAnsi="宋体"/>
          <w:color w:val="auto"/>
          <w:szCs w:val="21"/>
          <w:highlight w:val="none"/>
          <w:lang w:eastAsia="zh-CN"/>
        </w:rPr>
        <w:t>）</w:t>
      </w:r>
      <w:r>
        <w:rPr>
          <w:rFonts w:hint="eastAsia" w:ascii="宋体" w:hAnsi="宋体"/>
          <w:color w:val="auto"/>
          <w:szCs w:val="21"/>
          <w:highlight w:val="none"/>
        </w:rPr>
        <w:t>中被列入严重违法失信企业名单；</w:t>
      </w:r>
    </w:p>
    <w:p>
      <w:pPr>
        <w:keepNext w:val="0"/>
        <w:keepLines w:val="0"/>
        <w:pageBreakBefore w:val="0"/>
        <w:widowControl w:val="0"/>
        <w:kinsoku/>
        <w:wordWrap/>
        <w:overflowPunct/>
        <w:topLinePunct w:val="0"/>
        <w:bidi w:val="0"/>
        <w:snapToGrid w:val="0"/>
        <w:spacing w:line="38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（9）投标人或其法定代表人、拟委任的项目经理在近两年内有行贿犯罪行为的。</w:t>
      </w:r>
    </w:p>
    <w:p>
      <w:pPr>
        <w:keepNext w:val="0"/>
        <w:keepLines w:val="0"/>
        <w:pageBreakBefore w:val="0"/>
        <w:widowControl w:val="0"/>
        <w:kinsoku/>
        <w:wordWrap/>
        <w:overflowPunct/>
        <w:topLinePunct w:val="0"/>
        <w:bidi w:val="0"/>
        <w:snapToGrid w:val="0"/>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2.1我公司拟派的项目经理按注册建造师的相关规定到岗履职和未被禁止参与投标。</w:t>
      </w:r>
    </w:p>
    <w:p>
      <w:pPr>
        <w:keepNext w:val="0"/>
        <w:keepLines w:val="0"/>
        <w:pageBreakBefore w:val="0"/>
        <w:widowControl w:val="0"/>
        <w:kinsoku/>
        <w:wordWrap/>
        <w:overflowPunct/>
        <w:topLinePunct w:val="0"/>
        <w:bidi w:val="0"/>
        <w:snapToGrid w:val="0"/>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2.1.1拟派的项目经理中标后在本项目任职，签订合同时拟派的项目经理必须与投标文件中的项目经理一致，并满足办理施工许可手续的相关要求。不能按承诺到岗履约的，按合同相关条款处罚并上报行政主管部门，给贵单位造成损失的，我公司依法承担违约赔偿责任。拟派的项目经理中标后不得随意更换。</w:t>
      </w:r>
    </w:p>
    <w:p>
      <w:pPr>
        <w:keepNext w:val="0"/>
        <w:keepLines w:val="0"/>
        <w:pageBreakBefore w:val="0"/>
        <w:widowControl w:val="0"/>
        <w:kinsoku/>
        <w:wordWrap/>
        <w:overflowPunct/>
        <w:topLinePunct w:val="0"/>
        <w:bidi w:val="0"/>
        <w:snapToGrid w:val="0"/>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2.1.2拟派的项目经理未被重庆市</w:t>
      </w:r>
      <w:r>
        <w:rPr>
          <w:rFonts w:hint="eastAsia" w:ascii="宋体" w:hAnsi="宋体"/>
          <w:color w:val="auto"/>
          <w:szCs w:val="21"/>
          <w:lang w:val="en-US" w:eastAsia="zh-CN"/>
        </w:rPr>
        <w:t>市级有关行业</w:t>
      </w:r>
      <w:r>
        <w:rPr>
          <w:rFonts w:hint="eastAsia" w:ascii="宋体" w:hAnsi="宋体"/>
          <w:color w:val="auto"/>
          <w:szCs w:val="21"/>
          <w:highlight w:val="none"/>
        </w:rPr>
        <w:t>主管部门暂停在渝承揽新业务，若被暂停且参加投标的投标将被否决；已取得中标候选人资格或中标资格的，贵单位有权取消我公司中标候选人资格或中标资格；给贵单位造成损失的，我公司依法承担违约赔偿责任。</w:t>
      </w:r>
    </w:p>
    <w:p>
      <w:pPr>
        <w:keepNext w:val="0"/>
        <w:keepLines w:val="0"/>
        <w:pageBreakBefore w:val="0"/>
        <w:widowControl w:val="0"/>
        <w:kinsoku/>
        <w:wordWrap/>
        <w:overflowPunct/>
        <w:topLinePunct w:val="0"/>
        <w:bidi w:val="0"/>
        <w:snapToGrid w:val="0"/>
        <w:spacing w:line="380" w:lineRule="exact"/>
        <w:ind w:firstLine="420" w:firstLineChars="200"/>
        <w:textAlignment w:val="auto"/>
        <w:rPr>
          <w:rFonts w:hint="eastAsia" w:ascii="宋体" w:hAnsi="宋体"/>
          <w:color w:val="auto"/>
          <w:szCs w:val="21"/>
          <w:highlight w:val="none"/>
          <w:lang w:val="en-US" w:eastAsia="zh-CN"/>
        </w:rPr>
      </w:pPr>
      <w:r>
        <w:rPr>
          <w:rFonts w:hint="eastAsia" w:ascii="宋体" w:hAnsi="宋体"/>
          <w:color w:val="auto"/>
          <w:szCs w:val="21"/>
          <w:highlight w:val="none"/>
        </w:rPr>
        <w:t>2.1.3</w:t>
      </w:r>
      <w:r>
        <w:rPr>
          <w:rFonts w:hint="eastAsia" w:ascii="宋体" w:hAnsi="宋体"/>
          <w:color w:val="auto"/>
          <w:szCs w:val="21"/>
          <w:highlight w:val="none"/>
          <w:lang w:val="en-US" w:eastAsia="zh-CN"/>
        </w:rPr>
        <w:t>为保证我公司拟派的项目经理到本项目到岗履职，我公司还承诺：</w:t>
      </w:r>
    </w:p>
    <w:p>
      <w:pPr>
        <w:keepNext w:val="0"/>
        <w:keepLines w:val="0"/>
        <w:pageBreakBefore w:val="0"/>
        <w:widowControl w:val="0"/>
        <w:kinsoku/>
        <w:wordWrap/>
        <w:overflowPunct/>
        <w:topLinePunct w:val="0"/>
        <w:bidi w:val="0"/>
        <w:snapToGrid w:val="0"/>
        <w:spacing w:line="380" w:lineRule="exact"/>
        <w:ind w:firstLine="420" w:firstLineChars="200"/>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若我公司拟派本项目的项目经理有在其他项目任职的情形的（或有在其他项目中标或拟中标的情形的），应在收到中标通知书后</w:t>
      </w:r>
      <w:r>
        <w:rPr>
          <w:rFonts w:hint="eastAsia" w:ascii="宋体" w:hAnsi="宋体"/>
          <w:color w:val="auto"/>
          <w:szCs w:val="21"/>
          <w:highlight w:val="none"/>
          <w:u w:val="single"/>
          <w:lang w:val="en-US" w:eastAsia="zh-CN"/>
        </w:rPr>
        <w:t xml:space="preserve"> 14 </w:t>
      </w:r>
      <w:r>
        <w:rPr>
          <w:rFonts w:hint="eastAsia" w:ascii="宋体" w:hAnsi="宋体"/>
          <w:color w:val="auto"/>
          <w:szCs w:val="21"/>
          <w:highlight w:val="none"/>
          <w:lang w:val="en-US" w:eastAsia="zh-CN"/>
        </w:rPr>
        <w:t>日内，办理完成放弃在其他项目任职的手续（或办理完成放弃在其他项目中标或拟中标的手续），贵单位在合同签订前有权对我公司拟派项目经理在其他项目的任职情形（或在其他项目的中标或拟中标情形）进行核查，若与我公司承诺内容不符或我公司未在上述时间内按照招标文件规定递交放弃在其他项目任职、中标或拟中标的相关资料，我公司自愿放弃中标资格，贵单位不退还我公司的投标保证金。在合同签订时，我公司确保拟派项目经理符合《建筑施工企业项目经理资质管理办法》规定的项目经理任职条件，否则我公司自愿放弃中标资格，贵单位不退还我公司的投标保证金。</w:t>
      </w:r>
    </w:p>
    <w:p>
      <w:pPr>
        <w:keepNext w:val="0"/>
        <w:keepLines w:val="0"/>
        <w:pageBreakBefore w:val="0"/>
        <w:widowControl w:val="0"/>
        <w:kinsoku/>
        <w:wordWrap/>
        <w:overflowPunct/>
        <w:topLinePunct w:val="0"/>
        <w:bidi w:val="0"/>
        <w:snapToGrid w:val="0"/>
        <w:spacing w:line="380" w:lineRule="exact"/>
        <w:ind w:firstLine="420" w:firstLineChars="200"/>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若我公司拟派项目经理放弃在其他项目任职的将提供：①经业主或建设单位同意任职变更的文件；②负责项目监管的行业行政主管部门出具同意任职变更的证明材料。</w:t>
      </w:r>
    </w:p>
    <w:p>
      <w:pPr>
        <w:keepNext w:val="0"/>
        <w:keepLines w:val="0"/>
        <w:pageBreakBefore w:val="0"/>
        <w:widowControl w:val="0"/>
        <w:kinsoku/>
        <w:wordWrap/>
        <w:overflowPunct/>
        <w:topLinePunct w:val="0"/>
        <w:bidi w:val="0"/>
        <w:snapToGrid w:val="0"/>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lang w:val="en-US" w:eastAsia="zh-CN"/>
        </w:rPr>
        <w:t>若我公司拟派项目经理放弃在其他项目中标或拟中标的将提供：①经中标或拟中标的其他项目建设单位同意的放弃中标函</w:t>
      </w:r>
      <w:r>
        <w:rPr>
          <w:rFonts w:hint="eastAsia" w:ascii="宋体" w:hAnsi="宋体"/>
          <w:color w:val="auto"/>
          <w:szCs w:val="21"/>
          <w:highlight w:val="none"/>
        </w:rPr>
        <w:t>。</w:t>
      </w:r>
    </w:p>
    <w:p>
      <w:pPr>
        <w:keepNext w:val="0"/>
        <w:keepLines w:val="0"/>
        <w:pageBreakBefore w:val="0"/>
        <w:widowControl w:val="0"/>
        <w:kinsoku/>
        <w:wordWrap/>
        <w:overflowPunct/>
        <w:topLinePunct w:val="0"/>
        <w:bidi w:val="0"/>
        <w:snapToGrid w:val="0"/>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2</w:t>
      </w:r>
      <w:r>
        <w:rPr>
          <w:rFonts w:hint="eastAsia" w:ascii="宋体" w:hAnsi="宋体"/>
          <w:color w:val="auto"/>
          <w:szCs w:val="21"/>
          <w:highlight w:val="none"/>
        </w:rPr>
        <w:t>我公司拟派的项目总工按相关规定到岗履职和未被禁止参与投标。</w:t>
      </w:r>
    </w:p>
    <w:p>
      <w:pPr>
        <w:keepNext w:val="0"/>
        <w:keepLines w:val="0"/>
        <w:pageBreakBefore w:val="0"/>
        <w:widowControl w:val="0"/>
        <w:kinsoku/>
        <w:wordWrap/>
        <w:overflowPunct/>
        <w:topLinePunct w:val="0"/>
        <w:bidi w:val="0"/>
        <w:snapToGrid w:val="0"/>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2</w:t>
      </w:r>
      <w:r>
        <w:rPr>
          <w:rFonts w:hint="eastAsia" w:ascii="宋体" w:hAnsi="宋体"/>
          <w:color w:val="auto"/>
          <w:szCs w:val="21"/>
          <w:highlight w:val="none"/>
        </w:rPr>
        <w:t>.1拟派的项目总工中标后</w:t>
      </w:r>
      <w:r>
        <w:rPr>
          <w:rFonts w:hint="eastAsia" w:ascii="宋体" w:hAnsi="宋体"/>
          <w:color w:val="auto"/>
          <w:szCs w:val="21"/>
          <w:highlight w:val="none"/>
          <w:lang w:val="en-US" w:eastAsia="zh-CN"/>
        </w:rPr>
        <w:t>只能</w:t>
      </w:r>
      <w:r>
        <w:rPr>
          <w:rFonts w:hint="eastAsia" w:ascii="宋体" w:hAnsi="宋体"/>
          <w:color w:val="auto"/>
          <w:szCs w:val="21"/>
          <w:highlight w:val="none"/>
        </w:rPr>
        <w:t>在本项目任职，签订合同时拟派的项目总工必须与投标文件中的项目总工一致，并满足办理施工许可手续的相关要求。不能按承诺到岗履约的，按合同相关条款处罚并上报行政主管部门，给贵单位造成损失的，我公司依法承担违约赔偿责任。拟派的项目总工中标后不得随意更换。</w:t>
      </w:r>
    </w:p>
    <w:p>
      <w:pPr>
        <w:keepNext w:val="0"/>
        <w:keepLines w:val="0"/>
        <w:pageBreakBefore w:val="0"/>
        <w:widowControl w:val="0"/>
        <w:kinsoku/>
        <w:wordWrap/>
        <w:overflowPunct/>
        <w:topLinePunct w:val="0"/>
        <w:bidi w:val="0"/>
        <w:snapToGrid w:val="0"/>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2</w:t>
      </w:r>
      <w:r>
        <w:rPr>
          <w:rFonts w:hint="eastAsia" w:ascii="宋体" w:hAnsi="宋体"/>
          <w:color w:val="auto"/>
          <w:szCs w:val="21"/>
          <w:highlight w:val="none"/>
        </w:rPr>
        <w:t>.2拟派的项目总工未被重庆市交通主管部门暂停在渝承揽新业务，若被暂停且参加投标的投标将被否决；已取得中标候选人资格或中标资格的，贵单位有权取消我公司中标候选人资格或中标资格；给贵单位造成损失的，我公司依法承担违约赔偿责任。</w:t>
      </w:r>
    </w:p>
    <w:p>
      <w:pPr>
        <w:keepNext w:val="0"/>
        <w:keepLines w:val="0"/>
        <w:pageBreakBefore w:val="0"/>
        <w:widowControl w:val="0"/>
        <w:kinsoku/>
        <w:wordWrap/>
        <w:overflowPunct/>
        <w:topLinePunct w:val="0"/>
        <w:bidi w:val="0"/>
        <w:snapToGrid w:val="0"/>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lang w:eastAsia="zh-CN"/>
        </w:rPr>
        <w:t>3.</w:t>
      </w:r>
      <w:r>
        <w:rPr>
          <w:rFonts w:hint="eastAsia" w:ascii="宋体" w:hAnsi="宋体"/>
          <w:color w:val="auto"/>
          <w:szCs w:val="21"/>
          <w:highlight w:val="none"/>
        </w:rPr>
        <w:t>我公司若中标，将在合同谈判结束后7日内按照本项目招标文件“投标人须知”前附表1.4.1的要求，向</w:t>
      </w:r>
      <w:r>
        <w:rPr>
          <w:rFonts w:hint="eastAsia" w:ascii="宋体" w:hAnsi="宋体"/>
          <w:color w:val="auto"/>
          <w:szCs w:val="21"/>
          <w:highlight w:val="none"/>
          <w:lang w:val="en-US" w:eastAsia="zh-CN"/>
        </w:rPr>
        <w:t>贵单位</w:t>
      </w:r>
      <w:r>
        <w:rPr>
          <w:rFonts w:hint="eastAsia" w:ascii="宋体" w:hAnsi="宋体"/>
          <w:color w:val="auto"/>
          <w:szCs w:val="21"/>
          <w:highlight w:val="none"/>
        </w:rPr>
        <w:t>提供参与本项目施工工作的人员名单，并附相应人员的身份证、执业资格证、职称证书、社保缴费证明等证明材料作为投标书附件并作为合同文件的组成部分。如果我</w:t>
      </w:r>
      <w:r>
        <w:rPr>
          <w:rFonts w:hint="eastAsia" w:ascii="宋体" w:hAnsi="宋体"/>
          <w:color w:val="auto"/>
          <w:szCs w:val="21"/>
          <w:highlight w:val="none"/>
          <w:lang w:val="en-US" w:eastAsia="zh-CN"/>
        </w:rPr>
        <w:t>公司</w:t>
      </w:r>
      <w:r>
        <w:rPr>
          <w:rFonts w:hint="eastAsia" w:ascii="宋体" w:hAnsi="宋体"/>
          <w:color w:val="auto"/>
          <w:szCs w:val="21"/>
          <w:highlight w:val="none"/>
        </w:rPr>
        <w:t>在合同谈判结束后7日内，不能向</w:t>
      </w:r>
      <w:r>
        <w:rPr>
          <w:rFonts w:hint="eastAsia" w:ascii="宋体" w:hAnsi="宋体"/>
          <w:color w:val="auto"/>
          <w:szCs w:val="21"/>
          <w:highlight w:val="none"/>
          <w:lang w:val="en-US" w:eastAsia="zh-CN"/>
        </w:rPr>
        <w:t>贵单位</w:t>
      </w:r>
      <w:r>
        <w:rPr>
          <w:rFonts w:hint="eastAsia" w:ascii="宋体" w:hAnsi="宋体"/>
          <w:color w:val="auto"/>
          <w:szCs w:val="21"/>
          <w:highlight w:val="none"/>
        </w:rPr>
        <w:t>提供上述材料（除不可抗力因素），视为我</w:t>
      </w:r>
      <w:r>
        <w:rPr>
          <w:rFonts w:hint="eastAsia" w:ascii="宋体" w:hAnsi="宋体"/>
          <w:color w:val="auto"/>
          <w:szCs w:val="21"/>
          <w:highlight w:val="none"/>
          <w:lang w:val="en-US" w:eastAsia="zh-CN"/>
        </w:rPr>
        <w:t>公司</w:t>
      </w:r>
      <w:r>
        <w:rPr>
          <w:rFonts w:hint="eastAsia" w:ascii="宋体" w:hAnsi="宋体"/>
          <w:color w:val="auto"/>
          <w:szCs w:val="21"/>
          <w:highlight w:val="none"/>
        </w:rPr>
        <w:t>放弃中标候选人资格。</w:t>
      </w:r>
    </w:p>
    <w:p>
      <w:pPr>
        <w:keepNext w:val="0"/>
        <w:keepLines w:val="0"/>
        <w:pageBreakBefore w:val="0"/>
        <w:widowControl w:val="0"/>
        <w:kinsoku/>
        <w:wordWrap/>
        <w:overflowPunct/>
        <w:topLinePunct w:val="0"/>
        <w:bidi w:val="0"/>
        <w:snapToGrid w:val="0"/>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lang w:eastAsia="zh-CN"/>
        </w:rPr>
        <w:t>4.</w:t>
      </w:r>
      <w:r>
        <w:rPr>
          <w:rFonts w:hint="eastAsia" w:ascii="宋体" w:hAnsi="宋体"/>
          <w:color w:val="auto"/>
          <w:szCs w:val="21"/>
          <w:highlight w:val="none"/>
        </w:rPr>
        <w:t>我公司严格按照第五章“工程量清单”、第八章“工程量清单计量规则”的规定进行报价。招标文件中规定工程量清单不允许修改的内容不得修改。投标总报价不高于</w:t>
      </w:r>
      <w:r>
        <w:rPr>
          <w:rFonts w:hint="eastAsia" w:ascii="宋体" w:hAnsi="宋体"/>
          <w:color w:val="auto"/>
          <w:szCs w:val="21"/>
          <w:highlight w:val="none"/>
          <w:lang w:val="en-US" w:eastAsia="zh-CN"/>
        </w:rPr>
        <w:t>贵单位</w:t>
      </w:r>
      <w:r>
        <w:rPr>
          <w:rFonts w:hint="eastAsia" w:ascii="宋体" w:hAnsi="宋体"/>
          <w:color w:val="auto"/>
          <w:szCs w:val="21"/>
          <w:highlight w:val="none"/>
        </w:rPr>
        <w:t>公布的投标总报价最高限价。各清单子目单价不高于</w:t>
      </w:r>
      <w:r>
        <w:rPr>
          <w:rFonts w:hint="eastAsia" w:ascii="宋体" w:hAnsi="宋体"/>
          <w:color w:val="auto"/>
          <w:szCs w:val="21"/>
          <w:highlight w:val="none"/>
          <w:lang w:val="en-US" w:eastAsia="zh-CN"/>
        </w:rPr>
        <w:t>贵单位</w:t>
      </w:r>
      <w:r>
        <w:rPr>
          <w:rFonts w:hint="eastAsia" w:ascii="宋体" w:hAnsi="宋体"/>
          <w:color w:val="auto"/>
          <w:szCs w:val="21"/>
          <w:highlight w:val="none"/>
        </w:rPr>
        <w:t>公布的各清单子目单价最高限价的。若出现差错，按招标文件第二章投标人须知前附表第3.2.9项规定的原则进行处理（或结算）。</w:t>
      </w:r>
    </w:p>
    <w:p>
      <w:pPr>
        <w:keepNext w:val="0"/>
        <w:keepLines w:val="0"/>
        <w:pageBreakBefore w:val="0"/>
        <w:widowControl w:val="0"/>
        <w:kinsoku/>
        <w:wordWrap/>
        <w:overflowPunct/>
        <w:topLinePunct w:val="0"/>
        <w:bidi w:val="0"/>
        <w:snapToGrid w:val="0"/>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lang w:val="en-US" w:eastAsia="zh-CN"/>
        </w:rPr>
        <w:t>5.</w:t>
      </w:r>
      <w:r>
        <w:rPr>
          <w:rFonts w:hint="eastAsia" w:ascii="宋体" w:hAnsi="宋体"/>
          <w:color w:val="auto"/>
          <w:szCs w:val="21"/>
          <w:highlight w:val="none"/>
        </w:rPr>
        <w:t>我公司在资格审查部分中提供的相关证明材料真实有效，不存在弄虚作假情形。</w:t>
      </w:r>
      <w:r>
        <w:rPr>
          <w:rFonts w:hint="eastAsia" w:ascii="宋体" w:hAnsi="宋体"/>
          <w:color w:val="auto"/>
          <w:szCs w:val="21"/>
          <w:highlight w:val="none"/>
          <w:u w:val="single"/>
          <w:lang w:val="en-US" w:eastAsia="zh-CN"/>
        </w:rPr>
        <w:t>贵单位</w:t>
      </w:r>
      <w:r>
        <w:rPr>
          <w:rFonts w:hint="eastAsia" w:ascii="宋体" w:hAnsi="宋体"/>
          <w:color w:val="auto"/>
          <w:szCs w:val="21"/>
          <w:highlight w:val="none"/>
          <w:u w:val="single"/>
        </w:rPr>
        <w:t>在合同签订前均有权对我</w:t>
      </w:r>
      <w:r>
        <w:rPr>
          <w:rFonts w:hint="eastAsia" w:ascii="宋体" w:hAnsi="宋体"/>
          <w:color w:val="auto"/>
          <w:szCs w:val="21"/>
          <w:highlight w:val="none"/>
          <w:u w:val="single"/>
          <w:lang w:val="en-US" w:eastAsia="zh-CN"/>
        </w:rPr>
        <w:t>公</w:t>
      </w:r>
      <w:r>
        <w:rPr>
          <w:rFonts w:hint="eastAsia" w:ascii="宋体" w:hAnsi="宋体"/>
          <w:color w:val="auto"/>
          <w:szCs w:val="21"/>
          <w:highlight w:val="none"/>
          <w:u w:val="single"/>
        </w:rPr>
        <w:t>司提供的资料进行核实，若发现弄虚作假，</w:t>
      </w:r>
      <w:r>
        <w:rPr>
          <w:rFonts w:hint="eastAsia" w:ascii="宋体" w:hAnsi="宋体"/>
          <w:color w:val="auto"/>
          <w:szCs w:val="21"/>
          <w:highlight w:val="none"/>
          <w:u w:val="single"/>
          <w:lang w:val="en-US" w:eastAsia="zh-CN"/>
        </w:rPr>
        <w:t>按相关规定</w:t>
      </w:r>
      <w:r>
        <w:rPr>
          <w:rFonts w:hint="eastAsia" w:ascii="宋体" w:hAnsi="宋体"/>
          <w:color w:val="auto"/>
          <w:szCs w:val="21"/>
          <w:highlight w:val="none"/>
          <w:u w:val="single"/>
        </w:rPr>
        <w:t>取消</w:t>
      </w:r>
      <w:r>
        <w:rPr>
          <w:rFonts w:hint="eastAsia" w:ascii="宋体" w:hAnsi="宋体"/>
          <w:color w:val="auto"/>
          <w:szCs w:val="21"/>
          <w:highlight w:val="none"/>
          <w:u w:val="single"/>
          <w:lang w:val="en-US" w:eastAsia="zh-CN"/>
        </w:rPr>
        <w:t>我公司</w:t>
      </w:r>
      <w:r>
        <w:rPr>
          <w:rFonts w:hint="eastAsia" w:ascii="宋体" w:hAnsi="宋体"/>
          <w:color w:val="auto"/>
          <w:szCs w:val="21"/>
          <w:highlight w:val="none"/>
          <w:u w:val="single"/>
        </w:rPr>
        <w:t>中标资格，并按相关法律法规报招标投标监督部门，投标保证金不予退还，我</w:t>
      </w:r>
      <w:r>
        <w:rPr>
          <w:rFonts w:hint="eastAsia" w:ascii="宋体" w:hAnsi="宋体"/>
          <w:color w:val="auto"/>
          <w:szCs w:val="21"/>
          <w:highlight w:val="none"/>
          <w:u w:val="single"/>
          <w:lang w:val="en-US" w:eastAsia="zh-CN"/>
        </w:rPr>
        <w:t>公</w:t>
      </w:r>
      <w:r>
        <w:rPr>
          <w:rFonts w:hint="eastAsia" w:ascii="宋体" w:hAnsi="宋体"/>
          <w:color w:val="auto"/>
          <w:szCs w:val="21"/>
          <w:highlight w:val="none"/>
          <w:u w:val="single"/>
        </w:rPr>
        <w:t>司自愿承担因此造成的相关责任并赔偿相应损失</w:t>
      </w:r>
      <w:r>
        <w:rPr>
          <w:rFonts w:hint="eastAsia" w:ascii="宋体" w:hAnsi="宋体"/>
          <w:color w:val="auto"/>
          <w:szCs w:val="21"/>
          <w:highlight w:val="none"/>
        </w:rPr>
        <w:t>。</w:t>
      </w:r>
    </w:p>
    <w:p>
      <w:pPr>
        <w:keepNext w:val="0"/>
        <w:keepLines w:val="0"/>
        <w:pageBreakBefore w:val="0"/>
        <w:widowControl w:val="0"/>
        <w:kinsoku/>
        <w:wordWrap/>
        <w:overflowPunct/>
        <w:topLinePunct w:val="0"/>
        <w:bidi w:val="0"/>
        <w:snapToGrid w:val="0"/>
        <w:spacing w:line="380" w:lineRule="exact"/>
        <w:ind w:firstLine="420" w:firstLineChars="200"/>
        <w:textAlignment w:val="auto"/>
        <w:rPr>
          <w:rFonts w:hint="eastAsia" w:ascii="宋体" w:hAnsi="宋体"/>
          <w:color w:val="auto"/>
          <w:szCs w:val="21"/>
          <w:highlight w:val="none"/>
          <w:lang w:eastAsia="zh-CN"/>
        </w:rPr>
      </w:pPr>
      <w:r>
        <w:rPr>
          <w:rFonts w:hint="eastAsia" w:ascii="宋体" w:hAnsi="宋体"/>
          <w:color w:val="auto"/>
          <w:szCs w:val="21"/>
          <w:highlight w:val="none"/>
          <w:lang w:val="en-US" w:eastAsia="zh-CN"/>
        </w:rPr>
        <w:t>6.我公司</w:t>
      </w:r>
      <w:r>
        <w:rPr>
          <w:rFonts w:hint="eastAsia" w:ascii="宋体" w:hAnsi="宋体"/>
          <w:color w:val="auto"/>
          <w:szCs w:val="21"/>
          <w:highlight w:val="none"/>
        </w:rPr>
        <w:t>不存在第二章</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投标人须知第 1.4.3 项规定的任何一种情形</w:t>
      </w:r>
      <w:r>
        <w:rPr>
          <w:rFonts w:hint="eastAsia" w:ascii="宋体" w:hAnsi="宋体"/>
          <w:color w:val="auto"/>
          <w:szCs w:val="21"/>
          <w:highlight w:val="none"/>
          <w:lang w:eastAsia="zh-CN"/>
        </w:rPr>
        <w:t>。</w:t>
      </w:r>
    </w:p>
    <w:p>
      <w:pPr>
        <w:keepNext w:val="0"/>
        <w:keepLines w:val="0"/>
        <w:pageBreakBefore w:val="0"/>
        <w:widowControl w:val="0"/>
        <w:kinsoku/>
        <w:wordWrap/>
        <w:overflowPunct/>
        <w:topLinePunct w:val="0"/>
        <w:bidi w:val="0"/>
        <w:snapToGrid w:val="0"/>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lang w:val="en-US" w:eastAsia="zh-CN"/>
        </w:rPr>
        <w:t>7.我公司的投标文件符合第二章 投标人须知第 1.3.1 项的规定。</w:t>
      </w:r>
    </w:p>
    <w:p>
      <w:pPr>
        <w:keepNext w:val="0"/>
        <w:keepLines w:val="0"/>
        <w:pageBreakBefore w:val="0"/>
        <w:widowControl w:val="0"/>
        <w:kinsoku/>
        <w:wordWrap/>
        <w:overflowPunct/>
        <w:topLinePunct w:val="0"/>
        <w:bidi w:val="0"/>
        <w:snapToGrid w:val="0"/>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lang w:val="en-US" w:eastAsia="zh-CN"/>
        </w:rPr>
        <w:t>8.</w:t>
      </w:r>
      <w:r>
        <w:rPr>
          <w:rFonts w:hint="eastAsia" w:ascii="宋体" w:hAnsi="宋体"/>
          <w:color w:val="auto"/>
          <w:szCs w:val="21"/>
          <w:highlight w:val="none"/>
        </w:rPr>
        <w:t>我公司的投标文件符合第四章 合同条款及格式规定，投标文件中没有</w:t>
      </w:r>
      <w:r>
        <w:rPr>
          <w:rFonts w:hint="eastAsia" w:ascii="宋体" w:hAnsi="宋体"/>
          <w:color w:val="auto"/>
          <w:szCs w:val="21"/>
          <w:highlight w:val="none"/>
          <w:lang w:val="en-US" w:eastAsia="zh-CN"/>
        </w:rPr>
        <w:t>贵单位</w:t>
      </w:r>
      <w:r>
        <w:rPr>
          <w:rFonts w:hint="eastAsia" w:ascii="宋体" w:hAnsi="宋体"/>
          <w:color w:val="auto"/>
          <w:szCs w:val="21"/>
          <w:highlight w:val="none"/>
        </w:rPr>
        <w:t>不能接受的条件。</w:t>
      </w:r>
    </w:p>
    <w:p>
      <w:pPr>
        <w:keepNext w:val="0"/>
        <w:keepLines w:val="0"/>
        <w:pageBreakBefore w:val="0"/>
        <w:widowControl w:val="0"/>
        <w:kinsoku/>
        <w:wordWrap/>
        <w:overflowPunct/>
        <w:topLinePunct w:val="0"/>
        <w:bidi w:val="0"/>
        <w:snapToGrid w:val="0"/>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lang w:val="en-US" w:eastAsia="zh-CN"/>
        </w:rPr>
        <w:t>9.</w:t>
      </w:r>
      <w:r>
        <w:rPr>
          <w:rFonts w:hint="eastAsia" w:ascii="宋体" w:hAnsi="宋体"/>
          <w:color w:val="auto"/>
          <w:szCs w:val="21"/>
          <w:highlight w:val="none"/>
        </w:rPr>
        <w:t>我公司的投标文件符合第七章 技术标准和要求（如有）。</w:t>
      </w:r>
    </w:p>
    <w:p>
      <w:pPr>
        <w:keepNext w:val="0"/>
        <w:keepLines w:val="0"/>
        <w:pageBreakBefore w:val="0"/>
        <w:widowControl w:val="0"/>
        <w:kinsoku/>
        <w:wordWrap/>
        <w:overflowPunct/>
        <w:topLinePunct w:val="0"/>
        <w:bidi w:val="0"/>
        <w:snapToGrid w:val="0"/>
        <w:spacing w:line="380" w:lineRule="exact"/>
        <w:ind w:firstLine="420" w:firstLineChars="200"/>
        <w:textAlignment w:val="auto"/>
        <w:rPr>
          <w:rFonts w:hint="eastAsia" w:ascii="宋体" w:hAnsi="宋体"/>
          <w:color w:val="auto"/>
          <w:szCs w:val="21"/>
          <w:lang w:val="en-US" w:eastAsia="zh-CN"/>
        </w:rPr>
      </w:pPr>
      <w:r>
        <w:rPr>
          <w:rFonts w:hint="eastAsia" w:ascii="宋体" w:hAnsi="宋体"/>
          <w:color w:val="auto"/>
          <w:szCs w:val="21"/>
          <w:lang w:val="en-US" w:eastAsia="zh-CN"/>
        </w:rPr>
        <w:t>10.我公司接受招标文件中关于“不平衡报价”的相关约定（如有）。</w:t>
      </w:r>
    </w:p>
    <w:p>
      <w:pPr>
        <w:keepNext w:val="0"/>
        <w:keepLines w:val="0"/>
        <w:pageBreakBefore w:val="0"/>
        <w:widowControl w:val="0"/>
        <w:kinsoku/>
        <w:wordWrap/>
        <w:overflowPunct/>
        <w:topLinePunct w:val="0"/>
        <w:bidi w:val="0"/>
        <w:snapToGrid w:val="0"/>
        <w:spacing w:line="380" w:lineRule="exact"/>
        <w:ind w:firstLine="420" w:firstLineChars="200"/>
        <w:textAlignment w:val="auto"/>
        <w:rPr>
          <w:rFonts w:hint="default" w:ascii="宋体" w:hAnsi="宋体"/>
          <w:color w:val="auto"/>
          <w:szCs w:val="21"/>
          <w:highlight w:val="none"/>
          <w:lang w:val="en-US"/>
        </w:rPr>
      </w:pPr>
      <w:r>
        <w:rPr>
          <w:rFonts w:hint="eastAsia" w:ascii="宋体" w:hAnsi="宋体"/>
          <w:color w:val="auto"/>
          <w:szCs w:val="21"/>
          <w:lang w:val="en-US" w:eastAsia="zh-CN"/>
        </w:rPr>
        <w:t>11.我公司接受招标文件中关于“不允许负数报价”的相关要求（如有）。</w:t>
      </w:r>
    </w:p>
    <w:p>
      <w:pPr>
        <w:keepNext w:val="0"/>
        <w:keepLines w:val="0"/>
        <w:pageBreakBefore w:val="0"/>
        <w:widowControl w:val="0"/>
        <w:kinsoku/>
        <w:wordWrap/>
        <w:overflowPunct/>
        <w:topLinePunct w:val="0"/>
        <w:bidi w:val="0"/>
        <w:snapToGrid w:val="0"/>
        <w:spacing w:line="380" w:lineRule="exact"/>
        <w:ind w:firstLine="420" w:firstLineChars="200"/>
        <w:textAlignment w:val="auto"/>
        <w:rPr>
          <w:rFonts w:hint="eastAsia" w:ascii="宋体" w:hAnsi="宋体"/>
          <w:color w:val="auto"/>
          <w:szCs w:val="21"/>
          <w:highlight w:val="none"/>
        </w:rPr>
      </w:pPr>
    </w:p>
    <w:p>
      <w:pPr>
        <w:keepNext w:val="0"/>
        <w:keepLines w:val="0"/>
        <w:pageBreakBefore w:val="0"/>
        <w:widowControl w:val="0"/>
        <w:tabs>
          <w:tab w:val="left" w:pos="4200"/>
          <w:tab w:val="left" w:pos="4620"/>
        </w:tabs>
        <w:kinsoku/>
        <w:wordWrap/>
        <w:overflowPunct/>
        <w:topLinePunct w:val="0"/>
        <w:autoSpaceDE w:val="0"/>
        <w:autoSpaceDN w:val="0"/>
        <w:bidi w:val="0"/>
        <w:adjustRightInd w:val="0"/>
        <w:snapToGrid w:val="0"/>
        <w:spacing w:line="380" w:lineRule="exact"/>
        <w:ind w:firstLine="420" w:firstLineChars="200"/>
        <w:jc w:val="left"/>
        <w:textAlignment w:val="auto"/>
        <w:rPr>
          <w:rFonts w:ascii="宋体" w:hAnsi="宋体"/>
          <w:color w:val="auto"/>
          <w:kern w:val="0"/>
          <w:szCs w:val="21"/>
          <w:highlight w:val="none"/>
        </w:rPr>
      </w:pPr>
      <w:r>
        <w:rPr>
          <w:rFonts w:ascii="宋体" w:hAnsi="宋体"/>
          <w:color w:val="auto"/>
          <w:kern w:val="0"/>
          <w:szCs w:val="21"/>
          <w:highlight w:val="none"/>
        </w:rPr>
        <w:t>投  标  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w:t>
      </w:r>
      <w:r>
        <w:rPr>
          <w:rFonts w:ascii="宋体" w:hAnsi="宋体"/>
          <w:color w:val="auto"/>
          <w:spacing w:val="-1"/>
          <w:kern w:val="0"/>
          <w:szCs w:val="21"/>
          <w:highlight w:val="none"/>
        </w:rPr>
        <w:t>盖单位法人章</w:t>
      </w:r>
      <w:r>
        <w:rPr>
          <w:rFonts w:ascii="宋体" w:hAnsi="宋体"/>
          <w:color w:val="auto"/>
          <w:kern w:val="0"/>
          <w:szCs w:val="21"/>
          <w:highlight w:val="none"/>
        </w:rPr>
        <w:t>）</w:t>
      </w:r>
    </w:p>
    <w:p>
      <w:pPr>
        <w:keepNext w:val="0"/>
        <w:keepLines w:val="0"/>
        <w:pageBreakBefore w:val="0"/>
        <w:widowControl w:val="0"/>
        <w:tabs>
          <w:tab w:val="left" w:pos="6300"/>
        </w:tabs>
        <w:kinsoku/>
        <w:wordWrap/>
        <w:overflowPunct/>
        <w:topLinePunct w:val="0"/>
        <w:autoSpaceDE w:val="0"/>
        <w:autoSpaceDN w:val="0"/>
        <w:bidi w:val="0"/>
        <w:adjustRightInd w:val="0"/>
        <w:snapToGrid w:val="0"/>
        <w:spacing w:line="380" w:lineRule="exact"/>
        <w:ind w:firstLine="420" w:firstLineChars="200"/>
        <w:jc w:val="left"/>
        <w:textAlignment w:val="auto"/>
        <w:rPr>
          <w:rFonts w:hint="eastAsia" w:ascii="宋体" w:hAnsi="宋体"/>
          <w:color w:val="auto"/>
          <w:kern w:val="0"/>
          <w:szCs w:val="21"/>
          <w:highlight w:val="none"/>
        </w:rPr>
      </w:pPr>
      <w:r>
        <w:rPr>
          <w:rFonts w:ascii="宋体" w:hAnsi="宋体"/>
          <w:color w:val="auto"/>
          <w:kern w:val="0"/>
          <w:szCs w:val="21"/>
          <w:highlight w:val="none"/>
        </w:rPr>
        <w:t>法定代表人：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lang w:eastAsia="zh-CN"/>
        </w:rPr>
        <w:t>签名</w:t>
      </w:r>
      <w:r>
        <w:rPr>
          <w:rFonts w:ascii="宋体" w:hAnsi="宋体"/>
          <w:color w:val="auto"/>
          <w:kern w:val="0"/>
          <w:szCs w:val="21"/>
          <w:highlight w:val="none"/>
        </w:rPr>
        <w:t>或盖章）</w:t>
      </w:r>
    </w:p>
    <w:p>
      <w:pPr>
        <w:keepNext w:val="0"/>
        <w:keepLines w:val="0"/>
        <w:pageBreakBefore w:val="0"/>
        <w:widowControl w:val="0"/>
        <w:kinsoku/>
        <w:wordWrap/>
        <w:overflowPunct/>
        <w:topLinePunct w:val="0"/>
        <w:bidi w:val="0"/>
        <w:snapToGrid w:val="0"/>
        <w:spacing w:line="380" w:lineRule="exact"/>
        <w:ind w:firstLine="420" w:firstLineChars="200"/>
        <w:jc w:val="right"/>
        <w:textAlignment w:val="auto"/>
        <w:rPr>
          <w:rFonts w:hint="eastAsia" w:ascii="宋体" w:hAnsi="宋体"/>
          <w:color w:val="auto"/>
          <w:szCs w:val="21"/>
          <w:highlight w:val="none"/>
        </w:rPr>
      </w:pPr>
      <w:r>
        <w:rPr>
          <w:rFonts w:hint="eastAsia" w:ascii="宋体" w:hAnsi="宋体"/>
          <w:color w:val="auto"/>
          <w:kern w:val="0"/>
          <w:szCs w:val="21"/>
          <w:highlight w:val="none"/>
          <w:u w:val="single"/>
        </w:rPr>
        <w:t xml:space="preserve">    </w:t>
      </w:r>
      <w:r>
        <w:rPr>
          <w:rFonts w:ascii="宋体" w:hAnsi="宋体"/>
          <w:color w:val="auto"/>
          <w:kern w:val="0"/>
          <w:szCs w:val="21"/>
          <w:highlight w:val="none"/>
        </w:rPr>
        <w:t>年</w:t>
      </w:r>
      <w:r>
        <w:rPr>
          <w:rFonts w:hint="eastAsia" w:ascii="宋体" w:hAnsi="宋体"/>
          <w:color w:val="auto"/>
          <w:kern w:val="0"/>
          <w:szCs w:val="21"/>
          <w:highlight w:val="none"/>
          <w:u w:val="single"/>
        </w:rPr>
        <w:t xml:space="preserve">    </w:t>
      </w:r>
      <w:r>
        <w:rPr>
          <w:rFonts w:ascii="宋体" w:hAnsi="宋体"/>
          <w:color w:val="auto"/>
          <w:kern w:val="0"/>
          <w:szCs w:val="21"/>
          <w:highlight w:val="none"/>
        </w:rPr>
        <w:t>月</w:t>
      </w:r>
      <w:r>
        <w:rPr>
          <w:rFonts w:hint="eastAsia" w:ascii="宋体" w:hAnsi="宋体"/>
          <w:color w:val="auto"/>
          <w:kern w:val="0"/>
          <w:szCs w:val="21"/>
          <w:highlight w:val="none"/>
          <w:u w:val="single"/>
        </w:rPr>
        <w:t xml:space="preserve">    </w:t>
      </w:r>
      <w:r>
        <w:rPr>
          <w:rFonts w:ascii="宋体" w:hAnsi="宋体"/>
          <w:color w:val="auto"/>
          <w:kern w:val="0"/>
          <w:szCs w:val="21"/>
          <w:highlight w:val="none"/>
        </w:rPr>
        <w:t>日</w:t>
      </w:r>
    </w:p>
    <w:p>
      <w:pPr>
        <w:snapToGrid w:val="0"/>
        <w:spacing w:line="500" w:lineRule="exact"/>
        <w:ind w:firstLine="420" w:firstLineChars="200"/>
        <w:jc w:val="right"/>
        <w:rPr>
          <w:rFonts w:ascii="宋体" w:hAnsi="宋体"/>
          <w:color w:val="auto"/>
          <w:szCs w:val="21"/>
        </w:rPr>
      </w:pPr>
    </w:p>
    <w:p>
      <w:pPr>
        <w:spacing w:line="500" w:lineRule="exact"/>
        <w:rPr>
          <w:color w:val="auto"/>
        </w:rPr>
      </w:pPr>
    </w:p>
    <w:p>
      <w:pPr>
        <w:spacing w:line="500" w:lineRule="exact"/>
        <w:jc w:val="center"/>
        <w:rPr>
          <w:rFonts w:ascii="宋体" w:hAnsi="宋体"/>
          <w:bCs/>
          <w:color w:val="auto"/>
          <w:sz w:val="32"/>
          <w:szCs w:val="32"/>
        </w:rPr>
      </w:pPr>
      <w:r>
        <w:rPr>
          <w:color w:val="auto"/>
        </w:rPr>
        <w:br w:type="page"/>
      </w:r>
    </w:p>
    <w:p>
      <w:pPr>
        <w:numPr>
          <w:ilvl w:val="0"/>
          <w:numId w:val="8"/>
        </w:numPr>
        <w:jc w:val="center"/>
        <w:rPr>
          <w:rFonts w:hint="eastAsia" w:ascii="宋体" w:hAnsi="宋体"/>
          <w:bCs/>
          <w:color w:val="auto"/>
          <w:sz w:val="32"/>
          <w:szCs w:val="32"/>
        </w:rPr>
      </w:pPr>
      <w:bookmarkStart w:id="986" w:name="_Toc14813"/>
      <w:bookmarkStart w:id="987" w:name="_Toc24788"/>
      <w:r>
        <w:rPr>
          <w:rFonts w:hint="eastAsia" w:ascii="宋体" w:hAnsi="宋体"/>
          <w:bCs/>
          <w:color w:val="auto"/>
          <w:sz w:val="32"/>
          <w:szCs w:val="32"/>
        </w:rPr>
        <w:t>其他资料</w:t>
      </w:r>
      <w:bookmarkEnd w:id="986"/>
      <w:bookmarkEnd w:id="987"/>
    </w:p>
    <w:p>
      <w:pPr>
        <w:pStyle w:val="4"/>
        <w:keepNext/>
        <w:keepLines/>
        <w:pageBreakBefore/>
        <w:widowControl w:val="0"/>
        <w:kinsoku/>
        <w:wordWrap/>
        <w:overflowPunct/>
        <w:topLinePunct w:val="0"/>
        <w:autoSpaceDE/>
        <w:autoSpaceDN/>
        <w:bidi w:val="0"/>
        <w:adjustRightInd/>
        <w:snapToGrid/>
        <w:spacing w:before="0" w:line="500" w:lineRule="exact"/>
        <w:textAlignment w:val="auto"/>
        <w:rPr>
          <w:rFonts w:hint="eastAsia" w:ascii="宋体" w:hAnsi="宋体" w:eastAsia="宋体" w:cs="宋体"/>
          <w:b/>
          <w:bCs/>
          <w:color w:val="auto"/>
          <w:kern w:val="2"/>
          <w:sz w:val="24"/>
          <w:szCs w:val="21"/>
          <w:highlight w:val="none"/>
          <w:lang w:val="en-US" w:eastAsia="zh-CN" w:bidi="ar-SA"/>
        </w:rPr>
      </w:pPr>
      <w:bookmarkStart w:id="988" w:name="_Toc29818"/>
      <w:bookmarkStart w:id="989" w:name="_Toc22676"/>
      <w:r>
        <w:rPr>
          <w:rFonts w:hint="eastAsia" w:ascii="宋体" w:hAnsi="宋体" w:eastAsia="宋体" w:cs="宋体"/>
          <w:b/>
          <w:bCs/>
          <w:color w:val="auto"/>
          <w:kern w:val="2"/>
          <w:sz w:val="24"/>
          <w:szCs w:val="21"/>
          <w:highlight w:val="none"/>
          <w:lang w:val="en-US" w:eastAsia="zh-CN" w:bidi="ar-SA"/>
        </w:rPr>
        <w:t>投标保证金退还申请</w:t>
      </w:r>
      <w:bookmarkEnd w:id="988"/>
      <w:bookmarkEnd w:id="989"/>
    </w:p>
    <w:p>
      <w:pPr>
        <w:keepNext w:val="0"/>
        <w:keepLines w:val="0"/>
        <w:pageBreakBefore w:val="0"/>
        <w:widowControl/>
        <w:kinsoku/>
        <w:wordWrap/>
        <w:overflowPunct/>
        <w:topLinePunct w:val="0"/>
        <w:autoSpaceDE/>
        <w:autoSpaceDN/>
        <w:bidi w:val="0"/>
        <w:adjustRightInd/>
        <w:snapToGrid/>
        <w:spacing w:after="360" w:line="800" w:lineRule="exact"/>
        <w:jc w:val="center"/>
        <w:textAlignment w:val="auto"/>
        <w:rPr>
          <w:rFonts w:hint="eastAsia" w:ascii="宋体" w:hAnsi="宋体" w:eastAsia="宋体" w:cs="宋体"/>
          <w:color w:val="auto"/>
          <w:highlight w:val="none"/>
        </w:rPr>
      </w:pPr>
      <w:bookmarkStart w:id="990" w:name="_Toc4728_WPSOffice_Level2"/>
      <w:r>
        <w:rPr>
          <w:rFonts w:hint="eastAsia" w:ascii="宋体" w:hAnsi="宋体" w:eastAsia="宋体" w:cs="宋体"/>
          <w:b/>
          <w:color w:val="auto"/>
          <w:kern w:val="0"/>
          <w:sz w:val="44"/>
          <w:szCs w:val="44"/>
          <w:highlight w:val="none"/>
        </w:rPr>
        <w:t>投标保证金退还申请</w:t>
      </w:r>
      <w:bookmarkEnd w:id="990"/>
    </w:p>
    <w:p>
      <w:pPr>
        <w:keepNext w:val="0"/>
        <w:keepLines w:val="0"/>
        <w:pageBreakBefore w:val="0"/>
        <w:widowControl w:val="0"/>
        <w:tabs>
          <w:tab w:val="left" w:pos="6300"/>
        </w:tabs>
        <w:kinsoku/>
        <w:wordWrap/>
        <w:overflowPunct/>
        <w:topLinePunct w:val="0"/>
        <w:autoSpaceDE/>
        <w:autoSpaceDN/>
        <w:bidi w:val="0"/>
        <w:adjustRightInd/>
        <w:snapToGrid w:val="0"/>
        <w:spacing w:line="540" w:lineRule="exact"/>
        <w:ind w:right="0"/>
        <w:textAlignment w:val="auto"/>
        <w:rPr>
          <w:rFonts w:hint="eastAsia" w:ascii="宋体" w:hAnsi="宋体" w:eastAsia="宋体" w:cs="宋体"/>
          <w:color w:val="auto"/>
          <w:highlight w:val="none"/>
        </w:rPr>
      </w:pPr>
      <w:r>
        <w:rPr>
          <w:rFonts w:hint="eastAsia" w:ascii="宋体" w:hAnsi="宋体" w:eastAsia="宋体" w:cs="宋体"/>
          <w:color w:val="auto"/>
          <w:sz w:val="24"/>
          <w:szCs w:val="22"/>
          <w:highlight w:val="none"/>
          <w:u w:val="single"/>
          <w:lang w:val="en-US" w:eastAsia="zh-CN"/>
        </w:rPr>
        <w:t xml:space="preserve">           （采购人名称）</w:t>
      </w:r>
      <w:r>
        <w:rPr>
          <w:rFonts w:hint="eastAsia" w:ascii="宋体" w:hAnsi="宋体" w:eastAsia="宋体" w:cs="宋体"/>
          <w:color w:val="auto"/>
          <w:sz w:val="24"/>
          <w:szCs w:val="22"/>
          <w:highlight w:val="none"/>
        </w:rPr>
        <w:t>：</w:t>
      </w:r>
    </w:p>
    <w:p>
      <w:pPr>
        <w:keepNext w:val="0"/>
        <w:keepLines w:val="0"/>
        <w:pageBreakBefore w:val="0"/>
        <w:widowControl w:val="0"/>
        <w:tabs>
          <w:tab w:val="left" w:pos="6300"/>
        </w:tabs>
        <w:kinsoku/>
        <w:wordWrap/>
        <w:overflowPunct/>
        <w:topLinePunct w:val="0"/>
        <w:autoSpaceDE/>
        <w:autoSpaceDN/>
        <w:bidi w:val="0"/>
        <w:adjustRightInd/>
        <w:spacing w:line="54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rPr>
        <w:t>我单位于</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年</w:t>
      </w:r>
      <w:r>
        <w:rPr>
          <w:rFonts w:hint="eastAsia" w:ascii="宋体" w:hAnsi="宋体" w:eastAsia="宋体" w:cs="宋体"/>
          <w:color w:val="auto"/>
          <w:kern w:val="2"/>
          <w:sz w:val="24"/>
          <w:szCs w:val="24"/>
          <w:highlight w:val="none"/>
          <w:u w:val="single"/>
        </w:rPr>
        <w:t>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rPr>
        <w:t>月</w:t>
      </w:r>
      <w:r>
        <w:rPr>
          <w:rFonts w:hint="eastAsia" w:ascii="宋体" w:hAnsi="宋体" w:eastAsia="宋体" w:cs="宋体"/>
          <w:color w:val="auto"/>
          <w:kern w:val="2"/>
          <w:sz w:val="24"/>
          <w:szCs w:val="24"/>
          <w:highlight w:val="none"/>
          <w:u w:val="single"/>
        </w:rPr>
        <w:t>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rPr>
        <w:t>日参加由贵单位组织进行的</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（项目名称）交易活动，</w:t>
      </w:r>
      <w:r>
        <w:rPr>
          <w:rFonts w:hint="eastAsia" w:ascii="宋体" w:hAnsi="宋体" w:cs="宋体"/>
          <w:color w:val="auto"/>
          <w:kern w:val="2"/>
          <w:sz w:val="24"/>
          <w:szCs w:val="24"/>
          <w:highlight w:val="none"/>
          <w:lang w:eastAsia="zh-CN"/>
        </w:rPr>
        <w:t>转账</w:t>
      </w:r>
      <w:r>
        <w:rPr>
          <w:rFonts w:hint="eastAsia" w:ascii="宋体" w:hAnsi="宋体" w:eastAsia="宋体" w:cs="宋体"/>
          <w:color w:val="auto"/>
          <w:kern w:val="2"/>
          <w:sz w:val="24"/>
          <w:szCs w:val="24"/>
          <w:highlight w:val="none"/>
        </w:rPr>
        <w:t>交纳投标保证金</w:t>
      </w:r>
      <w:r>
        <w:rPr>
          <w:rFonts w:hint="eastAsia" w:ascii="宋体" w:hAnsi="宋体" w:eastAsia="宋体" w:cs="宋体"/>
          <w:color w:val="auto"/>
          <w:kern w:val="2"/>
          <w:sz w:val="24"/>
          <w:szCs w:val="24"/>
          <w:highlight w:val="none"/>
          <w:u w:val="single"/>
        </w:rPr>
        <w:t>　　　　　　</w:t>
      </w:r>
      <w:r>
        <w:rPr>
          <w:rFonts w:hint="eastAsia" w:ascii="宋体" w:hAnsi="宋体" w:eastAsia="宋体" w:cs="宋体"/>
          <w:color w:val="auto"/>
          <w:kern w:val="2"/>
          <w:sz w:val="24"/>
          <w:szCs w:val="24"/>
          <w:highlight w:val="none"/>
        </w:rPr>
        <w:t>元。现交易活动已结束，按照项目</w:t>
      </w:r>
      <w:r>
        <w:rPr>
          <w:rFonts w:hint="eastAsia" w:ascii="宋体" w:hAnsi="宋体" w:eastAsia="宋体" w:cs="宋体"/>
          <w:color w:val="auto"/>
          <w:kern w:val="2"/>
          <w:sz w:val="24"/>
          <w:szCs w:val="24"/>
          <w:highlight w:val="none"/>
          <w:lang w:eastAsia="zh-CN"/>
        </w:rPr>
        <w:t>竞争性谈判</w:t>
      </w:r>
      <w:r>
        <w:rPr>
          <w:rFonts w:hint="eastAsia" w:ascii="宋体" w:hAnsi="宋体" w:eastAsia="宋体" w:cs="宋体"/>
          <w:color w:val="auto"/>
          <w:kern w:val="2"/>
          <w:sz w:val="24"/>
          <w:szCs w:val="24"/>
          <w:highlight w:val="none"/>
        </w:rPr>
        <w:t>文件规定的投标保证金退还办法，特申请将我单位交纳的投标保证金退还到我单位以下账户（必须与保证金交纳账户一致）：</w:t>
      </w:r>
    </w:p>
    <w:p>
      <w:pPr>
        <w:keepNext w:val="0"/>
        <w:keepLines w:val="0"/>
        <w:pageBreakBefore w:val="0"/>
        <w:widowControl w:val="0"/>
        <w:tabs>
          <w:tab w:val="left" w:pos="6300"/>
        </w:tabs>
        <w:kinsoku/>
        <w:wordWrap/>
        <w:overflowPunct/>
        <w:topLinePunct w:val="0"/>
        <w:autoSpaceDE/>
        <w:autoSpaceDN/>
        <w:bidi w:val="0"/>
        <w:adjustRightInd/>
        <w:spacing w:line="540" w:lineRule="exact"/>
        <w:ind w:left="0" w:right="0" w:firstLine="57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rPr>
        <w:t xml:space="preserve">投标单位户名：                          </w:t>
      </w:r>
    </w:p>
    <w:p>
      <w:pPr>
        <w:keepNext w:val="0"/>
        <w:keepLines w:val="0"/>
        <w:pageBreakBefore w:val="0"/>
        <w:widowControl w:val="0"/>
        <w:tabs>
          <w:tab w:val="left" w:pos="6300"/>
        </w:tabs>
        <w:kinsoku/>
        <w:wordWrap/>
        <w:overflowPunct/>
        <w:topLinePunct w:val="0"/>
        <w:autoSpaceDE/>
        <w:autoSpaceDN/>
        <w:bidi w:val="0"/>
        <w:adjustRightInd/>
        <w:spacing w:line="540" w:lineRule="exact"/>
        <w:ind w:left="0" w:right="0" w:firstLine="57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rPr>
        <w:t>投标单位账号：</w:t>
      </w:r>
    </w:p>
    <w:p>
      <w:pPr>
        <w:keepNext w:val="0"/>
        <w:keepLines w:val="0"/>
        <w:pageBreakBefore w:val="0"/>
        <w:widowControl w:val="0"/>
        <w:tabs>
          <w:tab w:val="left" w:pos="6300"/>
        </w:tabs>
        <w:kinsoku/>
        <w:wordWrap/>
        <w:overflowPunct/>
        <w:topLinePunct w:val="0"/>
        <w:autoSpaceDE/>
        <w:autoSpaceDN/>
        <w:bidi w:val="0"/>
        <w:adjustRightInd/>
        <w:spacing w:line="540" w:lineRule="exact"/>
        <w:ind w:left="0" w:right="0" w:firstLine="570"/>
        <w:textAlignment w:val="auto"/>
        <w:rPr>
          <w:rFonts w:hint="eastAsia" w:ascii="宋体" w:hAnsi="宋体" w:eastAsia="宋体" w:cs="宋体"/>
          <w:color w:val="auto"/>
          <w:highlight w:val="none"/>
        </w:rPr>
      </w:pPr>
      <w:r>
        <w:rPr>
          <w:rFonts w:hint="eastAsia" w:ascii="宋体" w:hAnsi="宋体" w:eastAsia="宋体" w:cs="宋体"/>
          <w:color w:val="auto"/>
          <w:kern w:val="2"/>
          <w:sz w:val="24"/>
          <w:szCs w:val="24"/>
          <w:highlight w:val="none"/>
        </w:rPr>
        <w:t xml:space="preserve">账户开户行：  </w:t>
      </w:r>
      <w:r>
        <w:rPr>
          <w:rFonts w:hint="eastAsia" w:ascii="宋体" w:hAnsi="宋体" w:eastAsia="宋体" w:cs="宋体"/>
          <w:color w:val="auto"/>
          <w:kern w:val="2"/>
          <w:szCs w:val="28"/>
          <w:highlight w:val="none"/>
        </w:rPr>
        <w:t xml:space="preserve">                                                </w:t>
      </w:r>
    </w:p>
    <w:p>
      <w:pPr>
        <w:tabs>
          <w:tab w:val="left" w:pos="6300"/>
        </w:tabs>
        <w:spacing w:line="500" w:lineRule="exact"/>
        <w:ind w:left="0" w:right="0" w:firstLine="570"/>
        <w:rPr>
          <w:rFonts w:hint="eastAsia" w:ascii="宋体" w:hAnsi="宋体" w:eastAsia="宋体" w:cs="宋体"/>
          <w:color w:val="auto"/>
          <w:kern w:val="2"/>
          <w:szCs w:val="28"/>
          <w:highlight w:val="none"/>
        </w:rPr>
      </w:pPr>
    </w:p>
    <w:p>
      <w:pPr>
        <w:tabs>
          <w:tab w:val="left" w:pos="6300"/>
        </w:tabs>
        <w:spacing w:line="500" w:lineRule="exact"/>
        <w:ind w:left="0" w:right="0" w:firstLine="570"/>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rPr>
        <w:t>特此申请</w:t>
      </w:r>
    </w:p>
    <w:p>
      <w:pPr>
        <w:tabs>
          <w:tab w:val="left" w:pos="6300"/>
        </w:tabs>
        <w:spacing w:line="500" w:lineRule="exact"/>
        <w:ind w:left="0" w:right="0" w:firstLine="570"/>
        <w:rPr>
          <w:rFonts w:hint="eastAsia" w:ascii="宋体" w:hAnsi="宋体" w:eastAsia="宋体" w:cs="宋体"/>
          <w:color w:val="auto"/>
          <w:kern w:val="2"/>
          <w:sz w:val="24"/>
          <w:szCs w:val="24"/>
          <w:highlight w:val="none"/>
        </w:rPr>
      </w:pPr>
    </w:p>
    <w:p>
      <w:pPr>
        <w:tabs>
          <w:tab w:val="left" w:pos="6300"/>
        </w:tabs>
        <w:spacing w:line="500" w:lineRule="exact"/>
        <w:ind w:left="0" w:right="0" w:firstLine="570"/>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rPr>
        <w:t>投标单位联系人及联系电话：</w:t>
      </w:r>
    </w:p>
    <w:p>
      <w:pPr>
        <w:tabs>
          <w:tab w:val="left" w:pos="6300"/>
        </w:tabs>
        <w:spacing w:line="500" w:lineRule="exact"/>
        <w:ind w:left="0" w:right="0" w:firstLine="570"/>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rPr>
        <w:t>法定代表人（或代理人）签名或盖章：</w:t>
      </w:r>
    </w:p>
    <w:p>
      <w:pPr>
        <w:tabs>
          <w:tab w:val="left" w:pos="6300"/>
        </w:tabs>
        <w:spacing w:line="500" w:lineRule="exact"/>
        <w:ind w:left="0" w:right="0" w:firstLine="570"/>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rPr>
        <w:t xml:space="preserve">                                         投标单位（盖章）：</w:t>
      </w:r>
    </w:p>
    <w:p>
      <w:pPr>
        <w:tabs>
          <w:tab w:val="left" w:pos="6300"/>
        </w:tabs>
        <w:spacing w:line="500" w:lineRule="exact"/>
        <w:ind w:left="0" w:right="0" w:firstLine="5880"/>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rPr>
        <w:t>年    月    日</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本申请必附附件：</w:t>
      </w:r>
      <w:r>
        <w:rPr>
          <w:rFonts w:hint="eastAsia" w:ascii="宋体" w:hAnsi="宋体" w:eastAsia="宋体" w:cs="宋体"/>
          <w:color w:val="auto"/>
          <w:kern w:val="2"/>
          <w:sz w:val="24"/>
          <w:szCs w:val="24"/>
          <w:highlight w:val="none"/>
        </w:rPr>
        <w:t>保证金退还收据（财务章，复写纸）</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保证金银行转账凭证复印件</w:t>
      </w:r>
      <w:r>
        <w:rPr>
          <w:rFonts w:hint="eastAsia" w:ascii="宋体" w:hAnsi="宋体" w:eastAsia="宋体" w:cs="宋体"/>
          <w:color w:val="auto"/>
          <w:kern w:val="2"/>
          <w:sz w:val="24"/>
          <w:szCs w:val="24"/>
          <w:highlight w:val="none"/>
          <w:lang w:eastAsia="zh-CN"/>
        </w:rPr>
        <w:t>，银行基本账户开户证明文件。</w:t>
      </w:r>
    </w:p>
    <w:p>
      <w:pPr>
        <w:keepNext w:val="0"/>
        <w:keepLines w:val="0"/>
        <w:pageBreakBefore w:val="0"/>
        <w:widowControl w:val="0"/>
        <w:tabs>
          <w:tab w:val="left" w:pos="2070"/>
        </w:tabs>
        <w:kinsoku/>
        <w:wordWrap/>
        <w:overflowPunct/>
        <w:topLinePunct w:val="0"/>
        <w:autoSpaceDE/>
        <w:autoSpaceDN/>
        <w:bidi w:val="0"/>
        <w:adjustRightInd/>
        <w:snapToGrid/>
        <w:spacing w:line="600" w:lineRule="exact"/>
        <w:ind w:left="0" w:right="0" w:firstLine="475"/>
        <w:textAlignment w:val="auto"/>
        <w:rPr>
          <w:rFonts w:hint="eastAsia" w:ascii="宋体" w:hAnsi="宋体" w:eastAsia="宋体" w:cs="宋体"/>
          <w:color w:val="auto"/>
          <w:lang w:val="en-US" w:eastAsia="zh-CN"/>
        </w:rPr>
      </w:pPr>
      <w:r>
        <w:rPr>
          <w:rFonts w:hint="eastAsia" w:ascii="宋体" w:hAnsi="宋体" w:eastAsia="宋体" w:cs="宋体"/>
          <w:b/>
          <w:color w:val="auto"/>
          <w:kern w:val="2"/>
          <w:sz w:val="24"/>
          <w:szCs w:val="24"/>
          <w:highlight w:val="none"/>
        </w:rPr>
        <w:t>（注：</w:t>
      </w:r>
      <w:r>
        <w:rPr>
          <w:rFonts w:hint="eastAsia" w:ascii="宋体" w:hAnsi="宋体" w:eastAsia="宋体" w:cs="宋体"/>
          <w:color w:val="auto"/>
          <w:kern w:val="2"/>
          <w:sz w:val="24"/>
          <w:szCs w:val="24"/>
          <w:highlight w:val="none"/>
        </w:rPr>
        <w:t>此申请表由投标人填写齐全后，在</w:t>
      </w:r>
      <w:r>
        <w:rPr>
          <w:rFonts w:hint="eastAsia" w:ascii="宋体" w:hAnsi="宋体" w:eastAsia="宋体" w:cs="宋体"/>
          <w:b w:val="0"/>
          <w:bCs/>
          <w:color w:val="auto"/>
          <w:kern w:val="2"/>
          <w:sz w:val="24"/>
          <w:szCs w:val="24"/>
          <w:highlight w:val="none"/>
        </w:rPr>
        <w:t>投标签到时</w:t>
      </w:r>
      <w:r>
        <w:rPr>
          <w:rFonts w:hint="eastAsia" w:ascii="宋体" w:hAnsi="宋体" w:eastAsia="宋体" w:cs="宋体"/>
          <w:color w:val="auto"/>
          <w:kern w:val="2"/>
          <w:sz w:val="24"/>
          <w:szCs w:val="24"/>
          <w:highlight w:val="none"/>
        </w:rPr>
        <w:t>与保证金银行转账凭证复印件</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保证金退还收据（财务章，复写纸）</w:t>
      </w:r>
      <w:r>
        <w:rPr>
          <w:rFonts w:hint="eastAsia" w:ascii="宋体" w:hAnsi="宋体" w:eastAsia="宋体" w:cs="宋体"/>
          <w:color w:val="auto"/>
          <w:kern w:val="2"/>
          <w:sz w:val="24"/>
          <w:szCs w:val="24"/>
          <w:highlight w:val="none"/>
          <w:lang w:val="en-US" w:eastAsia="zh-CN"/>
        </w:rPr>
        <w:t>及</w:t>
      </w:r>
      <w:r>
        <w:rPr>
          <w:rFonts w:hint="eastAsia" w:ascii="宋体" w:hAnsi="宋体" w:eastAsia="宋体" w:cs="宋体"/>
          <w:color w:val="auto"/>
          <w:kern w:val="2"/>
          <w:sz w:val="24"/>
          <w:szCs w:val="24"/>
          <w:highlight w:val="none"/>
          <w:lang w:eastAsia="zh-CN"/>
        </w:rPr>
        <w:t>银行基本账户开户证明文件</w:t>
      </w:r>
      <w:r>
        <w:rPr>
          <w:rFonts w:hint="eastAsia" w:ascii="宋体" w:hAnsi="宋体" w:eastAsia="宋体" w:cs="宋体"/>
          <w:color w:val="auto"/>
          <w:kern w:val="2"/>
          <w:sz w:val="24"/>
          <w:szCs w:val="24"/>
          <w:highlight w:val="none"/>
        </w:rPr>
        <w:t>一同交至</w:t>
      </w:r>
      <w:r>
        <w:rPr>
          <w:rFonts w:hint="eastAsia" w:ascii="宋体" w:hAnsi="宋体" w:eastAsia="宋体" w:cs="宋体"/>
          <w:color w:val="auto"/>
          <w:kern w:val="2"/>
          <w:sz w:val="24"/>
          <w:szCs w:val="24"/>
          <w:highlight w:val="none"/>
          <w:lang w:eastAsia="zh-CN"/>
        </w:rPr>
        <w:t>采购</w:t>
      </w:r>
      <w:r>
        <w:rPr>
          <w:rFonts w:hint="eastAsia" w:ascii="宋体" w:hAnsi="宋体" w:eastAsia="宋体" w:cs="宋体"/>
          <w:color w:val="auto"/>
          <w:kern w:val="2"/>
          <w:sz w:val="24"/>
          <w:szCs w:val="24"/>
          <w:highlight w:val="none"/>
        </w:rPr>
        <w:t>代理机构项目经办人员处，以便办理投标保证金退付事宜，否则造成的一切后果由投标人自行负责。）</w:t>
      </w:r>
    </w:p>
    <w:p>
      <w:pPr>
        <w:rPr>
          <w:color w:val="auto"/>
        </w:rPr>
      </w:pPr>
    </w:p>
    <w:p>
      <w:pPr>
        <w:pStyle w:val="2"/>
        <w:numPr>
          <w:ilvl w:val="0"/>
          <w:numId w:val="8"/>
        </w:numPr>
        <w:rPr>
          <w:color w:val="auto"/>
        </w:rPr>
      </w:pPr>
    </w:p>
    <w:sectPr>
      <w:pgSz w:w="11906" w:h="16838"/>
      <w:pgMar w:top="1247" w:right="1133" w:bottom="1247" w:left="993"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1" w:csb1="00000000"/>
  </w:font>
  <w:font w:name="Verdana">
    <w:panose1 w:val="020B0604030504040204"/>
    <w:charset w:val="00"/>
    <w:family w:val="swiss"/>
    <w:pitch w:val="default"/>
    <w:sig w:usb0="A10006FF" w:usb1="4000205B" w:usb2="00000010" w:usb3="00000000" w:csb0="2000019F" w:csb1="00000000"/>
  </w:font>
  <w:font w:name="仿宋_GB2312;仿宋">
    <w:altName w:val="仿宋"/>
    <w:panose1 w:val="00000000000000000000"/>
    <w:charset w:val="00"/>
    <w:family w:val="auto"/>
    <w:pitch w:val="default"/>
    <w:sig w:usb0="00000000" w:usb1="00000000" w:usb2="00000000" w:usb3="00000000" w:csb0="00040001" w:csb1="00000000"/>
  </w:font>
  <w:font w:name="ˎ̥">
    <w:altName w:val="Times New Roman"/>
    <w:panose1 w:val="00000000000000000000"/>
    <w:charset w:val="00"/>
    <w:family w:val="auto"/>
    <w:pitch w:val="default"/>
    <w:sig w:usb0="00000000" w:usb1="00000000" w:usb2="00000000" w:usb3="00000000" w:csb0="00040001" w:csb1="00000000"/>
  </w:font>
  <w:font w:name="方正仿宋简体">
    <w:altName w:val="微软雅黑"/>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altName w:val="微软雅黑"/>
    <w:panose1 w:val="00000000000000000000"/>
    <w:charset w:val="86"/>
    <w:family w:val="script"/>
    <w:pitch w:val="default"/>
    <w:sig w:usb0="00000000" w:usb1="00000000" w:usb2="00000010" w:usb3="00000000" w:csb0="00040000" w:csb1="00000000"/>
  </w:font>
  <w:font w:name="方正书宋简体">
    <w:altName w:val="微软雅黑"/>
    <w:panose1 w:val="00000000000000000000"/>
    <w:charset w:val="86"/>
    <w:family w:val="auto"/>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MingLiU">
    <w:panose1 w:val="02020509000000000000"/>
    <w:charset w:val="88"/>
    <w:family w:val="modern"/>
    <w:pitch w:val="default"/>
    <w:sig w:usb0="A00002FF" w:usb1="28CFFCFA" w:usb2="00000016" w:usb3="00000000" w:csb0="00100001" w:csb1="00000000"/>
  </w:font>
  <w:font w:name="ATKPMP+ºÚÌå">
    <w:altName w:val="Segoe Print"/>
    <w:panose1 w:val="00000000000000000000"/>
    <w:charset w:val="01"/>
    <w:family w:val="modern"/>
    <w:pitch w:val="default"/>
    <w:sig w:usb0="00000000" w:usb1="00000000" w:usb2="01010101" w:usb3="01010101" w:csb0="01010101" w:csb1="01010101"/>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MingLiUfalt">
    <w:altName w:val="MingLiU-ExtB"/>
    <w:panose1 w:val="00000000000000000000"/>
    <w:charset w:val="88"/>
    <w:family w:val="auto"/>
    <w:pitch w:val="default"/>
    <w:sig w:usb0="00000000" w:usb1="0000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center"/>
      <w:rPr>
        <w:lang w:val="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tabs>
        <w:tab w:val="clear" w:pos="4153"/>
      </w:tabs>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center"/>
      <w:rPr>
        <w:lang w:val="zh-C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3"/>
                            <w:rPr>
                              <w:rStyle w:val="56"/>
                            </w:rPr>
                          </w:pPr>
                          <w:r>
                            <w:fldChar w:fldCharType="begin"/>
                          </w:r>
                          <w:r>
                            <w:rPr>
                              <w:rStyle w:val="56"/>
                            </w:rPr>
                            <w:instrText xml:space="preserve">PAGE  </w:instrText>
                          </w:r>
                          <w:r>
                            <w:fldChar w:fldCharType="separate"/>
                          </w:r>
                          <w:r>
                            <w:rPr>
                              <w:rStyle w:val="56"/>
                            </w:rPr>
                            <w:t>24</w:t>
                          </w:r>
                          <w:r>
                            <w:fldChar w:fldCharType="end"/>
                          </w:r>
                        </w:p>
                      </w:txbxContent>
                    </wps:txbx>
                    <wps:bodyPr wrap="none" lIns="0" tIns="0" rIns="0" bIns="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OqXm5zwAAAAUBAAAPAAAAAAAAAAEA&#10;IAAAACIAAABkcnMvZG93bnJldi54bWxQSwECFAAUAAAACACHTuJAE4xzRqYBAAA/AwAADgAAAAAA&#10;AAABACAAAAAeAQAAZHJzL2Uyb0RvYy54bWxQSwUGAAAAAAYABgBZAQAANgUAAAAA&#10;">
              <v:fill on="f" focussize="0,0"/>
              <v:stroke on="f"/>
              <v:imagedata o:title=""/>
              <o:lock v:ext="edit" aspectratio="f"/>
              <v:textbox inset="0mm,0mm,0mm,0mm" style="mso-fit-shape-to-text:t;">
                <w:txbxContent>
                  <w:p>
                    <w:pPr>
                      <w:pStyle w:val="33"/>
                      <w:rPr>
                        <w:rStyle w:val="56"/>
                      </w:rPr>
                    </w:pPr>
                    <w:r>
                      <w:fldChar w:fldCharType="begin"/>
                    </w:r>
                    <w:r>
                      <w:rPr>
                        <w:rStyle w:val="56"/>
                      </w:rPr>
                      <w:instrText xml:space="preserve">PAGE  </w:instrText>
                    </w:r>
                    <w:r>
                      <w:fldChar w:fldCharType="separate"/>
                    </w:r>
                    <w:r>
                      <w:rPr>
                        <w:rStyle w:val="56"/>
                      </w:rPr>
                      <w:t>24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66</w:t>
                          </w:r>
                          <w:r>
                            <w:rPr>
                              <w:rFonts w:hint="eastAsia"/>
                              <w:sz w:val="18"/>
                            </w:rPr>
                            <w:fldChar w:fldCharType="end"/>
                          </w:r>
                        </w:p>
                      </w:txbxContent>
                    </wps:txbx>
                    <wps:bodyPr wrap="none" lIns="0" tIns="0" rIns="0" bIns="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zql5uc8AAAAFAQAADwAAAAAAAAAB&#10;ACAAAAAiAAAAZHJzL2Rvd25yZXYueG1sUEsBAhQAFAAAAAgAh07iQHA6b3ynAQAAPwMAAA4AAAAA&#10;AAAAAQAgAAAAHgEAAGRycy9lMm9Eb2MueG1sUEsFBgAAAAAGAAYAWQEAADc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66</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6EE412C"/>
    <w:multiLevelType w:val="singleLevel"/>
    <w:tmpl w:val="96EE412C"/>
    <w:lvl w:ilvl="0" w:tentative="0">
      <w:start w:val="5"/>
      <w:numFmt w:val="decimal"/>
      <w:lvlText w:val="%1."/>
      <w:lvlJc w:val="left"/>
      <w:pPr>
        <w:tabs>
          <w:tab w:val="left" w:pos="312"/>
        </w:tabs>
      </w:pPr>
    </w:lvl>
  </w:abstractNum>
  <w:abstractNum w:abstractNumId="1">
    <w:nsid w:val="00000002"/>
    <w:multiLevelType w:val="multilevel"/>
    <w:tmpl w:val="00000002"/>
    <w:lvl w:ilvl="0" w:tentative="0">
      <w:start w:val="1"/>
      <w:numFmt w:val="decimal"/>
      <w:pStyle w:val="27"/>
      <w:lvlText w:val="%1．"/>
      <w:lvlJc w:val="left"/>
      <w:pPr>
        <w:ind w:left="360" w:hanging="360"/>
      </w:pPr>
      <w:rPr>
        <w:rFonts w:hint="default"/>
      </w:rPr>
    </w:lvl>
    <w:lvl w:ilvl="1" w:tentative="0">
      <w:start w:val="1"/>
      <w:numFmt w:val="decimal"/>
      <w:lvlText w:val="2.%2"/>
      <w:lvlJc w:val="left"/>
      <w:pPr>
        <w:ind w:left="1068" w:hanging="360"/>
      </w:pPr>
      <w:rPr>
        <w:rFonts w:hint="default"/>
      </w:rPr>
    </w:lvl>
    <w:lvl w:ilvl="2" w:tentative="0">
      <w:start w:val="1"/>
      <w:numFmt w:val="decimal"/>
      <w:lvlText w:val="%1.%2.%3"/>
      <w:lvlJc w:val="left"/>
      <w:pPr>
        <w:ind w:left="2136" w:hanging="720"/>
      </w:pPr>
      <w:rPr>
        <w:rFonts w:hint="default"/>
      </w:rPr>
    </w:lvl>
    <w:lvl w:ilvl="3" w:tentative="0">
      <w:start w:val="1"/>
      <w:numFmt w:val="decimal"/>
      <w:lvlText w:val="%1.%2.%3.%4"/>
      <w:lvlJc w:val="left"/>
      <w:pPr>
        <w:ind w:left="3204" w:hanging="1080"/>
      </w:pPr>
      <w:rPr>
        <w:rFonts w:hint="default"/>
      </w:rPr>
    </w:lvl>
    <w:lvl w:ilvl="4" w:tentative="0">
      <w:start w:val="1"/>
      <w:numFmt w:val="decimal"/>
      <w:lvlText w:val="%1.%2.%3.%4.%5"/>
      <w:lvlJc w:val="left"/>
      <w:pPr>
        <w:ind w:left="3912" w:hanging="1080"/>
      </w:pPr>
      <w:rPr>
        <w:rFonts w:hint="default"/>
      </w:rPr>
    </w:lvl>
    <w:lvl w:ilvl="5" w:tentative="0">
      <w:start w:val="1"/>
      <w:numFmt w:val="decimal"/>
      <w:lvlText w:val="%1.%2.%3.%4.%5.%6"/>
      <w:lvlJc w:val="left"/>
      <w:pPr>
        <w:ind w:left="4980" w:hanging="1440"/>
      </w:pPr>
      <w:rPr>
        <w:rFonts w:hint="default"/>
      </w:rPr>
    </w:lvl>
    <w:lvl w:ilvl="6" w:tentative="0">
      <w:start w:val="1"/>
      <w:numFmt w:val="decimal"/>
      <w:lvlText w:val="%1.%2.%3.%4.%5.%6.%7"/>
      <w:lvlJc w:val="left"/>
      <w:pPr>
        <w:ind w:left="5688" w:hanging="1440"/>
      </w:pPr>
      <w:rPr>
        <w:rFonts w:hint="default"/>
      </w:rPr>
    </w:lvl>
    <w:lvl w:ilvl="7" w:tentative="0">
      <w:start w:val="1"/>
      <w:numFmt w:val="decimal"/>
      <w:lvlText w:val="%1.%2.%3.%4.%5.%6.%7.%8"/>
      <w:lvlJc w:val="left"/>
      <w:pPr>
        <w:ind w:left="6756" w:hanging="1800"/>
      </w:pPr>
      <w:rPr>
        <w:rFonts w:hint="default"/>
      </w:rPr>
    </w:lvl>
    <w:lvl w:ilvl="8" w:tentative="0">
      <w:start w:val="1"/>
      <w:numFmt w:val="decimal"/>
      <w:lvlText w:val="%1.%2.%3.%4.%5.%6.%7.%8.%9"/>
      <w:lvlJc w:val="left"/>
      <w:pPr>
        <w:ind w:left="7824" w:hanging="2160"/>
      </w:pPr>
      <w:rPr>
        <w:rFonts w:hint="default"/>
      </w:rPr>
    </w:lvl>
  </w:abstractNum>
  <w:abstractNum w:abstractNumId="2">
    <w:nsid w:val="00000005"/>
    <w:multiLevelType w:val="multilevel"/>
    <w:tmpl w:val="00000005"/>
    <w:lvl w:ilvl="0" w:tentative="0">
      <w:start w:val="1"/>
      <w:numFmt w:val="decimal"/>
      <w:pStyle w:val="14"/>
      <w:lvlText w:val="%1."/>
      <w:lvlJc w:val="left"/>
      <w:pPr>
        <w:ind w:left="780" w:hanging="360"/>
      </w:pPr>
      <w:rPr>
        <w:rFonts w:hint="default"/>
        <w:color w:val="auto"/>
      </w:rPr>
    </w:lvl>
    <w:lvl w:ilvl="1" w:tentative="0">
      <w:start w:val="1"/>
      <w:numFmt w:val="lowerLetter"/>
      <w:lvlText w:val="%2)"/>
      <w:lvlJc w:val="left"/>
      <w:pPr>
        <w:ind w:left="1138" w:hanging="420"/>
      </w:pPr>
    </w:lvl>
    <w:lvl w:ilvl="2" w:tentative="0">
      <w:start w:val="1"/>
      <w:numFmt w:val="lowerRoman"/>
      <w:lvlText w:val="%3."/>
      <w:lvlJc w:val="right"/>
      <w:pPr>
        <w:ind w:left="1558" w:hanging="420"/>
      </w:pPr>
    </w:lvl>
    <w:lvl w:ilvl="3" w:tentative="0">
      <w:start w:val="1"/>
      <w:numFmt w:val="decimal"/>
      <w:lvlText w:val="%4."/>
      <w:lvlJc w:val="left"/>
      <w:pPr>
        <w:ind w:left="1978" w:hanging="420"/>
      </w:pPr>
    </w:lvl>
    <w:lvl w:ilvl="4" w:tentative="0">
      <w:start w:val="1"/>
      <w:numFmt w:val="lowerLetter"/>
      <w:lvlText w:val="%5)"/>
      <w:lvlJc w:val="left"/>
      <w:pPr>
        <w:ind w:left="2398" w:hanging="420"/>
      </w:pPr>
    </w:lvl>
    <w:lvl w:ilvl="5" w:tentative="0">
      <w:start w:val="1"/>
      <w:numFmt w:val="lowerRoman"/>
      <w:lvlText w:val="%6."/>
      <w:lvlJc w:val="right"/>
      <w:pPr>
        <w:ind w:left="2818" w:hanging="420"/>
      </w:pPr>
    </w:lvl>
    <w:lvl w:ilvl="6" w:tentative="0">
      <w:start w:val="1"/>
      <w:numFmt w:val="decimal"/>
      <w:lvlText w:val="%7."/>
      <w:lvlJc w:val="left"/>
      <w:pPr>
        <w:ind w:left="3238" w:hanging="420"/>
      </w:pPr>
    </w:lvl>
    <w:lvl w:ilvl="7" w:tentative="0">
      <w:start w:val="1"/>
      <w:numFmt w:val="lowerLetter"/>
      <w:lvlText w:val="%8)"/>
      <w:lvlJc w:val="left"/>
      <w:pPr>
        <w:ind w:left="3658" w:hanging="420"/>
      </w:pPr>
    </w:lvl>
    <w:lvl w:ilvl="8" w:tentative="0">
      <w:start w:val="1"/>
      <w:numFmt w:val="lowerRoman"/>
      <w:lvlText w:val="%9."/>
      <w:lvlJc w:val="right"/>
      <w:pPr>
        <w:ind w:left="4078" w:hanging="420"/>
      </w:pPr>
    </w:lvl>
  </w:abstractNum>
  <w:abstractNum w:abstractNumId="3">
    <w:nsid w:val="0000000D"/>
    <w:multiLevelType w:val="multilevel"/>
    <w:tmpl w:val="0000000D"/>
    <w:lvl w:ilvl="0" w:tentative="0">
      <w:start w:val="1"/>
      <w:numFmt w:val="decimal"/>
      <w:pStyle w:val="22"/>
      <w:lvlText w:val="%1．"/>
      <w:lvlJc w:val="left"/>
      <w:pPr>
        <w:ind w:left="360" w:hanging="360"/>
      </w:pPr>
      <w:rPr>
        <w:rFonts w:hint="default"/>
      </w:rPr>
    </w:lvl>
    <w:lvl w:ilvl="1" w:tentative="0">
      <w:start w:val="1"/>
      <w:numFmt w:val="decimal"/>
      <w:lvlText w:val="%1.%2"/>
      <w:lvlJc w:val="left"/>
      <w:pPr>
        <w:ind w:left="1068" w:hanging="360"/>
      </w:pPr>
      <w:rPr>
        <w:rFonts w:hint="default"/>
      </w:rPr>
    </w:lvl>
    <w:lvl w:ilvl="2" w:tentative="0">
      <w:start w:val="1"/>
      <w:numFmt w:val="decimal"/>
      <w:lvlText w:val="%1.%2.%3"/>
      <w:lvlJc w:val="left"/>
      <w:pPr>
        <w:ind w:left="2136" w:hanging="720"/>
      </w:pPr>
      <w:rPr>
        <w:rFonts w:hint="default"/>
      </w:rPr>
    </w:lvl>
    <w:lvl w:ilvl="3" w:tentative="0">
      <w:start w:val="1"/>
      <w:numFmt w:val="decimal"/>
      <w:lvlText w:val="%1.%2.%3.%4"/>
      <w:lvlJc w:val="left"/>
      <w:pPr>
        <w:ind w:left="3204" w:hanging="1080"/>
      </w:pPr>
      <w:rPr>
        <w:rFonts w:hint="default"/>
      </w:rPr>
    </w:lvl>
    <w:lvl w:ilvl="4" w:tentative="0">
      <w:start w:val="1"/>
      <w:numFmt w:val="decimal"/>
      <w:lvlText w:val="%1.%2.%3.%4.%5"/>
      <w:lvlJc w:val="left"/>
      <w:pPr>
        <w:ind w:left="3912" w:hanging="1080"/>
      </w:pPr>
      <w:rPr>
        <w:rFonts w:hint="default"/>
      </w:rPr>
    </w:lvl>
    <w:lvl w:ilvl="5" w:tentative="0">
      <w:start w:val="1"/>
      <w:numFmt w:val="decimal"/>
      <w:lvlText w:val="%1.%2.%3.%4.%5.%6"/>
      <w:lvlJc w:val="left"/>
      <w:pPr>
        <w:ind w:left="4980" w:hanging="1440"/>
      </w:pPr>
      <w:rPr>
        <w:rFonts w:hint="default"/>
      </w:rPr>
    </w:lvl>
    <w:lvl w:ilvl="6" w:tentative="0">
      <w:start w:val="1"/>
      <w:numFmt w:val="decimal"/>
      <w:lvlText w:val="%1.%2.%3.%4.%5.%6.%7"/>
      <w:lvlJc w:val="left"/>
      <w:pPr>
        <w:ind w:left="5688" w:hanging="1440"/>
      </w:pPr>
      <w:rPr>
        <w:rFonts w:hint="default"/>
      </w:rPr>
    </w:lvl>
    <w:lvl w:ilvl="7" w:tentative="0">
      <w:start w:val="1"/>
      <w:numFmt w:val="decimal"/>
      <w:lvlText w:val="%1.%2.%3.%4.%5.%6.%7.%8"/>
      <w:lvlJc w:val="left"/>
      <w:pPr>
        <w:ind w:left="6756" w:hanging="1800"/>
      </w:pPr>
      <w:rPr>
        <w:rFonts w:hint="default"/>
      </w:rPr>
    </w:lvl>
    <w:lvl w:ilvl="8" w:tentative="0">
      <w:start w:val="1"/>
      <w:numFmt w:val="decimal"/>
      <w:lvlText w:val="%1.%2.%3.%4.%5.%6.%7.%8.%9"/>
      <w:lvlJc w:val="left"/>
      <w:pPr>
        <w:ind w:left="7824" w:hanging="2160"/>
      </w:pPr>
      <w:rPr>
        <w:rFonts w:hint="default"/>
      </w:rPr>
    </w:lvl>
  </w:abstractNum>
  <w:abstractNum w:abstractNumId="4">
    <w:nsid w:val="0000000F"/>
    <w:multiLevelType w:val="multilevel"/>
    <w:tmpl w:val="0000000F"/>
    <w:lvl w:ilvl="0" w:tentative="0">
      <w:start w:val="1"/>
      <w:numFmt w:val="bullet"/>
      <w:pStyle w:val="19"/>
      <w:lvlText w:val="□"/>
      <w:lvlJc w:val="left"/>
      <w:pPr>
        <w:tabs>
          <w:tab w:val="left" w:pos="360"/>
        </w:tabs>
        <w:ind w:left="360" w:hanging="360"/>
      </w:pPr>
      <w:rPr>
        <w:rFonts w:hint="eastAsia" w:ascii="宋体" w:hAnsi="宋体" w:eastAsia="宋体" w:cs="Times New Roman"/>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
    <w:nsid w:val="00000013"/>
    <w:multiLevelType w:val="multilevel"/>
    <w:tmpl w:val="00000013"/>
    <w:lvl w:ilvl="0" w:tentative="0">
      <w:start w:val="1"/>
      <w:numFmt w:val="decimal"/>
      <w:pStyle w:val="15"/>
      <w:lvlText w:val="%1．"/>
      <w:lvlJc w:val="left"/>
      <w:pPr>
        <w:ind w:left="675" w:hanging="360"/>
      </w:pPr>
      <w:rPr>
        <w:rFonts w:hint="default"/>
      </w:rPr>
    </w:lvl>
    <w:lvl w:ilvl="1" w:tentative="0">
      <w:start w:val="1"/>
      <w:numFmt w:val="lowerLetter"/>
      <w:lvlText w:val="%2)"/>
      <w:lvlJc w:val="left"/>
      <w:pPr>
        <w:ind w:left="1155" w:hanging="420"/>
      </w:pPr>
    </w:lvl>
    <w:lvl w:ilvl="2" w:tentative="0">
      <w:start w:val="1"/>
      <w:numFmt w:val="lowerRoman"/>
      <w:lvlText w:val="%3."/>
      <w:lvlJc w:val="right"/>
      <w:pPr>
        <w:ind w:left="1575" w:hanging="420"/>
      </w:pPr>
    </w:lvl>
    <w:lvl w:ilvl="3" w:tentative="0">
      <w:start w:val="1"/>
      <w:numFmt w:val="decimal"/>
      <w:lvlText w:val="%4."/>
      <w:lvlJc w:val="left"/>
      <w:pPr>
        <w:ind w:left="1995" w:hanging="420"/>
      </w:pPr>
    </w:lvl>
    <w:lvl w:ilvl="4" w:tentative="0">
      <w:start w:val="1"/>
      <w:numFmt w:val="lowerLetter"/>
      <w:lvlText w:val="%5)"/>
      <w:lvlJc w:val="left"/>
      <w:pPr>
        <w:ind w:left="2415" w:hanging="420"/>
      </w:pPr>
    </w:lvl>
    <w:lvl w:ilvl="5" w:tentative="0">
      <w:start w:val="1"/>
      <w:numFmt w:val="lowerRoman"/>
      <w:lvlText w:val="%6."/>
      <w:lvlJc w:val="right"/>
      <w:pPr>
        <w:ind w:left="2835" w:hanging="420"/>
      </w:pPr>
    </w:lvl>
    <w:lvl w:ilvl="6" w:tentative="0">
      <w:start w:val="1"/>
      <w:numFmt w:val="decimal"/>
      <w:lvlText w:val="%7."/>
      <w:lvlJc w:val="left"/>
      <w:pPr>
        <w:ind w:left="3255" w:hanging="420"/>
      </w:pPr>
    </w:lvl>
    <w:lvl w:ilvl="7" w:tentative="0">
      <w:start w:val="1"/>
      <w:numFmt w:val="lowerLetter"/>
      <w:lvlText w:val="%8)"/>
      <w:lvlJc w:val="left"/>
      <w:pPr>
        <w:ind w:left="3675" w:hanging="420"/>
      </w:pPr>
    </w:lvl>
    <w:lvl w:ilvl="8" w:tentative="0">
      <w:start w:val="1"/>
      <w:numFmt w:val="lowerRoman"/>
      <w:lvlText w:val="%9."/>
      <w:lvlJc w:val="right"/>
      <w:pPr>
        <w:ind w:left="4095" w:hanging="420"/>
      </w:pPr>
    </w:lvl>
  </w:abstractNum>
  <w:abstractNum w:abstractNumId="6">
    <w:nsid w:val="24C91BF5"/>
    <w:multiLevelType w:val="singleLevel"/>
    <w:tmpl w:val="24C91BF5"/>
    <w:lvl w:ilvl="0" w:tentative="0">
      <w:start w:val="5"/>
      <w:numFmt w:val="chineseCounting"/>
      <w:suff w:val="nothing"/>
      <w:lvlText w:val="（%1）"/>
      <w:lvlJc w:val="left"/>
      <w:rPr>
        <w:rFonts w:hint="eastAsia"/>
      </w:rPr>
    </w:lvl>
  </w:abstractNum>
  <w:abstractNum w:abstractNumId="7">
    <w:nsid w:val="62782BA5"/>
    <w:multiLevelType w:val="singleLevel"/>
    <w:tmpl w:val="62782BA5"/>
    <w:lvl w:ilvl="0" w:tentative="0">
      <w:start w:val="2"/>
      <w:numFmt w:val="chineseCounting"/>
      <w:suff w:val="nothing"/>
      <w:lvlText w:val="（%1）"/>
      <w:lvlJc w:val="left"/>
      <w:rPr>
        <w:rFonts w:hint="eastAsia"/>
      </w:rPr>
    </w:lvl>
  </w:abstractNum>
  <w:num w:numId="1">
    <w:abstractNumId w:val="2"/>
  </w:num>
  <w:num w:numId="2">
    <w:abstractNumId w:val="5"/>
  </w:num>
  <w:num w:numId="3">
    <w:abstractNumId w:val="4"/>
  </w:num>
  <w:num w:numId="4">
    <w:abstractNumId w:val="3"/>
  </w:num>
  <w:num w:numId="5">
    <w:abstractNumId w:val="1"/>
  </w:num>
  <w:num w:numId="6">
    <w:abstractNumId w:val="0"/>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wZmVhMzg4YTM5MTNmMjNkZmFlMDQ0MTRlYWZmNDcifQ=="/>
  </w:docVars>
  <w:rsids>
    <w:rsidRoot w:val="00000000"/>
    <w:rsid w:val="006C695B"/>
    <w:rsid w:val="00AE44C0"/>
    <w:rsid w:val="020A675A"/>
    <w:rsid w:val="03326BA4"/>
    <w:rsid w:val="038720C2"/>
    <w:rsid w:val="03B95284"/>
    <w:rsid w:val="04A823E5"/>
    <w:rsid w:val="04DC4A6D"/>
    <w:rsid w:val="05C04FA9"/>
    <w:rsid w:val="05F063E0"/>
    <w:rsid w:val="06112117"/>
    <w:rsid w:val="06862B05"/>
    <w:rsid w:val="08481ED7"/>
    <w:rsid w:val="09444A74"/>
    <w:rsid w:val="09C30CC4"/>
    <w:rsid w:val="0A110938"/>
    <w:rsid w:val="0B213EC0"/>
    <w:rsid w:val="0BE8710E"/>
    <w:rsid w:val="0BF758C0"/>
    <w:rsid w:val="0C4C65E2"/>
    <w:rsid w:val="0D1F336B"/>
    <w:rsid w:val="0DAC3D85"/>
    <w:rsid w:val="0E221E3A"/>
    <w:rsid w:val="0F4A0448"/>
    <w:rsid w:val="0F566F41"/>
    <w:rsid w:val="10257CEB"/>
    <w:rsid w:val="10516B48"/>
    <w:rsid w:val="12BC2223"/>
    <w:rsid w:val="149E570D"/>
    <w:rsid w:val="16FC0452"/>
    <w:rsid w:val="17512201"/>
    <w:rsid w:val="17625BEF"/>
    <w:rsid w:val="17C748AA"/>
    <w:rsid w:val="18FC6CC5"/>
    <w:rsid w:val="19BB08C0"/>
    <w:rsid w:val="19FF72E9"/>
    <w:rsid w:val="1A2F1077"/>
    <w:rsid w:val="1BC7655F"/>
    <w:rsid w:val="1BC8193A"/>
    <w:rsid w:val="1D660B43"/>
    <w:rsid w:val="1F65724C"/>
    <w:rsid w:val="201259CE"/>
    <w:rsid w:val="202D32CC"/>
    <w:rsid w:val="207D4DD2"/>
    <w:rsid w:val="20C72306"/>
    <w:rsid w:val="20FD7FA4"/>
    <w:rsid w:val="22CC1D68"/>
    <w:rsid w:val="24383525"/>
    <w:rsid w:val="24E72DC2"/>
    <w:rsid w:val="25A574CB"/>
    <w:rsid w:val="25F62E02"/>
    <w:rsid w:val="262F2991"/>
    <w:rsid w:val="26D62895"/>
    <w:rsid w:val="27C668BE"/>
    <w:rsid w:val="297B631A"/>
    <w:rsid w:val="2A7A5C2D"/>
    <w:rsid w:val="2AD608D3"/>
    <w:rsid w:val="2ADD0794"/>
    <w:rsid w:val="2B8D373E"/>
    <w:rsid w:val="2E31233D"/>
    <w:rsid w:val="2EF3369A"/>
    <w:rsid w:val="30850E88"/>
    <w:rsid w:val="311D06CC"/>
    <w:rsid w:val="33C34071"/>
    <w:rsid w:val="34E80BD9"/>
    <w:rsid w:val="34EF383A"/>
    <w:rsid w:val="354010C3"/>
    <w:rsid w:val="355007AE"/>
    <w:rsid w:val="36372CDC"/>
    <w:rsid w:val="37083929"/>
    <w:rsid w:val="388D1222"/>
    <w:rsid w:val="39EE7A9E"/>
    <w:rsid w:val="3C10601E"/>
    <w:rsid w:val="3C4D13F4"/>
    <w:rsid w:val="3D2A0465"/>
    <w:rsid w:val="3D5A2CFA"/>
    <w:rsid w:val="40231D53"/>
    <w:rsid w:val="413D70A0"/>
    <w:rsid w:val="41A86F2A"/>
    <w:rsid w:val="422C1B3B"/>
    <w:rsid w:val="43E51F12"/>
    <w:rsid w:val="4427252A"/>
    <w:rsid w:val="452A5AE6"/>
    <w:rsid w:val="457271D8"/>
    <w:rsid w:val="46BC4B7D"/>
    <w:rsid w:val="46DE6680"/>
    <w:rsid w:val="47980D67"/>
    <w:rsid w:val="47BB54A9"/>
    <w:rsid w:val="47E62B6E"/>
    <w:rsid w:val="486378A9"/>
    <w:rsid w:val="495866F9"/>
    <w:rsid w:val="49FD2E61"/>
    <w:rsid w:val="4A185A6B"/>
    <w:rsid w:val="4A201EF6"/>
    <w:rsid w:val="4A4D1751"/>
    <w:rsid w:val="4A7B7899"/>
    <w:rsid w:val="4B8C001B"/>
    <w:rsid w:val="4C5B513E"/>
    <w:rsid w:val="4C900C37"/>
    <w:rsid w:val="4CD3324F"/>
    <w:rsid w:val="4CE54D31"/>
    <w:rsid w:val="4D3F08E5"/>
    <w:rsid w:val="4E585D10"/>
    <w:rsid w:val="4E6D2480"/>
    <w:rsid w:val="4E6D78AD"/>
    <w:rsid w:val="4EF70971"/>
    <w:rsid w:val="52DF4E47"/>
    <w:rsid w:val="544A6FD5"/>
    <w:rsid w:val="54DA68DA"/>
    <w:rsid w:val="55452810"/>
    <w:rsid w:val="55642E8C"/>
    <w:rsid w:val="56217B7A"/>
    <w:rsid w:val="56765E2E"/>
    <w:rsid w:val="580113E0"/>
    <w:rsid w:val="59110384"/>
    <w:rsid w:val="5A56726E"/>
    <w:rsid w:val="5AF811D4"/>
    <w:rsid w:val="5B6B2007"/>
    <w:rsid w:val="5E4F7CEA"/>
    <w:rsid w:val="5FEA46E0"/>
    <w:rsid w:val="5FEF4CA7"/>
    <w:rsid w:val="60A35552"/>
    <w:rsid w:val="64307C97"/>
    <w:rsid w:val="6462781C"/>
    <w:rsid w:val="648C5704"/>
    <w:rsid w:val="66571890"/>
    <w:rsid w:val="66680A54"/>
    <w:rsid w:val="669C752C"/>
    <w:rsid w:val="67804D2B"/>
    <w:rsid w:val="68BD7860"/>
    <w:rsid w:val="691675E7"/>
    <w:rsid w:val="6A050720"/>
    <w:rsid w:val="6B0A7178"/>
    <w:rsid w:val="6E1D6ABF"/>
    <w:rsid w:val="6E6B2E90"/>
    <w:rsid w:val="6F03756C"/>
    <w:rsid w:val="714E0847"/>
    <w:rsid w:val="716C3667"/>
    <w:rsid w:val="722C5E47"/>
    <w:rsid w:val="72690CD9"/>
    <w:rsid w:val="73A1466E"/>
    <w:rsid w:val="73F10C52"/>
    <w:rsid w:val="74BE7D72"/>
    <w:rsid w:val="75E576FB"/>
    <w:rsid w:val="76503416"/>
    <w:rsid w:val="777F5833"/>
    <w:rsid w:val="78AD57EE"/>
    <w:rsid w:val="7A6A08DA"/>
    <w:rsid w:val="7AB53C86"/>
    <w:rsid w:val="7B0661B0"/>
    <w:rsid w:val="7B3078EB"/>
    <w:rsid w:val="7C19588B"/>
    <w:rsid w:val="7D463E3C"/>
    <w:rsid w:val="7D54367E"/>
    <w:rsid w:val="7F373140"/>
    <w:rsid w:val="7F5F07EF"/>
    <w:rsid w:val="7FD0092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68"/>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69"/>
    <w:qFormat/>
    <w:uiPriority w:val="0"/>
    <w:pPr>
      <w:keepNext/>
      <w:keepLines/>
      <w:adjustRightInd w:val="0"/>
      <w:snapToGrid w:val="0"/>
      <w:spacing w:before="260" w:after="260" w:line="360" w:lineRule="auto"/>
      <w:outlineLvl w:val="1"/>
    </w:pPr>
    <w:rPr>
      <w:rFonts w:ascii="Cambria" w:hAnsi="Cambria"/>
      <w:b/>
      <w:bCs/>
      <w:sz w:val="32"/>
      <w:szCs w:val="32"/>
    </w:rPr>
  </w:style>
  <w:style w:type="paragraph" w:styleId="5">
    <w:name w:val="heading 3"/>
    <w:basedOn w:val="1"/>
    <w:next w:val="1"/>
    <w:link w:val="70"/>
    <w:qFormat/>
    <w:uiPriority w:val="0"/>
    <w:pPr>
      <w:keepNext/>
      <w:keepLines/>
      <w:adjustRightInd w:val="0"/>
      <w:snapToGrid w:val="0"/>
      <w:spacing w:line="480" w:lineRule="auto"/>
      <w:jc w:val="center"/>
      <w:outlineLvl w:val="2"/>
    </w:pPr>
    <w:rPr>
      <w:b/>
      <w:bCs/>
      <w:sz w:val="32"/>
      <w:szCs w:val="32"/>
    </w:rPr>
  </w:style>
  <w:style w:type="paragraph" w:styleId="6">
    <w:name w:val="heading 4"/>
    <w:basedOn w:val="1"/>
    <w:next w:val="1"/>
    <w:link w:val="71"/>
    <w:qFormat/>
    <w:uiPriority w:val="0"/>
    <w:pPr>
      <w:widowControl/>
      <w:spacing w:before="100" w:beforeAutospacing="1" w:after="100" w:afterAutospacing="1"/>
      <w:jc w:val="left"/>
      <w:outlineLvl w:val="3"/>
    </w:pPr>
    <w:rPr>
      <w:rFonts w:ascii="宋体" w:hAnsi="宋体" w:cs="宋体"/>
      <w:b/>
      <w:bCs/>
      <w:sz w:val="24"/>
      <w:szCs w:val="24"/>
    </w:rPr>
  </w:style>
  <w:style w:type="paragraph" w:styleId="7">
    <w:name w:val="heading 5"/>
    <w:basedOn w:val="1"/>
    <w:next w:val="1"/>
    <w:link w:val="72"/>
    <w:qFormat/>
    <w:uiPriority w:val="0"/>
    <w:pPr>
      <w:widowControl/>
      <w:spacing w:before="100" w:beforeAutospacing="1" w:after="100" w:afterAutospacing="1"/>
      <w:jc w:val="left"/>
      <w:outlineLvl w:val="4"/>
    </w:pPr>
    <w:rPr>
      <w:rFonts w:ascii="宋体" w:hAnsi="宋体" w:cs="宋体"/>
      <w:b/>
      <w:bCs/>
    </w:rPr>
  </w:style>
  <w:style w:type="paragraph" w:styleId="8">
    <w:name w:val="heading 6"/>
    <w:basedOn w:val="9"/>
    <w:next w:val="1"/>
    <w:link w:val="73"/>
    <w:qFormat/>
    <w:uiPriority w:val="0"/>
    <w:pPr>
      <w:keepNext/>
      <w:keepLines/>
      <w:ind w:firstLine="200" w:firstLineChars="200"/>
      <w:outlineLvl w:val="5"/>
    </w:pPr>
    <w:rPr>
      <w:rFonts w:hAnsi="Arial"/>
    </w:rPr>
  </w:style>
  <w:style w:type="paragraph" w:styleId="10">
    <w:name w:val="heading 7"/>
    <w:basedOn w:val="1"/>
    <w:next w:val="1"/>
    <w:link w:val="74"/>
    <w:qFormat/>
    <w:uiPriority w:val="0"/>
    <w:pPr>
      <w:keepNext/>
      <w:keepLines/>
      <w:adjustRightInd w:val="0"/>
      <w:spacing w:line="480" w:lineRule="atLeast"/>
      <w:ind w:left="1425" w:leftChars="175" w:hanging="900" w:hangingChars="300"/>
      <w:textAlignment w:val="baseline"/>
      <w:outlineLvl w:val="6"/>
    </w:pPr>
    <w:rPr>
      <w:rFonts w:eastAsia="仿宋_GB2312"/>
      <w:sz w:val="30"/>
    </w:rPr>
  </w:style>
  <w:style w:type="paragraph" w:styleId="11">
    <w:name w:val="heading 8"/>
    <w:basedOn w:val="1"/>
    <w:next w:val="1"/>
    <w:link w:val="75"/>
    <w:qFormat/>
    <w:uiPriority w:val="0"/>
    <w:pPr>
      <w:adjustRightInd w:val="0"/>
      <w:spacing w:line="480" w:lineRule="atLeast"/>
      <w:ind w:left="2232" w:leftChars="450" w:hanging="882" w:hangingChars="294"/>
      <w:textAlignment w:val="baseline"/>
      <w:outlineLvl w:val="7"/>
    </w:pPr>
    <w:rPr>
      <w:rFonts w:hAnsi="Arial" w:eastAsia="仿宋_GB2312"/>
      <w:sz w:val="30"/>
    </w:rPr>
  </w:style>
  <w:style w:type="paragraph" w:styleId="12">
    <w:name w:val="heading 9"/>
    <w:basedOn w:val="1"/>
    <w:next w:val="1"/>
    <w:link w:val="76"/>
    <w:qFormat/>
    <w:uiPriority w:val="0"/>
    <w:pPr>
      <w:keepNext/>
      <w:keepLines/>
      <w:adjustRightInd w:val="0"/>
      <w:spacing w:line="480" w:lineRule="atLeast"/>
      <w:ind w:left="2979" w:leftChars="715" w:hanging="834" w:hangingChars="278"/>
      <w:textAlignment w:val="baseline"/>
      <w:outlineLvl w:val="8"/>
    </w:pPr>
    <w:rPr>
      <w:rFonts w:eastAsia="仿宋_GB2312"/>
      <w:sz w:val="30"/>
    </w:rPr>
  </w:style>
  <w:style w:type="character" w:default="1" w:styleId="53">
    <w:name w:val="Default Paragraph Font"/>
    <w:unhideWhenUsed/>
    <w:qFormat/>
    <w:uiPriority w:val="1"/>
  </w:style>
  <w:style w:type="table" w:default="1" w:styleId="52">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next w:val="1"/>
    <w:link w:val="67"/>
    <w:qFormat/>
    <w:uiPriority w:val="0"/>
    <w:pPr>
      <w:spacing w:after="120"/>
    </w:pPr>
    <w:rPr>
      <w:szCs w:val="24"/>
    </w:rPr>
  </w:style>
  <w:style w:type="paragraph" w:styleId="9">
    <w:name w:val="Normal Indent"/>
    <w:basedOn w:val="1"/>
    <w:qFormat/>
    <w:uiPriority w:val="0"/>
    <w:pPr>
      <w:adjustRightInd w:val="0"/>
      <w:spacing w:line="480" w:lineRule="atLeast"/>
      <w:ind w:firstLine="600"/>
      <w:textAlignment w:val="baseline"/>
    </w:pPr>
    <w:rPr>
      <w:rFonts w:eastAsia="仿宋_GB2312"/>
      <w:kern w:val="0"/>
      <w:sz w:val="30"/>
    </w:rPr>
  </w:style>
  <w:style w:type="paragraph" w:styleId="13">
    <w:name w:val="toc 7"/>
    <w:basedOn w:val="1"/>
    <w:next w:val="1"/>
    <w:qFormat/>
    <w:uiPriority w:val="0"/>
    <w:pPr>
      <w:ind w:left="2520" w:leftChars="1200"/>
    </w:pPr>
  </w:style>
  <w:style w:type="paragraph" w:styleId="14">
    <w:name w:val="List Bullet 4"/>
    <w:basedOn w:val="1"/>
    <w:qFormat/>
    <w:uiPriority w:val="0"/>
    <w:pPr>
      <w:numPr>
        <w:ilvl w:val="0"/>
        <w:numId w:val="1"/>
      </w:numPr>
      <w:tabs>
        <w:tab w:val="left" w:pos="1620"/>
      </w:tabs>
      <w:ind w:left="600" w:hanging="200"/>
    </w:pPr>
  </w:style>
  <w:style w:type="paragraph" w:styleId="15">
    <w:name w:val="List Bullet"/>
    <w:basedOn w:val="1"/>
    <w:qFormat/>
    <w:uiPriority w:val="0"/>
    <w:pPr>
      <w:numPr>
        <w:ilvl w:val="0"/>
        <w:numId w:val="2"/>
      </w:numPr>
      <w:tabs>
        <w:tab w:val="left" w:pos="360"/>
      </w:tabs>
      <w:ind w:hanging="200"/>
    </w:pPr>
  </w:style>
  <w:style w:type="paragraph" w:styleId="16">
    <w:name w:val="Document Map"/>
    <w:basedOn w:val="1"/>
    <w:link w:val="77"/>
    <w:qFormat/>
    <w:uiPriority w:val="0"/>
    <w:pPr>
      <w:shd w:val="clear" w:color="auto" w:fill="000080"/>
    </w:pPr>
    <w:rPr>
      <w:szCs w:val="24"/>
    </w:rPr>
  </w:style>
  <w:style w:type="paragraph" w:styleId="17">
    <w:name w:val="annotation text"/>
    <w:basedOn w:val="1"/>
    <w:link w:val="78"/>
    <w:qFormat/>
    <w:uiPriority w:val="0"/>
    <w:pPr>
      <w:jc w:val="left"/>
    </w:pPr>
    <w:rPr>
      <w:szCs w:val="24"/>
    </w:rPr>
  </w:style>
  <w:style w:type="paragraph" w:styleId="18">
    <w:name w:val="Body Text 3"/>
    <w:basedOn w:val="1"/>
    <w:link w:val="79"/>
    <w:qFormat/>
    <w:uiPriority w:val="0"/>
    <w:pPr>
      <w:spacing w:after="120"/>
    </w:pPr>
    <w:rPr>
      <w:sz w:val="16"/>
      <w:szCs w:val="16"/>
    </w:rPr>
  </w:style>
  <w:style w:type="paragraph" w:styleId="19">
    <w:name w:val="List Bullet 3"/>
    <w:basedOn w:val="1"/>
    <w:qFormat/>
    <w:uiPriority w:val="0"/>
    <w:pPr>
      <w:numPr>
        <w:ilvl w:val="0"/>
        <w:numId w:val="3"/>
      </w:numPr>
      <w:tabs>
        <w:tab w:val="left" w:pos="1200"/>
        <w:tab w:val="clear" w:pos="360"/>
      </w:tabs>
      <w:ind w:left="400" w:hanging="200"/>
    </w:pPr>
  </w:style>
  <w:style w:type="paragraph" w:styleId="20">
    <w:name w:val="Body Text Indent"/>
    <w:basedOn w:val="1"/>
    <w:link w:val="80"/>
    <w:qFormat/>
    <w:uiPriority w:val="0"/>
    <w:pPr>
      <w:ind w:firstLine="407" w:firstLineChars="200"/>
    </w:pPr>
    <w:rPr>
      <w:szCs w:val="24"/>
    </w:rPr>
  </w:style>
  <w:style w:type="paragraph" w:styleId="21">
    <w:name w:val="Block Text"/>
    <w:basedOn w:val="1"/>
    <w:qFormat/>
    <w:uiPriority w:val="0"/>
    <w:pPr>
      <w:autoSpaceDE w:val="0"/>
      <w:autoSpaceDN w:val="0"/>
      <w:adjustRightInd w:val="0"/>
      <w:spacing w:line="1270" w:lineRule="exact"/>
      <w:ind w:left="2160" w:right="-20" w:hanging="2160" w:hangingChars="300"/>
      <w:jc w:val="left"/>
    </w:pPr>
    <w:rPr>
      <w:rFonts w:eastAsia="仿宋_GB2312"/>
      <w:sz w:val="72"/>
    </w:rPr>
  </w:style>
  <w:style w:type="paragraph" w:styleId="22">
    <w:name w:val="List Bullet 2"/>
    <w:basedOn w:val="1"/>
    <w:qFormat/>
    <w:uiPriority w:val="0"/>
    <w:pPr>
      <w:numPr>
        <w:ilvl w:val="0"/>
        <w:numId w:val="4"/>
      </w:numPr>
      <w:tabs>
        <w:tab w:val="left" w:pos="780"/>
      </w:tabs>
      <w:ind w:left="200" w:hanging="200"/>
    </w:pPr>
  </w:style>
  <w:style w:type="paragraph" w:styleId="23">
    <w:name w:val="index 4"/>
    <w:basedOn w:val="1"/>
    <w:next w:val="1"/>
    <w:qFormat/>
    <w:uiPriority w:val="0"/>
    <w:pPr>
      <w:ind w:left="600" w:leftChars="600"/>
    </w:pPr>
    <w:rPr>
      <w:szCs w:val="21"/>
    </w:rPr>
  </w:style>
  <w:style w:type="paragraph" w:styleId="24">
    <w:name w:val="toc 5"/>
    <w:basedOn w:val="1"/>
    <w:next w:val="1"/>
    <w:qFormat/>
    <w:uiPriority w:val="0"/>
    <w:pPr>
      <w:ind w:left="1680" w:leftChars="800"/>
    </w:pPr>
  </w:style>
  <w:style w:type="paragraph" w:styleId="25">
    <w:name w:val="toc 3"/>
    <w:basedOn w:val="1"/>
    <w:next w:val="1"/>
    <w:qFormat/>
    <w:uiPriority w:val="0"/>
    <w:pPr>
      <w:ind w:left="840" w:leftChars="400"/>
    </w:pPr>
  </w:style>
  <w:style w:type="paragraph" w:styleId="26">
    <w:name w:val="Plain Text"/>
    <w:basedOn w:val="1"/>
    <w:link w:val="81"/>
    <w:qFormat/>
    <w:uiPriority w:val="0"/>
    <w:rPr>
      <w:rFonts w:ascii="宋体" w:hAnsi="Courier New" w:cs="Courier New"/>
      <w:szCs w:val="21"/>
    </w:rPr>
  </w:style>
  <w:style w:type="paragraph" w:styleId="27">
    <w:name w:val="List Bullet 5"/>
    <w:basedOn w:val="1"/>
    <w:qFormat/>
    <w:uiPriority w:val="0"/>
    <w:pPr>
      <w:numPr>
        <w:ilvl w:val="0"/>
        <w:numId w:val="5"/>
      </w:numPr>
      <w:tabs>
        <w:tab w:val="left" w:pos="2040"/>
      </w:tabs>
      <w:ind w:left="800" w:hanging="200"/>
    </w:pPr>
  </w:style>
  <w:style w:type="paragraph" w:styleId="28">
    <w:name w:val="toc 8"/>
    <w:basedOn w:val="1"/>
    <w:next w:val="1"/>
    <w:qFormat/>
    <w:uiPriority w:val="0"/>
    <w:pPr>
      <w:ind w:left="2940" w:leftChars="1400"/>
    </w:pPr>
  </w:style>
  <w:style w:type="paragraph" w:styleId="29">
    <w:name w:val="Date"/>
    <w:basedOn w:val="1"/>
    <w:next w:val="1"/>
    <w:link w:val="82"/>
    <w:qFormat/>
    <w:uiPriority w:val="0"/>
    <w:pPr>
      <w:ind w:left="100" w:leftChars="2500"/>
    </w:pPr>
    <w:rPr>
      <w:szCs w:val="24"/>
    </w:rPr>
  </w:style>
  <w:style w:type="paragraph" w:styleId="30">
    <w:name w:val="Body Text Indent 2"/>
    <w:basedOn w:val="1"/>
    <w:link w:val="83"/>
    <w:qFormat/>
    <w:uiPriority w:val="0"/>
    <w:pPr>
      <w:widowControl/>
      <w:spacing w:line="480" w:lineRule="auto"/>
      <w:ind w:firstLine="560"/>
      <w:jc w:val="left"/>
    </w:pPr>
    <w:rPr>
      <w:sz w:val="28"/>
      <w:szCs w:val="24"/>
    </w:rPr>
  </w:style>
  <w:style w:type="paragraph" w:styleId="31">
    <w:name w:val="endnote text"/>
    <w:basedOn w:val="1"/>
    <w:link w:val="84"/>
    <w:qFormat/>
    <w:uiPriority w:val="0"/>
    <w:pPr>
      <w:widowControl/>
      <w:snapToGrid w:val="0"/>
      <w:jc w:val="left"/>
    </w:pPr>
    <w:rPr>
      <w:rFonts w:ascii="Arial" w:hAnsi="Arial" w:cs="Arial"/>
      <w:szCs w:val="24"/>
      <w:lang w:eastAsia="en-US"/>
    </w:rPr>
  </w:style>
  <w:style w:type="paragraph" w:styleId="32">
    <w:name w:val="Balloon Text"/>
    <w:basedOn w:val="1"/>
    <w:link w:val="85"/>
    <w:qFormat/>
    <w:uiPriority w:val="0"/>
    <w:rPr>
      <w:sz w:val="18"/>
      <w:szCs w:val="18"/>
    </w:rPr>
  </w:style>
  <w:style w:type="paragraph" w:styleId="33">
    <w:name w:val="footer"/>
    <w:basedOn w:val="1"/>
    <w:link w:val="86"/>
    <w:qFormat/>
    <w:uiPriority w:val="0"/>
    <w:pPr>
      <w:tabs>
        <w:tab w:val="center" w:pos="4153"/>
        <w:tab w:val="right" w:pos="8306"/>
      </w:tabs>
      <w:snapToGrid w:val="0"/>
      <w:jc w:val="left"/>
    </w:pPr>
    <w:rPr>
      <w:sz w:val="18"/>
      <w:szCs w:val="18"/>
    </w:rPr>
  </w:style>
  <w:style w:type="paragraph" w:styleId="34">
    <w:name w:val="header"/>
    <w:basedOn w:val="1"/>
    <w:link w:val="87"/>
    <w:qFormat/>
    <w:uiPriority w:val="0"/>
    <w:pPr>
      <w:pBdr>
        <w:bottom w:val="single" w:color="auto" w:sz="6" w:space="1"/>
      </w:pBdr>
      <w:tabs>
        <w:tab w:val="center" w:pos="4153"/>
        <w:tab w:val="right" w:pos="8306"/>
      </w:tabs>
      <w:snapToGrid w:val="0"/>
      <w:jc w:val="center"/>
    </w:pPr>
    <w:rPr>
      <w:sz w:val="18"/>
      <w:szCs w:val="18"/>
    </w:rPr>
  </w:style>
  <w:style w:type="paragraph" w:styleId="35">
    <w:name w:val="toc 1"/>
    <w:basedOn w:val="1"/>
    <w:next w:val="1"/>
    <w:qFormat/>
    <w:uiPriority w:val="39"/>
    <w:pPr>
      <w:tabs>
        <w:tab w:val="right" w:leader="dot" w:pos="8608"/>
      </w:tabs>
      <w:spacing w:line="480" w:lineRule="exact"/>
      <w:jc w:val="distribute"/>
    </w:pPr>
    <w:rPr>
      <w:rFonts w:ascii="宋体" w:hAnsi="宋体"/>
      <w:b/>
      <w:bCs/>
      <w:caps/>
      <w:color w:val="000000"/>
      <w:kern w:val="44"/>
      <w:sz w:val="24"/>
      <w:lang w:val="zh-CN"/>
    </w:rPr>
  </w:style>
  <w:style w:type="paragraph" w:styleId="36">
    <w:name w:val="toc 4"/>
    <w:basedOn w:val="1"/>
    <w:next w:val="1"/>
    <w:qFormat/>
    <w:uiPriority w:val="0"/>
    <w:pPr>
      <w:ind w:left="1260" w:leftChars="600"/>
    </w:pPr>
  </w:style>
  <w:style w:type="paragraph" w:styleId="37">
    <w:name w:val="Subtitle"/>
    <w:basedOn w:val="1"/>
    <w:link w:val="88"/>
    <w:qFormat/>
    <w:uiPriority w:val="0"/>
    <w:pPr>
      <w:widowControl/>
      <w:jc w:val="center"/>
    </w:pPr>
    <w:rPr>
      <w:szCs w:val="24"/>
      <w:u w:val="single"/>
      <w:lang w:eastAsia="en-US"/>
    </w:rPr>
  </w:style>
  <w:style w:type="paragraph" w:styleId="38">
    <w:name w:val="footnote text"/>
    <w:basedOn w:val="1"/>
    <w:link w:val="89"/>
    <w:qFormat/>
    <w:uiPriority w:val="0"/>
    <w:pPr>
      <w:widowControl/>
      <w:snapToGrid w:val="0"/>
      <w:jc w:val="left"/>
    </w:pPr>
    <w:rPr>
      <w:rFonts w:ascii="Arial" w:hAnsi="Arial" w:cs="Arial"/>
      <w:sz w:val="18"/>
      <w:szCs w:val="18"/>
      <w:lang w:eastAsia="en-US"/>
    </w:rPr>
  </w:style>
  <w:style w:type="paragraph" w:styleId="39">
    <w:name w:val="toc 6"/>
    <w:basedOn w:val="1"/>
    <w:next w:val="1"/>
    <w:qFormat/>
    <w:uiPriority w:val="0"/>
    <w:pPr>
      <w:ind w:left="2100" w:leftChars="1000"/>
    </w:pPr>
  </w:style>
  <w:style w:type="paragraph" w:styleId="40">
    <w:name w:val="Body Text Indent 3"/>
    <w:basedOn w:val="1"/>
    <w:link w:val="90"/>
    <w:qFormat/>
    <w:uiPriority w:val="0"/>
    <w:pPr>
      <w:spacing w:line="360" w:lineRule="auto"/>
      <w:ind w:firstLine="280" w:firstLineChars="100"/>
    </w:pPr>
    <w:rPr>
      <w:rFonts w:ascii="宋体" w:hAnsi="宋体"/>
      <w:sz w:val="28"/>
      <w:szCs w:val="28"/>
    </w:rPr>
  </w:style>
  <w:style w:type="paragraph" w:styleId="41">
    <w:name w:val="table of figures"/>
    <w:basedOn w:val="1"/>
    <w:next w:val="1"/>
    <w:qFormat/>
    <w:uiPriority w:val="0"/>
    <w:pPr>
      <w:ind w:left="200" w:leftChars="200" w:hanging="200" w:hangingChars="200"/>
    </w:pPr>
  </w:style>
  <w:style w:type="paragraph" w:styleId="42">
    <w:name w:val="toc 2"/>
    <w:basedOn w:val="1"/>
    <w:next w:val="1"/>
    <w:qFormat/>
    <w:uiPriority w:val="0"/>
    <w:pPr>
      <w:ind w:left="420" w:leftChars="200"/>
    </w:pPr>
  </w:style>
  <w:style w:type="paragraph" w:styleId="43">
    <w:name w:val="toc 9"/>
    <w:basedOn w:val="1"/>
    <w:next w:val="1"/>
    <w:qFormat/>
    <w:uiPriority w:val="0"/>
    <w:pPr>
      <w:ind w:left="3360" w:leftChars="1600"/>
    </w:pPr>
  </w:style>
  <w:style w:type="paragraph" w:styleId="44">
    <w:name w:val="Body Text 2"/>
    <w:basedOn w:val="1"/>
    <w:link w:val="91"/>
    <w:qFormat/>
    <w:uiPriority w:val="0"/>
    <w:rPr>
      <w:i/>
      <w:iCs/>
      <w:sz w:val="26"/>
      <w:szCs w:val="24"/>
    </w:rPr>
  </w:style>
  <w:style w:type="paragraph" w:styleId="45">
    <w:name w:val="HTML Preformatted"/>
    <w:basedOn w:val="1"/>
    <w:link w:val="9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sz w:val="24"/>
      <w:szCs w:val="24"/>
    </w:rPr>
  </w:style>
  <w:style w:type="paragraph" w:styleId="4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7">
    <w:name w:val="index 1"/>
    <w:basedOn w:val="1"/>
    <w:next w:val="1"/>
    <w:qFormat/>
    <w:uiPriority w:val="0"/>
    <w:pPr>
      <w:spacing w:line="220" w:lineRule="exact"/>
      <w:jc w:val="center"/>
    </w:pPr>
    <w:rPr>
      <w:rFonts w:ascii="仿宋_GB2312" w:eastAsia="仿宋_GB2312"/>
      <w:szCs w:val="21"/>
    </w:rPr>
  </w:style>
  <w:style w:type="paragraph" w:styleId="48">
    <w:name w:val="Title"/>
    <w:basedOn w:val="1"/>
    <w:link w:val="93"/>
    <w:qFormat/>
    <w:uiPriority w:val="0"/>
    <w:pPr>
      <w:widowControl/>
      <w:jc w:val="center"/>
    </w:pPr>
    <w:rPr>
      <w:szCs w:val="24"/>
      <w:u w:val="single"/>
      <w:lang w:eastAsia="en-US"/>
    </w:rPr>
  </w:style>
  <w:style w:type="paragraph" w:styleId="49">
    <w:name w:val="annotation subject"/>
    <w:basedOn w:val="17"/>
    <w:next w:val="17"/>
    <w:link w:val="94"/>
    <w:qFormat/>
    <w:uiPriority w:val="0"/>
    <w:rPr>
      <w:b/>
      <w:bCs/>
    </w:rPr>
  </w:style>
  <w:style w:type="paragraph" w:styleId="50">
    <w:name w:val="Body Text First Indent"/>
    <w:basedOn w:val="2"/>
    <w:unhideWhenUsed/>
    <w:qFormat/>
    <w:uiPriority w:val="99"/>
    <w:pPr>
      <w:spacing w:line="275" w:lineRule="atLeast"/>
      <w:ind w:firstLine="420"/>
      <w:textAlignment w:val="baseline"/>
    </w:pPr>
    <w:rPr>
      <w:rFonts w:hAnsi="Calibri" w:eastAsia="楷体_GB2312"/>
      <w:szCs w:val="20"/>
    </w:rPr>
  </w:style>
  <w:style w:type="paragraph" w:styleId="51">
    <w:name w:val="Body Text First Indent 2"/>
    <w:basedOn w:val="20"/>
    <w:link w:val="95"/>
    <w:qFormat/>
    <w:uiPriority w:val="0"/>
    <w:pPr>
      <w:spacing w:after="120"/>
      <w:ind w:left="420" w:leftChars="200" w:firstLine="420"/>
    </w:pPr>
  </w:style>
  <w:style w:type="character" w:styleId="54">
    <w:name w:val="Strong"/>
    <w:basedOn w:val="53"/>
    <w:qFormat/>
    <w:uiPriority w:val="0"/>
    <w:rPr>
      <w:b/>
      <w:bCs/>
    </w:rPr>
  </w:style>
  <w:style w:type="character" w:styleId="55">
    <w:name w:val="endnote reference"/>
    <w:basedOn w:val="53"/>
    <w:qFormat/>
    <w:uiPriority w:val="0"/>
    <w:rPr>
      <w:vertAlign w:val="superscript"/>
    </w:rPr>
  </w:style>
  <w:style w:type="character" w:styleId="56">
    <w:name w:val="page number"/>
    <w:basedOn w:val="53"/>
    <w:qFormat/>
    <w:uiPriority w:val="0"/>
    <w:rPr>
      <w:rFonts w:ascii="Verdana" w:hAnsi="Verdana" w:eastAsia="仿宋_GB2312"/>
      <w:sz w:val="24"/>
      <w:lang w:val="en-US" w:eastAsia="en-US" w:bidi="ar-SA"/>
    </w:rPr>
  </w:style>
  <w:style w:type="character" w:styleId="57">
    <w:name w:val="FollowedHyperlink"/>
    <w:basedOn w:val="53"/>
    <w:qFormat/>
    <w:uiPriority w:val="0"/>
    <w:rPr>
      <w:color w:val="800080"/>
      <w:u w:val="single"/>
    </w:rPr>
  </w:style>
  <w:style w:type="character" w:styleId="58">
    <w:name w:val="Hyperlink"/>
    <w:basedOn w:val="53"/>
    <w:qFormat/>
    <w:uiPriority w:val="99"/>
    <w:rPr>
      <w:color w:val="0000FF"/>
      <w:u w:val="single"/>
    </w:rPr>
  </w:style>
  <w:style w:type="character" w:styleId="59">
    <w:name w:val="annotation reference"/>
    <w:basedOn w:val="53"/>
    <w:qFormat/>
    <w:uiPriority w:val="0"/>
    <w:rPr>
      <w:sz w:val="21"/>
      <w:szCs w:val="21"/>
    </w:rPr>
  </w:style>
  <w:style w:type="character" w:styleId="60">
    <w:name w:val="footnote reference"/>
    <w:basedOn w:val="53"/>
    <w:qFormat/>
    <w:uiPriority w:val="0"/>
    <w:rPr>
      <w:vertAlign w:val="superscript"/>
    </w:rPr>
  </w:style>
  <w:style w:type="paragraph" w:customStyle="1" w:styleId="61">
    <w:name w:val="BodyText1I"/>
    <w:basedOn w:val="62"/>
    <w:qFormat/>
    <w:uiPriority w:val="0"/>
    <w:pPr>
      <w:spacing w:line="360" w:lineRule="auto"/>
      <w:ind w:firstLine="420"/>
      <w:jc w:val="both"/>
      <w:textAlignment w:val="baseline"/>
    </w:pPr>
    <w:rPr>
      <w:rFonts w:ascii="宋体" w:hAnsi="宋体" w:eastAsia="仿宋_GB2312"/>
      <w:kern w:val="2"/>
      <w:sz w:val="24"/>
      <w:szCs w:val="24"/>
      <w:lang w:val="en-US" w:eastAsia="zh-CN" w:bidi="ar-SA"/>
    </w:rPr>
  </w:style>
  <w:style w:type="paragraph" w:customStyle="1" w:styleId="62">
    <w:name w:val="BodyText"/>
    <w:basedOn w:val="1"/>
    <w:next w:val="63"/>
    <w:qFormat/>
    <w:uiPriority w:val="0"/>
    <w:pPr>
      <w:jc w:val="both"/>
      <w:textAlignment w:val="baseline"/>
    </w:pPr>
    <w:rPr>
      <w:rFonts w:ascii="仿宋_GB2312" w:hAnsi="Times New Roman" w:eastAsia="仿宋_GB2312"/>
      <w:kern w:val="2"/>
      <w:sz w:val="32"/>
      <w:szCs w:val="24"/>
      <w:lang w:val="en-US" w:eastAsia="zh-CN" w:bidi="ar-SA"/>
    </w:rPr>
  </w:style>
  <w:style w:type="paragraph" w:customStyle="1" w:styleId="63">
    <w:name w:val="UserStyle_1"/>
    <w:next w:val="1"/>
    <w:qFormat/>
    <w:uiPriority w:val="0"/>
    <w:pPr>
      <w:widowControl/>
      <w:ind w:left="1275"/>
      <w:jc w:val="both"/>
      <w:textAlignment w:val="baseline"/>
    </w:pPr>
    <w:rPr>
      <w:rFonts w:ascii="Calibri" w:hAnsi="Calibri" w:eastAsia="宋体" w:cs="Times New Roman"/>
      <w:kern w:val="0"/>
      <w:sz w:val="21"/>
      <w:szCs w:val="20"/>
      <w:lang w:val="en-US" w:eastAsia="zh-CN" w:bidi="ar-SA"/>
    </w:rPr>
  </w:style>
  <w:style w:type="paragraph" w:customStyle="1" w:styleId="64">
    <w:name w:val="目录 53"/>
    <w:next w:val="65"/>
    <w:qFormat/>
    <w:uiPriority w:val="99"/>
    <w:pPr>
      <w:wordWrap w:val="0"/>
      <w:ind w:left="1275"/>
      <w:jc w:val="both"/>
    </w:pPr>
    <w:rPr>
      <w:rFonts w:ascii="Calibri" w:hAnsi="Calibri" w:eastAsia="宋体" w:cs="Times New Roman"/>
      <w:sz w:val="21"/>
      <w:lang w:val="en-US" w:eastAsia="zh-CN" w:bidi="ar-SA"/>
    </w:rPr>
  </w:style>
  <w:style w:type="paragraph" w:customStyle="1" w:styleId="65">
    <w:name w:val="正文1"/>
    <w:next w:val="66"/>
    <w:qFormat/>
    <w:uiPriority w:val="0"/>
    <w:pPr>
      <w:widowControl w:val="0"/>
      <w:jc w:val="both"/>
    </w:pPr>
    <w:rPr>
      <w:rFonts w:ascii="Times New Roman" w:hAnsi="Times New Roman" w:eastAsia="宋体" w:cs="Times New Roman"/>
      <w:kern w:val="2"/>
      <w:sz w:val="28"/>
      <w:lang w:val="en-US" w:eastAsia="zh-CN" w:bidi="ar-SA"/>
    </w:rPr>
  </w:style>
  <w:style w:type="paragraph" w:customStyle="1" w:styleId="66">
    <w:name w:val="正文文本1"/>
    <w:basedOn w:val="65"/>
    <w:next w:val="64"/>
    <w:qFormat/>
    <w:uiPriority w:val="0"/>
    <w:rPr>
      <w:rFonts w:ascii="仿宋_GB2312;仿宋" w:hAnsi="仿宋_GB2312;仿宋" w:eastAsia="仿宋_GB2312;仿宋"/>
      <w:sz w:val="32"/>
    </w:rPr>
  </w:style>
  <w:style w:type="character" w:customStyle="1" w:styleId="67">
    <w:name w:val="正文文本 Char"/>
    <w:basedOn w:val="53"/>
    <w:link w:val="2"/>
    <w:qFormat/>
    <w:uiPriority w:val="0"/>
    <w:rPr>
      <w:rFonts w:eastAsia="宋体"/>
      <w:kern w:val="2"/>
      <w:sz w:val="21"/>
      <w:szCs w:val="24"/>
      <w:lang w:val="en-US" w:eastAsia="zh-CN" w:bidi="ar-SA"/>
    </w:rPr>
  </w:style>
  <w:style w:type="character" w:customStyle="1" w:styleId="68">
    <w:name w:val="标题 1 Char"/>
    <w:basedOn w:val="53"/>
    <w:link w:val="3"/>
    <w:qFormat/>
    <w:uiPriority w:val="0"/>
    <w:rPr>
      <w:rFonts w:eastAsia="宋体"/>
      <w:b/>
      <w:bCs/>
      <w:kern w:val="44"/>
      <w:sz w:val="44"/>
      <w:szCs w:val="44"/>
      <w:lang w:val="en-US" w:eastAsia="zh-CN" w:bidi="ar-SA"/>
    </w:rPr>
  </w:style>
  <w:style w:type="character" w:customStyle="1" w:styleId="69">
    <w:name w:val="标题 2 Char"/>
    <w:basedOn w:val="53"/>
    <w:link w:val="4"/>
    <w:qFormat/>
    <w:uiPriority w:val="0"/>
    <w:rPr>
      <w:rFonts w:ascii="Cambria" w:hAnsi="Cambria" w:eastAsia="宋体"/>
      <w:b/>
      <w:bCs/>
      <w:kern w:val="2"/>
      <w:sz w:val="32"/>
      <w:szCs w:val="32"/>
      <w:lang w:val="en-US" w:eastAsia="zh-CN" w:bidi="ar-SA"/>
    </w:rPr>
  </w:style>
  <w:style w:type="character" w:customStyle="1" w:styleId="70">
    <w:name w:val="标题 3 Char"/>
    <w:basedOn w:val="53"/>
    <w:link w:val="5"/>
    <w:qFormat/>
    <w:uiPriority w:val="0"/>
    <w:rPr>
      <w:rFonts w:ascii="Times New Roman" w:hAnsi="Times New Roman" w:eastAsia="宋体"/>
      <w:b/>
      <w:bCs/>
      <w:kern w:val="2"/>
      <w:sz w:val="32"/>
      <w:szCs w:val="32"/>
      <w:lang w:val="en-US" w:eastAsia="zh-CN" w:bidi="ar-SA"/>
    </w:rPr>
  </w:style>
  <w:style w:type="character" w:customStyle="1" w:styleId="71">
    <w:name w:val="标题 4 Char"/>
    <w:basedOn w:val="53"/>
    <w:link w:val="6"/>
    <w:qFormat/>
    <w:uiPriority w:val="0"/>
    <w:rPr>
      <w:rFonts w:ascii="宋体" w:hAnsi="宋体" w:eastAsia="宋体" w:cs="宋体"/>
      <w:b/>
      <w:bCs/>
      <w:sz w:val="24"/>
      <w:szCs w:val="24"/>
      <w:lang w:val="en-US" w:eastAsia="zh-CN" w:bidi="ar-SA"/>
    </w:rPr>
  </w:style>
  <w:style w:type="character" w:customStyle="1" w:styleId="72">
    <w:name w:val="标题 5 Char"/>
    <w:basedOn w:val="53"/>
    <w:link w:val="7"/>
    <w:qFormat/>
    <w:uiPriority w:val="0"/>
    <w:rPr>
      <w:rFonts w:ascii="宋体" w:hAnsi="宋体" w:eastAsia="宋体" w:cs="宋体"/>
      <w:b/>
      <w:bCs/>
      <w:lang w:val="en-US" w:eastAsia="zh-CN" w:bidi="ar-SA"/>
    </w:rPr>
  </w:style>
  <w:style w:type="character" w:customStyle="1" w:styleId="73">
    <w:name w:val="标题 6 Char"/>
    <w:basedOn w:val="53"/>
    <w:link w:val="8"/>
    <w:qFormat/>
    <w:uiPriority w:val="0"/>
    <w:rPr>
      <w:rFonts w:hAnsi="Arial" w:eastAsia="仿宋_GB2312"/>
      <w:sz w:val="30"/>
      <w:lang w:val="en-US" w:eastAsia="zh-CN" w:bidi="ar-SA"/>
    </w:rPr>
  </w:style>
  <w:style w:type="character" w:customStyle="1" w:styleId="74">
    <w:name w:val="标题 7 Char"/>
    <w:basedOn w:val="53"/>
    <w:link w:val="10"/>
    <w:qFormat/>
    <w:uiPriority w:val="0"/>
    <w:rPr>
      <w:rFonts w:eastAsia="仿宋_GB2312"/>
      <w:sz w:val="30"/>
      <w:lang w:val="en-US" w:eastAsia="zh-CN" w:bidi="ar-SA"/>
    </w:rPr>
  </w:style>
  <w:style w:type="character" w:customStyle="1" w:styleId="75">
    <w:name w:val="标题 8 Char"/>
    <w:basedOn w:val="53"/>
    <w:link w:val="11"/>
    <w:qFormat/>
    <w:uiPriority w:val="0"/>
    <w:rPr>
      <w:rFonts w:hAnsi="Arial" w:eastAsia="仿宋_GB2312"/>
      <w:sz w:val="30"/>
      <w:lang w:val="en-US" w:eastAsia="zh-CN" w:bidi="ar-SA"/>
    </w:rPr>
  </w:style>
  <w:style w:type="character" w:customStyle="1" w:styleId="76">
    <w:name w:val="标题 9 Char"/>
    <w:basedOn w:val="53"/>
    <w:link w:val="12"/>
    <w:qFormat/>
    <w:uiPriority w:val="0"/>
    <w:rPr>
      <w:rFonts w:eastAsia="仿宋_GB2312"/>
      <w:sz w:val="30"/>
      <w:lang w:val="en-US" w:eastAsia="zh-CN" w:bidi="ar-SA"/>
    </w:rPr>
  </w:style>
  <w:style w:type="character" w:customStyle="1" w:styleId="77">
    <w:name w:val="文档结构图 Char"/>
    <w:basedOn w:val="53"/>
    <w:link w:val="16"/>
    <w:qFormat/>
    <w:uiPriority w:val="0"/>
    <w:rPr>
      <w:rFonts w:eastAsia="宋体"/>
      <w:kern w:val="2"/>
      <w:sz w:val="21"/>
      <w:szCs w:val="24"/>
      <w:lang w:val="en-US" w:eastAsia="zh-CN" w:bidi="ar-SA"/>
    </w:rPr>
  </w:style>
  <w:style w:type="character" w:customStyle="1" w:styleId="78">
    <w:name w:val="批注文字 Char"/>
    <w:basedOn w:val="53"/>
    <w:link w:val="17"/>
    <w:qFormat/>
    <w:uiPriority w:val="0"/>
    <w:rPr>
      <w:rFonts w:eastAsia="宋体"/>
      <w:kern w:val="2"/>
      <w:sz w:val="21"/>
      <w:szCs w:val="24"/>
      <w:lang w:val="en-US" w:eastAsia="zh-CN" w:bidi="ar-SA"/>
    </w:rPr>
  </w:style>
  <w:style w:type="character" w:customStyle="1" w:styleId="79">
    <w:name w:val="正文文本 3 Char"/>
    <w:basedOn w:val="53"/>
    <w:link w:val="18"/>
    <w:qFormat/>
    <w:uiPriority w:val="0"/>
    <w:rPr>
      <w:rFonts w:eastAsia="宋体"/>
      <w:kern w:val="2"/>
      <w:sz w:val="16"/>
      <w:szCs w:val="16"/>
      <w:lang w:val="en-US" w:eastAsia="zh-CN" w:bidi="ar-SA"/>
    </w:rPr>
  </w:style>
  <w:style w:type="character" w:customStyle="1" w:styleId="80">
    <w:name w:val="正文文本缩进 Char"/>
    <w:basedOn w:val="53"/>
    <w:link w:val="20"/>
    <w:qFormat/>
    <w:uiPriority w:val="0"/>
    <w:rPr>
      <w:rFonts w:eastAsia="宋体"/>
      <w:kern w:val="2"/>
      <w:sz w:val="21"/>
      <w:szCs w:val="24"/>
      <w:lang w:val="en-US" w:eastAsia="zh-CN" w:bidi="ar-SA"/>
    </w:rPr>
  </w:style>
  <w:style w:type="character" w:customStyle="1" w:styleId="81">
    <w:name w:val="纯文本 Char"/>
    <w:basedOn w:val="53"/>
    <w:link w:val="26"/>
    <w:qFormat/>
    <w:uiPriority w:val="0"/>
    <w:rPr>
      <w:rFonts w:ascii="宋体" w:hAnsi="Courier New" w:eastAsia="宋体" w:cs="Courier New"/>
      <w:kern w:val="2"/>
      <w:sz w:val="21"/>
      <w:szCs w:val="21"/>
      <w:lang w:val="en-US" w:eastAsia="zh-CN" w:bidi="ar-SA"/>
    </w:rPr>
  </w:style>
  <w:style w:type="character" w:customStyle="1" w:styleId="82">
    <w:name w:val="日期 Char"/>
    <w:basedOn w:val="53"/>
    <w:link w:val="29"/>
    <w:qFormat/>
    <w:uiPriority w:val="0"/>
    <w:rPr>
      <w:rFonts w:eastAsia="宋体"/>
      <w:kern w:val="2"/>
      <w:sz w:val="21"/>
      <w:szCs w:val="24"/>
      <w:lang w:val="en-US" w:eastAsia="zh-CN" w:bidi="ar-SA"/>
    </w:rPr>
  </w:style>
  <w:style w:type="character" w:customStyle="1" w:styleId="83">
    <w:name w:val="正文文本缩进 2 Char"/>
    <w:basedOn w:val="53"/>
    <w:link w:val="30"/>
    <w:qFormat/>
    <w:uiPriority w:val="0"/>
    <w:rPr>
      <w:rFonts w:eastAsia="宋体"/>
      <w:sz w:val="28"/>
      <w:szCs w:val="24"/>
      <w:lang w:val="en-US" w:eastAsia="zh-CN" w:bidi="ar-SA"/>
    </w:rPr>
  </w:style>
  <w:style w:type="character" w:customStyle="1" w:styleId="84">
    <w:name w:val="尾注文本 Char"/>
    <w:basedOn w:val="53"/>
    <w:link w:val="31"/>
    <w:qFormat/>
    <w:uiPriority w:val="0"/>
    <w:rPr>
      <w:rFonts w:ascii="Arial" w:hAnsi="Arial" w:eastAsia="宋体" w:cs="Arial"/>
      <w:szCs w:val="24"/>
      <w:lang w:val="en-US" w:eastAsia="en-US" w:bidi="ar-SA"/>
    </w:rPr>
  </w:style>
  <w:style w:type="character" w:customStyle="1" w:styleId="85">
    <w:name w:val="批注框文本 Char"/>
    <w:basedOn w:val="53"/>
    <w:link w:val="32"/>
    <w:qFormat/>
    <w:uiPriority w:val="0"/>
    <w:rPr>
      <w:rFonts w:eastAsia="宋体"/>
      <w:kern w:val="2"/>
      <w:sz w:val="18"/>
      <w:szCs w:val="18"/>
      <w:lang w:val="en-US" w:eastAsia="zh-CN" w:bidi="ar-SA"/>
    </w:rPr>
  </w:style>
  <w:style w:type="character" w:customStyle="1" w:styleId="86">
    <w:name w:val="页脚 Char"/>
    <w:basedOn w:val="53"/>
    <w:link w:val="33"/>
    <w:qFormat/>
    <w:uiPriority w:val="0"/>
    <w:rPr>
      <w:rFonts w:eastAsia="宋体"/>
      <w:kern w:val="2"/>
      <w:sz w:val="18"/>
      <w:szCs w:val="18"/>
      <w:lang w:val="en-US" w:eastAsia="zh-CN" w:bidi="ar-SA"/>
    </w:rPr>
  </w:style>
  <w:style w:type="character" w:customStyle="1" w:styleId="87">
    <w:name w:val="页眉 Char"/>
    <w:basedOn w:val="53"/>
    <w:link w:val="34"/>
    <w:qFormat/>
    <w:uiPriority w:val="0"/>
    <w:rPr>
      <w:rFonts w:eastAsia="宋体"/>
      <w:kern w:val="2"/>
      <w:sz w:val="18"/>
      <w:szCs w:val="18"/>
      <w:lang w:val="en-US" w:eastAsia="zh-CN" w:bidi="ar-SA"/>
    </w:rPr>
  </w:style>
  <w:style w:type="character" w:customStyle="1" w:styleId="88">
    <w:name w:val="副标题 Char"/>
    <w:basedOn w:val="53"/>
    <w:link w:val="37"/>
    <w:qFormat/>
    <w:uiPriority w:val="0"/>
    <w:rPr>
      <w:rFonts w:eastAsia="宋体"/>
      <w:szCs w:val="24"/>
      <w:u w:val="single"/>
      <w:lang w:val="en-US" w:eastAsia="en-US" w:bidi="ar-SA"/>
    </w:rPr>
  </w:style>
  <w:style w:type="character" w:customStyle="1" w:styleId="89">
    <w:name w:val="脚注文本 Char"/>
    <w:basedOn w:val="53"/>
    <w:link w:val="38"/>
    <w:qFormat/>
    <w:uiPriority w:val="0"/>
    <w:rPr>
      <w:rFonts w:ascii="Arial" w:hAnsi="Arial" w:eastAsia="宋体" w:cs="Arial"/>
      <w:sz w:val="18"/>
      <w:szCs w:val="18"/>
      <w:lang w:val="en-US" w:eastAsia="en-US" w:bidi="ar-SA"/>
    </w:rPr>
  </w:style>
  <w:style w:type="character" w:customStyle="1" w:styleId="90">
    <w:name w:val="正文文本缩进 3 Char"/>
    <w:basedOn w:val="53"/>
    <w:link w:val="40"/>
    <w:qFormat/>
    <w:uiPriority w:val="0"/>
    <w:rPr>
      <w:rFonts w:ascii="宋体" w:hAnsi="宋体" w:eastAsia="宋体"/>
      <w:kern w:val="2"/>
      <w:sz w:val="28"/>
      <w:szCs w:val="28"/>
      <w:lang w:val="en-US" w:eastAsia="zh-CN" w:bidi="ar-SA"/>
    </w:rPr>
  </w:style>
  <w:style w:type="character" w:customStyle="1" w:styleId="91">
    <w:name w:val="正文文本 2 Char"/>
    <w:basedOn w:val="53"/>
    <w:link w:val="44"/>
    <w:qFormat/>
    <w:uiPriority w:val="0"/>
    <w:rPr>
      <w:rFonts w:eastAsia="宋体"/>
      <w:i/>
      <w:iCs/>
      <w:kern w:val="2"/>
      <w:sz w:val="26"/>
      <w:szCs w:val="24"/>
      <w:lang w:val="en-US" w:eastAsia="zh-CN" w:bidi="ar-SA"/>
    </w:rPr>
  </w:style>
  <w:style w:type="character" w:customStyle="1" w:styleId="92">
    <w:name w:val="HTML 预设格式 Char"/>
    <w:basedOn w:val="53"/>
    <w:link w:val="45"/>
    <w:qFormat/>
    <w:uiPriority w:val="0"/>
    <w:rPr>
      <w:rFonts w:ascii="宋体" w:hAnsi="宋体" w:eastAsia="宋体" w:cs="宋体"/>
      <w:color w:val="000000"/>
      <w:sz w:val="24"/>
      <w:szCs w:val="24"/>
      <w:lang w:val="en-US" w:eastAsia="zh-CN" w:bidi="ar-SA"/>
    </w:rPr>
  </w:style>
  <w:style w:type="character" w:customStyle="1" w:styleId="93">
    <w:name w:val="标题 Char"/>
    <w:basedOn w:val="53"/>
    <w:link w:val="48"/>
    <w:qFormat/>
    <w:uiPriority w:val="0"/>
    <w:rPr>
      <w:rFonts w:eastAsia="宋体"/>
      <w:szCs w:val="24"/>
      <w:u w:val="single"/>
      <w:lang w:val="en-US" w:eastAsia="en-US" w:bidi="ar-SA"/>
    </w:rPr>
  </w:style>
  <w:style w:type="character" w:customStyle="1" w:styleId="94">
    <w:name w:val="批注主题 Char"/>
    <w:basedOn w:val="78"/>
    <w:link w:val="49"/>
    <w:qFormat/>
    <w:uiPriority w:val="0"/>
    <w:rPr>
      <w:rFonts w:eastAsia="宋体"/>
      <w:b/>
      <w:bCs/>
      <w:kern w:val="2"/>
      <w:sz w:val="21"/>
      <w:szCs w:val="24"/>
      <w:lang w:val="en-US" w:eastAsia="zh-CN" w:bidi="ar-SA"/>
    </w:rPr>
  </w:style>
  <w:style w:type="character" w:customStyle="1" w:styleId="95">
    <w:name w:val="正文首行缩进 2 Char"/>
    <w:basedOn w:val="96"/>
    <w:link w:val="51"/>
    <w:qFormat/>
    <w:uiPriority w:val="0"/>
    <w:rPr>
      <w:rFonts w:ascii="宋体" w:hAnsi="宋体" w:eastAsia="宋体" w:cs="Times New Roman"/>
      <w:kern w:val="2"/>
      <w:sz w:val="24"/>
      <w:szCs w:val="24"/>
      <w:lang w:val="en-US" w:eastAsia="zh-CN" w:bidi="ar-SA"/>
    </w:rPr>
  </w:style>
  <w:style w:type="character" w:customStyle="1" w:styleId="96">
    <w:name w:val="Char Char69"/>
    <w:basedOn w:val="53"/>
    <w:qFormat/>
    <w:uiPriority w:val="0"/>
    <w:rPr>
      <w:rFonts w:ascii="宋体" w:hAnsi="宋体" w:eastAsia="宋体" w:cs="Times New Roman"/>
      <w:kern w:val="2"/>
      <w:sz w:val="24"/>
      <w:szCs w:val="24"/>
      <w:lang w:val="en-US" w:eastAsia="zh-CN" w:bidi="ar-SA"/>
    </w:rPr>
  </w:style>
  <w:style w:type="character" w:customStyle="1" w:styleId="97">
    <w:name w:val="Char Char84"/>
    <w:basedOn w:val="53"/>
    <w:qFormat/>
    <w:uiPriority w:val="0"/>
    <w:rPr>
      <w:rFonts w:eastAsia="宋体" w:cs="Times New Roman"/>
      <w:b/>
      <w:bCs/>
      <w:kern w:val="2"/>
      <w:sz w:val="32"/>
      <w:szCs w:val="32"/>
      <w:lang w:val="en-US" w:eastAsia="zh-CN" w:bidi="ar-SA"/>
    </w:rPr>
  </w:style>
  <w:style w:type="character" w:customStyle="1" w:styleId="98">
    <w:name w:val="Char Char36"/>
    <w:basedOn w:val="99"/>
    <w:qFormat/>
    <w:uiPriority w:val="0"/>
    <w:rPr>
      <w:rFonts w:eastAsia="宋体" w:cs="Times New Roman"/>
      <w:b/>
      <w:bCs/>
      <w:kern w:val="2"/>
      <w:sz w:val="24"/>
      <w:szCs w:val="24"/>
      <w:lang w:val="en-US" w:eastAsia="zh-CN" w:bidi="ar-SA"/>
    </w:rPr>
  </w:style>
  <w:style w:type="character" w:customStyle="1" w:styleId="99">
    <w:name w:val="Char Char42"/>
    <w:basedOn w:val="53"/>
    <w:qFormat/>
    <w:uiPriority w:val="0"/>
    <w:rPr>
      <w:rFonts w:eastAsia="宋体" w:cs="Times New Roman"/>
      <w:sz w:val="24"/>
      <w:lang w:val="en-US" w:eastAsia="zh-CN" w:bidi="ar-SA"/>
    </w:rPr>
  </w:style>
  <w:style w:type="character" w:customStyle="1" w:styleId="100">
    <w:name w:val="Char Char38"/>
    <w:basedOn w:val="53"/>
    <w:qFormat/>
    <w:uiPriority w:val="0"/>
    <w:rPr>
      <w:rFonts w:eastAsia="宋体" w:cs="Times New Roman"/>
      <w:kern w:val="2"/>
      <w:sz w:val="24"/>
      <w:szCs w:val="24"/>
      <w:lang w:val="en-US" w:eastAsia="zh-CN" w:bidi="ar-SA"/>
    </w:rPr>
  </w:style>
  <w:style w:type="character" w:customStyle="1" w:styleId="101">
    <w:name w:val="Char Char11"/>
    <w:basedOn w:val="53"/>
    <w:qFormat/>
    <w:uiPriority w:val="0"/>
    <w:rPr>
      <w:rFonts w:eastAsia="黑体"/>
      <w:kern w:val="2"/>
      <w:sz w:val="44"/>
      <w:szCs w:val="44"/>
      <w:lang w:val="en-US" w:eastAsia="zh-CN" w:bidi="ar-SA"/>
    </w:rPr>
  </w:style>
  <w:style w:type="character" w:customStyle="1" w:styleId="102">
    <w:name w:val="Char Char75"/>
    <w:basedOn w:val="53"/>
    <w:qFormat/>
    <w:uiPriority w:val="0"/>
    <w:rPr>
      <w:rFonts w:eastAsia="宋体" w:cs="Times New Roman"/>
      <w:sz w:val="24"/>
      <w:lang w:val="en-US" w:eastAsia="zh-CN" w:bidi="ar-SA"/>
    </w:rPr>
  </w:style>
  <w:style w:type="character" w:customStyle="1" w:styleId="103">
    <w:name w:val="Char Char81"/>
    <w:basedOn w:val="53"/>
    <w:qFormat/>
    <w:uiPriority w:val="0"/>
    <w:rPr>
      <w:rFonts w:ascii="Arial" w:hAnsi="Arial" w:eastAsia="黑体" w:cs="Times New Roman"/>
      <w:b/>
      <w:bCs/>
      <w:kern w:val="2"/>
      <w:sz w:val="24"/>
      <w:szCs w:val="24"/>
      <w:lang w:val="en-US" w:eastAsia="zh-CN" w:bidi="ar-SA"/>
    </w:rPr>
  </w:style>
  <w:style w:type="character" w:customStyle="1" w:styleId="104">
    <w:name w:val="Char Char Char"/>
    <w:basedOn w:val="53"/>
    <w:qFormat/>
    <w:uiPriority w:val="0"/>
    <w:rPr>
      <w:kern w:val="2"/>
      <w:sz w:val="21"/>
      <w:szCs w:val="24"/>
      <w:shd w:val="clear" w:color="auto" w:fill="000080"/>
    </w:rPr>
  </w:style>
  <w:style w:type="character" w:customStyle="1" w:styleId="105">
    <w:name w:val="Char Char54"/>
    <w:basedOn w:val="53"/>
    <w:qFormat/>
    <w:uiPriority w:val="0"/>
    <w:rPr>
      <w:rFonts w:ascii="Arial" w:hAnsi="Arial" w:eastAsia="黑体" w:cs="Times New Roman"/>
      <w:b/>
      <w:bCs/>
      <w:kern w:val="2"/>
      <w:sz w:val="28"/>
      <w:szCs w:val="28"/>
      <w:lang w:val="en-US" w:eastAsia="zh-CN" w:bidi="ar-SA"/>
    </w:rPr>
  </w:style>
  <w:style w:type="character" w:customStyle="1" w:styleId="106">
    <w:name w:val="标题 3 Char Char"/>
    <w:basedOn w:val="53"/>
    <w:qFormat/>
    <w:uiPriority w:val="0"/>
    <w:rPr>
      <w:rFonts w:eastAsia="宋体" w:cs="Times New Roman"/>
      <w:b/>
      <w:bCs/>
      <w:kern w:val="2"/>
      <w:sz w:val="32"/>
      <w:szCs w:val="32"/>
      <w:lang w:val="en-US" w:eastAsia="zh-CN" w:bidi="ar-SA"/>
    </w:rPr>
  </w:style>
  <w:style w:type="character" w:customStyle="1" w:styleId="107">
    <w:name w:val="Char Char56"/>
    <w:basedOn w:val="53"/>
    <w:qFormat/>
    <w:uiPriority w:val="0"/>
    <w:rPr>
      <w:rFonts w:ascii="Arial" w:hAnsi="Arial" w:eastAsia="黑体" w:cs="Times New Roman"/>
      <w:b/>
      <w:bCs/>
      <w:kern w:val="2"/>
      <w:sz w:val="32"/>
      <w:szCs w:val="32"/>
      <w:lang w:val="en-US" w:eastAsia="zh-CN" w:bidi="ar-SA"/>
    </w:rPr>
  </w:style>
  <w:style w:type="character" w:customStyle="1" w:styleId="108">
    <w:name w:val="Char Char21"/>
    <w:basedOn w:val="53"/>
    <w:qFormat/>
    <w:uiPriority w:val="0"/>
    <w:rPr>
      <w:rFonts w:ascii="宋体" w:hAnsi="宋体" w:cs="宋体"/>
      <w:b/>
      <w:bCs/>
      <w:sz w:val="24"/>
      <w:szCs w:val="24"/>
    </w:rPr>
  </w:style>
  <w:style w:type="character" w:customStyle="1" w:styleId="109">
    <w:name w:val="l1"/>
    <w:basedOn w:val="53"/>
    <w:qFormat/>
    <w:uiPriority w:val="0"/>
  </w:style>
  <w:style w:type="character" w:customStyle="1" w:styleId="110">
    <w:name w:val="style121"/>
    <w:basedOn w:val="53"/>
    <w:qFormat/>
    <w:uiPriority w:val="0"/>
    <w:rPr>
      <w:rFonts w:hint="eastAsia" w:ascii="宋体" w:hAnsi="宋体" w:eastAsia="宋体"/>
      <w:sz w:val="18"/>
      <w:szCs w:val="18"/>
    </w:rPr>
  </w:style>
  <w:style w:type="character" w:customStyle="1" w:styleId="111">
    <w:name w:val="Char Char4"/>
    <w:basedOn w:val="53"/>
    <w:qFormat/>
    <w:uiPriority w:val="0"/>
    <w:rPr>
      <w:szCs w:val="24"/>
      <w:u w:val="single"/>
      <w:lang w:eastAsia="en-US"/>
    </w:rPr>
  </w:style>
  <w:style w:type="character" w:customStyle="1" w:styleId="112">
    <w:name w:val="Char Char63"/>
    <w:basedOn w:val="53"/>
    <w:qFormat/>
    <w:uiPriority w:val="0"/>
    <w:rPr>
      <w:rFonts w:eastAsia="宋体" w:cs="Times New Roman"/>
      <w:kern w:val="2"/>
      <w:sz w:val="18"/>
      <w:szCs w:val="18"/>
      <w:lang w:val="en-US" w:eastAsia="zh-CN" w:bidi="ar-SA"/>
    </w:rPr>
  </w:style>
  <w:style w:type="character" w:customStyle="1" w:styleId="113">
    <w:name w:val="Char Char23"/>
    <w:basedOn w:val="53"/>
    <w:qFormat/>
    <w:uiPriority w:val="0"/>
    <w:rPr>
      <w:rFonts w:ascii="Cambria" w:hAnsi="Cambria" w:eastAsia="宋体" w:cs="Times New Roman"/>
      <w:b/>
      <w:bCs/>
      <w:kern w:val="2"/>
      <w:sz w:val="32"/>
      <w:szCs w:val="32"/>
    </w:rPr>
  </w:style>
  <w:style w:type="character" w:customStyle="1" w:styleId="114">
    <w:name w:val="Intense Quote Char1"/>
    <w:basedOn w:val="53"/>
    <w:link w:val="115"/>
    <w:qFormat/>
    <w:uiPriority w:val="0"/>
    <w:rPr>
      <w:rFonts w:ascii="Calibri" w:hAnsi="Calibri" w:eastAsia="宋体"/>
      <w:b/>
      <w:bCs/>
      <w:i/>
      <w:iCs/>
      <w:color w:val="4F81BD"/>
      <w:kern w:val="2"/>
      <w:sz w:val="22"/>
      <w:szCs w:val="22"/>
      <w:lang w:val="en-US" w:eastAsia="zh-CN" w:bidi="ar-SA"/>
    </w:rPr>
  </w:style>
  <w:style w:type="paragraph" w:customStyle="1" w:styleId="115">
    <w:name w:val="明显引用1"/>
    <w:basedOn w:val="1"/>
    <w:next w:val="1"/>
    <w:link w:val="114"/>
    <w:qFormat/>
    <w:uiPriority w:val="0"/>
    <w:pPr>
      <w:pBdr>
        <w:bottom w:val="single" w:color="4F81BD" w:sz="4" w:space="4"/>
      </w:pBdr>
      <w:spacing w:before="200" w:after="280"/>
      <w:ind w:left="936" w:right="936"/>
    </w:pPr>
    <w:rPr>
      <w:rFonts w:ascii="Calibri" w:hAnsi="Calibri"/>
      <w:b/>
      <w:bCs/>
      <w:i/>
      <w:iCs/>
      <w:color w:val="4F81BD"/>
      <w:sz w:val="22"/>
      <w:szCs w:val="22"/>
    </w:rPr>
  </w:style>
  <w:style w:type="character" w:customStyle="1" w:styleId="116">
    <w:name w:val="Footnote Text Char1"/>
    <w:basedOn w:val="53"/>
    <w:qFormat/>
    <w:uiPriority w:val="0"/>
    <w:rPr>
      <w:rFonts w:cs="Times New Roman"/>
      <w:kern w:val="2"/>
      <w:sz w:val="18"/>
      <w:szCs w:val="18"/>
    </w:rPr>
  </w:style>
  <w:style w:type="character" w:customStyle="1" w:styleId="117">
    <w:name w:val="Char Char85"/>
    <w:basedOn w:val="53"/>
    <w:qFormat/>
    <w:uiPriority w:val="0"/>
    <w:rPr>
      <w:rFonts w:ascii="Arial" w:hAnsi="Arial" w:eastAsia="黑体" w:cs="Times New Roman"/>
      <w:b/>
      <w:bCs/>
      <w:kern w:val="2"/>
      <w:sz w:val="32"/>
      <w:szCs w:val="32"/>
      <w:lang w:val="en-US" w:eastAsia="zh-CN" w:bidi="ar-SA"/>
    </w:rPr>
  </w:style>
  <w:style w:type="character" w:customStyle="1" w:styleId="118">
    <w:name w:val="Char Char17"/>
    <w:basedOn w:val="53"/>
    <w:qFormat/>
    <w:uiPriority w:val="0"/>
    <w:rPr>
      <w:rFonts w:hAnsi="Arial" w:eastAsia="仿宋_GB2312"/>
      <w:sz w:val="30"/>
    </w:rPr>
  </w:style>
  <w:style w:type="character" w:customStyle="1" w:styleId="119">
    <w:name w:val="unnamed1"/>
    <w:basedOn w:val="53"/>
    <w:qFormat/>
    <w:uiPriority w:val="0"/>
  </w:style>
  <w:style w:type="character" w:customStyle="1" w:styleId="120">
    <w:name w:val="ca-141"/>
    <w:basedOn w:val="53"/>
    <w:qFormat/>
    <w:uiPriority w:val="0"/>
    <w:rPr>
      <w:rFonts w:hint="eastAsia" w:ascii="仿宋_GB2312" w:eastAsia="仿宋_GB2312"/>
      <w:sz w:val="21"/>
      <w:szCs w:val="21"/>
    </w:rPr>
  </w:style>
  <w:style w:type="character" w:customStyle="1" w:styleId="121">
    <w:name w:val="Char Char64"/>
    <w:basedOn w:val="53"/>
    <w:qFormat/>
    <w:uiPriority w:val="0"/>
    <w:rPr>
      <w:rFonts w:ascii="宋体" w:hAnsi="宋体" w:eastAsia="宋体" w:cs="宋体"/>
      <w:color w:val="000000"/>
      <w:sz w:val="24"/>
      <w:szCs w:val="24"/>
      <w:lang w:val="en-US" w:eastAsia="zh-CN" w:bidi="ar-SA"/>
    </w:rPr>
  </w:style>
  <w:style w:type="character" w:customStyle="1" w:styleId="122">
    <w:name w:val="main_tdbg_7601"/>
    <w:basedOn w:val="53"/>
    <w:qFormat/>
    <w:uiPriority w:val="0"/>
    <w:rPr>
      <w:sz w:val="14"/>
      <w:szCs w:val="14"/>
    </w:rPr>
  </w:style>
  <w:style w:type="character" w:customStyle="1" w:styleId="123">
    <w:name w:val="14t1"/>
    <w:basedOn w:val="53"/>
    <w:qFormat/>
    <w:uiPriority w:val="0"/>
    <w:rPr>
      <w:rFonts w:hint="eastAsia" w:ascii="宋体" w:hAnsi="宋体" w:eastAsia="宋体"/>
      <w:sz w:val="11"/>
      <w:szCs w:val="11"/>
    </w:rPr>
  </w:style>
  <w:style w:type="character" w:customStyle="1" w:styleId="124">
    <w:name w:val="Char Char72"/>
    <w:basedOn w:val="53"/>
    <w:qFormat/>
    <w:uiPriority w:val="0"/>
    <w:rPr>
      <w:rFonts w:eastAsia="宋体" w:cs="Times New Roman"/>
      <w:kern w:val="2"/>
      <w:sz w:val="24"/>
      <w:szCs w:val="24"/>
      <w:lang w:val="en-US" w:eastAsia="zh-CN" w:bidi="ar-SA"/>
    </w:rPr>
  </w:style>
  <w:style w:type="character" w:customStyle="1" w:styleId="125">
    <w:name w:val="Char Char73"/>
    <w:basedOn w:val="53"/>
    <w:qFormat/>
    <w:uiPriority w:val="0"/>
    <w:rPr>
      <w:rFonts w:eastAsia="宋体" w:cs="Times New Roman"/>
      <w:sz w:val="24"/>
      <w:szCs w:val="24"/>
      <w:u w:val="single"/>
      <w:lang w:val="en-US" w:eastAsia="en-US" w:bidi="ar-SA"/>
    </w:rPr>
  </w:style>
  <w:style w:type="character" w:customStyle="1" w:styleId="126">
    <w:name w:val="Quote Char1"/>
    <w:basedOn w:val="53"/>
    <w:link w:val="127"/>
    <w:qFormat/>
    <w:uiPriority w:val="0"/>
    <w:rPr>
      <w:rFonts w:ascii="Calibri" w:hAnsi="Calibri" w:eastAsia="宋体"/>
      <w:i/>
      <w:iCs/>
      <w:color w:val="000000"/>
      <w:kern w:val="2"/>
      <w:sz w:val="22"/>
      <w:szCs w:val="22"/>
      <w:lang w:val="en-US" w:eastAsia="zh-CN" w:bidi="ar-SA"/>
    </w:rPr>
  </w:style>
  <w:style w:type="paragraph" w:customStyle="1" w:styleId="127">
    <w:name w:val="引用1"/>
    <w:basedOn w:val="1"/>
    <w:next w:val="1"/>
    <w:link w:val="126"/>
    <w:qFormat/>
    <w:uiPriority w:val="0"/>
    <w:rPr>
      <w:rFonts w:ascii="Calibri" w:hAnsi="Calibri"/>
      <w:i/>
      <w:iCs/>
      <w:color w:val="000000"/>
      <w:sz w:val="22"/>
      <w:szCs w:val="22"/>
    </w:rPr>
  </w:style>
  <w:style w:type="character" w:customStyle="1" w:styleId="128">
    <w:name w:val="Char Char1"/>
    <w:basedOn w:val="53"/>
    <w:qFormat/>
    <w:uiPriority w:val="0"/>
    <w:rPr>
      <w:rFonts w:eastAsia="宋体" w:cs="Times New Roman"/>
      <w:kern w:val="2"/>
      <w:sz w:val="18"/>
      <w:szCs w:val="18"/>
      <w:lang w:val="en-US" w:eastAsia="zh-CN" w:bidi="ar-SA"/>
    </w:rPr>
  </w:style>
  <w:style w:type="character" w:customStyle="1" w:styleId="129">
    <w:name w:val="Char Char12"/>
    <w:basedOn w:val="53"/>
    <w:qFormat/>
    <w:uiPriority w:val="0"/>
    <w:rPr>
      <w:rFonts w:ascii="宋体" w:hAnsi="Courier New" w:cs="Courier New"/>
      <w:kern w:val="2"/>
      <w:sz w:val="21"/>
      <w:szCs w:val="21"/>
    </w:rPr>
  </w:style>
  <w:style w:type="character" w:customStyle="1" w:styleId="130">
    <w:name w:val="样式3 Char Char"/>
    <w:basedOn w:val="106"/>
    <w:qFormat/>
    <w:uiPriority w:val="0"/>
    <w:rPr>
      <w:rFonts w:ascii="宋体" w:hAnsi="宋体" w:eastAsia="仿宋_GB2312" w:cs="Times New Roman"/>
      <w:kern w:val="2"/>
      <w:sz w:val="32"/>
      <w:szCs w:val="32"/>
      <w:lang w:val="en-US" w:eastAsia="zh-CN" w:bidi="ar-SA"/>
    </w:rPr>
  </w:style>
  <w:style w:type="character" w:customStyle="1" w:styleId="131">
    <w:name w:val="0d1471"/>
    <w:basedOn w:val="53"/>
    <w:qFormat/>
    <w:uiPriority w:val="0"/>
    <w:rPr>
      <w:color w:val="000000"/>
      <w:sz w:val="11"/>
      <w:szCs w:val="11"/>
      <w:u w:val="none"/>
    </w:rPr>
  </w:style>
  <w:style w:type="character" w:customStyle="1" w:styleId="132">
    <w:name w:val="Char Char33"/>
    <w:basedOn w:val="53"/>
    <w:qFormat/>
    <w:uiPriority w:val="0"/>
    <w:rPr>
      <w:rFonts w:ascii="宋体" w:hAnsi="Courier New" w:eastAsia="宋体" w:cs="Times New Roman"/>
      <w:kern w:val="2"/>
      <w:sz w:val="21"/>
      <w:szCs w:val="21"/>
      <w:lang w:val="en-US" w:eastAsia="zh-CN" w:bidi="ar-SA"/>
    </w:rPr>
  </w:style>
  <w:style w:type="character" w:customStyle="1" w:styleId="133">
    <w:name w:val="Char Char71"/>
    <w:basedOn w:val="53"/>
    <w:qFormat/>
    <w:uiPriority w:val="0"/>
    <w:rPr>
      <w:rFonts w:eastAsia="宋体" w:cs="Times New Roman"/>
      <w:sz w:val="24"/>
      <w:lang w:val="en-US" w:eastAsia="zh-CN" w:bidi="ar-SA"/>
    </w:rPr>
  </w:style>
  <w:style w:type="character" w:customStyle="1" w:styleId="134">
    <w:name w:val="Char Char47"/>
    <w:basedOn w:val="53"/>
    <w:qFormat/>
    <w:uiPriority w:val="0"/>
    <w:rPr>
      <w:rFonts w:eastAsia="宋体" w:cs="Times New Roman"/>
      <w:sz w:val="24"/>
      <w:szCs w:val="24"/>
      <w:u w:val="single"/>
      <w:lang w:val="en-US" w:eastAsia="en-US" w:bidi="ar-SA"/>
    </w:rPr>
  </w:style>
  <w:style w:type="character" w:customStyle="1" w:styleId="135">
    <w:name w:val="手改 Char Char"/>
    <w:basedOn w:val="53"/>
    <w:qFormat/>
    <w:uiPriority w:val="0"/>
    <w:rPr>
      <w:kern w:val="2"/>
      <w:sz w:val="21"/>
      <w:szCs w:val="24"/>
    </w:rPr>
  </w:style>
  <w:style w:type="character" w:customStyle="1" w:styleId="136">
    <w:name w:val="Char Char19"/>
    <w:basedOn w:val="53"/>
    <w:qFormat/>
    <w:uiPriority w:val="0"/>
    <w:rPr>
      <w:rFonts w:hAnsi="Arial" w:eastAsia="仿宋_GB2312"/>
      <w:sz w:val="30"/>
    </w:rPr>
  </w:style>
  <w:style w:type="character" w:customStyle="1" w:styleId="137">
    <w:name w:val="Char Char44"/>
    <w:basedOn w:val="53"/>
    <w:qFormat/>
    <w:uiPriority w:val="0"/>
    <w:rPr>
      <w:rFonts w:eastAsia="宋体" w:cs="Times New Roman"/>
      <w:sz w:val="24"/>
      <w:szCs w:val="24"/>
      <w:u w:val="single"/>
      <w:lang w:val="en-US" w:eastAsia="en-US" w:bidi="ar-SA"/>
    </w:rPr>
  </w:style>
  <w:style w:type="character" w:customStyle="1" w:styleId="138">
    <w:name w:val="Char Char3"/>
    <w:basedOn w:val="53"/>
    <w:qFormat/>
    <w:uiPriority w:val="0"/>
    <w:rPr>
      <w:rFonts w:ascii="Arial" w:hAnsi="Arial" w:cs="Arial"/>
      <w:sz w:val="18"/>
      <w:szCs w:val="18"/>
      <w:lang w:eastAsia="en-US"/>
    </w:rPr>
  </w:style>
  <w:style w:type="character" w:customStyle="1" w:styleId="139">
    <w:name w:val="Char Char8"/>
    <w:basedOn w:val="53"/>
    <w:qFormat/>
    <w:uiPriority w:val="0"/>
    <w:rPr>
      <w:kern w:val="2"/>
      <w:sz w:val="18"/>
      <w:szCs w:val="18"/>
    </w:rPr>
  </w:style>
  <w:style w:type="character" w:customStyle="1" w:styleId="140">
    <w:name w:val="Char Char10"/>
    <w:basedOn w:val="53"/>
    <w:qFormat/>
    <w:uiPriority w:val="0"/>
    <w:rPr>
      <w:kern w:val="2"/>
      <w:sz w:val="21"/>
      <w:szCs w:val="24"/>
    </w:rPr>
  </w:style>
  <w:style w:type="character" w:customStyle="1" w:styleId="141">
    <w:name w:val="Char Char60"/>
    <w:basedOn w:val="53"/>
    <w:qFormat/>
    <w:uiPriority w:val="0"/>
    <w:rPr>
      <w:rFonts w:eastAsia="宋体" w:cs="Times New Roman"/>
      <w:kern w:val="2"/>
      <w:sz w:val="18"/>
      <w:szCs w:val="18"/>
      <w:lang w:val="en-US" w:eastAsia="zh-CN" w:bidi="ar-SA"/>
    </w:rPr>
  </w:style>
  <w:style w:type="character" w:customStyle="1" w:styleId="142">
    <w:name w:val="样式1 Char Char"/>
    <w:basedOn w:val="143"/>
    <w:link w:val="144"/>
    <w:qFormat/>
    <w:uiPriority w:val="0"/>
    <w:rPr>
      <w:rFonts w:ascii="宋体" w:hAnsi="宋体" w:eastAsia="宋体" w:cs="Times New Roman"/>
      <w:kern w:val="2"/>
      <w:sz w:val="21"/>
      <w:szCs w:val="21"/>
      <w:lang w:val="en-US" w:eastAsia="zh-CN" w:bidi="ar-SA"/>
    </w:rPr>
  </w:style>
  <w:style w:type="character" w:customStyle="1" w:styleId="143">
    <w:name w:val="Char Char28"/>
    <w:basedOn w:val="53"/>
    <w:qFormat/>
    <w:uiPriority w:val="0"/>
    <w:rPr>
      <w:rFonts w:eastAsia="宋体" w:cs="Times New Roman"/>
      <w:b/>
      <w:bCs/>
      <w:kern w:val="44"/>
      <w:sz w:val="44"/>
      <w:szCs w:val="44"/>
      <w:lang w:val="en-US" w:eastAsia="zh-CN" w:bidi="ar-SA"/>
    </w:rPr>
  </w:style>
  <w:style w:type="paragraph" w:customStyle="1" w:styleId="144">
    <w:name w:val="样式1"/>
    <w:basedOn w:val="1"/>
    <w:next w:val="6"/>
    <w:link w:val="142"/>
    <w:qFormat/>
    <w:uiPriority w:val="0"/>
    <w:pPr>
      <w:spacing w:line="360" w:lineRule="auto"/>
      <w:ind w:firstLine="420" w:firstLineChars="200"/>
    </w:pPr>
    <w:rPr>
      <w:rFonts w:ascii="宋体" w:hAnsi="宋体"/>
      <w:szCs w:val="21"/>
    </w:rPr>
  </w:style>
  <w:style w:type="character" w:customStyle="1" w:styleId="145">
    <w:name w:val="normaltext1"/>
    <w:basedOn w:val="53"/>
    <w:qFormat/>
    <w:uiPriority w:val="0"/>
    <w:rPr>
      <w:rFonts w:hint="default" w:ascii="ˎ̥" w:hAnsi="ˎ̥"/>
      <w:sz w:val="9"/>
      <w:szCs w:val="9"/>
    </w:rPr>
  </w:style>
  <w:style w:type="character" w:customStyle="1" w:styleId="146">
    <w:name w:val="Char Char39"/>
    <w:basedOn w:val="53"/>
    <w:qFormat/>
    <w:uiPriority w:val="0"/>
    <w:rPr>
      <w:rFonts w:eastAsia="宋体" w:cs="Times New Roman"/>
      <w:kern w:val="2"/>
      <w:sz w:val="18"/>
      <w:szCs w:val="18"/>
      <w:lang w:val="en-US" w:eastAsia="zh-CN" w:bidi="ar-SA"/>
    </w:rPr>
  </w:style>
  <w:style w:type="character" w:customStyle="1" w:styleId="147">
    <w:name w:val="Char Char70"/>
    <w:basedOn w:val="53"/>
    <w:qFormat/>
    <w:uiPriority w:val="0"/>
    <w:rPr>
      <w:rFonts w:eastAsia="宋体" w:cs="Times New Roman"/>
      <w:kern w:val="2"/>
      <w:sz w:val="18"/>
      <w:szCs w:val="18"/>
      <w:lang w:val="en-US" w:eastAsia="zh-CN" w:bidi="ar-SA"/>
    </w:rPr>
  </w:style>
  <w:style w:type="character" w:customStyle="1" w:styleId="148">
    <w:name w:val="Char Char5"/>
    <w:basedOn w:val="53"/>
    <w:qFormat/>
    <w:uiPriority w:val="0"/>
    <w:rPr>
      <w:szCs w:val="24"/>
      <w:u w:val="single"/>
      <w:lang w:eastAsia="en-US"/>
    </w:rPr>
  </w:style>
  <w:style w:type="character" w:customStyle="1" w:styleId="149">
    <w:name w:val="Char Char131"/>
    <w:basedOn w:val="53"/>
    <w:qFormat/>
    <w:uiPriority w:val="0"/>
    <w:rPr>
      <w:kern w:val="2"/>
      <w:sz w:val="16"/>
      <w:szCs w:val="16"/>
    </w:rPr>
  </w:style>
  <w:style w:type="character" w:customStyle="1" w:styleId="150">
    <w:name w:val="ht1"/>
    <w:basedOn w:val="53"/>
    <w:qFormat/>
    <w:uiPriority w:val="0"/>
    <w:rPr>
      <w:rFonts w:ascii="黑体" w:eastAsia="黑体"/>
      <w:b/>
      <w:bCs/>
    </w:rPr>
  </w:style>
  <w:style w:type="character" w:customStyle="1" w:styleId="151">
    <w:name w:val="Char Char32"/>
    <w:basedOn w:val="53"/>
    <w:qFormat/>
    <w:uiPriority w:val="0"/>
    <w:rPr>
      <w:rFonts w:ascii="宋体" w:hAnsi="宋体" w:eastAsia="宋体" w:cs="Times New Roman"/>
      <w:kern w:val="2"/>
      <w:sz w:val="24"/>
      <w:szCs w:val="24"/>
      <w:lang w:val="en-US" w:eastAsia="zh-CN" w:bidi="ar-SA"/>
    </w:rPr>
  </w:style>
  <w:style w:type="character" w:customStyle="1" w:styleId="152">
    <w:name w:val="Char Char9"/>
    <w:basedOn w:val="140"/>
    <w:qFormat/>
    <w:uiPriority w:val="0"/>
    <w:rPr>
      <w:b/>
      <w:bCs/>
      <w:kern w:val="2"/>
      <w:sz w:val="21"/>
      <w:szCs w:val="24"/>
    </w:rPr>
  </w:style>
  <w:style w:type="character" w:customStyle="1" w:styleId="153">
    <w:name w:val="font161"/>
    <w:basedOn w:val="53"/>
    <w:qFormat/>
    <w:uiPriority w:val="0"/>
    <w:rPr>
      <w:b/>
      <w:bCs/>
      <w:sz w:val="32"/>
      <w:szCs w:val="32"/>
    </w:rPr>
  </w:style>
  <w:style w:type="character" w:customStyle="1" w:styleId="154">
    <w:name w:val="Char Char2"/>
    <w:basedOn w:val="53"/>
    <w:qFormat/>
    <w:uiPriority w:val="0"/>
    <w:rPr>
      <w:rFonts w:ascii="Arial" w:hAnsi="Arial" w:cs="Arial"/>
      <w:szCs w:val="24"/>
      <w:lang w:eastAsia="en-US"/>
    </w:rPr>
  </w:style>
  <w:style w:type="character" w:customStyle="1" w:styleId="155">
    <w:name w:val="Char Char83"/>
    <w:basedOn w:val="53"/>
    <w:qFormat/>
    <w:uiPriority w:val="0"/>
    <w:rPr>
      <w:rFonts w:ascii="Arial" w:hAnsi="Arial" w:eastAsia="黑体" w:cs="Times New Roman"/>
      <w:b/>
      <w:bCs/>
      <w:kern w:val="2"/>
      <w:sz w:val="28"/>
      <w:szCs w:val="28"/>
      <w:lang w:val="en-US" w:eastAsia="zh-CN" w:bidi="ar-SA"/>
    </w:rPr>
  </w:style>
  <w:style w:type="character" w:customStyle="1" w:styleId="156">
    <w:name w:val="Char Char14"/>
    <w:basedOn w:val="53"/>
    <w:qFormat/>
    <w:uiPriority w:val="0"/>
    <w:rPr>
      <w:kern w:val="2"/>
      <w:sz w:val="18"/>
      <w:szCs w:val="18"/>
    </w:rPr>
  </w:style>
  <w:style w:type="character" w:customStyle="1" w:styleId="157">
    <w:name w:val="Char Char20"/>
    <w:basedOn w:val="53"/>
    <w:qFormat/>
    <w:uiPriority w:val="0"/>
    <w:rPr>
      <w:rFonts w:ascii="宋体" w:hAnsi="宋体" w:cs="宋体"/>
      <w:b/>
      <w:bCs/>
    </w:rPr>
  </w:style>
  <w:style w:type="character" w:customStyle="1" w:styleId="158">
    <w:name w:val="Document Map Char1"/>
    <w:basedOn w:val="53"/>
    <w:qFormat/>
    <w:uiPriority w:val="0"/>
    <w:rPr>
      <w:rFonts w:cs="Times New Roman"/>
      <w:kern w:val="2"/>
      <w:sz w:val="2"/>
    </w:rPr>
  </w:style>
  <w:style w:type="character" w:customStyle="1" w:styleId="159">
    <w:name w:val="标题5 Char Char"/>
    <w:link w:val="160"/>
    <w:qFormat/>
    <w:uiPriority w:val="0"/>
    <w:rPr>
      <w:rFonts w:ascii="Arial" w:hAnsi="Arial"/>
      <w:b/>
      <w:sz w:val="32"/>
      <w:lang w:bidi="ar-SA"/>
    </w:rPr>
  </w:style>
  <w:style w:type="paragraph" w:customStyle="1" w:styleId="160">
    <w:name w:val="标题5"/>
    <w:basedOn w:val="5"/>
    <w:link w:val="159"/>
    <w:qFormat/>
    <w:uiPriority w:val="0"/>
    <w:pPr>
      <w:spacing w:line="413" w:lineRule="auto"/>
    </w:pPr>
    <w:rPr>
      <w:rFonts w:ascii="Arial" w:hAnsi="Arial"/>
      <w:bCs w:val="0"/>
      <w:kern w:val="0"/>
      <w:szCs w:val="20"/>
    </w:rPr>
  </w:style>
  <w:style w:type="character" w:customStyle="1" w:styleId="161">
    <w:name w:val="style21"/>
    <w:basedOn w:val="53"/>
    <w:qFormat/>
    <w:uiPriority w:val="0"/>
    <w:rPr>
      <w:b/>
      <w:bCs/>
      <w:sz w:val="28"/>
      <w:szCs w:val="28"/>
    </w:rPr>
  </w:style>
  <w:style w:type="character" w:customStyle="1" w:styleId="162">
    <w:name w:val="Char Char26"/>
    <w:basedOn w:val="53"/>
    <w:qFormat/>
    <w:uiPriority w:val="0"/>
    <w:rPr>
      <w:rFonts w:eastAsia="宋体" w:cs="Times New Roman"/>
      <w:b/>
      <w:bCs/>
      <w:kern w:val="2"/>
      <w:sz w:val="32"/>
      <w:szCs w:val="32"/>
      <w:lang w:val="en-US" w:eastAsia="zh-CN" w:bidi="ar-SA"/>
    </w:rPr>
  </w:style>
  <w:style w:type="character" w:customStyle="1" w:styleId="163">
    <w:name w:val="title11"/>
    <w:basedOn w:val="53"/>
    <w:qFormat/>
    <w:uiPriority w:val="0"/>
    <w:rPr>
      <w:b/>
      <w:bCs/>
      <w:color w:val="FFFFFF"/>
      <w:sz w:val="11"/>
      <w:szCs w:val="11"/>
    </w:rPr>
  </w:style>
  <w:style w:type="character" w:customStyle="1" w:styleId="164">
    <w:name w:val="Char Char62"/>
    <w:basedOn w:val="53"/>
    <w:qFormat/>
    <w:uiPriority w:val="0"/>
    <w:rPr>
      <w:rFonts w:ascii="宋体" w:hAnsi="Courier New" w:eastAsia="宋体" w:cs="Times New Roman"/>
      <w:kern w:val="2"/>
      <w:sz w:val="21"/>
      <w:szCs w:val="21"/>
      <w:lang w:val="en-US" w:eastAsia="zh-CN" w:bidi="ar-SA"/>
    </w:rPr>
  </w:style>
  <w:style w:type="character" w:customStyle="1" w:styleId="165">
    <w:name w:val="Char Char35"/>
    <w:basedOn w:val="53"/>
    <w:qFormat/>
    <w:uiPriority w:val="0"/>
    <w:rPr>
      <w:rFonts w:ascii="宋体" w:hAnsi="宋体" w:eastAsia="宋体" w:cs="宋体"/>
      <w:color w:val="000000"/>
      <w:sz w:val="24"/>
      <w:szCs w:val="24"/>
      <w:lang w:val="en-US" w:eastAsia="zh-CN" w:bidi="ar-SA"/>
    </w:rPr>
  </w:style>
  <w:style w:type="character" w:customStyle="1" w:styleId="166">
    <w:name w:val="Char Char15"/>
    <w:basedOn w:val="53"/>
    <w:qFormat/>
    <w:uiPriority w:val="0"/>
    <w:rPr>
      <w:kern w:val="2"/>
      <w:sz w:val="21"/>
      <w:szCs w:val="24"/>
    </w:rPr>
  </w:style>
  <w:style w:type="character" w:customStyle="1" w:styleId="167">
    <w:name w:val="Char Char74"/>
    <w:basedOn w:val="53"/>
    <w:qFormat/>
    <w:uiPriority w:val="0"/>
    <w:rPr>
      <w:rFonts w:eastAsia="宋体" w:cs="Times New Roman"/>
      <w:kern w:val="2"/>
      <w:sz w:val="24"/>
      <w:szCs w:val="24"/>
      <w:lang w:val="en-US" w:eastAsia="zh-CN" w:bidi="ar-SA"/>
    </w:rPr>
  </w:style>
  <w:style w:type="character" w:customStyle="1" w:styleId="168">
    <w:name w:val="Char Char78"/>
    <w:basedOn w:val="53"/>
    <w:qFormat/>
    <w:uiPriority w:val="0"/>
    <w:rPr>
      <w:rFonts w:ascii="Arial" w:hAnsi="Arial" w:eastAsia="黑体" w:cs="Times New Roman"/>
      <w:kern w:val="2"/>
      <w:sz w:val="21"/>
      <w:szCs w:val="21"/>
      <w:lang w:val="en-US" w:eastAsia="zh-CN" w:bidi="ar-SA"/>
    </w:rPr>
  </w:style>
  <w:style w:type="character" w:customStyle="1" w:styleId="169">
    <w:name w:val="intel3"/>
    <w:basedOn w:val="53"/>
    <w:qFormat/>
    <w:uiPriority w:val="0"/>
  </w:style>
  <w:style w:type="character" w:customStyle="1" w:styleId="170">
    <w:name w:val="Char Char29"/>
    <w:basedOn w:val="53"/>
    <w:qFormat/>
    <w:uiPriority w:val="0"/>
    <w:rPr>
      <w:rFonts w:cs="Times New Roman"/>
      <w:kern w:val="2"/>
      <w:sz w:val="16"/>
      <w:szCs w:val="16"/>
    </w:rPr>
  </w:style>
  <w:style w:type="character" w:customStyle="1" w:styleId="171">
    <w:name w:val="Char Char16"/>
    <w:basedOn w:val="53"/>
    <w:qFormat/>
    <w:uiPriority w:val="0"/>
    <w:rPr>
      <w:rFonts w:eastAsia="仿宋_GB2312"/>
      <w:sz w:val="30"/>
    </w:rPr>
  </w:style>
  <w:style w:type="character" w:customStyle="1" w:styleId="172">
    <w:name w:val="Char Char22"/>
    <w:basedOn w:val="53"/>
    <w:qFormat/>
    <w:uiPriority w:val="0"/>
    <w:rPr>
      <w:b/>
      <w:bCs/>
      <w:kern w:val="2"/>
      <w:sz w:val="32"/>
      <w:szCs w:val="32"/>
    </w:rPr>
  </w:style>
  <w:style w:type="character" w:customStyle="1" w:styleId="173">
    <w:name w:val="Char Char76"/>
    <w:basedOn w:val="53"/>
    <w:qFormat/>
    <w:uiPriority w:val="0"/>
    <w:rPr>
      <w:rFonts w:eastAsia="宋体" w:cs="Times New Roman"/>
      <w:sz w:val="24"/>
      <w:szCs w:val="24"/>
      <w:u w:val="single"/>
      <w:lang w:val="en-US" w:eastAsia="en-US" w:bidi="ar-SA"/>
    </w:rPr>
  </w:style>
  <w:style w:type="character" w:customStyle="1" w:styleId="174">
    <w:name w:val="批注主题 Char Char"/>
    <w:basedOn w:val="90"/>
    <w:qFormat/>
    <w:uiPriority w:val="0"/>
    <w:rPr>
      <w:rFonts w:ascii="宋体" w:hAnsi="宋体" w:eastAsia="宋体"/>
      <w:kern w:val="2"/>
      <w:sz w:val="24"/>
      <w:szCs w:val="28"/>
      <w:lang w:val="en-US" w:eastAsia="zh-CN" w:bidi="ar-SA"/>
    </w:rPr>
  </w:style>
  <w:style w:type="character" w:customStyle="1" w:styleId="175">
    <w:name w:val="style31"/>
    <w:basedOn w:val="53"/>
    <w:qFormat/>
    <w:uiPriority w:val="0"/>
    <w:rPr>
      <w:sz w:val="10"/>
      <w:szCs w:val="10"/>
    </w:rPr>
  </w:style>
  <w:style w:type="character" w:customStyle="1" w:styleId="176">
    <w:name w:val="Char Char59"/>
    <w:basedOn w:val="53"/>
    <w:qFormat/>
    <w:uiPriority w:val="0"/>
    <w:rPr>
      <w:rFonts w:eastAsia="宋体" w:cs="Times New Roman"/>
      <w:sz w:val="24"/>
      <w:lang w:val="en-US" w:eastAsia="zh-CN" w:bidi="ar-SA"/>
    </w:rPr>
  </w:style>
  <w:style w:type="character" w:customStyle="1" w:styleId="177">
    <w:name w:val="Char Char48"/>
    <w:basedOn w:val="178"/>
    <w:qFormat/>
    <w:uiPriority w:val="0"/>
    <w:rPr>
      <w:rFonts w:ascii="宋体" w:hAnsi="宋体" w:eastAsia="宋体" w:cs="Times New Roman"/>
      <w:kern w:val="2"/>
      <w:sz w:val="24"/>
      <w:szCs w:val="24"/>
      <w:lang w:val="en-US" w:eastAsia="zh-CN" w:bidi="ar-SA"/>
    </w:rPr>
  </w:style>
  <w:style w:type="character" w:customStyle="1" w:styleId="178">
    <w:name w:val="Char Char40"/>
    <w:basedOn w:val="53"/>
    <w:qFormat/>
    <w:uiPriority w:val="0"/>
    <w:rPr>
      <w:rFonts w:ascii="宋体" w:hAnsi="宋体" w:eastAsia="宋体" w:cs="Times New Roman"/>
      <w:kern w:val="2"/>
      <w:sz w:val="24"/>
      <w:szCs w:val="24"/>
      <w:lang w:val="en-US" w:eastAsia="zh-CN" w:bidi="ar-SA"/>
    </w:rPr>
  </w:style>
  <w:style w:type="character" w:customStyle="1" w:styleId="179">
    <w:name w:val="Char Char86"/>
    <w:basedOn w:val="53"/>
    <w:qFormat/>
    <w:uiPriority w:val="0"/>
    <w:rPr>
      <w:rFonts w:eastAsia="宋体" w:cs="Times New Roman"/>
      <w:b/>
      <w:bCs/>
      <w:kern w:val="44"/>
      <w:sz w:val="44"/>
      <w:szCs w:val="44"/>
      <w:lang w:val="en-US" w:eastAsia="zh-CN" w:bidi="ar-SA"/>
    </w:rPr>
  </w:style>
  <w:style w:type="character" w:customStyle="1" w:styleId="180">
    <w:name w:val="Char Char67"/>
    <w:basedOn w:val="53"/>
    <w:qFormat/>
    <w:uiPriority w:val="0"/>
    <w:rPr>
      <w:rFonts w:eastAsia="宋体" w:cs="Times New Roman"/>
      <w:kern w:val="2"/>
      <w:sz w:val="24"/>
      <w:szCs w:val="24"/>
      <w:lang w:val="en-US" w:eastAsia="zh-CN" w:bidi="ar-SA"/>
    </w:rPr>
  </w:style>
  <w:style w:type="character" w:customStyle="1" w:styleId="181">
    <w:name w:val="Char Char27"/>
    <w:basedOn w:val="53"/>
    <w:qFormat/>
    <w:uiPriority w:val="0"/>
    <w:rPr>
      <w:rFonts w:ascii="Arial" w:hAnsi="Arial" w:eastAsia="黑体" w:cs="Times New Roman"/>
      <w:b/>
      <w:bCs/>
      <w:kern w:val="2"/>
      <w:sz w:val="32"/>
      <w:szCs w:val="32"/>
      <w:lang w:val="en-US" w:eastAsia="zh-CN" w:bidi="ar-SA"/>
    </w:rPr>
  </w:style>
  <w:style w:type="character" w:customStyle="1" w:styleId="182">
    <w:name w:val="标题4 Char Char"/>
    <w:link w:val="183"/>
    <w:qFormat/>
    <w:uiPriority w:val="0"/>
    <w:rPr>
      <w:rFonts w:ascii="Arial" w:hAnsi="Arial"/>
      <w:b/>
      <w:sz w:val="32"/>
      <w:lang w:bidi="ar-SA"/>
    </w:rPr>
  </w:style>
  <w:style w:type="paragraph" w:customStyle="1" w:styleId="183">
    <w:name w:val="标题4"/>
    <w:basedOn w:val="4"/>
    <w:next w:val="23"/>
    <w:link w:val="182"/>
    <w:qFormat/>
    <w:uiPriority w:val="0"/>
    <w:pPr>
      <w:spacing w:line="413" w:lineRule="auto"/>
    </w:pPr>
    <w:rPr>
      <w:rFonts w:ascii="Arial" w:hAnsi="Arial"/>
      <w:bCs w:val="0"/>
      <w:kern w:val="0"/>
      <w:szCs w:val="20"/>
    </w:rPr>
  </w:style>
  <w:style w:type="character" w:customStyle="1" w:styleId="184">
    <w:name w:val="Char Char61"/>
    <w:basedOn w:val="53"/>
    <w:qFormat/>
    <w:uiPriority w:val="0"/>
    <w:rPr>
      <w:rFonts w:ascii="宋体" w:hAnsi="宋体" w:eastAsia="宋体" w:cs="Times New Roman"/>
      <w:kern w:val="2"/>
      <w:sz w:val="24"/>
      <w:szCs w:val="24"/>
      <w:lang w:val="en-US" w:eastAsia="zh-CN" w:bidi="ar-SA"/>
    </w:rPr>
  </w:style>
  <w:style w:type="character" w:customStyle="1" w:styleId="185">
    <w:name w:val="Char Char24"/>
    <w:basedOn w:val="53"/>
    <w:qFormat/>
    <w:uiPriority w:val="0"/>
    <w:rPr>
      <w:b/>
      <w:bCs/>
      <w:kern w:val="44"/>
      <w:sz w:val="44"/>
      <w:szCs w:val="44"/>
    </w:rPr>
  </w:style>
  <w:style w:type="character" w:customStyle="1" w:styleId="186">
    <w:name w:val="style161"/>
    <w:basedOn w:val="53"/>
    <w:qFormat/>
    <w:uiPriority w:val="0"/>
    <w:rPr>
      <w:b/>
      <w:bCs/>
      <w:color w:val="333333"/>
    </w:rPr>
  </w:style>
  <w:style w:type="character" w:customStyle="1" w:styleId="187">
    <w:name w:val="Char Char57"/>
    <w:basedOn w:val="53"/>
    <w:qFormat/>
    <w:uiPriority w:val="0"/>
    <w:rPr>
      <w:rFonts w:eastAsia="宋体" w:cs="Times New Roman"/>
      <w:b/>
      <w:bCs/>
      <w:kern w:val="44"/>
      <w:sz w:val="44"/>
      <w:szCs w:val="44"/>
      <w:lang w:val="en-US" w:eastAsia="zh-CN" w:bidi="ar-SA"/>
    </w:rPr>
  </w:style>
  <w:style w:type="character" w:customStyle="1" w:styleId="188">
    <w:name w:val="Char Char50"/>
    <w:basedOn w:val="53"/>
    <w:qFormat/>
    <w:uiPriority w:val="0"/>
    <w:rPr>
      <w:rFonts w:ascii="Arial" w:hAnsi="Arial" w:eastAsia="黑体" w:cs="Times New Roman"/>
      <w:kern w:val="2"/>
      <w:sz w:val="24"/>
      <w:szCs w:val="24"/>
      <w:lang w:val="en-US" w:eastAsia="zh-CN" w:bidi="ar-SA"/>
    </w:rPr>
  </w:style>
  <w:style w:type="character" w:customStyle="1" w:styleId="189">
    <w:name w:val="Char Char41"/>
    <w:basedOn w:val="53"/>
    <w:qFormat/>
    <w:uiPriority w:val="0"/>
    <w:rPr>
      <w:rFonts w:eastAsia="宋体" w:cs="Times New Roman"/>
      <w:kern w:val="2"/>
      <w:sz w:val="18"/>
      <w:szCs w:val="18"/>
      <w:lang w:val="en-US" w:eastAsia="zh-CN" w:bidi="ar-SA"/>
    </w:rPr>
  </w:style>
  <w:style w:type="character" w:customStyle="1" w:styleId="190">
    <w:name w:val="Char Char45"/>
    <w:basedOn w:val="53"/>
    <w:qFormat/>
    <w:uiPriority w:val="0"/>
    <w:rPr>
      <w:rFonts w:eastAsia="宋体" w:cs="Times New Roman"/>
      <w:kern w:val="2"/>
      <w:sz w:val="24"/>
      <w:szCs w:val="24"/>
      <w:lang w:val="en-US" w:eastAsia="zh-CN" w:bidi="ar-SA"/>
    </w:rPr>
  </w:style>
  <w:style w:type="character" w:customStyle="1" w:styleId="191">
    <w:name w:val="Endnote Text Char1"/>
    <w:basedOn w:val="53"/>
    <w:qFormat/>
    <w:uiPriority w:val="0"/>
    <w:rPr>
      <w:rFonts w:cs="Times New Roman"/>
      <w:kern w:val="2"/>
      <w:sz w:val="24"/>
      <w:szCs w:val="24"/>
    </w:rPr>
  </w:style>
  <w:style w:type="character" w:customStyle="1" w:styleId="192">
    <w:name w:val="Char Char18"/>
    <w:basedOn w:val="53"/>
    <w:qFormat/>
    <w:uiPriority w:val="0"/>
    <w:rPr>
      <w:rFonts w:eastAsia="仿宋_GB2312"/>
      <w:sz w:val="30"/>
    </w:rPr>
  </w:style>
  <w:style w:type="character" w:customStyle="1" w:styleId="193">
    <w:name w:val="ss16"/>
    <w:basedOn w:val="53"/>
    <w:qFormat/>
    <w:uiPriority w:val="0"/>
    <w:rPr>
      <w:rFonts w:hint="eastAsia" w:ascii="宋体" w:hAnsi="宋体" w:eastAsia="宋体"/>
      <w:color w:val="000000"/>
      <w:sz w:val="9"/>
      <w:szCs w:val="9"/>
    </w:rPr>
  </w:style>
  <w:style w:type="character" w:customStyle="1" w:styleId="194">
    <w:name w:val="Char Char49"/>
    <w:basedOn w:val="53"/>
    <w:qFormat/>
    <w:uiPriority w:val="0"/>
    <w:rPr>
      <w:rFonts w:ascii="Arial" w:hAnsi="Arial" w:eastAsia="黑体" w:cs="Times New Roman"/>
      <w:kern w:val="2"/>
      <w:sz w:val="21"/>
      <w:szCs w:val="21"/>
      <w:lang w:val="en-US" w:eastAsia="zh-CN" w:bidi="ar-SA"/>
    </w:rPr>
  </w:style>
  <w:style w:type="character" w:customStyle="1" w:styleId="195">
    <w:name w:val="Char Char52"/>
    <w:basedOn w:val="53"/>
    <w:qFormat/>
    <w:uiPriority w:val="0"/>
    <w:rPr>
      <w:rFonts w:ascii="Arial" w:hAnsi="Arial" w:eastAsia="黑体" w:cs="Times New Roman"/>
      <w:b/>
      <w:bCs/>
      <w:kern w:val="2"/>
      <w:sz w:val="24"/>
      <w:szCs w:val="24"/>
      <w:lang w:val="en-US" w:eastAsia="zh-CN" w:bidi="ar-SA"/>
    </w:rPr>
  </w:style>
  <w:style w:type="character" w:customStyle="1" w:styleId="196">
    <w:name w:val="Char Char53"/>
    <w:basedOn w:val="53"/>
    <w:qFormat/>
    <w:uiPriority w:val="0"/>
    <w:rPr>
      <w:rFonts w:eastAsia="宋体" w:cs="Times New Roman"/>
      <w:b/>
      <w:bCs/>
      <w:kern w:val="2"/>
      <w:sz w:val="28"/>
      <w:szCs w:val="28"/>
      <w:lang w:val="en-US" w:eastAsia="zh-CN" w:bidi="ar-SA"/>
    </w:rPr>
  </w:style>
  <w:style w:type="character" w:customStyle="1" w:styleId="197">
    <w:name w:val="Char Char43"/>
    <w:basedOn w:val="53"/>
    <w:qFormat/>
    <w:uiPriority w:val="0"/>
    <w:rPr>
      <w:rFonts w:eastAsia="宋体" w:cs="Times New Roman"/>
      <w:kern w:val="2"/>
      <w:sz w:val="24"/>
      <w:szCs w:val="24"/>
      <w:lang w:val="en-US" w:eastAsia="zh-CN" w:bidi="ar-SA"/>
    </w:rPr>
  </w:style>
  <w:style w:type="character" w:customStyle="1" w:styleId="198">
    <w:name w:val="Char Char82"/>
    <w:basedOn w:val="53"/>
    <w:qFormat/>
    <w:uiPriority w:val="0"/>
    <w:rPr>
      <w:rFonts w:eastAsia="宋体" w:cs="Times New Roman"/>
      <w:b/>
      <w:bCs/>
      <w:kern w:val="2"/>
      <w:sz w:val="28"/>
      <w:szCs w:val="28"/>
      <w:lang w:val="en-US" w:eastAsia="zh-CN" w:bidi="ar-SA"/>
    </w:rPr>
  </w:style>
  <w:style w:type="character" w:customStyle="1" w:styleId="199">
    <w:name w:val="Char Char13"/>
    <w:basedOn w:val="53"/>
    <w:qFormat/>
    <w:uiPriority w:val="0"/>
    <w:rPr>
      <w:kern w:val="2"/>
      <w:sz w:val="18"/>
      <w:szCs w:val="18"/>
    </w:rPr>
  </w:style>
  <w:style w:type="character" w:customStyle="1" w:styleId="200">
    <w:name w:val="正文文字4 Char Char"/>
    <w:basedOn w:val="53"/>
    <w:qFormat/>
    <w:uiPriority w:val="0"/>
    <w:rPr>
      <w:kern w:val="2"/>
      <w:sz w:val="21"/>
      <w:szCs w:val="24"/>
    </w:rPr>
  </w:style>
  <w:style w:type="character" w:customStyle="1" w:styleId="201">
    <w:name w:val="Char Char65"/>
    <w:basedOn w:val="133"/>
    <w:qFormat/>
    <w:uiPriority w:val="0"/>
    <w:rPr>
      <w:rFonts w:eastAsia="宋体" w:cs="Times New Roman"/>
      <w:b/>
      <w:bCs/>
      <w:kern w:val="2"/>
      <w:sz w:val="24"/>
      <w:szCs w:val="24"/>
      <w:lang w:val="en-US" w:eastAsia="zh-CN" w:bidi="ar-SA"/>
    </w:rPr>
  </w:style>
  <w:style w:type="character" w:customStyle="1" w:styleId="202">
    <w:name w:val="apple-converted-space"/>
    <w:basedOn w:val="53"/>
    <w:qFormat/>
    <w:uiPriority w:val="0"/>
  </w:style>
  <w:style w:type="character" w:customStyle="1" w:styleId="203">
    <w:name w:val="Char Char58"/>
    <w:basedOn w:val="53"/>
    <w:qFormat/>
    <w:uiPriority w:val="0"/>
    <w:rPr>
      <w:rFonts w:cs="Times New Roman"/>
      <w:kern w:val="2"/>
      <w:sz w:val="16"/>
      <w:szCs w:val="16"/>
    </w:rPr>
  </w:style>
  <w:style w:type="character" w:customStyle="1" w:styleId="204">
    <w:name w:val="Plain Text Char"/>
    <w:basedOn w:val="53"/>
    <w:qFormat/>
    <w:uiPriority w:val="0"/>
    <w:rPr>
      <w:rFonts w:ascii="宋体" w:hAnsi="Courier New" w:cs="Courier New"/>
      <w:kern w:val="2"/>
      <w:sz w:val="21"/>
      <w:szCs w:val="21"/>
    </w:rPr>
  </w:style>
  <w:style w:type="character" w:customStyle="1" w:styleId="205">
    <w:name w:val="Char Char31"/>
    <w:basedOn w:val="53"/>
    <w:qFormat/>
    <w:uiPriority w:val="0"/>
    <w:rPr>
      <w:rFonts w:eastAsia="宋体" w:cs="Times New Roman"/>
      <w:kern w:val="2"/>
      <w:sz w:val="18"/>
      <w:szCs w:val="18"/>
      <w:lang w:val="en-US" w:eastAsia="zh-CN" w:bidi="ar-SA"/>
    </w:rPr>
  </w:style>
  <w:style w:type="character" w:customStyle="1" w:styleId="206">
    <w:name w:val="Char Char34"/>
    <w:basedOn w:val="53"/>
    <w:qFormat/>
    <w:uiPriority w:val="0"/>
    <w:rPr>
      <w:rFonts w:eastAsia="宋体" w:cs="Times New Roman"/>
      <w:kern w:val="2"/>
      <w:sz w:val="18"/>
      <w:szCs w:val="18"/>
      <w:lang w:val="en-US" w:eastAsia="zh-CN" w:bidi="ar-SA"/>
    </w:rPr>
  </w:style>
  <w:style w:type="character" w:customStyle="1" w:styleId="207">
    <w:name w:val="Char Char80"/>
    <w:basedOn w:val="53"/>
    <w:qFormat/>
    <w:uiPriority w:val="0"/>
    <w:rPr>
      <w:rFonts w:eastAsia="宋体" w:cs="Times New Roman"/>
      <w:b/>
      <w:bCs/>
      <w:kern w:val="2"/>
      <w:sz w:val="24"/>
      <w:szCs w:val="24"/>
      <w:lang w:val="en-US" w:eastAsia="zh-CN" w:bidi="ar-SA"/>
    </w:rPr>
  </w:style>
  <w:style w:type="character" w:customStyle="1" w:styleId="208">
    <w:name w:val="docpro"/>
    <w:basedOn w:val="53"/>
    <w:qFormat/>
    <w:uiPriority w:val="0"/>
  </w:style>
  <w:style w:type="character" w:customStyle="1" w:styleId="209">
    <w:name w:val="Char Char51"/>
    <w:basedOn w:val="53"/>
    <w:qFormat/>
    <w:uiPriority w:val="0"/>
    <w:rPr>
      <w:rFonts w:eastAsia="宋体" w:cs="Times New Roman"/>
      <w:b/>
      <w:bCs/>
      <w:kern w:val="2"/>
      <w:sz w:val="24"/>
      <w:szCs w:val="24"/>
      <w:lang w:val="en-US" w:eastAsia="zh-CN" w:bidi="ar-SA"/>
    </w:rPr>
  </w:style>
  <w:style w:type="character" w:customStyle="1" w:styleId="210">
    <w:name w:val="Char Char68"/>
    <w:basedOn w:val="53"/>
    <w:qFormat/>
    <w:uiPriority w:val="0"/>
    <w:rPr>
      <w:rFonts w:eastAsia="宋体" w:cs="Times New Roman"/>
      <w:kern w:val="2"/>
      <w:sz w:val="18"/>
      <w:szCs w:val="18"/>
      <w:lang w:val="en-US" w:eastAsia="zh-CN" w:bidi="ar-SA"/>
    </w:rPr>
  </w:style>
  <w:style w:type="character" w:customStyle="1" w:styleId="211">
    <w:name w:val="Char Char6"/>
    <w:basedOn w:val="53"/>
    <w:qFormat/>
    <w:uiPriority w:val="0"/>
    <w:rPr>
      <w:rFonts w:ascii="宋体" w:hAnsi="宋体"/>
      <w:kern w:val="2"/>
      <w:sz w:val="28"/>
      <w:szCs w:val="28"/>
    </w:rPr>
  </w:style>
  <w:style w:type="character" w:customStyle="1" w:styleId="212">
    <w:name w:val="Char Char111"/>
    <w:basedOn w:val="53"/>
    <w:qFormat/>
    <w:uiPriority w:val="0"/>
    <w:rPr>
      <w:rFonts w:ascii="宋体" w:hAnsi="宋体" w:cs="宋体"/>
      <w:color w:val="000000"/>
      <w:sz w:val="24"/>
      <w:szCs w:val="24"/>
    </w:rPr>
  </w:style>
  <w:style w:type="character" w:customStyle="1" w:styleId="213">
    <w:name w:val="Char Char55"/>
    <w:basedOn w:val="53"/>
    <w:qFormat/>
    <w:uiPriority w:val="0"/>
    <w:rPr>
      <w:rFonts w:eastAsia="宋体" w:cs="Times New Roman"/>
      <w:b/>
      <w:bCs/>
      <w:kern w:val="2"/>
      <w:sz w:val="32"/>
      <w:szCs w:val="32"/>
      <w:lang w:val="en-US" w:eastAsia="zh-CN" w:bidi="ar-SA"/>
    </w:rPr>
  </w:style>
  <w:style w:type="character" w:customStyle="1" w:styleId="214">
    <w:name w:val="Char Char30"/>
    <w:basedOn w:val="53"/>
    <w:qFormat/>
    <w:uiPriority w:val="0"/>
    <w:rPr>
      <w:rFonts w:eastAsia="宋体" w:cs="Times New Roman"/>
      <w:sz w:val="24"/>
      <w:lang w:val="en-US" w:eastAsia="zh-CN" w:bidi="ar-SA"/>
    </w:rPr>
  </w:style>
  <w:style w:type="character" w:customStyle="1" w:styleId="215">
    <w:name w:val="Char Char25"/>
    <w:basedOn w:val="53"/>
    <w:qFormat/>
    <w:uiPriority w:val="0"/>
    <w:rPr>
      <w:rFonts w:ascii="Arial" w:hAnsi="Arial" w:eastAsia="黑体" w:cs="Times New Roman"/>
      <w:b/>
      <w:bCs/>
      <w:kern w:val="2"/>
      <w:sz w:val="28"/>
      <w:szCs w:val="28"/>
      <w:lang w:val="en-US" w:eastAsia="zh-CN" w:bidi="ar-SA"/>
    </w:rPr>
  </w:style>
  <w:style w:type="character" w:customStyle="1" w:styleId="216">
    <w:name w:val="Char Char46"/>
    <w:basedOn w:val="53"/>
    <w:qFormat/>
    <w:uiPriority w:val="0"/>
    <w:rPr>
      <w:rFonts w:eastAsia="宋体" w:cs="Times New Roman"/>
      <w:sz w:val="24"/>
      <w:lang w:val="en-US" w:eastAsia="zh-CN" w:bidi="ar-SA"/>
    </w:rPr>
  </w:style>
  <w:style w:type="character" w:customStyle="1" w:styleId="217">
    <w:name w:val="Char Char7"/>
    <w:basedOn w:val="53"/>
    <w:qFormat/>
    <w:uiPriority w:val="0"/>
    <w:rPr>
      <w:sz w:val="28"/>
      <w:szCs w:val="24"/>
    </w:rPr>
  </w:style>
  <w:style w:type="character" w:customStyle="1" w:styleId="218">
    <w:name w:val="Char Char79"/>
    <w:basedOn w:val="53"/>
    <w:qFormat/>
    <w:uiPriority w:val="0"/>
    <w:rPr>
      <w:rFonts w:ascii="Arial" w:hAnsi="Arial" w:eastAsia="黑体" w:cs="Times New Roman"/>
      <w:kern w:val="2"/>
      <w:sz w:val="24"/>
      <w:szCs w:val="24"/>
      <w:lang w:val="en-US" w:eastAsia="zh-CN" w:bidi="ar-SA"/>
    </w:rPr>
  </w:style>
  <w:style w:type="character" w:customStyle="1" w:styleId="219">
    <w:name w:val="color_red1"/>
    <w:basedOn w:val="53"/>
    <w:qFormat/>
    <w:uiPriority w:val="0"/>
    <w:rPr>
      <w:color w:val="FA0004"/>
    </w:rPr>
  </w:style>
  <w:style w:type="character" w:customStyle="1" w:styleId="220">
    <w:name w:val="Char Char37"/>
    <w:basedOn w:val="53"/>
    <w:qFormat/>
    <w:uiPriority w:val="0"/>
    <w:rPr>
      <w:rFonts w:cs="Times New Roman"/>
      <w:kern w:val="2"/>
      <w:sz w:val="24"/>
      <w:szCs w:val="24"/>
    </w:rPr>
  </w:style>
  <w:style w:type="paragraph" w:customStyle="1" w:styleId="221">
    <w:name w:val="rw"/>
    <w:basedOn w:val="1"/>
    <w:qFormat/>
    <w:uiPriority w:val="0"/>
    <w:pPr>
      <w:widowControl/>
      <w:spacing w:before="30"/>
      <w:ind w:left="100" w:right="100"/>
      <w:jc w:val="right"/>
    </w:pPr>
    <w:rPr>
      <w:rFonts w:ascii="方正仿宋简体" w:hAnsi="宋体" w:eastAsia="方正仿宋简体"/>
      <w:color w:val="000000"/>
      <w:kern w:val="0"/>
      <w:szCs w:val="21"/>
    </w:rPr>
  </w:style>
  <w:style w:type="paragraph" w:customStyle="1" w:styleId="222">
    <w:name w:val="1"/>
    <w:basedOn w:val="1"/>
    <w:qFormat/>
    <w:uiPriority w:val="0"/>
    <w:pPr>
      <w:widowControl/>
      <w:spacing w:before="100" w:beforeAutospacing="1" w:after="100" w:afterAutospacing="1"/>
      <w:jc w:val="left"/>
    </w:pPr>
    <w:rPr>
      <w:rFonts w:ascii="ˎ̥" w:hAnsi="ˎ̥" w:cs="宋体"/>
      <w:kern w:val="0"/>
      <w:sz w:val="24"/>
    </w:rPr>
  </w:style>
  <w:style w:type="paragraph" w:customStyle="1" w:styleId="223">
    <w:name w:val="intel1"/>
    <w:basedOn w:val="1"/>
    <w:qFormat/>
    <w:uiPriority w:val="0"/>
    <w:pPr>
      <w:widowControl/>
      <w:spacing w:before="100" w:beforeAutospacing="1" w:after="100" w:afterAutospacing="1"/>
      <w:jc w:val="left"/>
    </w:pPr>
    <w:rPr>
      <w:rFonts w:ascii="宋体" w:hAnsi="宋体" w:cs="宋体"/>
      <w:kern w:val="0"/>
      <w:sz w:val="24"/>
    </w:rPr>
  </w:style>
  <w:style w:type="paragraph" w:customStyle="1" w:styleId="224">
    <w:name w:val="样式 标题 2 + Times New Roman 四号 非加粗 段前: 5 磅 段后: 0 磅 行距: 固定值 20..."/>
    <w:basedOn w:val="4"/>
    <w:qFormat/>
    <w:uiPriority w:val="0"/>
    <w:pPr>
      <w:spacing w:before="100" w:after="0" w:line="400" w:lineRule="exact"/>
    </w:pPr>
    <w:rPr>
      <w:rFonts w:ascii="Times New Roman" w:hAnsi="Times New Roman" w:eastAsia="黑体" w:cs="宋体"/>
      <w:b w:val="0"/>
      <w:bCs w:val="0"/>
      <w:sz w:val="28"/>
      <w:szCs w:val="20"/>
    </w:rPr>
  </w:style>
  <w:style w:type="paragraph" w:customStyle="1" w:styleId="225">
    <w:name w:val="样式3"/>
    <w:basedOn w:val="5"/>
    <w:qFormat/>
    <w:uiPriority w:val="0"/>
    <w:pPr>
      <w:autoSpaceDE w:val="0"/>
      <w:autoSpaceDN w:val="0"/>
      <w:spacing w:line="360" w:lineRule="auto"/>
      <w:ind w:left="119" w:right="-23"/>
      <w:jc w:val="left"/>
    </w:pPr>
    <w:rPr>
      <w:rFonts w:ascii="宋体" w:hAnsi="宋体" w:eastAsia="仿宋_GB2312"/>
      <w:kern w:val="0"/>
      <w:sz w:val="24"/>
    </w:rPr>
  </w:style>
  <w:style w:type="paragraph" w:customStyle="1" w:styleId="226">
    <w:name w:val="Char2 Char Char Char Char Char Char Char Char Char Char Char Char"/>
    <w:basedOn w:val="1"/>
    <w:qFormat/>
    <w:uiPriority w:val="0"/>
    <w:pPr>
      <w:spacing w:line="360" w:lineRule="auto"/>
      <w:ind w:firstLine="200" w:firstLineChars="200"/>
    </w:pPr>
    <w:rPr>
      <w:rFonts w:ascii="Tahoma" w:hAnsi="Tahoma"/>
      <w:sz w:val="24"/>
    </w:rPr>
  </w:style>
  <w:style w:type="paragraph" w:customStyle="1" w:styleId="227">
    <w:name w:val="WW-表格标题"/>
    <w:basedOn w:val="228"/>
    <w:qFormat/>
    <w:uiPriority w:val="0"/>
  </w:style>
  <w:style w:type="paragraph" w:customStyle="1" w:styleId="228">
    <w:name w:val="WW-表格内容"/>
    <w:basedOn w:val="1"/>
    <w:qFormat/>
    <w:uiPriority w:val="0"/>
    <w:pPr>
      <w:suppressLineNumbers/>
      <w:suppressAutoHyphens/>
    </w:pPr>
  </w:style>
  <w:style w:type="paragraph" w:customStyle="1" w:styleId="229">
    <w:name w:val="Char Char Char Char Char Char Char"/>
    <w:basedOn w:val="1"/>
    <w:qFormat/>
    <w:uiPriority w:val="0"/>
    <w:rPr>
      <w:snapToGrid w:val="0"/>
      <w:color w:val="000000"/>
      <w:spacing w:val="16"/>
      <w:sz w:val="22"/>
      <w:szCs w:val="22"/>
    </w:rPr>
  </w:style>
  <w:style w:type="paragraph" w:customStyle="1" w:styleId="230">
    <w:name w:val="List Paragraph"/>
    <w:basedOn w:val="1"/>
    <w:qFormat/>
    <w:uiPriority w:val="0"/>
    <w:pPr>
      <w:ind w:firstLine="420" w:firstLineChars="200"/>
    </w:pPr>
    <w:rPr>
      <w:sz w:val="28"/>
      <w:szCs w:val="28"/>
    </w:rPr>
  </w:style>
  <w:style w:type="paragraph" w:customStyle="1" w:styleId="231">
    <w:name w:val="样式 标题 3 + (中文) 黑体 小四 非加粗 段前: 7.8 磅 段后: 0 磅 行距: 固定值 20 磅"/>
    <w:basedOn w:val="5"/>
    <w:next w:val="1"/>
    <w:qFormat/>
    <w:uiPriority w:val="0"/>
    <w:pPr>
      <w:spacing w:line="400" w:lineRule="exact"/>
    </w:pPr>
    <w:rPr>
      <w:rFonts w:eastAsia="黑体" w:cs="宋体"/>
      <w:b w:val="0"/>
      <w:bCs w:val="0"/>
      <w:sz w:val="24"/>
      <w:szCs w:val="20"/>
    </w:rPr>
  </w:style>
  <w:style w:type="paragraph" w:customStyle="1" w:styleId="232">
    <w:name w:val="rr"/>
    <w:basedOn w:val="1"/>
    <w:qFormat/>
    <w:uiPriority w:val="0"/>
    <w:pPr>
      <w:widowControl/>
      <w:spacing w:before="100" w:beforeAutospacing="1" w:after="100" w:afterAutospacing="1"/>
      <w:jc w:val="left"/>
    </w:pPr>
    <w:rPr>
      <w:rFonts w:hint="eastAsia" w:ascii="宋体" w:hAnsi="宋体"/>
      <w:kern w:val="0"/>
      <w:szCs w:val="21"/>
    </w:rPr>
  </w:style>
  <w:style w:type="paragraph" w:customStyle="1" w:styleId="233">
    <w:name w:val="Char2 Char Char Char Char Char Char Char Char Char Char Char Char1"/>
    <w:basedOn w:val="1"/>
    <w:qFormat/>
    <w:uiPriority w:val="0"/>
    <w:pPr>
      <w:spacing w:line="360" w:lineRule="auto"/>
      <w:ind w:firstLine="200" w:firstLineChars="200"/>
    </w:pPr>
    <w:rPr>
      <w:rFonts w:ascii="Tahoma" w:hAnsi="Tahoma"/>
      <w:sz w:val="24"/>
    </w:rPr>
  </w:style>
  <w:style w:type="paragraph" w:customStyle="1" w:styleId="234">
    <w:name w:val="样式2"/>
    <w:basedOn w:val="4"/>
    <w:qFormat/>
    <w:uiPriority w:val="0"/>
    <w:pPr>
      <w:autoSpaceDE w:val="0"/>
      <w:autoSpaceDN w:val="0"/>
      <w:spacing w:line="300" w:lineRule="exact"/>
      <w:ind w:left="220" w:right="-20"/>
      <w:jc w:val="center"/>
    </w:pPr>
    <w:rPr>
      <w:rFonts w:ascii="宋体" w:hAnsi="宋体" w:eastAsia="仿宋_GB2312"/>
      <w:w w:val="99"/>
      <w:kern w:val="0"/>
      <w:sz w:val="28"/>
      <w:szCs w:val="28"/>
    </w:rPr>
  </w:style>
  <w:style w:type="paragraph" w:customStyle="1" w:styleId="235">
    <w:name w:val="Char"/>
    <w:basedOn w:val="1"/>
    <w:qFormat/>
    <w:uiPriority w:val="0"/>
  </w:style>
  <w:style w:type="paragraph" w:customStyle="1" w:styleId="236">
    <w:name w:val="表格标题"/>
    <w:basedOn w:val="237"/>
    <w:qFormat/>
    <w:uiPriority w:val="0"/>
  </w:style>
  <w:style w:type="paragraph" w:customStyle="1" w:styleId="237">
    <w:name w:val="表格内容"/>
    <w:basedOn w:val="1"/>
    <w:qFormat/>
    <w:uiPriority w:val="0"/>
    <w:pPr>
      <w:suppressLineNumbers/>
      <w:suppressAutoHyphens/>
    </w:pPr>
  </w:style>
  <w:style w:type="paragraph" w:customStyle="1" w:styleId="238">
    <w:name w:val="目录"/>
    <w:basedOn w:val="1"/>
    <w:qFormat/>
    <w:uiPriority w:val="0"/>
    <w:pPr>
      <w:widowControl/>
      <w:jc w:val="center"/>
    </w:pPr>
    <w:rPr>
      <w:rFonts w:ascii="宋体"/>
      <w:b/>
      <w:kern w:val="0"/>
      <w:sz w:val="36"/>
    </w:rPr>
  </w:style>
  <w:style w:type="paragraph" w:customStyle="1" w:styleId="239">
    <w:name w:val="正文小标题"/>
    <w:basedOn w:val="1"/>
    <w:qFormat/>
    <w:uiPriority w:val="0"/>
    <w:pPr>
      <w:tabs>
        <w:tab w:val="left" w:pos="1140"/>
      </w:tabs>
      <w:overflowPunct w:val="0"/>
      <w:autoSpaceDE w:val="0"/>
      <w:autoSpaceDN w:val="0"/>
      <w:adjustRightInd w:val="0"/>
      <w:spacing w:line="360" w:lineRule="auto"/>
      <w:ind w:left="1140" w:hanging="720"/>
      <w:textAlignment w:val="baseline"/>
    </w:pPr>
    <w:rPr>
      <w:rFonts w:ascii="仿宋_GB2312" w:hAnsi="Arial"/>
      <w:kern w:val="0"/>
      <w:sz w:val="24"/>
    </w:rPr>
  </w:style>
  <w:style w:type="paragraph" w:customStyle="1" w:styleId="240">
    <w:name w:val="mtitle"/>
    <w:basedOn w:val="1"/>
    <w:qFormat/>
    <w:uiPriority w:val="0"/>
    <w:pPr>
      <w:widowControl/>
      <w:spacing w:before="30"/>
      <w:jc w:val="center"/>
    </w:pPr>
    <w:rPr>
      <w:rFonts w:ascii="方正小标宋简体" w:hAnsi="宋体" w:eastAsia="方正小标宋简体"/>
      <w:color w:val="000000"/>
      <w:kern w:val="0"/>
      <w:sz w:val="44"/>
      <w:szCs w:val="44"/>
    </w:rPr>
  </w:style>
  <w:style w:type="paragraph" w:customStyle="1" w:styleId="241">
    <w:name w:val="Char Char1 Char Char Char Char Char Char Char"/>
    <w:basedOn w:val="1"/>
    <w:qFormat/>
    <w:uiPriority w:val="0"/>
    <w:pPr>
      <w:pageBreakBefore/>
    </w:pPr>
    <w:rPr>
      <w:rFonts w:ascii="Calibri" w:hAnsi="Calibri" w:cs="Calibri"/>
    </w:rPr>
  </w:style>
  <w:style w:type="paragraph" w:customStyle="1" w:styleId="242">
    <w:name w:val="Char Char Char Char Char Char Char Char Char Char Char Char Char Char Char Char Char Char Char Char Char Char"/>
    <w:basedOn w:val="1"/>
    <w:qFormat/>
    <w:uiPriority w:val="0"/>
    <w:pPr>
      <w:widowControl/>
      <w:spacing w:line="400" w:lineRule="exact"/>
      <w:jc w:val="center"/>
    </w:pPr>
  </w:style>
  <w:style w:type="paragraph" w:customStyle="1" w:styleId="243">
    <w:name w:val="pa-27"/>
    <w:basedOn w:val="1"/>
    <w:qFormat/>
    <w:uiPriority w:val="0"/>
    <w:pPr>
      <w:widowControl/>
      <w:spacing w:line="360" w:lineRule="atLeast"/>
      <w:ind w:firstLine="420"/>
    </w:pPr>
    <w:rPr>
      <w:rFonts w:ascii="宋体" w:hAnsi="宋体" w:cs="宋体"/>
      <w:kern w:val="0"/>
      <w:sz w:val="24"/>
    </w:rPr>
  </w:style>
  <w:style w:type="paragraph" w:customStyle="1" w:styleId="244">
    <w:name w:val="zw"/>
    <w:basedOn w:val="1"/>
    <w:qFormat/>
    <w:uiPriority w:val="0"/>
    <w:pPr>
      <w:widowControl/>
      <w:spacing w:before="30"/>
      <w:ind w:left="100" w:right="100"/>
    </w:pPr>
    <w:rPr>
      <w:rFonts w:ascii="方正书宋简体" w:hAnsi="宋体" w:eastAsia="方正书宋简体"/>
      <w:color w:val="000000"/>
      <w:kern w:val="0"/>
      <w:szCs w:val="21"/>
    </w:rPr>
  </w:style>
  <w:style w:type="paragraph" w:customStyle="1" w:styleId="245">
    <w:name w:val="标题1"/>
    <w:basedOn w:val="1"/>
    <w:qFormat/>
    <w:uiPriority w:val="0"/>
    <w:pPr>
      <w:widowControl/>
      <w:spacing w:before="100" w:beforeAutospacing="1" w:after="100" w:afterAutospacing="1"/>
      <w:jc w:val="left"/>
    </w:pPr>
    <w:rPr>
      <w:rFonts w:ascii="宋体" w:hAnsi="宋体" w:cs="宋体"/>
      <w:kern w:val="0"/>
      <w:sz w:val="24"/>
    </w:rPr>
  </w:style>
  <w:style w:type="paragraph" w:customStyle="1" w:styleId="246">
    <w:name w:val="样式 标题 1 + (西文) 宋体 非加粗 黑色 两端对齐 左侧:  0 厘米 首行缩进:  0.89 厘米"/>
    <w:basedOn w:val="3"/>
    <w:qFormat/>
    <w:uiPriority w:val="0"/>
    <w:pPr>
      <w:keepLines w:val="0"/>
      <w:tabs>
        <w:tab w:val="left" w:pos="1140"/>
      </w:tabs>
      <w:adjustRightInd w:val="0"/>
      <w:snapToGrid w:val="0"/>
      <w:spacing w:before="0" w:after="0" w:line="360" w:lineRule="auto"/>
      <w:ind w:left="1140" w:hanging="720"/>
      <w:jc w:val="center"/>
      <w:textAlignment w:val="baseline"/>
    </w:pPr>
    <w:rPr>
      <w:rFonts w:ascii="宋体" w:hAnsi="宋体" w:eastAsia="黑体"/>
      <w:bCs w:val="0"/>
      <w:color w:val="000000"/>
      <w:kern w:val="0"/>
      <w:sz w:val="30"/>
      <w:szCs w:val="30"/>
    </w:rPr>
  </w:style>
  <w:style w:type="paragraph" w:customStyle="1" w:styleId="247">
    <w:name w:val="表格"/>
    <w:basedOn w:val="1"/>
    <w:qFormat/>
    <w:uiPriority w:val="0"/>
    <w:pPr>
      <w:jc w:val="center"/>
      <w:textAlignment w:val="center"/>
    </w:pPr>
    <w:rPr>
      <w:rFonts w:ascii="华文细黑" w:hAnsi="华文细黑"/>
      <w:kern w:val="0"/>
    </w:rPr>
  </w:style>
  <w:style w:type="paragraph" w:customStyle="1" w:styleId="248">
    <w:name w:val="自定样式1"/>
    <w:basedOn w:val="1"/>
    <w:qFormat/>
    <w:uiPriority w:val="0"/>
    <w:pPr>
      <w:suppressAutoHyphens/>
      <w:jc w:val="center"/>
    </w:pPr>
    <w:rPr>
      <w:rFonts w:ascii="宋体" w:hAnsi="宋体"/>
      <w:color w:val="000000"/>
      <w:sz w:val="18"/>
    </w:rPr>
  </w:style>
  <w:style w:type="paragraph" w:customStyle="1" w:styleId="249">
    <w:name w:val="6'"/>
    <w:basedOn w:val="1"/>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250">
    <w:name w:val="style1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51">
    <w:name w:val="zz"/>
    <w:basedOn w:val="1"/>
    <w:qFormat/>
    <w:uiPriority w:val="0"/>
    <w:pPr>
      <w:widowControl/>
      <w:spacing w:before="30"/>
      <w:jc w:val="right"/>
    </w:pPr>
    <w:rPr>
      <w:rFonts w:ascii="方正书宋简体" w:hAnsi="宋体" w:eastAsia="方正书宋简体"/>
      <w:color w:val="000000"/>
      <w:kern w:val="0"/>
      <w:szCs w:val="21"/>
    </w:rPr>
  </w:style>
  <w:style w:type="paragraph" w:customStyle="1" w:styleId="252">
    <w:name w:val="g2"/>
    <w:basedOn w:val="1"/>
    <w:qFormat/>
    <w:uiPriority w:val="0"/>
    <w:pPr>
      <w:widowControl/>
      <w:spacing w:before="100" w:beforeAutospacing="1" w:after="100" w:afterAutospacing="1"/>
      <w:jc w:val="left"/>
    </w:pPr>
    <w:rPr>
      <w:rFonts w:ascii="仿宋_GB2312" w:hAnsi="宋体" w:eastAsia="仿宋_GB2312" w:cs="宋体"/>
      <w:kern w:val="0"/>
      <w:sz w:val="17"/>
      <w:szCs w:val="17"/>
    </w:rPr>
  </w:style>
  <w:style w:type="paragraph" w:customStyle="1" w:styleId="253">
    <w:name w:val="_Style 246"/>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254">
    <w:name w:val="g3"/>
    <w:basedOn w:val="1"/>
    <w:qFormat/>
    <w:uiPriority w:val="0"/>
    <w:pPr>
      <w:widowControl/>
      <w:spacing w:before="100" w:beforeAutospacing="1" w:after="100" w:afterAutospacing="1"/>
      <w:jc w:val="left"/>
    </w:pPr>
    <w:rPr>
      <w:rFonts w:ascii="宋体" w:hAnsi="宋体" w:cs="宋体"/>
      <w:kern w:val="0"/>
      <w:sz w:val="24"/>
    </w:rPr>
  </w:style>
  <w:style w:type="paragraph" w:customStyle="1" w:styleId="255">
    <w:name w:val="ly"/>
    <w:basedOn w:val="1"/>
    <w:qFormat/>
    <w:uiPriority w:val="0"/>
    <w:pPr>
      <w:widowControl/>
      <w:spacing w:before="30"/>
      <w:jc w:val="right"/>
    </w:pPr>
    <w:rPr>
      <w:rFonts w:ascii="方正书宋简体" w:hAnsi="宋体" w:eastAsia="方正书宋简体"/>
      <w:color w:val="000000"/>
      <w:kern w:val="0"/>
      <w:szCs w:val="21"/>
    </w:rPr>
  </w:style>
  <w:style w:type="paragraph" w:customStyle="1" w:styleId="256">
    <w:name w:val="l-2"/>
    <w:basedOn w:val="1"/>
    <w:qFormat/>
    <w:uiPriority w:val="0"/>
    <w:pPr>
      <w:widowControl/>
      <w:spacing w:before="100" w:beforeAutospacing="1" w:after="100" w:afterAutospacing="1"/>
      <w:jc w:val="left"/>
    </w:pPr>
    <w:rPr>
      <w:rFonts w:ascii="宋体" w:hAnsi="宋体" w:cs="宋体"/>
      <w:b/>
      <w:bCs/>
      <w:color w:val="000000"/>
      <w:kern w:val="0"/>
      <w:sz w:val="13"/>
      <w:szCs w:val="13"/>
    </w:rPr>
  </w:style>
  <w:style w:type="paragraph" w:customStyle="1" w:styleId="257">
    <w:name w:val="Char9"/>
    <w:basedOn w:val="16"/>
    <w:qFormat/>
    <w:uiPriority w:val="0"/>
    <w:pPr>
      <w:spacing w:line="360" w:lineRule="auto"/>
      <w:ind w:firstLine="200" w:firstLineChars="200"/>
    </w:pPr>
    <w:rPr>
      <w:rFonts w:ascii="Tahoma" w:hAnsi="Tahoma"/>
      <w:sz w:val="24"/>
    </w:rPr>
  </w:style>
  <w:style w:type="paragraph" w:customStyle="1" w:styleId="258">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59">
    <w:name w:val="g11"/>
    <w:basedOn w:val="1"/>
    <w:qFormat/>
    <w:uiPriority w:val="0"/>
    <w:pPr>
      <w:widowControl/>
      <w:spacing w:before="100" w:beforeAutospacing="1" w:after="100" w:afterAutospacing="1" w:line="465" w:lineRule="atLeast"/>
      <w:jc w:val="left"/>
    </w:pPr>
    <w:rPr>
      <w:rFonts w:ascii="华文中宋" w:hAnsi="华文中宋" w:eastAsia="华文中宋" w:cs="宋体"/>
      <w:b/>
      <w:bCs/>
      <w:color w:val="FF0000"/>
      <w:kern w:val="0"/>
      <w:sz w:val="31"/>
      <w:szCs w:val="31"/>
    </w:rPr>
  </w:style>
  <w:style w:type="paragraph" w:customStyle="1" w:styleId="260">
    <w:name w:val="Char1"/>
    <w:basedOn w:val="1"/>
    <w:qFormat/>
    <w:uiPriority w:val="0"/>
    <w:pPr>
      <w:spacing w:before="156" w:beforeLines="50" w:after="156" w:afterLines="50"/>
      <w:ind w:firstLine="200" w:firstLineChars="200"/>
    </w:pPr>
    <w:rPr>
      <w:rFonts w:ascii="宋体" w:hAnsi="宋体" w:cs="Courier New"/>
      <w:spacing w:val="-2"/>
      <w:sz w:val="22"/>
      <w:szCs w:val="32"/>
    </w:rPr>
  </w:style>
  <w:style w:type="paragraph" w:customStyle="1" w:styleId="261">
    <w:name w:val="pa-34"/>
    <w:basedOn w:val="1"/>
    <w:qFormat/>
    <w:uiPriority w:val="0"/>
    <w:pPr>
      <w:widowControl/>
      <w:spacing w:line="360" w:lineRule="atLeast"/>
      <w:ind w:firstLine="420"/>
      <w:jc w:val="left"/>
    </w:pPr>
    <w:rPr>
      <w:rFonts w:ascii="宋体" w:hAnsi="宋体" w:cs="宋体"/>
      <w:kern w:val="0"/>
      <w:sz w:val="24"/>
    </w:rPr>
  </w:style>
  <w:style w:type="paragraph" w:customStyle="1" w:styleId="262">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 w:val="32"/>
      <w:szCs w:val="20"/>
    </w:rPr>
  </w:style>
  <w:style w:type="paragraph" w:customStyle="1" w:styleId="263">
    <w:name w:val="表格文字"/>
    <w:basedOn w:val="1"/>
    <w:qFormat/>
    <w:uiPriority w:val="0"/>
    <w:pPr>
      <w:adjustRightInd w:val="0"/>
      <w:spacing w:line="420" w:lineRule="atLeast"/>
      <w:jc w:val="left"/>
      <w:textAlignment w:val="baseline"/>
    </w:pPr>
    <w:rPr>
      <w:kern w:val="0"/>
    </w:rPr>
  </w:style>
  <w:style w:type="paragraph" w:customStyle="1" w:styleId="264">
    <w:name w:val="正  文"/>
    <w:basedOn w:val="1"/>
    <w:qFormat/>
    <w:uiPriority w:val="0"/>
    <w:pPr>
      <w:spacing w:line="360" w:lineRule="auto"/>
      <w:ind w:firstLine="200" w:firstLineChars="200"/>
    </w:pPr>
    <w:rPr>
      <w:rFonts w:ascii="宋体"/>
      <w:sz w:val="24"/>
    </w:rPr>
  </w:style>
  <w:style w:type="paragraph" w:customStyle="1" w:styleId="265">
    <w:name w:val="正文 New New New"/>
    <w:qFormat/>
    <w:uiPriority w:val="0"/>
    <w:pPr>
      <w:widowControl w:val="0"/>
      <w:jc w:val="both"/>
    </w:pPr>
    <w:rPr>
      <w:rFonts w:ascii="Times New Roman" w:hAnsi="Times New Roman" w:eastAsia="方正仿宋_GBK" w:cs="Times New Roman"/>
      <w:kern w:val="2"/>
      <w:sz w:val="21"/>
      <w:lang w:val="en-US" w:eastAsia="zh-CN" w:bidi="ar-SA"/>
    </w:rPr>
  </w:style>
  <w:style w:type="paragraph" w:customStyle="1" w:styleId="266">
    <w:name w:val="List Paragraph1"/>
    <w:basedOn w:val="1"/>
    <w:qFormat/>
    <w:uiPriority w:val="99"/>
    <w:pPr>
      <w:ind w:firstLine="420" w:firstLineChars="200"/>
    </w:pPr>
    <w:rPr>
      <w:sz w:val="28"/>
      <w:szCs w:val="28"/>
    </w:rPr>
  </w:style>
  <w:style w:type="paragraph" w:customStyle="1" w:styleId="267">
    <w:name w:val="Table Paragraph"/>
    <w:basedOn w:val="1"/>
    <w:qFormat/>
    <w:uiPriority w:val="99"/>
    <w:pPr>
      <w:autoSpaceDE w:val="0"/>
      <w:autoSpaceDN w:val="0"/>
      <w:jc w:val="left"/>
    </w:pPr>
    <w:rPr>
      <w:rFonts w:ascii="微软雅黑" w:hAnsi="微软雅黑" w:eastAsia="微软雅黑" w:cs="微软雅黑"/>
      <w:kern w:val="0"/>
      <w:sz w:val="22"/>
      <w:szCs w:val="22"/>
      <w:lang w:val="zh-CN" w:bidi="zh-CN"/>
    </w:rPr>
  </w:style>
  <w:style w:type="paragraph" w:customStyle="1" w:styleId="268">
    <w:name w:val="Normal_47"/>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269">
    <w:name w:val="Char Char Char Char Char Char"/>
    <w:basedOn w:val="1"/>
    <w:qFormat/>
    <w:uiPriority w:val="99"/>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wmf"/><Relationship Id="rId13" Type="http://schemas.openxmlformats.org/officeDocument/2006/relationships/oleObject" Target="embeddings/oleObject1.bin"/><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123</Pages>
  <Words>12402</Words>
  <Characters>13274</Characters>
  <Lines>374</Lines>
  <Paragraphs>105</Paragraphs>
  <TotalTime>38</TotalTime>
  <ScaleCrop>false</ScaleCrop>
  <LinksUpToDate>false</LinksUpToDate>
  <CharactersWithSpaces>13577</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2018-05-23T14:25:00Z</dcterms:created>
  <dc:creator>中金招标</dc:creator>
  <cp:lastModifiedBy>半染</cp:lastModifiedBy>
  <cp:lastPrinted>2022-10-09T08:59:00Z</cp:lastPrinted>
  <dcterms:modified xsi:type="dcterms:W3CDTF">2025-09-28T08:08:10Z</dcterms:modified>
  <dc:title>铜梁县东城中学迁建工程2、3号（教学楼）</dc:title>
  <cp:revision>2252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7CC4D78993BA4E499DC9EE8D24F0700E_13</vt:lpwstr>
  </property>
  <property fmtid="{D5CDD505-2E9C-101B-9397-08002B2CF9AE}" pid="4" name="KSOTemplateDocerSaveRecord">
    <vt:lpwstr>eyJoZGlkIjoiMmUwZmVhMzg4YTM5MTNmMjNkZmFlMDQ0MTRlYWZmNDciLCJ1c2VySWQiOiIyNDQ5NzAxMDEifQ==</vt:lpwstr>
  </property>
</Properties>
</file>