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rPr>
          <w:rFonts w:hint="default" w:ascii="Times New Roman" w:hAnsi="Times New Roman" w:eastAsia="宋体" w:cs="Times New Roman"/>
          <w:b w:val="0"/>
          <w:bCs w:val="0"/>
          <w:color w:val="auto"/>
          <w:sz w:val="32"/>
          <w:szCs w:val="32"/>
        </w:rPr>
      </w:pPr>
      <w:bookmarkStart w:id="0" w:name="strgwbt"/>
      <w:bookmarkEnd w:id="0"/>
    </w:p>
    <w:p>
      <w:pPr>
        <w:spacing w:line="574" w:lineRule="exact"/>
        <w:rPr>
          <w:rFonts w:hint="default" w:ascii="Times New Roman" w:hAnsi="Times New Roman" w:eastAsia="宋体" w:cs="Times New Roman"/>
          <w:b w:val="0"/>
          <w:bCs w:val="0"/>
          <w:color w:val="auto"/>
          <w:sz w:val="32"/>
          <w:szCs w:val="32"/>
        </w:rPr>
      </w:pPr>
    </w:p>
    <w:p>
      <w:pPr>
        <w:spacing w:line="574" w:lineRule="exact"/>
        <w:rPr>
          <w:rFonts w:hint="default" w:ascii="Times New Roman" w:hAnsi="Times New Roman" w:eastAsia="宋体" w:cs="Times New Roman"/>
          <w:b w:val="0"/>
          <w:bCs w:val="0"/>
          <w:color w:val="auto"/>
          <w:sz w:val="32"/>
          <w:szCs w:val="32"/>
        </w:rPr>
      </w:pPr>
    </w:p>
    <w:p>
      <w:pPr>
        <w:spacing w:line="574" w:lineRule="exact"/>
        <w:rPr>
          <w:rFonts w:hint="default" w:ascii="Times New Roman" w:hAnsi="Times New Roman" w:eastAsia="宋体" w:cs="Times New Roman"/>
          <w:b w:val="0"/>
          <w:bCs w:val="0"/>
          <w:color w:val="auto"/>
          <w:sz w:val="32"/>
          <w:szCs w:val="32"/>
        </w:rPr>
      </w:pPr>
    </w:p>
    <w:p>
      <w:pPr>
        <w:spacing w:line="374" w:lineRule="exact"/>
        <w:rPr>
          <w:rFonts w:hint="default" w:ascii="Times New Roman" w:hAnsi="Times New Roman" w:eastAsia="宋体" w:cs="Times New Roman"/>
          <w:b w:val="0"/>
          <w:bCs w:val="0"/>
          <w:color w:val="auto"/>
          <w:sz w:val="32"/>
          <w:szCs w:val="32"/>
        </w:rPr>
      </w:pPr>
    </w:p>
    <w:p>
      <w:pPr>
        <w:spacing w:line="574" w:lineRule="exact"/>
        <w:rPr>
          <w:rFonts w:hint="default" w:ascii="Times New Roman" w:hAnsi="Times New Roman" w:eastAsia="宋体" w:cs="Times New Roman"/>
          <w:b w:val="0"/>
          <w:bCs w:val="0"/>
          <w:color w:val="auto"/>
          <w:sz w:val="32"/>
          <w:szCs w:val="32"/>
        </w:rPr>
      </w:pPr>
    </w:p>
    <w:p>
      <w:pPr>
        <w:spacing w:line="574" w:lineRule="exact"/>
        <w:rPr>
          <w:rFonts w:hint="default" w:ascii="Times New Roman" w:hAnsi="Times New Roman" w:eastAsia="宋体" w:cs="Times New Roman"/>
          <w:b w:val="0"/>
          <w:bCs w:val="0"/>
          <w:color w:val="auto"/>
          <w:sz w:val="32"/>
          <w:szCs w:val="32"/>
        </w:rPr>
      </w:pPr>
    </w:p>
    <w:p>
      <w:pPr>
        <w:spacing w:line="574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东城办〔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spacing w:line="574" w:lineRule="exact"/>
        <w:jc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32"/>
          <w:szCs w:val="32"/>
        </w:rPr>
      </w:pPr>
    </w:p>
    <w:p>
      <w:pPr>
        <w:spacing w:line="594" w:lineRule="exact"/>
        <w:rPr>
          <w:rFonts w:hint="default" w:ascii="Times New Roman" w:hAnsi="Times New Roman" w:eastAsia="宋体" w:cs="Times New Roman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重庆市铜梁区人民政府东城街道办事处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关于加强辖区化粪池长效管理工作的通知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</w:rPr>
        <w:t>各村民委员会、社区居委会，各办、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eastAsia="zh-CN"/>
        </w:rPr>
        <w:t>站、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</w:rPr>
        <w:t>所、中心、大队：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按照《住房城乡建设部办公厅关于加强城镇排水、污水处理等设施维护作业安全管理工作的通知》（建办城函〔2017〕443号）、《重庆市城市管理局关于加强化粪池长效管理和排查整治工作的通知》（〔2021〕-349号）、《重庆市铜梁区城市管理局关于加强化粪池长效管理工作的通知》等文件要求，根据区委、区政府对安全工作的相关安排，为进一步加强我街道化粪池安全运行管理，保障人民群众生活环境及生命财产安全不受损失，切实将城镇化粪池管理维护工作落到实处，现就加强我街道化粪池长效管理有关工作通知如下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一、切实提高思想认识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化粪池是重要的基础设施，事关人民群众生命财产安全和居住环境改善。各村（社区）及相关单位要进一步提高认识，坚持以人民为中心，按照“安全第一、预防为主、综合治理、属地监管”的总体要求，将化粪池作为安全排查整治的重点对象，落实责任、细化措施、强化投入，确保化粪池排查整治取得突出成效，形成良好长效管理机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"/>
        </w:rPr>
        <w:t>二、全面加强长效管理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"/>
        </w:rPr>
        <w:t>（一）明确责任主体。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遵照“辖区负责、属地管理”的原则，按照“谁所有谁负责、谁使用谁负责、谁作业谁负责”原则和“管行业就要管安全”等相关要求，落实化粪池行业监督、辖区监管和日常维护，确保做到化粪池有人分管、有人巡查、有人监管、有人维护。对于直管化粪池要严格按要求进行监测和清掏作业，对产权明确的化粪池加强监管督促，对于产权不明的协调明确责任主体，严防发生安全事故，实现安全无污染运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"/>
        </w:rPr>
        <w:t>（二）完善档案管理。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各村（社区）对辖区内医院、商场、车站、学校、加油站、老旧居民小区（开放式小区和单体楼）、农贸市场、机关企事业单位、社团组织、新建小区等场所的化粪池进行普查，按“一池一档”原则逐个完善化粪池管理档案，每年将化粪池管理档案报至东城街道城市提升服务中心，档案内容应包含化粪池责任主体、运行情况、清掏维护情况等，确保化粪池管理情况详细、清晰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"/>
        </w:rPr>
        <w:t>（三）强化日常管护。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一是加强清掏疏浚。每年清掏疏浚化粪池的次数不少于两次，商圈、广场、农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贸市场、公园、车站等人员密集场所应根据实际增加清掏频次。二是加强对化粪池设施的管理维护，规范设置化粪池禁燃防爆警示标志，及时整治残缺破损的化粪池井盖、导排管等相关设施，杜绝污水横流、粪便满溢和沼气泄漏现象。三是加强监测，定期开展化粪池排放气体监测，以商圈、学校、医院、广场、农贸市场、公园、车站及其他人员密集场所为重点，协助区、街道安装在线监测预警系统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"/>
        </w:rPr>
        <w:t>三、认真做好排查整治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各村（社区）及相关单位要不定期对辖区内的化粪池开展安全大检查或“拉网式”排查整治，特别是要以商圈、学校、医院、广场、农贸市场、公园、车站及其他人员密集场所为重点，全面排查化粪池安全隐患，尤其在元旦、春节、国庆等国家法定节假日及高温季节等重要时间段，重点加强排查。对排查出来的问题立即进行整改，并适时回查，确保全面消除化粪池安全隐患、脏乱差现象。同时，按照上级相关文件要求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元旦、春节期间，各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村（社区）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要严防因燃放烟花爆竹、使用火种等引发化粪池爆炸事故，落实安全员、平安员等专人值守、专门看护，确保化粪池安全稳定运行。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"/>
        </w:rPr>
        <w:t>四、落实专项经费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街道将化粪池安全管理工作纳入财政预算，每年按10元/口的标准予以拨付各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村（社区）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，用于摸排底数、喷设禁火标识、明确专人职守等工作开展，切实抓好化粪池安全和长效管理工作。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特此通知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附件：化粪池安全管理要点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重庆市铜梁区人民政府东城街道办事处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4800" w:firstLineChars="15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2023年9月25日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化粪池安全管理要点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"/>
        </w:rPr>
        <w:t>一、化粪池日常维护管理要求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1.按照属地管理原则完善化粪池基础档案，建立台帐，明确辖区内化粪池安全管理责任主体。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2.每年清掏不得少于2次，运行和使用频繁的医院、学校等密集人流区域内的化粪池每年清掏应不少于4次，每次清掏需见底。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3.管理人员定期和不定期对化粪池的设施完好程度进行巡查，对池内气体浓度进行监测。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4.按照统一要求喷设禁火标识，设置导气管；保持化粪池前后管道排水畅通，化粪池盖板完好；严禁在化粪池盖板上堆放杂物。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5.严禁火星、火源靠近和接触化粪池。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"/>
        </w:rPr>
        <w:t>二、化粪池清掏维护操作规范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1.清掏维护单位或个人不得私自开展化粪池的清掏维护，必须经化粪池管理主体责任单位确认后，方可进行。在清掏维护过程中，化粪池管理主体责任方应指派专人监督整个清掏维护过程，对工作质量进行查验。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2.清掏维护作业现场必须设置警戒线和警示标识，禁止无关人员进入作业现场，防止发生意外。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3.作业人员应系安全带，佩带防毒面具等防止缺氧中毒的安全装备；需他人在池外协助，严禁单人作业；整个作业期间严禁烟火。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4.清掏维护作业前，打开化粪池的盖板前，对池内有毒有害气体、可燃气体进行测试，必须在安全值范围内才打开化粪池的盖板，打开盖板静置一定时间或借助机械设备通风排气，并达到安全标准要求。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5.清掏维护作业开始时，需用长杆搅散池内杂物结块层，以排除池内沼气，用仪器进行检测达到安全标准，才能进行清掏。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6.清掏作业标准要求，规范地对化粪池内的残渣进行打捞，保证池内清洁无杂物；清掏时产生的粪渣等污物必须密闭袋装，日产日清。清掏运出的粪水、粪渣，须运到专业处理场处理，经过处理排放的水质须达到规定的排放标准，粪渣堆放须有专人管理并做好处理记录，避免造成交叉污染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7.清掏维护完毕后，应做到进、出口通和排水管道畅通，无块状粪渣，无沉积物，生化类化粪池内应留有１/５液体作为发酵剂；完工后，应及时盖好井盖，以防行人或小孩掉入井内发生意外；用清水冲洗工作现场地面和工具，保证作业场所的清洁卫生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"/>
        </w:rPr>
        <w:t>三、安全防护用品规定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1.下井作业时，严禁使用过滤式防毒面具和隔离式供氧面具，必须使用供压缩空气的隔离式防护装具作为防毒用具。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2.清掏维护人员下井时，必须配备悬托式安全带，其性能必须符合国家标准。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3.清掏维护人员从事维护作业时，必须戴安全帽和手套、穿防护服和防护鞋。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4.在地面上掏挖化粪池内污泥或检修化粪池时应戴口罩，必要时还应采取防毒措施。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kern w:val="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/>
        </w:rPr>
      </w:pPr>
    </w:p>
    <w:p>
      <w:pPr>
        <w:pStyle w:val="2"/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28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东城街道党政办                         2023年9月25日印发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zYTczMWUzMjEwMGMxNzdmZjJjYTJhYzg3NTg3Y2QifQ=="/>
  </w:docVars>
  <w:rsids>
    <w:rsidRoot w:val="0E2417AE"/>
    <w:rsid w:val="01923FC4"/>
    <w:rsid w:val="03926256"/>
    <w:rsid w:val="03CE36F5"/>
    <w:rsid w:val="042F6EFD"/>
    <w:rsid w:val="05660932"/>
    <w:rsid w:val="05F012C0"/>
    <w:rsid w:val="06EC10CA"/>
    <w:rsid w:val="07C55622"/>
    <w:rsid w:val="0DFE592F"/>
    <w:rsid w:val="0E2417AE"/>
    <w:rsid w:val="10915CC2"/>
    <w:rsid w:val="10F02D14"/>
    <w:rsid w:val="15186C79"/>
    <w:rsid w:val="15DA5D35"/>
    <w:rsid w:val="16A46953"/>
    <w:rsid w:val="19515F71"/>
    <w:rsid w:val="1A610D39"/>
    <w:rsid w:val="1CF12E92"/>
    <w:rsid w:val="1F3A0DB7"/>
    <w:rsid w:val="211C5E51"/>
    <w:rsid w:val="26C92815"/>
    <w:rsid w:val="274D37D0"/>
    <w:rsid w:val="2768774C"/>
    <w:rsid w:val="2AD861E6"/>
    <w:rsid w:val="2BC0792C"/>
    <w:rsid w:val="2C3C60C0"/>
    <w:rsid w:val="2D7A4502"/>
    <w:rsid w:val="30B85DFA"/>
    <w:rsid w:val="32957FD3"/>
    <w:rsid w:val="32FF6887"/>
    <w:rsid w:val="33DF0F56"/>
    <w:rsid w:val="34061076"/>
    <w:rsid w:val="34CD356A"/>
    <w:rsid w:val="376C0E63"/>
    <w:rsid w:val="37BB4005"/>
    <w:rsid w:val="3B7E2592"/>
    <w:rsid w:val="3C681847"/>
    <w:rsid w:val="3DC06B22"/>
    <w:rsid w:val="3EB43774"/>
    <w:rsid w:val="3FB4044D"/>
    <w:rsid w:val="3FD54427"/>
    <w:rsid w:val="421C6DE0"/>
    <w:rsid w:val="43C66BC9"/>
    <w:rsid w:val="441556CB"/>
    <w:rsid w:val="46C46027"/>
    <w:rsid w:val="48002A40"/>
    <w:rsid w:val="489B6DE4"/>
    <w:rsid w:val="49FE253B"/>
    <w:rsid w:val="4A6551E3"/>
    <w:rsid w:val="4C585163"/>
    <w:rsid w:val="4D3A00A4"/>
    <w:rsid w:val="4F640A02"/>
    <w:rsid w:val="51AD7787"/>
    <w:rsid w:val="52DE477E"/>
    <w:rsid w:val="536F5F7E"/>
    <w:rsid w:val="58866B4B"/>
    <w:rsid w:val="5A0E319E"/>
    <w:rsid w:val="5BF47BAB"/>
    <w:rsid w:val="5DDD373C"/>
    <w:rsid w:val="5EBB4E3E"/>
    <w:rsid w:val="5F550C11"/>
    <w:rsid w:val="60B43FEB"/>
    <w:rsid w:val="62B217B9"/>
    <w:rsid w:val="630329F7"/>
    <w:rsid w:val="631F1E99"/>
    <w:rsid w:val="652D7E64"/>
    <w:rsid w:val="667E1F32"/>
    <w:rsid w:val="66F802C0"/>
    <w:rsid w:val="685347C3"/>
    <w:rsid w:val="697D4ABD"/>
    <w:rsid w:val="6C7418EA"/>
    <w:rsid w:val="6D2D278B"/>
    <w:rsid w:val="6E673CE1"/>
    <w:rsid w:val="70180B61"/>
    <w:rsid w:val="71AE7ECA"/>
    <w:rsid w:val="72F25065"/>
    <w:rsid w:val="736A4DA2"/>
    <w:rsid w:val="74235C7E"/>
    <w:rsid w:val="758254C3"/>
    <w:rsid w:val="76A67F9B"/>
    <w:rsid w:val="7A6B2D68"/>
    <w:rsid w:val="7B4B5D9E"/>
    <w:rsid w:val="7B6E0AA3"/>
    <w:rsid w:val="7C5E07C0"/>
    <w:rsid w:val="7F613D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2456</Words>
  <Characters>2497</Characters>
  <Lines>0</Lines>
  <Paragraphs>0</Paragraphs>
  <TotalTime>948</TotalTime>
  <ScaleCrop>false</ScaleCrop>
  <LinksUpToDate>false</LinksUpToDate>
  <CharactersWithSpaces>2525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2018-02-07T08:09:00Z</dcterms:created>
  <dc:creator>坚持—希冀！</dc:creator>
  <cp:lastModifiedBy>WPS_1602467776</cp:lastModifiedBy>
  <cp:lastPrinted>2023-09-28T02:41:02Z</cp:lastPrinted>
  <dcterms:modified xsi:type="dcterms:W3CDTF">2023-09-28T02:41:09Z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4E296EEC14594A3D80C5AEE711EA3766_13</vt:lpwstr>
  </property>
</Properties>
</file>