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jc w:val="both"/>
        <w:rPr>
          <w:rFonts w:ascii="方正小标宋_GBK" w:hAnsi="方正小标宋_GBK" w:eastAsia="方正小标宋_GBK" w:cs="方正小标宋_GBK"/>
          <w:sz w:val="36"/>
          <w:szCs w:val="36"/>
        </w:rPr>
      </w:pPr>
    </w:p>
    <w:p>
      <w:pPr>
        <w:pStyle w:val="4"/>
        <w:spacing w:before="0" w:beforeAutospacing="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重庆市铜梁区东城街道办事处</w:t>
      </w:r>
    </w:p>
    <w:p>
      <w:pPr>
        <w:pStyle w:val="4"/>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2023年度决算公开说明</w:t>
      </w:r>
    </w:p>
    <w:p>
      <w:pPr>
        <w:pStyle w:val="4"/>
        <w:shd w:val="clear" w:color="auto" w:fill="FFFFFF"/>
        <w:wordWrap/>
        <w:adjustRightInd/>
        <w:spacing w:line="560" w:lineRule="exact"/>
        <w:ind w:left="0" w:leftChars="0" w:right="0"/>
        <w:jc w:val="both"/>
        <w:textAlignment w:val="auto"/>
        <w:outlineLvl w:val="9"/>
        <w:rPr>
          <w:rFonts w:hint="eastAsia" w:ascii="方正黑体_GBK" w:hAnsi="方正黑体_GBK" w:eastAsia="方正黑体_GBK" w:cs="方正黑体_GBK"/>
          <w:sz w:val="32"/>
          <w:szCs w:val="32"/>
        </w:rPr>
      </w:pPr>
      <w:r>
        <w:rPr>
          <w:rStyle w:val="6"/>
          <w:rFonts w:hint="eastAsia" w:ascii="方正黑体_GBK" w:hAnsi="方正黑体_GBK" w:eastAsia="方正黑体_GBK" w:cs="方正黑体_GBK"/>
          <w:sz w:val="32"/>
          <w:szCs w:val="32"/>
          <w:shd w:val="clear" w:color="auto" w:fill="FFFFFF"/>
        </w:rPr>
        <w:t>一、部门基本情况</w:t>
      </w:r>
    </w:p>
    <w:p>
      <w:pPr>
        <w:pStyle w:val="4"/>
        <w:shd w:val="clear" w:color="auto" w:fill="FFFFFF"/>
        <w:wordWrap/>
        <w:adjustRightInd/>
        <w:spacing w:line="560" w:lineRule="exact"/>
        <w:ind w:left="0" w:leftChars="0" w:right="0" w:firstLine="420"/>
        <w:jc w:val="both"/>
        <w:textAlignment w:val="auto"/>
        <w:outlineLvl w:val="9"/>
        <w:rPr>
          <w:rFonts w:hint="eastAsia" w:ascii="方正楷体_GBK" w:hAnsi="方正楷体_GBK" w:eastAsia="方正楷体_GBK" w:cs="方正楷体_GBK"/>
          <w:sz w:val="32"/>
          <w:szCs w:val="32"/>
        </w:rPr>
      </w:pPr>
      <w:r>
        <w:rPr>
          <w:rStyle w:val="6"/>
          <w:rFonts w:hint="eastAsia" w:ascii="方正楷体_GBK" w:hAnsi="方正楷体_GBK" w:eastAsia="方正楷体_GBK" w:cs="方正楷体_GBK"/>
          <w:sz w:val="32"/>
          <w:szCs w:val="32"/>
          <w:shd w:val="clear" w:color="auto" w:fill="FFFFFF"/>
        </w:rPr>
        <w:t>（一）职能职责</w:t>
      </w:r>
    </w:p>
    <w:p>
      <w:pPr>
        <w:pStyle w:val="4"/>
        <w:shd w:val="clear" w:color="auto" w:fill="FFFFFF"/>
        <w:wordWrap/>
        <w:adjustRightInd/>
        <w:spacing w:line="560" w:lineRule="exact"/>
        <w:ind w:left="0" w:leftChars="0" w:right="0" w:firstLine="420"/>
        <w:jc w:val="both"/>
        <w:textAlignment w:val="auto"/>
        <w:outlineLvl w:val="9"/>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铜梁区东城街道办事处在区委区</w:t>
      </w:r>
      <w:r>
        <w:rPr>
          <w:rFonts w:hint="eastAsia" w:ascii="Times New Roman" w:hAnsi="Times New Roman" w:eastAsia="方正仿宋_GBK" w:cs="Times New Roman"/>
          <w:sz w:val="32"/>
          <w:szCs w:val="32"/>
          <w:shd w:val="clear" w:color="auto" w:fill="FFFFFF"/>
          <w:lang w:val="en-US" w:eastAsia="zh-CN"/>
        </w:rPr>
        <w:t>政</w:t>
      </w:r>
      <w:r>
        <w:rPr>
          <w:rFonts w:hint="default" w:ascii="Times New Roman" w:hAnsi="Times New Roman" w:eastAsia="方正仿宋_GBK" w:cs="Times New Roman"/>
          <w:sz w:val="32"/>
          <w:szCs w:val="32"/>
          <w:shd w:val="clear" w:color="auto" w:fill="FFFFFF"/>
        </w:rPr>
        <w:t>府的领导下，贯彻执行党和国家各项方针、政策、法律、法规；负责辖区内的地方性、群众性、公益性、社会性工作。负责精神文明建设；城市建设和管理、市容环境卫生、园林绿化、环境保护、市政、规划、房地产等监督、管理、服务工作；负责辖区内的稳定和社会治安综合治理工作，依照相关政策做好出租屋和外来人口的管理工作；负责民事调解，法律服务工作，维护居民的合法权益；负责社区建设和管理，指导开展社区服务工作，大力兴办社区福利事业，发动和组织社区成员开展各类社区公益活动；负责民兵、兵役、拥军优属、优抚安置、社会救济、社会福利、社会文化、科普、体育、教育、旅游等工作。负责发展街道和村（社区）组织集体经济，管理街道国有资产和村（社区）集体资产，为街道和村（社区）集体经济组织提供人才、科技、信息和其他服务，以经济、法律和必要的行政手段推动街道、村级经济发展和维护市场秩序。负责计划生育、安全生产监督、初级卫生保健、侨务工作。指导和帮助村（社区）居民委员会搞好组织建设和制度建设，发挥村（社区）居民委员会的群众自治作用。配合有关部门做好防汛、防风、防火、防震、抢险和救灾工作。向区人民政府反映群众意见和要求，办理人民群众来信来访事项。</w:t>
      </w:r>
    </w:p>
    <w:p>
      <w:pPr>
        <w:pStyle w:val="4"/>
        <w:shd w:val="clear" w:color="auto" w:fill="FFFFFF"/>
        <w:wordWrap/>
        <w:adjustRightInd/>
        <w:spacing w:line="560" w:lineRule="exact"/>
        <w:ind w:left="0" w:leftChars="0" w:right="0" w:firstLine="420"/>
        <w:jc w:val="both"/>
        <w:textAlignment w:val="auto"/>
        <w:outlineLvl w:val="9"/>
        <w:rPr>
          <w:rFonts w:hint="eastAsia" w:ascii="方正楷体_GBK" w:hAnsi="方正楷体_GBK" w:eastAsia="方正楷体_GBK" w:cs="方正楷体_GBK"/>
          <w:sz w:val="32"/>
          <w:szCs w:val="32"/>
        </w:rPr>
      </w:pPr>
      <w:r>
        <w:rPr>
          <w:rStyle w:val="6"/>
          <w:rFonts w:hint="eastAsia" w:ascii="方正楷体_GBK" w:hAnsi="方正楷体_GBK" w:eastAsia="方正楷体_GBK" w:cs="方正楷体_GBK"/>
          <w:sz w:val="32"/>
          <w:szCs w:val="32"/>
          <w:shd w:val="clear" w:color="auto" w:fill="FFFFFF"/>
        </w:rPr>
        <w:t>（二）机构设置</w:t>
      </w:r>
    </w:p>
    <w:p>
      <w:pPr>
        <w:pStyle w:val="9"/>
        <w:numPr>
          <w:ilvl w:val="0"/>
          <w:numId w:val="0"/>
        </w:numPr>
        <w:wordWrap/>
        <w:autoSpaceDE w:val="0"/>
        <w:adjustRightInd/>
        <w:snapToGrid/>
        <w:spacing w:before="0" w:beforeAutospacing="0" w:after="0" w:afterAutospacing="0" w:line="560" w:lineRule="exact"/>
        <w:ind w:left="0" w:leftChars="0" w:right="0"/>
        <w:jc w:val="both"/>
        <w:textAlignment w:val="auto"/>
        <w:outlineLvl w:val="9"/>
        <w:rPr>
          <w:rFonts w:hint="eastAsia" w:ascii="仿宋_GB2312" w:hAnsi="仿宋" w:eastAsia="仿宋_GB2312"/>
          <w:sz w:val="32"/>
          <w:szCs w:val="32"/>
        </w:rPr>
      </w:pPr>
      <w:r>
        <w:rPr>
          <w:rFonts w:hint="eastAsia"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内设党政办公室、党建工作办公室；经济发展办公室（统计办公室）、民政和社区事务办公室（卫生健康办公室、物业管理办公室）、平安建设办公室、规划建设管理环保办公室、财政办公室、应急管理办公室、人大工委办公室、综合行政执法办公室（与综合行政执法大队统筹运行）、产业培育中心（为经济发展提供产业和技术服务保障）、社区文化服务中心（组织群众文化活动，繁荣群众文化事业）、劳动就业和社会保障服务所（为群众提供人力资源和社会保障服务）、综合行政执法大队（为综合行政执法提供管理保障）、退役军人服务站（为退役军人服务提供保障）、社区事务服务中心（为社区居民生产生活提供服务保障）、城市提升服务中心（为城市品质提升美化亮化提供管理保障）</w:t>
      </w:r>
      <w:r>
        <w:rPr>
          <w:rFonts w:hint="eastAsia" w:ascii="Times New Roman" w:hAnsi="Times New Roman" w:eastAsia="方正仿宋_GBK" w:cs="Times New Roman"/>
          <w:sz w:val="32"/>
          <w:szCs w:val="32"/>
          <w:shd w:val="clear" w:color="auto" w:fill="FFFFFF"/>
          <w:lang w:eastAsia="zh-CN"/>
        </w:rPr>
        <w:t>，本年无变动情况。</w:t>
      </w:r>
    </w:p>
    <w:p>
      <w:pPr>
        <w:pStyle w:val="4"/>
        <w:shd w:val="clear" w:color="auto" w:fill="FFFFFF"/>
        <w:wordWrap/>
        <w:adjustRightInd/>
        <w:spacing w:line="560" w:lineRule="exact"/>
        <w:ind w:left="0" w:leftChars="0" w:right="0"/>
        <w:jc w:val="both"/>
        <w:textAlignment w:val="auto"/>
        <w:outlineLvl w:val="9"/>
        <w:rPr>
          <w:rFonts w:hint="eastAsia" w:ascii="方正黑体_GBK" w:hAnsi="方正黑体_GBK" w:eastAsia="方正黑体_GBK" w:cs="方正黑体_GBK"/>
          <w:sz w:val="32"/>
          <w:szCs w:val="32"/>
        </w:rPr>
      </w:pPr>
      <w:r>
        <w:rPr>
          <w:rStyle w:val="6"/>
          <w:rFonts w:hint="eastAsia" w:ascii="方正黑体_GBK" w:hAnsi="方正黑体_GBK" w:eastAsia="方正黑体_GBK" w:cs="方正黑体_GBK"/>
          <w:sz w:val="32"/>
          <w:szCs w:val="32"/>
          <w:shd w:val="clear" w:color="auto" w:fill="FFFFFF"/>
        </w:rPr>
        <w:t>二、部门决算情况说明</w:t>
      </w:r>
    </w:p>
    <w:p>
      <w:pPr>
        <w:pStyle w:val="8"/>
        <w:wordWrap/>
        <w:autoSpaceDE w:val="0"/>
        <w:adjustRightInd/>
        <w:spacing w:line="560" w:lineRule="exact"/>
        <w:ind w:left="0" w:leftChars="0" w:right="0" w:firstLine="640"/>
        <w:jc w:val="both"/>
        <w:textAlignment w:val="auto"/>
        <w:outlineLvl w:val="9"/>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4"/>
        <w:shd w:val="clear" w:color="auto" w:fill="FFFFFF"/>
        <w:wordWrap/>
        <w:adjustRightInd/>
        <w:spacing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2023年度收入总计8468.79万元，支出总计</w:t>
      </w:r>
      <w:r>
        <w:rPr>
          <w:rFonts w:ascii="方正仿宋_GBK" w:hAnsi="方正仿宋_GBK" w:eastAsia="方正仿宋_GBK" w:cs="方正仿宋_GBK"/>
          <w:sz w:val="32"/>
          <w:szCs w:val="32"/>
        </w:rPr>
        <w:t>8468.79</w:t>
      </w:r>
      <w:r>
        <w:rPr>
          <w:rFonts w:ascii="方正仿宋_GBK" w:hAnsi="方正仿宋_GBK" w:eastAsia="方正仿宋_GBK" w:cs="方正仿宋_GBK"/>
          <w:sz w:val="32"/>
          <w:szCs w:val="32"/>
          <w:shd w:val="clear" w:color="auto" w:fill="FFFFFF"/>
        </w:rPr>
        <w:t>万元。收支较上年决算数增加836.73万元，增长10.96%，主要原因是</w:t>
      </w:r>
      <w:r>
        <w:rPr>
          <w:rFonts w:hint="eastAsia" w:ascii="方正仿宋_GBK" w:hAnsi="方正仿宋_GBK" w:eastAsia="方正仿宋_GBK" w:cs="方正仿宋_GBK"/>
          <w:sz w:val="32"/>
          <w:szCs w:val="32"/>
          <w:shd w:val="clear" w:color="auto" w:fill="FFFFFF"/>
          <w:lang w:eastAsia="zh-CN"/>
        </w:rPr>
        <w:t>基本支出增加</w:t>
      </w:r>
      <w:r>
        <w:rPr>
          <w:rFonts w:hint="eastAsia" w:ascii="方正仿宋_GBK" w:hAnsi="方正仿宋_GBK" w:eastAsia="方正仿宋_GBK" w:cs="方正仿宋_GBK"/>
          <w:sz w:val="32"/>
          <w:szCs w:val="32"/>
          <w:shd w:val="clear" w:color="auto" w:fill="FFFFFF"/>
          <w:lang w:val="en-US" w:eastAsia="zh-CN"/>
        </w:rPr>
        <w:t>101.23万元，</w:t>
      </w:r>
      <w:r>
        <w:rPr>
          <w:rFonts w:hint="eastAsia" w:ascii="方正仿宋_GBK" w:hAnsi="方正仿宋_GBK" w:eastAsia="方正仿宋_GBK" w:cs="方正仿宋_GBK"/>
          <w:sz w:val="32"/>
          <w:szCs w:val="32"/>
          <w:shd w:val="clear" w:color="auto" w:fill="FFFFFF"/>
          <w:lang w:eastAsia="zh-CN"/>
        </w:rPr>
        <w:t>项目支出增加</w:t>
      </w:r>
      <w:r>
        <w:rPr>
          <w:rFonts w:hint="eastAsia" w:ascii="方正仿宋_GBK" w:hAnsi="方正仿宋_GBK" w:eastAsia="方正仿宋_GBK" w:cs="方正仿宋_GBK"/>
          <w:sz w:val="32"/>
          <w:szCs w:val="32"/>
          <w:shd w:val="clear" w:color="auto" w:fill="FFFFFF"/>
          <w:lang w:val="en-US" w:eastAsia="zh-CN"/>
        </w:rPr>
        <w:t>735.82万元。</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6"/>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w:t>
      </w:r>
      <w:r>
        <w:rPr>
          <w:rFonts w:hint="eastAsia" w:ascii="方正仿宋_GBK" w:hAnsi="方正仿宋_GBK" w:eastAsia="方正仿宋_GBK" w:cs="方正仿宋_GBK"/>
          <w:sz w:val="32"/>
          <w:szCs w:val="32"/>
          <w:shd w:val="clear" w:color="auto" w:fill="FFFFFF"/>
        </w:rPr>
        <w:t>7745.87</w:t>
      </w:r>
      <w:r>
        <w:rPr>
          <w:rFonts w:ascii="方正仿宋_GBK" w:hAnsi="方正仿宋_GBK" w:eastAsia="方正仿宋_GBK" w:cs="方正仿宋_GBK"/>
          <w:sz w:val="32"/>
          <w:szCs w:val="32"/>
          <w:shd w:val="clear" w:color="auto" w:fill="FFFFFF"/>
        </w:rPr>
        <w:t>万元，较上年决算数增加836.73万元，增长12.11%，主要原因是</w:t>
      </w:r>
      <w:r>
        <w:rPr>
          <w:rFonts w:hint="eastAsia" w:ascii="方正仿宋_GBK" w:hAnsi="方正仿宋_GBK" w:eastAsia="方正仿宋_GBK" w:cs="方正仿宋_GBK"/>
          <w:sz w:val="32"/>
          <w:szCs w:val="32"/>
          <w:shd w:val="clear" w:color="auto" w:fill="FFFFFF"/>
          <w:lang w:eastAsia="zh-CN"/>
        </w:rPr>
        <w:t>基本支出增加</w:t>
      </w:r>
      <w:r>
        <w:rPr>
          <w:rFonts w:hint="eastAsia" w:ascii="方正仿宋_GBK" w:hAnsi="方正仿宋_GBK" w:eastAsia="方正仿宋_GBK" w:cs="方正仿宋_GBK"/>
          <w:sz w:val="32"/>
          <w:szCs w:val="32"/>
          <w:shd w:val="clear" w:color="auto" w:fill="FFFFFF"/>
          <w:lang w:val="en-US" w:eastAsia="zh-CN"/>
        </w:rPr>
        <w:t>101.23万元，</w:t>
      </w:r>
      <w:r>
        <w:rPr>
          <w:rFonts w:hint="eastAsia" w:ascii="方正仿宋_GBK" w:hAnsi="方正仿宋_GBK" w:eastAsia="方正仿宋_GBK" w:cs="方正仿宋_GBK"/>
          <w:sz w:val="32"/>
          <w:szCs w:val="32"/>
          <w:shd w:val="clear" w:color="auto" w:fill="FFFFFF"/>
          <w:lang w:eastAsia="zh-CN"/>
        </w:rPr>
        <w:t>项目支出增加</w:t>
      </w:r>
      <w:r>
        <w:rPr>
          <w:rFonts w:hint="eastAsia" w:ascii="方正仿宋_GBK" w:hAnsi="方正仿宋_GBK" w:eastAsia="方正仿宋_GBK" w:cs="方正仿宋_GBK"/>
          <w:sz w:val="32"/>
          <w:szCs w:val="32"/>
          <w:shd w:val="clear" w:color="auto" w:fill="FFFFFF"/>
          <w:lang w:val="en-US" w:eastAsia="zh-CN"/>
        </w:rPr>
        <w:t>735.82万元。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7745.87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722.93</w:t>
      </w:r>
      <w:r>
        <w:rPr>
          <w:rFonts w:ascii="方正仿宋_GBK" w:hAnsi="方正仿宋_GBK" w:eastAsia="方正仿宋_GBK" w:cs="方正仿宋_GBK"/>
          <w:sz w:val="32"/>
          <w:szCs w:val="32"/>
          <w:shd w:val="clear" w:color="auto" w:fill="FFFFFF"/>
        </w:rPr>
        <w:t>万元。</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6"/>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7745.87</w:t>
      </w:r>
      <w:r>
        <w:rPr>
          <w:rFonts w:ascii="方正仿宋_GBK" w:hAnsi="方正仿宋_GBK" w:eastAsia="方正仿宋_GBK" w:cs="方正仿宋_GBK"/>
          <w:sz w:val="32"/>
          <w:szCs w:val="32"/>
          <w:shd w:val="clear" w:color="auto" w:fill="FFFFFF"/>
        </w:rPr>
        <w:t>万元，较上年决算数增加836.73万元，增长12.11%，主要原因是</w:t>
      </w:r>
      <w:r>
        <w:rPr>
          <w:rFonts w:hint="eastAsia" w:ascii="方正仿宋_GBK" w:hAnsi="方正仿宋_GBK" w:eastAsia="方正仿宋_GBK" w:cs="方正仿宋_GBK"/>
          <w:sz w:val="32"/>
          <w:szCs w:val="32"/>
          <w:shd w:val="clear" w:color="auto" w:fill="FFFFFF"/>
          <w:lang w:eastAsia="zh-CN"/>
        </w:rPr>
        <w:t>基本支出增加</w:t>
      </w:r>
      <w:r>
        <w:rPr>
          <w:rFonts w:hint="eastAsia" w:ascii="方正仿宋_GBK" w:hAnsi="方正仿宋_GBK" w:eastAsia="方正仿宋_GBK" w:cs="方正仿宋_GBK"/>
          <w:sz w:val="32"/>
          <w:szCs w:val="32"/>
          <w:shd w:val="clear" w:color="auto" w:fill="FFFFFF"/>
          <w:lang w:val="en-US" w:eastAsia="zh-CN"/>
        </w:rPr>
        <w:t>101.23万元，</w:t>
      </w:r>
      <w:r>
        <w:rPr>
          <w:rFonts w:hint="eastAsia" w:ascii="方正仿宋_GBK" w:hAnsi="方正仿宋_GBK" w:eastAsia="方正仿宋_GBK" w:cs="方正仿宋_GBK"/>
          <w:sz w:val="32"/>
          <w:szCs w:val="32"/>
          <w:shd w:val="clear" w:color="auto" w:fill="FFFFFF"/>
          <w:lang w:eastAsia="zh-CN"/>
        </w:rPr>
        <w:t>项目支出增加</w:t>
      </w:r>
      <w:r>
        <w:rPr>
          <w:rFonts w:hint="eastAsia" w:ascii="方正仿宋_GBK" w:hAnsi="方正仿宋_GBK" w:eastAsia="方正仿宋_GBK" w:cs="方正仿宋_GBK"/>
          <w:sz w:val="32"/>
          <w:szCs w:val="32"/>
          <w:shd w:val="clear" w:color="auto" w:fill="FFFFFF"/>
          <w:lang w:val="en-US" w:eastAsia="zh-CN"/>
        </w:rPr>
        <w:t>735.82万元。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3008.44</w:t>
      </w:r>
      <w:r>
        <w:rPr>
          <w:rFonts w:ascii="方正仿宋_GBK" w:hAnsi="方正仿宋_GBK" w:eastAsia="方正仿宋_GBK" w:cs="方正仿宋_GBK"/>
          <w:sz w:val="32"/>
          <w:szCs w:val="32"/>
          <w:shd w:val="clear" w:color="auto" w:fill="FFFFFF"/>
        </w:rPr>
        <w:t>万元，占38.84%；项目支出</w:t>
      </w:r>
      <w:r>
        <w:rPr>
          <w:rFonts w:ascii="方正仿宋_GBK" w:hAnsi="方正仿宋_GBK" w:eastAsia="方正仿宋_GBK" w:cs="方正仿宋_GBK"/>
          <w:sz w:val="32"/>
          <w:szCs w:val="32"/>
        </w:rPr>
        <w:t>4737.43</w:t>
      </w:r>
      <w:r>
        <w:rPr>
          <w:rFonts w:ascii="方正仿宋_GBK" w:hAnsi="方正仿宋_GBK" w:eastAsia="方正仿宋_GBK" w:cs="方正仿宋_GBK"/>
          <w:sz w:val="32"/>
          <w:szCs w:val="32"/>
          <w:shd w:val="clear" w:color="auto" w:fill="FFFFFF"/>
        </w:rPr>
        <w:t>万元，占61.16%；经营支出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722.93</w:t>
      </w:r>
      <w:r>
        <w:rPr>
          <w:rFonts w:ascii="方正仿宋_GBK" w:hAnsi="方正仿宋_GBK" w:eastAsia="方正仿宋_GBK" w:cs="方正仿宋_GBK"/>
          <w:sz w:val="32"/>
          <w:szCs w:val="32"/>
          <w:shd w:val="clear" w:color="auto" w:fill="FFFFFF"/>
        </w:rPr>
        <w:t>万元，较上年决算数无增减，主要原因是</w:t>
      </w:r>
      <w:r>
        <w:rPr>
          <w:rFonts w:ascii="Times New Roman" w:hAnsi="Times New Roman" w:eastAsia="方正仿宋_GBK" w:cs="Times New Roman"/>
          <w:sz w:val="32"/>
          <w:szCs w:val="32"/>
          <w:shd w:val="clear" w:color="auto" w:fill="FFFFFF"/>
        </w:rPr>
        <w:t>去年单位未使用结转结余。</w:t>
      </w:r>
    </w:p>
    <w:p>
      <w:pPr>
        <w:pStyle w:val="8"/>
        <w:wordWrap/>
        <w:autoSpaceDE w:val="0"/>
        <w:adjustRightInd/>
        <w:spacing w:line="560" w:lineRule="exact"/>
        <w:ind w:left="0" w:leftChars="0" w:right="0" w:firstLine="640"/>
        <w:jc w:val="both"/>
        <w:textAlignment w:val="auto"/>
        <w:outlineLvl w:val="9"/>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pPr>
        <w:pStyle w:val="4"/>
        <w:shd w:val="clear" w:color="auto" w:fill="FFFFFF"/>
        <w:wordWrap/>
        <w:adjustRightInd/>
        <w:spacing w:line="560"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w:t>
      </w:r>
      <w:r>
        <w:rPr>
          <w:rFonts w:hint="eastAsia" w:ascii="方正仿宋_GBK" w:hAnsi="方正仿宋_GBK" w:eastAsia="方正仿宋_GBK" w:cs="方正仿宋_GBK"/>
          <w:sz w:val="32"/>
          <w:szCs w:val="32"/>
          <w:shd w:val="clear" w:color="auto" w:fill="FFFFFF"/>
        </w:rPr>
        <w:t>8468.79</w:t>
      </w:r>
      <w:r>
        <w:rPr>
          <w:rFonts w:ascii="方正仿宋_GBK" w:hAnsi="方正仿宋_GBK" w:eastAsia="方正仿宋_GBK" w:cs="方正仿宋_GBK"/>
          <w:sz w:val="32"/>
          <w:szCs w:val="32"/>
          <w:shd w:val="clear" w:color="auto" w:fill="FFFFFF"/>
        </w:rPr>
        <w:t>万元。与2022年相比，财政拨款收、支总计各增加836.73万元，增长10.96%。主要原因是</w:t>
      </w:r>
      <w:r>
        <w:rPr>
          <w:rFonts w:hint="eastAsia" w:ascii="方正仿宋_GBK" w:hAnsi="方正仿宋_GBK" w:eastAsia="方正仿宋_GBK" w:cs="方正仿宋_GBK"/>
          <w:sz w:val="32"/>
          <w:szCs w:val="32"/>
          <w:shd w:val="clear" w:color="auto" w:fill="FFFFFF"/>
          <w:lang w:eastAsia="zh-CN"/>
        </w:rPr>
        <w:t>基本支出增加</w:t>
      </w:r>
      <w:r>
        <w:rPr>
          <w:rFonts w:hint="eastAsia" w:ascii="方正仿宋_GBK" w:hAnsi="方正仿宋_GBK" w:eastAsia="方正仿宋_GBK" w:cs="方正仿宋_GBK"/>
          <w:sz w:val="32"/>
          <w:szCs w:val="32"/>
          <w:shd w:val="clear" w:color="auto" w:fill="FFFFFF"/>
          <w:lang w:val="en-US" w:eastAsia="zh-CN"/>
        </w:rPr>
        <w:t>101.23万元，</w:t>
      </w:r>
      <w:r>
        <w:rPr>
          <w:rFonts w:hint="eastAsia" w:ascii="方正仿宋_GBK" w:hAnsi="方正仿宋_GBK" w:eastAsia="方正仿宋_GBK" w:cs="方正仿宋_GBK"/>
          <w:sz w:val="32"/>
          <w:szCs w:val="32"/>
          <w:shd w:val="clear" w:color="auto" w:fill="FFFFFF"/>
          <w:lang w:eastAsia="zh-CN"/>
        </w:rPr>
        <w:t>项目支出增加</w:t>
      </w:r>
      <w:r>
        <w:rPr>
          <w:rFonts w:hint="eastAsia" w:ascii="方正仿宋_GBK" w:hAnsi="方正仿宋_GBK" w:eastAsia="方正仿宋_GBK" w:cs="方正仿宋_GBK"/>
          <w:sz w:val="32"/>
          <w:szCs w:val="32"/>
          <w:shd w:val="clear" w:color="auto" w:fill="FFFFFF"/>
          <w:lang w:val="en-US" w:eastAsia="zh-CN"/>
        </w:rPr>
        <w:t>735.82万元。</w:t>
      </w:r>
    </w:p>
    <w:p>
      <w:pPr>
        <w:pStyle w:val="8"/>
        <w:wordWrap/>
        <w:autoSpaceDE w:val="0"/>
        <w:adjustRightInd/>
        <w:spacing w:line="560" w:lineRule="exact"/>
        <w:ind w:left="0" w:leftChars="0" w:right="0" w:firstLine="640"/>
        <w:jc w:val="both"/>
        <w:textAlignment w:val="auto"/>
        <w:outlineLvl w:val="9"/>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pPr>
        <w:pStyle w:val="4"/>
        <w:shd w:val="clear" w:color="auto" w:fill="FFFFFF"/>
        <w:wordWrap/>
        <w:adjustRightInd/>
        <w:spacing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7745.87</w:t>
      </w:r>
      <w:r>
        <w:rPr>
          <w:rFonts w:ascii="方正仿宋_GBK" w:hAnsi="方正仿宋_GBK" w:eastAsia="方正仿宋_GBK" w:cs="方正仿宋_GBK"/>
          <w:sz w:val="32"/>
          <w:szCs w:val="32"/>
          <w:shd w:val="clear" w:color="auto" w:fill="FFFFFF"/>
        </w:rPr>
        <w:t>万元，较上年决算数增加836.73万元，增长12.11%。主要原因是</w:t>
      </w:r>
      <w:r>
        <w:rPr>
          <w:rFonts w:hint="eastAsia" w:ascii="方正仿宋_GBK" w:hAnsi="方正仿宋_GBK" w:eastAsia="方正仿宋_GBK" w:cs="方正仿宋_GBK"/>
          <w:sz w:val="32"/>
          <w:szCs w:val="32"/>
          <w:shd w:val="clear" w:color="auto" w:fill="FFFFFF"/>
          <w:lang w:eastAsia="zh-CN"/>
        </w:rPr>
        <w:t>基本支出增加</w:t>
      </w:r>
      <w:r>
        <w:rPr>
          <w:rFonts w:hint="eastAsia" w:ascii="方正仿宋_GBK" w:hAnsi="方正仿宋_GBK" w:eastAsia="方正仿宋_GBK" w:cs="方正仿宋_GBK"/>
          <w:sz w:val="32"/>
          <w:szCs w:val="32"/>
          <w:shd w:val="clear" w:color="auto" w:fill="FFFFFF"/>
          <w:lang w:val="en-US" w:eastAsia="zh-CN"/>
        </w:rPr>
        <w:t>101.23万元，</w:t>
      </w:r>
      <w:r>
        <w:rPr>
          <w:rFonts w:hint="eastAsia" w:ascii="方正仿宋_GBK" w:hAnsi="方正仿宋_GBK" w:eastAsia="方正仿宋_GBK" w:cs="方正仿宋_GBK"/>
          <w:sz w:val="32"/>
          <w:szCs w:val="32"/>
          <w:shd w:val="clear" w:color="auto" w:fill="FFFFFF"/>
          <w:lang w:eastAsia="zh-CN"/>
        </w:rPr>
        <w:t>项目支出增加</w:t>
      </w:r>
      <w:r>
        <w:rPr>
          <w:rFonts w:hint="eastAsia" w:ascii="方正仿宋_GBK" w:hAnsi="方正仿宋_GBK" w:eastAsia="方正仿宋_GBK" w:cs="方正仿宋_GBK"/>
          <w:sz w:val="32"/>
          <w:szCs w:val="32"/>
          <w:shd w:val="clear" w:color="auto" w:fill="FFFFFF"/>
          <w:lang w:val="en-US" w:eastAsia="zh-CN"/>
        </w:rPr>
        <w:t>735.82万元。</w:t>
      </w:r>
      <w:r>
        <w:rPr>
          <w:rFonts w:ascii="方正仿宋_GBK" w:hAnsi="方正仿宋_GBK" w:eastAsia="方正仿宋_GBK" w:cs="方正仿宋_GBK"/>
          <w:sz w:val="32"/>
          <w:szCs w:val="32"/>
          <w:shd w:val="clear" w:color="auto" w:fill="FFFFFF"/>
        </w:rPr>
        <w:t>较年初预算数增加1019.12万元，增长15.15%。主要原因是</w:t>
      </w:r>
      <w:r>
        <w:rPr>
          <w:rFonts w:hint="eastAsia" w:ascii="方正仿宋_GBK" w:hAnsi="方正仿宋_GBK" w:eastAsia="方正仿宋_GBK" w:cs="方正仿宋_GBK"/>
          <w:sz w:val="32"/>
          <w:szCs w:val="32"/>
          <w:shd w:val="clear" w:color="auto" w:fill="FFFFFF"/>
          <w:lang w:eastAsia="zh-CN"/>
        </w:rPr>
        <w:t>年中追加特定目标类项目，例如：泥结石路硬化项目，农村公路建设欠缴耕地占用税，拦马村党群服务中心优化提升项目，临聘消防人员经费等项目。</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722.93</w:t>
      </w:r>
      <w:r>
        <w:rPr>
          <w:rFonts w:ascii="方正仿宋_GBK" w:hAnsi="方正仿宋_GBK" w:eastAsia="方正仿宋_GBK" w:cs="方正仿宋_GBK"/>
          <w:sz w:val="32"/>
          <w:szCs w:val="32"/>
          <w:shd w:val="clear" w:color="auto" w:fill="FFFFFF"/>
        </w:rPr>
        <w:t>万元。</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7745.87</w:t>
      </w:r>
      <w:r>
        <w:rPr>
          <w:rFonts w:ascii="方正仿宋_GBK" w:hAnsi="方正仿宋_GBK" w:eastAsia="方正仿宋_GBK" w:cs="方正仿宋_GBK"/>
          <w:sz w:val="32"/>
          <w:szCs w:val="32"/>
          <w:shd w:val="clear" w:color="auto" w:fill="FFFFFF"/>
        </w:rPr>
        <w:t>万元，较上年决算数增加836.73万元，增长12.11%。主要原因是</w:t>
      </w:r>
      <w:r>
        <w:rPr>
          <w:rFonts w:hint="eastAsia" w:ascii="方正仿宋_GBK" w:hAnsi="方正仿宋_GBK" w:eastAsia="方正仿宋_GBK" w:cs="方正仿宋_GBK"/>
          <w:sz w:val="32"/>
          <w:szCs w:val="32"/>
          <w:shd w:val="clear" w:color="auto" w:fill="FFFFFF"/>
          <w:lang w:eastAsia="zh-CN"/>
        </w:rPr>
        <w:t>基本支出增加</w:t>
      </w:r>
      <w:r>
        <w:rPr>
          <w:rFonts w:hint="eastAsia" w:ascii="方正仿宋_GBK" w:hAnsi="方正仿宋_GBK" w:eastAsia="方正仿宋_GBK" w:cs="方正仿宋_GBK"/>
          <w:sz w:val="32"/>
          <w:szCs w:val="32"/>
          <w:shd w:val="clear" w:color="auto" w:fill="FFFFFF"/>
          <w:lang w:val="en-US" w:eastAsia="zh-CN"/>
        </w:rPr>
        <w:t>101.23万元，</w:t>
      </w:r>
      <w:r>
        <w:rPr>
          <w:rFonts w:hint="eastAsia" w:ascii="方正仿宋_GBK" w:hAnsi="方正仿宋_GBK" w:eastAsia="方正仿宋_GBK" w:cs="方正仿宋_GBK"/>
          <w:sz w:val="32"/>
          <w:szCs w:val="32"/>
          <w:shd w:val="clear" w:color="auto" w:fill="FFFFFF"/>
          <w:lang w:eastAsia="zh-CN"/>
        </w:rPr>
        <w:t>项目支出增加</w:t>
      </w:r>
      <w:r>
        <w:rPr>
          <w:rFonts w:hint="eastAsia" w:ascii="方正仿宋_GBK" w:hAnsi="方正仿宋_GBK" w:eastAsia="方正仿宋_GBK" w:cs="方正仿宋_GBK"/>
          <w:sz w:val="32"/>
          <w:szCs w:val="32"/>
          <w:shd w:val="clear" w:color="auto" w:fill="FFFFFF"/>
          <w:lang w:val="en-US" w:eastAsia="zh-CN"/>
        </w:rPr>
        <w:t>735.82万元。</w:t>
      </w:r>
      <w:r>
        <w:rPr>
          <w:rFonts w:ascii="方正仿宋_GBK" w:hAnsi="方正仿宋_GBK" w:eastAsia="方正仿宋_GBK" w:cs="方正仿宋_GBK"/>
          <w:sz w:val="32"/>
          <w:szCs w:val="32"/>
          <w:shd w:val="clear" w:color="auto" w:fill="FFFFFF"/>
        </w:rPr>
        <w:t>较年初预算数增加1019.12万元，增长15.15%。主要原因是</w:t>
      </w:r>
      <w:r>
        <w:rPr>
          <w:rFonts w:hint="eastAsia" w:ascii="方正仿宋_GBK" w:hAnsi="方正仿宋_GBK" w:eastAsia="方正仿宋_GBK" w:cs="方正仿宋_GBK"/>
          <w:sz w:val="32"/>
          <w:szCs w:val="32"/>
          <w:shd w:val="clear" w:color="auto" w:fill="FFFFFF"/>
          <w:lang w:eastAsia="zh-CN"/>
        </w:rPr>
        <w:t>年中追加特定目标类项目，例如：泥结石路硬化项目，农村公路建设欠缴耕地占用税，拦马村党群服务中心优化提升项目，临聘消防人员经费等项目。</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722.93</w:t>
      </w:r>
      <w:r>
        <w:rPr>
          <w:rFonts w:ascii="方正仿宋_GBK" w:hAnsi="方正仿宋_GBK" w:eastAsia="方正仿宋_GBK" w:cs="方正仿宋_GBK"/>
          <w:sz w:val="32"/>
          <w:szCs w:val="32"/>
          <w:shd w:val="clear" w:color="auto" w:fill="FFFFFF"/>
        </w:rPr>
        <w:t>万元，较上年决算数无增减，主要原因是</w:t>
      </w:r>
      <w:r>
        <w:rPr>
          <w:rFonts w:ascii="Times New Roman" w:hAnsi="Times New Roman" w:eastAsia="方正仿宋_GBK" w:cs="Times New Roman"/>
          <w:sz w:val="32"/>
          <w:szCs w:val="32"/>
          <w:shd w:val="clear" w:color="auto" w:fill="FFFFFF"/>
        </w:rPr>
        <w:t>去年单位未使用结转结余。</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ascii="方正仿宋_GBK" w:hAnsi="方正仿宋_GBK" w:eastAsia="方正仿宋_GBK" w:cs="方正仿宋_GBK"/>
          <w:sz w:val="32"/>
          <w:szCs w:val="32"/>
          <w:shd w:val="clear" w:color="auto" w:fill="FFFFFF"/>
        </w:rPr>
      </w:pPr>
      <w:r>
        <w:rPr>
          <w:rStyle w:val="6"/>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1771.48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22.87</w:t>
      </w:r>
      <w:r>
        <w:rPr>
          <w:rFonts w:ascii="方正仿宋_GBK" w:hAnsi="方正仿宋_GBK" w:eastAsia="方正仿宋_GBK" w:cs="方正仿宋_GBK"/>
          <w:sz w:val="32"/>
          <w:szCs w:val="32"/>
          <w:shd w:val="clear" w:color="auto" w:fill="FFFFFF"/>
        </w:rPr>
        <w:t>%，较年初预算数增加358.08万元，增长25.33%，主要原因是</w:t>
      </w:r>
      <w:r>
        <w:rPr>
          <w:rFonts w:hint="eastAsia" w:ascii="方正仿宋_GBK" w:hAnsi="方正仿宋_GBK" w:eastAsia="方正仿宋_GBK" w:cs="方正仿宋_GBK"/>
          <w:sz w:val="32"/>
          <w:szCs w:val="32"/>
          <w:shd w:val="clear" w:color="auto" w:fill="FFFFFF"/>
          <w:lang w:eastAsia="zh-CN"/>
        </w:rPr>
        <w:t>年中追加</w:t>
      </w:r>
      <w:r>
        <w:rPr>
          <w:rFonts w:ascii="方正仿宋_GBK" w:hAnsi="方正仿宋_GBK" w:eastAsia="方正仿宋_GBK" w:cs="方正仿宋_GBK"/>
          <w:sz w:val="32"/>
          <w:szCs w:val="32"/>
          <w:shd w:val="clear" w:color="auto" w:fill="FFFFFF"/>
        </w:rPr>
        <w:t>沙心公司土地租金</w:t>
      </w:r>
      <w:r>
        <w:rPr>
          <w:rFonts w:hint="eastAsia" w:ascii="方正仿宋_GBK" w:hAnsi="方正仿宋_GBK" w:eastAsia="方正仿宋_GBK" w:cs="方正仿宋_GBK"/>
          <w:sz w:val="32"/>
          <w:szCs w:val="32"/>
          <w:shd w:val="clear" w:color="auto" w:fill="FFFFFF"/>
          <w:lang w:eastAsia="zh-CN"/>
        </w:rPr>
        <w:t>、提前下达2024年项目经费、</w:t>
      </w:r>
      <w:r>
        <w:rPr>
          <w:rFonts w:ascii="方正仿宋_GBK" w:hAnsi="方正仿宋_GBK" w:eastAsia="方正仿宋_GBK" w:cs="方正仿宋_GBK"/>
          <w:sz w:val="32"/>
          <w:szCs w:val="32"/>
          <w:shd w:val="clear" w:color="auto" w:fill="FFFFFF"/>
        </w:rPr>
        <w:t>21年上级超出部分返还</w:t>
      </w:r>
      <w:r>
        <w:rPr>
          <w:rFonts w:hint="eastAsia" w:ascii="方正仿宋_GBK" w:hAnsi="方正仿宋_GBK" w:eastAsia="方正仿宋_GBK" w:cs="方正仿宋_GBK"/>
          <w:sz w:val="32"/>
          <w:szCs w:val="32"/>
          <w:shd w:val="clear" w:color="auto" w:fill="FFFFFF"/>
          <w:lang w:eastAsia="zh-CN"/>
        </w:rPr>
        <w:t>等项目。</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78.59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1.01</w:t>
      </w:r>
      <w:r>
        <w:rPr>
          <w:rFonts w:ascii="方正仿宋_GBK" w:hAnsi="方正仿宋_GBK" w:eastAsia="方正仿宋_GBK" w:cs="方正仿宋_GBK"/>
          <w:sz w:val="32"/>
          <w:szCs w:val="32"/>
          <w:shd w:val="clear" w:color="auto" w:fill="FFFFFF"/>
        </w:rPr>
        <w:t>%，较年初预算数增加78.59万元，增长100.00%，主要原因是</w:t>
      </w:r>
      <w:r>
        <w:rPr>
          <w:rFonts w:hint="eastAsia" w:ascii="方正仿宋_GBK" w:hAnsi="方正仿宋_GBK" w:eastAsia="方正仿宋_GBK" w:cs="方正仿宋_GBK"/>
          <w:sz w:val="32"/>
          <w:szCs w:val="32"/>
          <w:shd w:val="clear" w:color="auto" w:fill="FFFFFF"/>
          <w:lang w:eastAsia="zh-CN"/>
        </w:rPr>
        <w:t>年中追加</w:t>
      </w:r>
      <w:r>
        <w:rPr>
          <w:rFonts w:ascii="方正仿宋_GBK" w:hAnsi="方正仿宋_GBK" w:eastAsia="方正仿宋_GBK" w:cs="方正仿宋_GBK"/>
          <w:sz w:val="32"/>
          <w:szCs w:val="32"/>
          <w:shd w:val="clear" w:color="auto" w:fill="FFFFFF"/>
        </w:rPr>
        <w:t>2023年基层平安法制建设奖补资金</w:t>
      </w:r>
      <w:r>
        <w:rPr>
          <w:rFonts w:hint="eastAsia" w:ascii="方正仿宋_GBK" w:hAnsi="方正仿宋_GBK" w:eastAsia="方正仿宋_GBK" w:cs="方正仿宋_GBK"/>
          <w:sz w:val="32"/>
          <w:szCs w:val="32"/>
          <w:shd w:val="clear" w:color="auto" w:fill="FFFFFF"/>
          <w:lang w:eastAsia="zh-CN"/>
        </w:rPr>
        <w:t>等项目。</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95.58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1.23</w:t>
      </w:r>
      <w:r>
        <w:rPr>
          <w:rFonts w:ascii="方正仿宋_GBK" w:hAnsi="方正仿宋_GBK" w:eastAsia="方正仿宋_GBK" w:cs="方正仿宋_GBK"/>
          <w:sz w:val="32"/>
          <w:szCs w:val="32"/>
          <w:shd w:val="clear" w:color="auto" w:fill="FFFFFF"/>
        </w:rPr>
        <w:t>%，较年初预算数增加80.58万元，增长537.20%，主要原因是</w:t>
      </w:r>
      <w:r>
        <w:rPr>
          <w:rFonts w:hint="eastAsia" w:ascii="方正仿宋_GBK" w:hAnsi="方正仿宋_GBK" w:eastAsia="方正仿宋_GBK" w:cs="方正仿宋_GBK"/>
          <w:sz w:val="32"/>
          <w:szCs w:val="32"/>
          <w:shd w:val="clear" w:color="auto" w:fill="FFFFFF"/>
          <w:lang w:eastAsia="zh-CN"/>
        </w:rPr>
        <w:t>年中追加周末到铜梁镇长晒主题、文化服务中心免费开放经费、渝财教【2023】46号2023年中央补助地方公共文化服务体系建设专项资金、文物安全保护等项目。</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675.31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8.72</w:t>
      </w:r>
      <w:r>
        <w:rPr>
          <w:rFonts w:ascii="方正仿宋_GBK" w:hAnsi="方正仿宋_GBK" w:eastAsia="方正仿宋_GBK" w:cs="方正仿宋_GBK"/>
          <w:sz w:val="32"/>
          <w:szCs w:val="32"/>
          <w:shd w:val="clear" w:color="auto" w:fill="FFFFFF"/>
        </w:rPr>
        <w:t>%，较年初预算数增加253.01万元，增长59.91%，主要原因是</w:t>
      </w:r>
      <w:r>
        <w:rPr>
          <w:rFonts w:hint="eastAsia" w:ascii="方正仿宋_GBK" w:hAnsi="方正仿宋_GBK" w:eastAsia="方正仿宋_GBK" w:cs="方正仿宋_GBK"/>
          <w:sz w:val="32"/>
          <w:szCs w:val="32"/>
          <w:shd w:val="clear" w:color="auto" w:fill="FFFFFF"/>
          <w:lang w:eastAsia="zh-CN"/>
        </w:rPr>
        <w:t>年中追加</w:t>
      </w:r>
      <w:r>
        <w:rPr>
          <w:rFonts w:ascii="方正仿宋_GBK" w:hAnsi="方正仿宋_GBK" w:eastAsia="方正仿宋_GBK" w:cs="方正仿宋_GBK"/>
          <w:sz w:val="32"/>
          <w:szCs w:val="32"/>
          <w:shd w:val="clear" w:color="auto" w:fill="FFFFFF"/>
        </w:rPr>
        <w:t>医疗保障服务示范点建设</w:t>
      </w:r>
      <w:r>
        <w:rPr>
          <w:rFonts w:hint="eastAsia" w:ascii="方正仿宋_GBK" w:hAnsi="方正仿宋_GBK" w:eastAsia="方正仿宋_GBK" w:cs="方正仿宋_GBK"/>
          <w:sz w:val="32"/>
          <w:szCs w:val="32"/>
          <w:shd w:val="clear" w:color="auto" w:fill="FFFFFF"/>
          <w:lang w:eastAsia="zh-CN"/>
        </w:rPr>
        <w:t>等项目。</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154.68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%，较年初预算数减少35.40万元，下降18.62%，主要原因是</w:t>
      </w:r>
      <w:r>
        <w:rPr>
          <w:rFonts w:hint="eastAsia" w:ascii="方正仿宋_GBK" w:hAnsi="方正仿宋_GBK" w:eastAsia="方正仿宋_GBK" w:cs="方正仿宋_GBK"/>
          <w:sz w:val="32"/>
          <w:szCs w:val="32"/>
          <w:shd w:val="clear" w:color="auto" w:fill="FFFFFF"/>
          <w:lang w:val="en-US" w:eastAsia="zh-CN"/>
        </w:rPr>
        <w:t>2023年</w:t>
      </w:r>
      <w:r>
        <w:rPr>
          <w:rFonts w:hint="eastAsia" w:ascii="方正仿宋_GBK" w:hAnsi="方正仿宋_GBK" w:eastAsia="方正仿宋_GBK" w:cs="方正仿宋_GBK"/>
          <w:sz w:val="32"/>
          <w:szCs w:val="32"/>
          <w:shd w:val="clear" w:color="auto" w:fill="FFFFFF"/>
          <w:lang w:eastAsia="zh-CN"/>
        </w:rPr>
        <w:t>实际发生的卫生健康支出减少。</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189.35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2.44</w:t>
      </w:r>
      <w:r>
        <w:rPr>
          <w:rFonts w:ascii="方正仿宋_GBK" w:hAnsi="方正仿宋_GBK" w:eastAsia="方正仿宋_GBK" w:cs="方正仿宋_GBK"/>
          <w:sz w:val="32"/>
          <w:szCs w:val="32"/>
          <w:shd w:val="clear" w:color="auto" w:fill="FFFFFF"/>
        </w:rPr>
        <w:t>%，较年初预算数增加189.35万元，增长100.00%，主要原因是</w:t>
      </w:r>
      <w:r>
        <w:rPr>
          <w:rFonts w:hint="eastAsia" w:ascii="方正仿宋_GBK" w:hAnsi="方正仿宋_GBK" w:eastAsia="方正仿宋_GBK" w:cs="方正仿宋_GBK"/>
          <w:sz w:val="32"/>
          <w:szCs w:val="32"/>
          <w:shd w:val="clear" w:color="auto" w:fill="FFFFFF"/>
          <w:lang w:eastAsia="zh-CN"/>
        </w:rPr>
        <w:t>年中追加</w:t>
      </w:r>
      <w:r>
        <w:rPr>
          <w:rFonts w:ascii="方正仿宋_GBK" w:hAnsi="方正仿宋_GBK" w:eastAsia="方正仿宋_GBK" w:cs="方正仿宋_GBK"/>
          <w:sz w:val="32"/>
          <w:szCs w:val="32"/>
          <w:shd w:val="clear" w:color="auto" w:fill="FFFFFF"/>
        </w:rPr>
        <w:t>渝财环[2022]21号，2022年第三批生态环境“以奖促治”市级补助资金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高空喷雾除霾系统工程</w:t>
      </w:r>
      <w:r>
        <w:rPr>
          <w:rFonts w:hint="eastAsia" w:ascii="方正仿宋_GBK" w:hAnsi="方正仿宋_GBK" w:eastAsia="方正仿宋_GBK" w:cs="方正仿宋_GBK"/>
          <w:sz w:val="32"/>
          <w:szCs w:val="32"/>
          <w:shd w:val="clear" w:color="auto" w:fill="FFFFFF"/>
          <w:lang w:eastAsia="zh-CN"/>
        </w:rPr>
        <w:t>等项目。</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2883.57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37.23</w:t>
      </w:r>
      <w:r>
        <w:rPr>
          <w:rFonts w:ascii="方正仿宋_GBK" w:hAnsi="方正仿宋_GBK" w:eastAsia="方正仿宋_GBK" w:cs="方正仿宋_GBK"/>
          <w:sz w:val="32"/>
          <w:szCs w:val="32"/>
          <w:shd w:val="clear" w:color="auto" w:fill="FFFFFF"/>
        </w:rPr>
        <w:t>%，较年初预算数减少774.27万元，下降21.17%，主要原因是</w:t>
      </w:r>
      <w:r>
        <w:rPr>
          <w:rFonts w:hint="eastAsia" w:ascii="方正仿宋_GBK" w:hAnsi="方正仿宋_GBK" w:eastAsia="方正仿宋_GBK" w:cs="方正仿宋_GBK"/>
          <w:sz w:val="32"/>
          <w:szCs w:val="32"/>
          <w:shd w:val="clear" w:color="auto" w:fill="FFFFFF"/>
          <w:lang w:val="en-US" w:eastAsia="zh-CN"/>
        </w:rPr>
        <w:t>2023年实际发生的城乡社区支出减少。</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1523.44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19.67</w:t>
      </w:r>
      <w:r>
        <w:rPr>
          <w:rFonts w:ascii="方正仿宋_GBK" w:hAnsi="方正仿宋_GBK" w:eastAsia="方正仿宋_GBK" w:cs="方正仿宋_GBK"/>
          <w:sz w:val="32"/>
          <w:szCs w:val="32"/>
          <w:shd w:val="clear" w:color="auto" w:fill="FFFFFF"/>
        </w:rPr>
        <w:t>%，较年初预算数增加641.44万元，增长72.73%，主要原因是</w:t>
      </w:r>
      <w:r>
        <w:rPr>
          <w:rFonts w:hint="eastAsia" w:ascii="方正仿宋_GBK" w:hAnsi="方正仿宋_GBK" w:eastAsia="方正仿宋_GBK" w:cs="方正仿宋_GBK"/>
          <w:sz w:val="32"/>
          <w:szCs w:val="32"/>
          <w:shd w:val="clear" w:color="auto" w:fill="FFFFFF"/>
          <w:lang w:eastAsia="zh-CN"/>
        </w:rPr>
        <w:t>年中追加泥结石路硬化项目、</w:t>
      </w:r>
      <w:r>
        <w:rPr>
          <w:rFonts w:ascii="方正仿宋_GBK" w:hAnsi="方正仿宋_GBK" w:eastAsia="方正仿宋_GBK" w:cs="方正仿宋_GBK"/>
          <w:sz w:val="32"/>
          <w:szCs w:val="32"/>
          <w:shd w:val="clear" w:color="auto" w:fill="FFFFFF"/>
        </w:rPr>
        <w:t>党群服务中心建设项目全兴社区</w:t>
      </w:r>
      <w:r>
        <w:rPr>
          <w:rFonts w:hint="eastAsia" w:ascii="方正仿宋_GBK" w:hAnsi="方正仿宋_GBK" w:eastAsia="方正仿宋_GBK" w:cs="方正仿宋_GBK"/>
          <w:sz w:val="32"/>
          <w:szCs w:val="32"/>
          <w:shd w:val="clear" w:color="auto" w:fill="FFFFFF"/>
          <w:lang w:eastAsia="zh-CN"/>
        </w:rPr>
        <w:t>等项目。</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124.51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1.61</w:t>
      </w:r>
      <w:r>
        <w:rPr>
          <w:rFonts w:ascii="方正仿宋_GBK" w:hAnsi="方正仿宋_GBK" w:eastAsia="方正仿宋_GBK" w:cs="方正仿宋_GBK"/>
          <w:sz w:val="32"/>
          <w:szCs w:val="32"/>
          <w:shd w:val="clear" w:color="auto" w:fill="FFFFFF"/>
        </w:rPr>
        <w:t>%，较年初预算数增加124.51万元，增长100.00%，主要原因是</w:t>
      </w:r>
      <w:r>
        <w:rPr>
          <w:rFonts w:hint="eastAsia" w:ascii="方正仿宋_GBK" w:hAnsi="方正仿宋_GBK" w:eastAsia="方正仿宋_GBK" w:cs="方正仿宋_GBK"/>
          <w:sz w:val="32"/>
          <w:szCs w:val="32"/>
          <w:shd w:val="clear" w:color="auto" w:fill="FFFFFF"/>
          <w:lang w:eastAsia="zh-CN"/>
        </w:rPr>
        <w:t>“四好农村路”建设、</w:t>
      </w:r>
      <w:r>
        <w:rPr>
          <w:rFonts w:hint="eastAsia" w:ascii="方正仿宋_GBK" w:hAnsi="方正仿宋_GBK" w:eastAsia="方正仿宋_GBK" w:cs="方正仿宋_GBK"/>
          <w:sz w:val="32"/>
          <w:szCs w:val="32"/>
          <w:shd w:val="clear" w:color="auto" w:fill="FFFFFF"/>
          <w:lang w:val="en-US" w:eastAsia="zh-CN"/>
        </w:rPr>
        <w:t>2021年农村联网路建设等项目。</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（10）住房保障支出146.12万元，占1.89%，较年初预算数无增减，主要原因是人员增加，住房公积金的增加。</w:t>
      </w:r>
      <w:bookmarkStart w:id="0" w:name="_GoBack"/>
      <w:bookmarkEnd w:id="0"/>
    </w:p>
    <w:p>
      <w:pPr>
        <w:wordWrap/>
        <w:adjustRightInd/>
        <w:spacing w:line="560" w:lineRule="exact"/>
        <w:ind w:left="0" w:leftChars="0" w:right="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灾害防治及应急管理支出103.22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1.33</w:t>
      </w:r>
      <w:r>
        <w:rPr>
          <w:rFonts w:ascii="方正仿宋_GBK" w:hAnsi="方正仿宋_GBK" w:eastAsia="方正仿宋_GBK" w:cs="方正仿宋_GBK"/>
          <w:sz w:val="32"/>
          <w:szCs w:val="32"/>
          <w:shd w:val="clear" w:color="auto" w:fill="FFFFFF"/>
        </w:rPr>
        <w:t>%，较年初预算数增加103.22万元，增长100.00%，主要原因是</w:t>
      </w:r>
      <w:r>
        <w:rPr>
          <w:rFonts w:hint="eastAsia" w:ascii="方正仿宋_GBK" w:hAnsi="方正仿宋_GBK" w:eastAsia="方正仿宋_GBK" w:cs="方正仿宋_GBK"/>
          <w:sz w:val="32"/>
          <w:szCs w:val="32"/>
          <w:shd w:val="clear" w:color="auto" w:fill="FFFFFF"/>
          <w:lang w:eastAsia="zh-CN"/>
        </w:rPr>
        <w:t>年中追加镇街防汛救灾专项资金、</w:t>
      </w:r>
      <w:r>
        <w:rPr>
          <w:rFonts w:ascii="方正仿宋_GBK" w:hAnsi="方正仿宋_GBK" w:eastAsia="方正仿宋_GBK" w:cs="方正仿宋_GBK"/>
          <w:sz w:val="32"/>
          <w:szCs w:val="32"/>
          <w:shd w:val="clear" w:color="auto" w:fill="FFFFFF"/>
        </w:rPr>
        <w:t>临聘消防人员经费</w:t>
      </w:r>
      <w:r>
        <w:rPr>
          <w:rFonts w:hint="eastAsia" w:ascii="方正仿宋_GBK" w:hAnsi="方正仿宋_GBK" w:eastAsia="方正仿宋_GBK" w:cs="方正仿宋_GBK"/>
          <w:sz w:val="32"/>
          <w:szCs w:val="32"/>
          <w:shd w:val="clear" w:color="auto" w:fill="FFFFFF"/>
          <w:lang w:eastAsia="zh-CN"/>
        </w:rPr>
        <w:t>两个项目。</w:t>
      </w:r>
    </w:p>
    <w:p>
      <w:pPr>
        <w:pStyle w:val="8"/>
        <w:wordWrap/>
        <w:autoSpaceDE w:val="0"/>
        <w:adjustRightInd/>
        <w:spacing w:line="560" w:lineRule="exact"/>
        <w:ind w:left="0" w:leftChars="0" w:right="0" w:firstLine="640"/>
        <w:jc w:val="both"/>
        <w:textAlignment w:val="auto"/>
        <w:outlineLvl w:val="9"/>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pPr>
        <w:pStyle w:val="4"/>
        <w:wordWrap/>
        <w:adjustRightInd/>
        <w:snapToGrid/>
        <w:spacing w:before="0" w:beforeAutospacing="0" w:after="0" w:afterAutospacing="0" w:line="560" w:lineRule="exact"/>
        <w:ind w:left="0" w:leftChars="0" w:right="0" w:firstLine="640" w:firstLineChars="200"/>
        <w:jc w:val="both"/>
        <w:textAlignment w:val="auto"/>
        <w:outlineLvl w:val="9"/>
        <w:rPr>
          <w:rStyle w:val="6"/>
          <w:rFonts w:ascii="Times New Roman" w:hAnsi="Times New Roman" w:eastAsia="方正仿宋_GBK"/>
          <w:b w:val="0"/>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3008.44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2480.16</w:t>
      </w:r>
      <w:r>
        <w:rPr>
          <w:rFonts w:ascii="方正仿宋_GBK" w:hAnsi="方正仿宋_GBK" w:eastAsia="方正仿宋_GBK" w:cs="方正仿宋_GBK"/>
          <w:sz w:val="32"/>
          <w:szCs w:val="32"/>
          <w:shd w:val="clear" w:color="auto" w:fill="FFFFFF"/>
        </w:rPr>
        <w:t>万元，较上年决算数增加194.44万元，增长8.51%，主要原因是</w:t>
      </w:r>
      <w:r>
        <w:rPr>
          <w:rFonts w:hint="eastAsia" w:ascii="方正仿宋_GBK" w:hAnsi="方正仿宋_GBK" w:eastAsia="方正仿宋_GBK" w:cs="方正仿宋_GBK"/>
          <w:sz w:val="32"/>
          <w:szCs w:val="32"/>
          <w:shd w:val="clear" w:color="auto" w:fill="FFFFFF"/>
          <w:lang w:val="en-US" w:eastAsia="zh-CN"/>
        </w:rPr>
        <w:t>2023年新增5名事业人员。</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cs="Times New Roman"/>
          <w:sz w:val="32"/>
          <w:szCs w:val="32"/>
          <w:shd w:val="clear" w:color="auto" w:fill="FFFFFF"/>
        </w:rPr>
        <w:t>基本工资、津贴补贴、奖金、社会保障缴费、住房公积金、应休未休假报酬等</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528.28</w:t>
      </w:r>
      <w:r>
        <w:rPr>
          <w:rFonts w:ascii="方正仿宋_GBK" w:hAnsi="方正仿宋_GBK" w:eastAsia="方正仿宋_GBK" w:cs="方正仿宋_GBK"/>
          <w:sz w:val="32"/>
          <w:szCs w:val="32"/>
          <w:shd w:val="clear" w:color="auto" w:fill="FFFFFF"/>
        </w:rPr>
        <w:t>万元，较上年决算数减少93.22万元，下降15.00%，主要原因是</w:t>
      </w:r>
      <w:r>
        <w:rPr>
          <w:rFonts w:hint="eastAsia" w:ascii="Times New Roman" w:hAnsi="Times New Roman" w:eastAsia="方正仿宋_GBK"/>
          <w:bCs/>
          <w:sz w:val="32"/>
          <w:szCs w:val="32"/>
          <w:highlight w:val="none"/>
          <w:lang w:eastAsia="zh-CN"/>
        </w:rPr>
        <w:t>厉行节约，严控支出</w:t>
      </w:r>
      <w:r>
        <w:rPr>
          <w:rFonts w:ascii="Times New Roman" w:hAnsi="Times New Roman" w:eastAsia="方正仿宋_GBK"/>
          <w:bCs/>
          <w:sz w:val="32"/>
          <w:szCs w:val="32"/>
        </w:rPr>
        <w:t>。</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cs="Times New Roman"/>
          <w:sz w:val="32"/>
          <w:szCs w:val="32"/>
          <w:shd w:val="clear" w:color="auto" w:fill="FFFFFF"/>
        </w:rPr>
        <w:t>办公费、印刷费、咨询费、手续费、水费、电费、邮电费、差旅费、维修（护）费、公务接待费、劳务费、工会经费、其他交通费等。</w:t>
      </w:r>
    </w:p>
    <w:p>
      <w:pPr>
        <w:pStyle w:val="8"/>
        <w:wordWrap/>
        <w:autoSpaceDE w:val="0"/>
        <w:adjustRightInd/>
        <w:spacing w:line="560" w:lineRule="exact"/>
        <w:ind w:left="0" w:leftChars="0" w:right="0" w:firstLine="0" w:firstLineChars="0"/>
        <w:jc w:val="both"/>
        <w:textAlignment w:val="auto"/>
        <w:outlineLvl w:val="9"/>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 xml:space="preserve">   </w:t>
      </w:r>
      <w:r>
        <w:rPr>
          <w:rFonts w:hint="eastAsia" w:ascii="方正楷体_GBK" w:hAnsi="方正楷体_GBK" w:eastAsia="方正楷体_GBK" w:cs="方正楷体_GBK"/>
          <w:b/>
          <w:bCs/>
          <w:sz w:val="32"/>
          <w:szCs w:val="32"/>
          <w:shd w:val="clear" w:color="auto" w:fill="FFFFFF"/>
        </w:rPr>
        <w:t>（五）政府性基金预算收支决算情况说明</w:t>
      </w:r>
    </w:p>
    <w:p>
      <w:pPr>
        <w:pStyle w:val="8"/>
        <w:wordWrap/>
        <w:autoSpaceDE w:val="0"/>
        <w:adjustRightInd/>
        <w:spacing w:line="560" w:lineRule="exact"/>
        <w:ind w:left="0" w:leftChars="0" w:right="0" w:firstLine="640"/>
        <w:jc w:val="both"/>
        <w:textAlignment w:val="auto"/>
        <w:outlineLvl w:val="9"/>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本部门2022年度无政府性基金预算财政拨款收支。</w:t>
      </w:r>
    </w:p>
    <w:p>
      <w:pPr>
        <w:pStyle w:val="8"/>
        <w:wordWrap/>
        <w:autoSpaceDE w:val="0"/>
        <w:adjustRightInd/>
        <w:spacing w:line="560" w:lineRule="exact"/>
        <w:ind w:left="0" w:leftChars="0" w:right="0" w:firstLine="0" w:firstLineChars="0"/>
        <w:jc w:val="both"/>
        <w:textAlignment w:val="auto"/>
        <w:outlineLvl w:val="9"/>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 xml:space="preserve">   </w:t>
      </w:r>
      <w:r>
        <w:rPr>
          <w:rFonts w:hint="eastAsia" w:ascii="方正楷体_GBK" w:hAnsi="方正楷体_GBK" w:eastAsia="方正楷体_GBK" w:cs="方正楷体_GBK"/>
          <w:b/>
          <w:bCs/>
          <w:sz w:val="32"/>
          <w:szCs w:val="32"/>
          <w:shd w:val="clear" w:color="auto" w:fill="FFFFFF"/>
        </w:rPr>
        <w:t>（六）国有资本经营预算财政拨款支出决算情况说明</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本部门</w:t>
      </w:r>
      <w:r>
        <w:rPr>
          <w:rFonts w:hint="eastAsia" w:ascii="方正仿宋_GBK" w:hAnsi="方正仿宋_GBK" w:eastAsia="方正仿宋_GBK" w:cs="方正仿宋_GBK"/>
          <w:sz w:val="32"/>
          <w:szCs w:val="32"/>
          <w:shd w:val="clear" w:color="auto" w:fill="FFFFFF"/>
          <w:lang w:val="en-US" w:eastAsia="zh-CN"/>
        </w:rPr>
        <w:t>2023年度无</w:t>
      </w:r>
      <w:r>
        <w:rPr>
          <w:rFonts w:hint="eastAsia" w:ascii="方正仿宋_GBK" w:hAnsi="方正仿宋_GBK" w:eastAsia="方正仿宋_GBK" w:cs="方正仿宋_GBK"/>
          <w:b w:val="0"/>
          <w:bCs w:val="0"/>
          <w:sz w:val="32"/>
          <w:szCs w:val="32"/>
          <w:shd w:val="clear" w:color="auto" w:fill="FFFFFF"/>
        </w:rPr>
        <w:t>国有资本经营预算财政拨款支出</w:t>
      </w:r>
      <w:r>
        <w:rPr>
          <w:rFonts w:hint="eastAsia" w:ascii="方正仿宋_GBK" w:hAnsi="方正仿宋_GBK" w:eastAsia="方正仿宋_GBK" w:cs="方正仿宋_GBK"/>
          <w:b w:val="0"/>
          <w:bCs w:val="0"/>
          <w:sz w:val="32"/>
          <w:szCs w:val="32"/>
          <w:shd w:val="clear" w:color="auto" w:fill="FFFFFF"/>
          <w:lang w:eastAsia="zh-CN"/>
        </w:rPr>
        <w:t>。</w:t>
      </w:r>
    </w:p>
    <w:p>
      <w:pPr>
        <w:pStyle w:val="4"/>
        <w:shd w:val="clear" w:color="auto" w:fill="FFFFFF"/>
        <w:wordWrap/>
        <w:adjustRightInd/>
        <w:spacing w:line="560" w:lineRule="exact"/>
        <w:ind w:left="0" w:leftChars="0" w:right="0"/>
        <w:jc w:val="both"/>
        <w:textAlignment w:val="auto"/>
        <w:outlineLvl w:val="9"/>
        <w:rPr>
          <w:rStyle w:val="6"/>
          <w:rFonts w:hint="eastAsia" w:ascii="方正黑体_GBK" w:hAnsi="方正黑体_GBK" w:eastAsia="方正黑体_GBK" w:cs="方正黑体_GBK"/>
          <w:sz w:val="32"/>
          <w:szCs w:val="32"/>
          <w:shd w:val="clear" w:color="auto" w:fill="FFFFFF"/>
        </w:rPr>
      </w:pPr>
      <w:r>
        <w:rPr>
          <w:rStyle w:val="6"/>
          <w:rFonts w:hint="eastAsia" w:ascii="方正黑体_GBK" w:hAnsi="方正黑体_GBK" w:eastAsia="方正黑体_GBK" w:cs="方正黑体_GBK"/>
          <w:sz w:val="32"/>
          <w:szCs w:val="32"/>
          <w:shd w:val="clear" w:color="auto" w:fill="FFFFFF"/>
        </w:rPr>
        <w:t>三、“三公”经费情况说明</w:t>
      </w:r>
    </w:p>
    <w:p>
      <w:pPr>
        <w:pStyle w:val="8"/>
        <w:wordWrap/>
        <w:autoSpaceDE w:val="0"/>
        <w:adjustRightInd/>
        <w:spacing w:line="560" w:lineRule="exact"/>
        <w:ind w:left="0" w:leftChars="0" w:right="0" w:firstLine="643"/>
        <w:jc w:val="both"/>
        <w:textAlignment w:val="auto"/>
        <w:outlineLvl w:val="9"/>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89.58</w:t>
      </w:r>
      <w:r>
        <w:rPr>
          <w:rFonts w:ascii="方正仿宋_GBK" w:hAnsi="方正仿宋_GBK" w:eastAsia="方正仿宋_GBK" w:cs="方正仿宋_GBK"/>
          <w:sz w:val="32"/>
          <w:szCs w:val="32"/>
          <w:shd w:val="clear" w:color="auto" w:fill="FFFFFF"/>
        </w:rPr>
        <w:t>万元，较年初预算数减少34.12万元，下降27.58%，主要原因是</w:t>
      </w:r>
      <w:r>
        <w:rPr>
          <w:rFonts w:hint="eastAsia" w:ascii="Times New Roman" w:hAnsi="Times New Roman" w:eastAsia="方正仿宋_GBK"/>
          <w:bCs/>
          <w:sz w:val="32"/>
          <w:szCs w:val="32"/>
          <w:highlight w:val="none"/>
          <w:lang w:eastAsia="zh-CN"/>
        </w:rPr>
        <w:t>严控经费，厉行节约</w:t>
      </w:r>
      <w:r>
        <w:rPr>
          <w:rFonts w:ascii="Times New Roman" w:hAnsi="Times New Roman" w:eastAsia="方正仿宋_GBK"/>
          <w:bCs/>
          <w:sz w:val="32"/>
          <w:szCs w:val="32"/>
          <w:highlight w:val="none"/>
        </w:rPr>
        <w:t>。</w:t>
      </w:r>
      <w:r>
        <w:rPr>
          <w:rFonts w:ascii="方正仿宋_GBK" w:hAnsi="方正仿宋_GBK" w:eastAsia="方正仿宋_GBK" w:cs="方正仿宋_GBK"/>
          <w:sz w:val="32"/>
          <w:szCs w:val="32"/>
          <w:shd w:val="clear" w:color="auto" w:fill="FFFFFF"/>
        </w:rPr>
        <w:t>较上年支出数减少25.76万元，下降22.33%，主要原因是</w:t>
      </w:r>
      <w:r>
        <w:rPr>
          <w:rFonts w:hint="eastAsia" w:ascii="Times New Roman" w:hAnsi="Times New Roman" w:eastAsia="方正仿宋_GBK"/>
          <w:bCs/>
          <w:sz w:val="32"/>
          <w:szCs w:val="32"/>
          <w:highlight w:val="none"/>
          <w:lang w:eastAsia="zh-CN"/>
        </w:rPr>
        <w:t>严控经费，厉行节约</w:t>
      </w:r>
      <w:r>
        <w:rPr>
          <w:rFonts w:ascii="Times New Roman" w:hAnsi="Times New Roman" w:eastAsia="方正仿宋_GBK"/>
          <w:bCs/>
          <w:sz w:val="32"/>
          <w:szCs w:val="32"/>
          <w:highlight w:val="none"/>
        </w:rPr>
        <w:t>。</w:t>
      </w:r>
    </w:p>
    <w:p>
      <w:pPr>
        <w:pStyle w:val="8"/>
        <w:wordWrap/>
        <w:autoSpaceDE w:val="0"/>
        <w:adjustRightInd/>
        <w:spacing w:line="560" w:lineRule="exact"/>
        <w:ind w:left="0" w:leftChars="0" w:right="0" w:firstLine="643"/>
        <w:jc w:val="both"/>
        <w:textAlignment w:val="auto"/>
        <w:outlineLvl w:val="9"/>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eastAsia" w:ascii="Times New Roman" w:hAnsi="Times New Roman" w:eastAsia="方正仿宋_GBK"/>
          <w:bCs/>
          <w:sz w:val="32"/>
          <w:szCs w:val="32"/>
          <w:lang w:eastAsia="zh-CN"/>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ascii="Times New Roman" w:hAnsi="Times New Roman" w:eastAsia="方正仿宋_GBK"/>
          <w:bCs/>
          <w:sz w:val="32"/>
          <w:szCs w:val="32"/>
        </w:rPr>
        <w:t>与上年决算数相比，基本持平</w:t>
      </w:r>
      <w:r>
        <w:rPr>
          <w:rFonts w:hint="eastAsia" w:ascii="Times New Roman" w:hAnsi="Times New Roman" w:eastAsia="方正仿宋_GBK"/>
          <w:bCs/>
          <w:sz w:val="32"/>
          <w:szCs w:val="32"/>
          <w:lang w:eastAsia="zh-CN"/>
        </w:rPr>
        <w:t>。</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eastAsia" w:ascii="Times New Roman" w:hAnsi="Times New Roman" w:eastAsia="方正仿宋_GBK"/>
          <w:bCs/>
          <w:sz w:val="32"/>
          <w:szCs w:val="32"/>
          <w:lang w:eastAsia="zh-CN"/>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费用支出较年初预算数无增减。较上年支出数无增减，</w:t>
      </w:r>
      <w:r>
        <w:rPr>
          <w:rFonts w:ascii="Times New Roman" w:hAnsi="Times New Roman" w:eastAsia="方正仿宋_GBK"/>
          <w:bCs/>
          <w:sz w:val="32"/>
          <w:szCs w:val="32"/>
        </w:rPr>
        <w:t>与上年决算数相比，基本持平</w:t>
      </w:r>
      <w:r>
        <w:rPr>
          <w:rFonts w:hint="eastAsia" w:ascii="Times New Roman" w:hAnsi="Times New Roman" w:eastAsia="方正仿宋_GBK"/>
          <w:bCs/>
          <w:sz w:val="32"/>
          <w:szCs w:val="32"/>
          <w:lang w:eastAsia="zh-CN"/>
        </w:rPr>
        <w:t>。</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89.32</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cs="Times New Roman"/>
          <w:sz w:val="32"/>
          <w:szCs w:val="32"/>
          <w:shd w:val="clear" w:color="auto" w:fill="FFFFFF"/>
        </w:rPr>
        <w:t>机要文件交换、区内因公出行、财政业务检查等工作所需车辆的燃料费、维修费、过桥过路费、保险费等</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费用支出较年初预算数减少33.68万元，下降27.38%，主要原因是</w:t>
      </w:r>
      <w:r>
        <w:rPr>
          <w:rFonts w:hint="eastAsia" w:ascii="Times New Roman" w:hAnsi="Times New Roman" w:eastAsia="方正仿宋_GBK"/>
          <w:bCs/>
          <w:sz w:val="32"/>
          <w:szCs w:val="32"/>
          <w:highlight w:val="none"/>
          <w:lang w:eastAsia="zh-CN"/>
        </w:rPr>
        <w:t>严控经费，厉行节约</w:t>
      </w:r>
      <w:r>
        <w:rPr>
          <w:rFonts w:ascii="Times New Roman" w:hAnsi="Times New Roman" w:eastAsia="方正仿宋_GBK"/>
          <w:bCs/>
          <w:sz w:val="32"/>
          <w:szCs w:val="32"/>
        </w:rPr>
        <w:t>。</w:t>
      </w:r>
      <w:r>
        <w:rPr>
          <w:rFonts w:ascii="方正仿宋_GBK" w:hAnsi="方正仿宋_GBK" w:eastAsia="方正仿宋_GBK" w:cs="方正仿宋_GBK"/>
          <w:sz w:val="32"/>
          <w:szCs w:val="32"/>
          <w:shd w:val="clear" w:color="auto" w:fill="FFFFFF"/>
        </w:rPr>
        <w:t>较上年支出数减少25.67万元，下降22.32%，主要原因是</w:t>
      </w:r>
      <w:r>
        <w:rPr>
          <w:rFonts w:hint="eastAsia" w:ascii="Times New Roman" w:hAnsi="Times New Roman" w:eastAsia="方正仿宋_GBK"/>
          <w:bCs/>
          <w:sz w:val="32"/>
          <w:szCs w:val="32"/>
          <w:highlight w:val="none"/>
          <w:lang w:eastAsia="zh-CN"/>
        </w:rPr>
        <w:t>严控经费，厉行节约</w:t>
      </w:r>
      <w:r>
        <w:rPr>
          <w:rFonts w:ascii="Times New Roman" w:hAnsi="Times New Roman" w:eastAsia="方正仿宋_GBK"/>
          <w:bCs/>
          <w:sz w:val="32"/>
          <w:szCs w:val="32"/>
        </w:rPr>
        <w:t>。</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广东省船艇训练中心人保科到东城街道进行对公考人员政审考察工作、重庆上游新闻传媒有限公司到东城街道拍摄“周末到铜梁</w:t>
      </w:r>
      <w:r>
        <w:rPr>
          <w:rFonts w:hint="eastAsia" w:ascii="方正仿宋_GBK" w:hAnsi="方正仿宋_GBK" w:eastAsia="方正仿宋_GBK" w:cs="方正仿宋_GBK"/>
          <w:sz w:val="32"/>
          <w:szCs w:val="32"/>
          <w:shd w:val="clear" w:color="auto" w:fill="FFFFFF"/>
          <w:lang w:val="en-US" w:eastAsia="zh-CN"/>
        </w:rPr>
        <w:t xml:space="preserve"> 镇长晒主题</w:t>
      </w:r>
      <w:r>
        <w:rPr>
          <w:rFonts w:hint="eastAsia" w:ascii="方正仿宋_GBK" w:hAnsi="方正仿宋_GBK" w:eastAsia="方正仿宋_GBK" w:cs="方正仿宋_GBK"/>
          <w:sz w:val="32"/>
          <w:szCs w:val="32"/>
          <w:shd w:val="clear" w:color="auto" w:fill="FFFFFF"/>
          <w:lang w:eastAsia="zh-CN"/>
        </w:rPr>
        <w:t>”活动视频。</w:t>
      </w:r>
      <w:r>
        <w:rPr>
          <w:rFonts w:ascii="方正仿宋_GBK" w:hAnsi="方正仿宋_GBK" w:eastAsia="方正仿宋_GBK" w:cs="方正仿宋_GBK"/>
          <w:sz w:val="32"/>
          <w:szCs w:val="32"/>
          <w:shd w:val="clear" w:color="auto" w:fill="FFFFFF"/>
        </w:rPr>
        <w:t>费用支出较年初预算数减少0.43万元，下降61.43%，主要原因是</w:t>
      </w:r>
      <w:r>
        <w:rPr>
          <w:rFonts w:hint="eastAsia" w:ascii="Times New Roman" w:hAnsi="Times New Roman" w:eastAsia="方正仿宋_GBK"/>
          <w:bCs/>
          <w:sz w:val="32"/>
          <w:szCs w:val="32"/>
          <w:highlight w:val="none"/>
          <w:lang w:eastAsia="zh-CN"/>
        </w:rPr>
        <w:t>严控经费，厉行节约</w:t>
      </w:r>
      <w:r>
        <w:rPr>
          <w:rFonts w:ascii="Times New Roman" w:hAnsi="Times New Roman" w:eastAsia="方正仿宋_GBK"/>
          <w:bCs/>
          <w:sz w:val="32"/>
          <w:szCs w:val="32"/>
        </w:rPr>
        <w:t>。</w:t>
      </w:r>
      <w:r>
        <w:rPr>
          <w:rFonts w:ascii="方正仿宋_GBK" w:hAnsi="方正仿宋_GBK" w:eastAsia="方正仿宋_GBK" w:cs="方正仿宋_GBK"/>
          <w:sz w:val="32"/>
          <w:szCs w:val="32"/>
          <w:shd w:val="clear" w:color="auto" w:fill="FFFFFF"/>
        </w:rPr>
        <w:t>较上年支出数减少0.08万元，下降22.86%，主要原因是</w:t>
      </w:r>
      <w:r>
        <w:rPr>
          <w:rFonts w:hint="eastAsia" w:ascii="Times New Roman" w:hAnsi="Times New Roman" w:eastAsia="方正仿宋_GBK"/>
          <w:bCs/>
          <w:sz w:val="32"/>
          <w:szCs w:val="32"/>
          <w:highlight w:val="none"/>
          <w:lang w:eastAsia="zh-CN"/>
        </w:rPr>
        <w:t>严控经费，厉行节约</w:t>
      </w:r>
      <w:r>
        <w:rPr>
          <w:rFonts w:ascii="Times New Roman" w:hAnsi="Times New Roman" w:eastAsia="方正仿宋_GBK"/>
          <w:bCs/>
          <w:sz w:val="32"/>
          <w:szCs w:val="32"/>
        </w:rPr>
        <w:t>。</w:t>
      </w:r>
    </w:p>
    <w:p>
      <w:pPr>
        <w:pStyle w:val="8"/>
        <w:wordWrap/>
        <w:autoSpaceDE w:val="0"/>
        <w:adjustRightInd/>
        <w:spacing w:line="560" w:lineRule="exact"/>
        <w:ind w:left="0" w:leftChars="0" w:right="0" w:firstLine="0" w:firstLineChars="0"/>
        <w:jc w:val="both"/>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 xml:space="preserve">    </w:t>
      </w:r>
      <w:r>
        <w:rPr>
          <w:rFonts w:hint="eastAsia" w:ascii="方正楷体_GBK" w:hAnsi="方正楷体_GBK" w:eastAsia="方正楷体_GBK" w:cs="方正楷体_GBK"/>
          <w:b/>
          <w:bCs/>
          <w:sz w:val="32"/>
          <w:szCs w:val="32"/>
          <w:shd w:val="clear" w:color="auto" w:fill="FFFFFF"/>
        </w:rPr>
        <w:t>（三）“三公”经费实物量情况</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eastAsia"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17</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147.89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5.25</w:t>
      </w:r>
      <w:r>
        <w:rPr>
          <w:rFonts w:ascii="方正仿宋_GBK" w:hAnsi="方正仿宋_GBK" w:eastAsia="方正仿宋_GBK" w:cs="方正仿宋_GBK"/>
          <w:sz w:val="32"/>
          <w:szCs w:val="32"/>
          <w:shd w:val="clear" w:color="auto" w:fill="FFFFFF"/>
        </w:rPr>
        <w:t>万元。</w:t>
      </w:r>
    </w:p>
    <w:p>
      <w:pPr>
        <w:pStyle w:val="4"/>
        <w:shd w:val="clear" w:color="auto" w:fill="FFFFFF"/>
        <w:wordWrap/>
        <w:adjustRightInd/>
        <w:spacing w:line="560" w:lineRule="exact"/>
        <w:ind w:left="0" w:leftChars="0" w:right="0"/>
        <w:jc w:val="both"/>
        <w:textAlignment w:val="auto"/>
        <w:outlineLvl w:val="9"/>
        <w:rPr>
          <w:rStyle w:val="6"/>
          <w:rFonts w:hint="eastAsia" w:ascii="方正黑体_GBK" w:hAnsi="方正黑体_GBK" w:eastAsia="方正黑体_GBK" w:cs="方正黑体_GBK"/>
          <w:sz w:val="32"/>
          <w:szCs w:val="32"/>
          <w:shd w:val="clear" w:color="auto" w:fill="FFFFFF"/>
        </w:rPr>
      </w:pPr>
      <w:r>
        <w:rPr>
          <w:rStyle w:val="6"/>
          <w:rFonts w:hint="eastAsia" w:ascii="方正黑体_GBK" w:hAnsi="方正黑体_GBK" w:eastAsia="方正黑体_GBK" w:cs="方正黑体_GBK"/>
          <w:sz w:val="32"/>
          <w:szCs w:val="32"/>
          <w:shd w:val="clear" w:color="auto" w:fill="FFFFFF"/>
        </w:rPr>
        <w:t>四、其他需要说明的事项</w:t>
      </w:r>
    </w:p>
    <w:p>
      <w:pPr>
        <w:pStyle w:val="8"/>
        <w:wordWrap/>
        <w:autoSpaceDE w:val="0"/>
        <w:adjustRightInd/>
        <w:spacing w:line="560" w:lineRule="exact"/>
        <w:ind w:left="0" w:leftChars="0" w:right="0" w:firstLine="640"/>
        <w:jc w:val="both"/>
        <w:textAlignment w:val="auto"/>
        <w:outlineLvl w:val="9"/>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w:t>
      </w:r>
      <w:r>
        <w:rPr>
          <w:rFonts w:hint="eastAsia" w:ascii="方正楷体_GBK" w:hAnsi="方正楷体_GBK" w:eastAsia="方正楷体_GBK" w:cs="方正楷体_GBK"/>
          <w:b/>
          <w:bCs/>
          <w:sz w:val="32"/>
          <w:szCs w:val="32"/>
          <w:shd w:val="clear" w:color="auto" w:fill="FFFFFF"/>
        </w:rPr>
        <w:t>（一）财政拨款会议费和培训费情况说明</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Times New Roman" w:hAnsi="Times New Roman" w:eastAsia="方正仿宋_GBK"/>
          <w:bCs/>
          <w:sz w:val="32"/>
          <w:szCs w:val="32"/>
        </w:rPr>
        <w:t>与上年决算数相比，基本持平</w:t>
      </w:r>
      <w:r>
        <w:rPr>
          <w:rFonts w:hint="eastAsia" w:ascii="Times New Roman" w:hAnsi="Times New Roman" w:eastAsia="方正仿宋_GBK"/>
          <w:bCs/>
          <w:sz w:val="32"/>
          <w:szCs w:val="32"/>
          <w:lang w:eastAsia="zh-CN"/>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0.56</w:t>
      </w:r>
      <w:r>
        <w:rPr>
          <w:rFonts w:ascii="方正仿宋_GBK" w:hAnsi="方正仿宋_GBK" w:eastAsia="方正仿宋_GBK" w:cs="方正仿宋_GBK"/>
          <w:sz w:val="32"/>
          <w:szCs w:val="32"/>
          <w:shd w:val="clear" w:color="auto" w:fill="FFFFFF"/>
        </w:rPr>
        <w:t>万元，较上年决算数增加0.33万元，增长143.48%，主要原因是</w:t>
      </w:r>
      <w:r>
        <w:rPr>
          <w:rFonts w:hint="eastAsia" w:ascii="方正仿宋_GBK" w:hAnsi="方正仿宋_GBK" w:eastAsia="方正仿宋_GBK" w:cs="方正仿宋_GBK"/>
          <w:sz w:val="32"/>
          <w:szCs w:val="32"/>
          <w:shd w:val="clear" w:color="auto" w:fill="FFFFFF"/>
          <w:lang w:eastAsia="zh-CN"/>
        </w:rPr>
        <w:t>用于</w:t>
      </w:r>
      <w:r>
        <w:rPr>
          <w:rFonts w:ascii="方正仿宋_GBK" w:hAnsi="方正仿宋_GBK" w:eastAsia="方正仿宋_GBK" w:cs="方正仿宋_GBK"/>
          <w:sz w:val="32"/>
          <w:szCs w:val="32"/>
          <w:shd w:val="clear" w:color="auto" w:fill="FFFFFF"/>
        </w:rPr>
        <w:t>2020-2022年会计继续教育培训费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2023年专业技术人员继续教育公需科目网络培训费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专技初中级岗前培训费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参加全市乡镇（街道）综合行政执法改革试点工作培训班培训费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2023年内审人员继续教育培训费用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全市乡镇（街道）综合执法改革试点工作培训班培训费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事业单位人员培训教育费。</w:t>
      </w:r>
    </w:p>
    <w:p>
      <w:pPr>
        <w:pStyle w:val="8"/>
        <w:wordWrap/>
        <w:autoSpaceDE w:val="0"/>
        <w:adjustRightInd/>
        <w:spacing w:line="560" w:lineRule="exact"/>
        <w:ind w:left="0" w:leftChars="0" w:right="0" w:firstLine="640"/>
        <w:jc w:val="both"/>
        <w:textAlignment w:val="auto"/>
        <w:outlineLvl w:val="9"/>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288.44</w:t>
      </w:r>
      <w:r>
        <w:rPr>
          <w:rFonts w:ascii="方正仿宋_GBK" w:hAnsi="方正仿宋_GBK" w:eastAsia="方正仿宋_GBK" w:cs="方正仿宋_GBK"/>
          <w:sz w:val="32"/>
          <w:szCs w:val="32"/>
          <w:shd w:val="clear" w:color="auto" w:fill="FFFFFF"/>
        </w:rPr>
        <w:t>万元，机关运行经费主要用于开支</w:t>
      </w:r>
      <w:r>
        <w:rPr>
          <w:rFonts w:ascii="Times New Roman" w:hAnsi="Times New Roman" w:eastAsia="方正仿宋_GBK" w:cs="Times New Roman"/>
          <w:sz w:val="32"/>
          <w:szCs w:val="32"/>
          <w:shd w:val="clear" w:color="auto" w:fill="FFFFFF"/>
        </w:rPr>
        <w:t>机关运行经费主要用于开支开支办公费、维修费、劳务费、水费、电费、邮电费、公务车运行维护费</w:t>
      </w:r>
      <w:r>
        <w:rPr>
          <w:rFonts w:ascii="Times New Roman" w:hAnsi="Times New Roman" w:eastAsia="方正仿宋_GBK"/>
          <w:bCs/>
          <w:sz w:val="32"/>
          <w:szCs w:val="32"/>
        </w:rPr>
        <w:t>。</w:t>
      </w:r>
      <w:r>
        <w:rPr>
          <w:rFonts w:ascii="方正仿宋_GBK" w:hAnsi="方正仿宋_GBK" w:eastAsia="方正仿宋_GBK" w:cs="方正仿宋_GBK"/>
          <w:sz w:val="32"/>
          <w:szCs w:val="32"/>
          <w:shd w:val="clear" w:color="auto" w:fill="FFFFFF"/>
        </w:rPr>
        <w:t>机关运行经费较上年支出数减少147.59万元，下降33.85%，主要原因是</w:t>
      </w:r>
      <w:r>
        <w:rPr>
          <w:rFonts w:hint="eastAsia" w:ascii="Times New Roman" w:hAnsi="Times New Roman" w:eastAsia="方正仿宋_GBK"/>
          <w:bCs/>
          <w:sz w:val="32"/>
          <w:szCs w:val="32"/>
          <w:highlight w:val="none"/>
          <w:lang w:eastAsia="zh-CN"/>
        </w:rPr>
        <w:t>严控经费，厉行节约</w:t>
      </w:r>
      <w:r>
        <w:rPr>
          <w:rFonts w:ascii="Times New Roman" w:hAnsi="Times New Roman" w:eastAsia="方正仿宋_GBK"/>
          <w:bCs/>
          <w:sz w:val="32"/>
          <w:szCs w:val="32"/>
        </w:rPr>
        <w:t>。</w:t>
      </w:r>
    </w:p>
    <w:p>
      <w:pPr>
        <w:pStyle w:val="8"/>
        <w:wordWrap/>
        <w:autoSpaceDE w:val="0"/>
        <w:adjustRightInd/>
        <w:spacing w:line="560" w:lineRule="exact"/>
        <w:ind w:left="0" w:leftChars="0" w:right="0" w:firstLine="640"/>
        <w:jc w:val="both"/>
        <w:textAlignment w:val="auto"/>
        <w:outlineLvl w:val="9"/>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pPr>
        <w:pStyle w:val="4"/>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17</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8"/>
        <w:widowControl w:val="0"/>
        <w:wordWrap/>
        <w:autoSpaceDE w:val="0"/>
        <w:adjustRightInd/>
        <w:snapToGrid/>
        <w:spacing w:line="560" w:lineRule="exact"/>
        <w:ind w:left="0" w:leftChars="0" w:right="0" w:firstLine="640"/>
        <w:jc w:val="both"/>
        <w:textAlignment w:val="auto"/>
        <w:outlineLvl w:val="9"/>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4"/>
        <w:widowControl w:val="0"/>
        <w:wordWrap/>
        <w:adjustRightInd/>
        <w:snapToGrid/>
        <w:spacing w:before="0" w:beforeAutospacing="0" w:after="0" w:afterAutospacing="0" w:line="560" w:lineRule="exact"/>
        <w:ind w:left="0" w:leftChars="0" w:right="0"/>
        <w:jc w:val="both"/>
        <w:textAlignment w:val="auto"/>
        <w:outlineLvl w:val="9"/>
        <w:rPr>
          <w:rFonts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481.21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118.10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363.11</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481.21万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382.41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79.47</w:t>
      </w:r>
      <w:r>
        <w:rPr>
          <w:rFonts w:ascii="方正仿宋_GBK" w:hAnsi="方正仿宋_GBK" w:eastAsia="方正仿宋_GBK" w:cs="方正仿宋_GBK"/>
          <w:sz w:val="32"/>
          <w:szCs w:val="32"/>
          <w:shd w:val="clear" w:color="auto" w:fill="FFFFFF"/>
        </w:rPr>
        <w:t xml:space="preserve"> %。主要用于采购</w:t>
      </w:r>
      <w:r>
        <w:rPr>
          <w:rFonts w:hint="eastAsia" w:ascii="Times New Roman" w:hAnsi="Times New Roman" w:eastAsia="方正仿宋_GBK"/>
          <w:bCs/>
          <w:sz w:val="32"/>
          <w:szCs w:val="32"/>
          <w:lang w:eastAsia="zh-CN"/>
        </w:rPr>
        <w:t>办公用品、广告服务、扶贫采购等</w:t>
      </w:r>
      <w:r>
        <w:rPr>
          <w:rFonts w:ascii="Times New Roman" w:hAnsi="Times New Roman" w:eastAsia="方正仿宋_GBK"/>
          <w:bCs/>
          <w:sz w:val="32"/>
          <w:szCs w:val="32"/>
        </w:rPr>
        <w:t>。</w:t>
      </w:r>
    </w:p>
    <w:p>
      <w:pPr>
        <w:pStyle w:val="4"/>
        <w:widowControl w:val="0"/>
        <w:numPr>
          <w:ilvl w:val="0"/>
          <w:numId w:val="1"/>
        </w:numPr>
        <w:shd w:val="clear" w:color="auto" w:fill="FFFFFF"/>
        <w:wordWrap/>
        <w:adjustRightInd/>
        <w:snapToGrid/>
        <w:spacing w:before="0" w:beforeAutospacing="0" w:after="0" w:afterAutospacing="0" w:line="560" w:lineRule="exact"/>
        <w:ind w:left="0" w:leftChars="0" w:right="0" w:firstLine="0" w:firstLineChars="0"/>
        <w:jc w:val="both"/>
        <w:textAlignment w:val="auto"/>
        <w:outlineLvl w:val="9"/>
        <w:rPr>
          <w:rStyle w:val="6"/>
          <w:rFonts w:hint="eastAsia" w:ascii="方正黑体_GBK" w:hAnsi="方正黑体_GBK" w:eastAsia="方正黑体_GBK" w:cs="方正黑体_GBK"/>
          <w:sz w:val="32"/>
          <w:szCs w:val="32"/>
          <w:shd w:val="clear" w:color="auto" w:fill="FFFFFF"/>
        </w:rPr>
      </w:pPr>
      <w:r>
        <w:rPr>
          <w:rStyle w:val="6"/>
          <w:rFonts w:hint="eastAsia" w:ascii="方正黑体_GBK" w:hAnsi="方正黑体_GBK" w:eastAsia="方正黑体_GBK" w:cs="方正黑体_GBK"/>
          <w:sz w:val="32"/>
          <w:szCs w:val="32"/>
          <w:shd w:val="clear" w:color="auto" w:fill="FFFFFF"/>
        </w:rPr>
        <w:t>预算绩效管理情况说明</w:t>
      </w:r>
    </w:p>
    <w:p>
      <w:pPr>
        <w:widowControl w:val="0"/>
        <w:wordWrap/>
        <w:adjustRightInd/>
        <w:snapToGrid/>
        <w:spacing w:beforeAutospacing="0" w:afterAutospacing="0" w:line="560" w:lineRule="exact"/>
        <w:ind w:left="0" w:leftChars="0" w:right="0" w:firstLine="0" w:firstLineChars="0"/>
        <w:jc w:val="both"/>
        <w:textAlignment w:val="auto"/>
        <w:outlineLvl w:val="9"/>
        <w:rPr>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（一）预算绩效管理工作开展情况</w:t>
      </w:r>
    </w:p>
    <w:p>
      <w:pPr>
        <w:widowControl w:val="0"/>
        <w:wordWrap/>
        <w:adjustRightInd/>
        <w:snapToGrid/>
        <w:spacing w:line="560" w:lineRule="exact"/>
        <w:ind w:left="0" w:leftChars="0" w:right="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48</w:t>
      </w:r>
      <w:r>
        <w:rPr>
          <w:rFonts w:hint="eastAsia" w:ascii="方正仿宋_GBK" w:hAnsi="方正仿宋_GBK" w:eastAsia="方正仿宋_GBK" w:cs="方正仿宋_GBK"/>
          <w:sz w:val="32"/>
          <w:szCs w:val="32"/>
        </w:rPr>
        <w:t>个项目开展了绩效自评，其中，以填报自评表形式开展自评</w:t>
      </w:r>
      <w:r>
        <w:rPr>
          <w:rFonts w:hint="eastAsia" w:ascii="方正仿宋_GBK" w:hAnsi="方正仿宋_GBK" w:eastAsia="方正仿宋_GBK" w:cs="方正仿宋_GBK"/>
          <w:sz w:val="32"/>
          <w:szCs w:val="32"/>
          <w:lang w:val="en-US" w:eastAsia="zh-CN"/>
        </w:rPr>
        <w:t>48</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4737.83</w:t>
      </w:r>
      <w:r>
        <w:rPr>
          <w:rFonts w:hint="eastAsia" w:ascii="方正仿宋_GBK" w:hAnsi="方正仿宋_GBK" w:eastAsia="方正仿宋_GBK" w:cs="方正仿宋_GBK"/>
          <w:sz w:val="32"/>
          <w:szCs w:val="32"/>
        </w:rPr>
        <w:t>万元。</w:t>
      </w:r>
    </w:p>
    <w:p>
      <w:pPr>
        <w:wordWrap/>
        <w:adjustRightInd/>
        <w:spacing w:line="560" w:lineRule="exact"/>
        <w:ind w:left="0" w:leftChars="0" w:right="0"/>
        <w:jc w:val="both"/>
        <w:textAlignment w:val="auto"/>
        <w:outlineLvl w:val="9"/>
      </w:pPr>
      <w:r>
        <w:t xml:space="preserve">  </w:t>
      </w:r>
      <w:r>
        <w:rPr>
          <w:rFonts w:hint="eastAsia"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（二）绩效自评结果。</w:t>
      </w:r>
    </w:p>
    <w:p>
      <w:pPr>
        <w:wordWrap/>
        <w:adjustRightInd/>
        <w:spacing w:line="560" w:lineRule="exact"/>
        <w:ind w:left="0" w:leftChars="0" w:right="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1.绩效目标自评表。</w:t>
      </w:r>
    </w:p>
    <w:p>
      <w:pPr>
        <w:wordWrap/>
        <w:adjustRightInd/>
        <w:spacing w:line="560" w:lineRule="exact"/>
        <w:ind w:left="0" w:leftChars="0" w:right="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（1）部门整体绩效自评表。</w:t>
      </w:r>
    </w:p>
    <w:p>
      <w:pPr>
        <w:wordWrap/>
        <w:adjustRightInd/>
        <w:spacing w:line="560" w:lineRule="exact"/>
        <w:ind w:left="0" w:leftChars="0" w:right="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详见附件。</w:t>
      </w:r>
    </w:p>
    <w:p>
      <w:pPr>
        <w:wordWrap/>
        <w:adjustRightInd/>
        <w:spacing w:line="560" w:lineRule="exact"/>
        <w:ind w:left="0" w:leftChars="0" w:right="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（2）项目绩效自评表</w:t>
      </w:r>
      <w:r>
        <w:rPr>
          <w:rFonts w:hint="eastAsia" w:ascii="方正仿宋_GBK" w:hAnsi="方正仿宋_GBK" w:eastAsia="方正仿宋_GBK" w:cs="方正仿宋_GBK"/>
          <w:sz w:val="32"/>
          <w:szCs w:val="32"/>
          <w:lang w:eastAsia="zh-CN"/>
        </w:rPr>
        <w:t>。</w:t>
      </w:r>
    </w:p>
    <w:p>
      <w:pPr>
        <w:wordWrap/>
        <w:adjustRightInd/>
        <w:spacing w:line="560" w:lineRule="exact"/>
        <w:ind w:left="0" w:leftChars="0" w:right="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详见附件。。</w:t>
      </w:r>
    </w:p>
    <w:p>
      <w:pPr>
        <w:wordWrap/>
        <w:adjustRightInd/>
        <w:spacing w:line="560" w:lineRule="exact"/>
        <w:ind w:left="0" w:leftChars="0" w:right="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2.绩效自评报告或案例。</w:t>
      </w:r>
    </w:p>
    <w:p>
      <w:pPr>
        <w:wordWrap/>
        <w:adjustRightInd/>
        <w:spacing w:line="560" w:lineRule="exact"/>
        <w:ind w:left="0" w:leftChars="0" w:right="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Times New Roman" w:hAnsi="Times New Roman" w:eastAsia="方正仿宋_GBK"/>
          <w:bCs/>
          <w:sz w:val="32"/>
          <w:szCs w:val="32"/>
        </w:rPr>
        <w:t>我单位未委托</w:t>
      </w:r>
      <w:r>
        <w:rPr>
          <w:rFonts w:ascii="Times New Roman" w:hAnsi="Times New Roman" w:eastAsia="方正仿宋_GBK"/>
          <w:bCs/>
          <w:sz w:val="32"/>
          <w:szCs w:val="32"/>
        </w:rPr>
        <w:t>第三方开展绩效评价</w:t>
      </w:r>
      <w:r>
        <w:rPr>
          <w:rFonts w:hint="eastAsia" w:ascii="Times New Roman" w:hAnsi="Times New Roman" w:eastAsia="方正仿宋_GBK"/>
          <w:bCs/>
          <w:sz w:val="32"/>
          <w:szCs w:val="32"/>
        </w:rPr>
        <w:t>。</w:t>
      </w:r>
    </w:p>
    <w:p>
      <w:pPr>
        <w:wordWrap/>
        <w:adjustRightInd/>
        <w:spacing w:line="560" w:lineRule="exact"/>
        <w:ind w:left="0" w:leftChars="0" w:right="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3.关于绩效自评结果的说明。</w:t>
      </w:r>
    </w:p>
    <w:p>
      <w:pPr>
        <w:wordWrap/>
        <w:adjustRightIn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48个</w:t>
      </w:r>
      <w:r>
        <w:rPr>
          <w:rFonts w:hint="eastAsia" w:ascii="方正仿宋_GBK" w:hAnsi="方正仿宋_GBK" w:eastAsia="方正仿宋_GBK" w:cs="方正仿宋_GBK"/>
          <w:sz w:val="32"/>
          <w:szCs w:val="32"/>
        </w:rPr>
        <w:t>项目进行绩效自评，其中</w:t>
      </w:r>
      <w:r>
        <w:rPr>
          <w:rFonts w:hint="eastAsia" w:ascii="方正仿宋_GBK" w:hAnsi="方正仿宋_GBK" w:eastAsia="方正仿宋_GBK" w:cs="方正仿宋_GBK"/>
          <w:sz w:val="32"/>
          <w:szCs w:val="32"/>
          <w:lang w:val="en-US" w:eastAsia="zh-CN"/>
        </w:rPr>
        <w:t>48</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wordWrap/>
        <w:adjustRightInd/>
        <w:spacing w:line="560" w:lineRule="exact"/>
        <w:ind w:left="0" w:leftChars="0" w:right="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（三）重点绩效评价结果。</w:t>
      </w:r>
    </w:p>
    <w:p>
      <w:pPr>
        <w:wordWrap/>
        <w:adjustRightInd/>
        <w:spacing w:line="560" w:lineRule="exact"/>
        <w:ind w:left="0" w:leftChars="0" w:right="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rPr>
        <w:t>详见各二级预算单位决算公开报告。</w:t>
      </w:r>
    </w:p>
    <w:p>
      <w:pPr>
        <w:pStyle w:val="4"/>
        <w:widowControl w:val="0"/>
        <w:shd w:val="clear" w:color="auto" w:fill="FFFFFF"/>
        <w:wordWrap/>
        <w:adjustRightInd/>
        <w:spacing w:before="0" w:beforeAutospacing="0" w:after="0" w:afterAutospacing="0" w:line="560" w:lineRule="exact"/>
        <w:ind w:left="0" w:leftChars="0" w:right="0"/>
        <w:jc w:val="both"/>
        <w:textAlignment w:val="auto"/>
        <w:outlineLvl w:val="9"/>
        <w:rPr>
          <w:rStyle w:val="6"/>
          <w:rFonts w:hint="default" w:ascii="方正仿宋_GBK" w:hAnsi="方正仿宋_GBK" w:eastAsia="方正仿宋_GBK" w:cs="方正仿宋_GBK"/>
          <w:sz w:val="32"/>
          <w:szCs w:val="32"/>
          <w:shd w:val="clear" w:color="auto" w:fill="FFFFFF"/>
        </w:rPr>
      </w:pPr>
      <w:r>
        <w:rPr>
          <w:rStyle w:val="6"/>
          <w:rFonts w:ascii="方正仿宋_GBK" w:hAnsi="方正仿宋_GBK" w:eastAsia="方正仿宋_GBK" w:cs="方正仿宋_GBK"/>
          <w:sz w:val="32"/>
          <w:szCs w:val="32"/>
          <w:shd w:val="clear" w:color="auto" w:fill="FFFFFF"/>
        </w:rPr>
        <w:t xml:space="preserve">  </w:t>
      </w:r>
      <w:r>
        <w:rPr>
          <w:rStyle w:val="6"/>
          <w:rFonts w:ascii="黑体" w:hAnsi="黑体" w:eastAsia="黑体" w:cs="黑体"/>
          <w:sz w:val="32"/>
          <w:szCs w:val="32"/>
          <w:shd w:val="clear" w:color="auto" w:fill="FFFFFF"/>
        </w:rPr>
        <w:t>六</w:t>
      </w:r>
      <w:r>
        <w:rPr>
          <w:rStyle w:val="6"/>
          <w:rFonts w:hint="eastAsia" w:ascii="方正黑体_GBK" w:hAnsi="方正黑体_GBK" w:eastAsia="方正黑体_GBK" w:cs="方正黑体_GBK"/>
          <w:sz w:val="32"/>
          <w:szCs w:val="32"/>
          <w:shd w:val="clear" w:color="auto" w:fill="FFFFFF"/>
        </w:rPr>
        <w:t>、专业名词解释</w:t>
      </w:r>
    </w:p>
    <w:p>
      <w:pPr>
        <w:pStyle w:val="4"/>
        <w:widowControl w:val="0"/>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 （一）财政拨款收入：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4"/>
        <w:widowControl w:val="0"/>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（二）事业收入</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4"/>
        <w:widowControl w:val="0"/>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（三）经营收入</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4"/>
        <w:widowControl w:val="0"/>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（四）其他收入</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widowControl w:val="0"/>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hint="eastAsia" w:ascii="方正楷体_GBK" w:hAnsi="方正楷体_GBK" w:eastAsia="方正楷体_GBK" w:cs="方正楷体_GBK"/>
          <w:sz w:val="32"/>
          <w:szCs w:val="32"/>
          <w:shd w:val="clear" w:color="auto" w:fill="FFFFFF"/>
        </w:rPr>
        <w:t>（五）使用非财政拨款结余</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4"/>
        <w:widowControl w:val="0"/>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（六）年初结转和结余</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4"/>
        <w:widowControl w:val="0"/>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（七）结余分配</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4"/>
        <w:widowControl w:val="0"/>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（八）年末结转和结余</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（九）基本支出</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（十）项目支出</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（十一）经营支出</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（十二）“三公”经费</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（十三）机关运行经费</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hint="eastAsia" w:ascii="方正楷体_GBK" w:hAnsi="方正楷体_GBK" w:eastAsia="方正楷体_GBK" w:cs="方正楷体_GBK"/>
          <w:sz w:val="32"/>
          <w:szCs w:val="32"/>
          <w:shd w:val="clear" w:color="auto" w:fill="FFFFFF"/>
        </w:rPr>
        <w:t> （十五）商品和服务支出（支出经济分类科目类级）</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hint="eastAsia" w:ascii="方正楷体_GBK" w:hAnsi="方正楷体_GBK" w:eastAsia="方正楷体_GBK" w:cs="方正楷体_GBK"/>
          <w:sz w:val="32"/>
          <w:szCs w:val="32"/>
          <w:shd w:val="clear" w:color="auto" w:fill="FFFFFF"/>
        </w:rPr>
        <w:t> （十六）对个人和家庭的补助（支出经济分类科目类级）</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4"/>
        <w:wordWrap/>
        <w:adjustRightInd/>
        <w:snapToGrid w:val="0"/>
        <w:spacing w:before="0" w:beforeAutospacing="0" w:after="0" w:afterAutospacing="0" w:line="560"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6"/>
          <w:rFonts w:ascii="方正仿宋_GBK" w:hAnsi="方正仿宋_GBK" w:eastAsia="方正仿宋_GBK" w:cs="方正仿宋_GBK"/>
          <w:sz w:val="32"/>
          <w:szCs w:val="32"/>
          <w:shd w:val="clear" w:color="auto" w:fill="FFFFFF"/>
        </w:rPr>
        <w:t> </w:t>
      </w:r>
      <w:r>
        <w:rPr>
          <w:rStyle w:val="6"/>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楷体_GBK" w:hAnsi="方正楷体_GBK" w:eastAsia="方正楷体_GBK" w:cs="方正楷体_GBK"/>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4"/>
        <w:shd w:val="clear" w:color="auto" w:fill="FFFFFF"/>
        <w:wordWrap/>
        <w:adjustRightInd/>
        <w:spacing w:line="560" w:lineRule="exact"/>
        <w:ind w:left="0" w:leftChars="0" w:right="0"/>
        <w:jc w:val="both"/>
        <w:textAlignment w:val="auto"/>
        <w:outlineLvl w:val="9"/>
        <w:rPr>
          <w:rStyle w:val="6"/>
          <w:rFonts w:hint="default" w:ascii="方正仿宋_GBK" w:hAnsi="方正仿宋_GBK" w:eastAsia="方正仿宋_GBK" w:cs="方正仿宋_GBK"/>
          <w:sz w:val="32"/>
          <w:szCs w:val="32"/>
          <w:shd w:val="clear" w:color="auto" w:fill="FFFFFF"/>
        </w:rPr>
      </w:pPr>
      <w:r>
        <w:rPr>
          <w:rStyle w:val="6"/>
          <w:rFonts w:ascii="方正仿宋_GBK" w:hAnsi="方正仿宋_GBK" w:eastAsia="方正仿宋_GBK" w:cs="方正仿宋_GBK"/>
          <w:sz w:val="32"/>
          <w:szCs w:val="32"/>
          <w:shd w:val="clear" w:color="auto" w:fill="FFFFFF"/>
        </w:rPr>
        <w:t xml:space="preserve">  </w:t>
      </w:r>
      <w:r>
        <w:rPr>
          <w:rStyle w:val="6"/>
          <w:rFonts w:hint="eastAsia" w:ascii="方正黑体_GBK" w:hAnsi="方正黑体_GBK" w:eastAsia="方正黑体_GBK" w:cs="方正黑体_GBK"/>
          <w:sz w:val="32"/>
          <w:szCs w:val="32"/>
          <w:shd w:val="clear" w:color="auto" w:fill="FFFFFF"/>
        </w:rPr>
        <w:t>七、决算公开联系方式及信息反馈渠道</w:t>
      </w:r>
    </w:p>
    <w:p>
      <w:pPr>
        <w:pStyle w:val="11"/>
        <w:wordWrap/>
        <w:adjustRightInd/>
        <w:snapToGrid w:val="0"/>
        <w:spacing w:before="0" w:beforeLines="0" w:beforeAutospacing="0" w:after="0" w:afterLines="0" w:afterAutospacing="0" w:line="560" w:lineRule="exact"/>
        <w:ind w:left="0" w:leftChars="0" w:right="0" w:firstLine="640" w:firstLineChars="200"/>
        <w:jc w:val="both"/>
        <w:textAlignment w:val="auto"/>
        <w:outlineLvl w:val="9"/>
        <w:rPr>
          <w:rFonts w:hint="eastAsia" w:ascii="方正仿宋_GBK" w:hAnsi="方正仿宋_GBK" w:eastAsia="方正仿宋_GBK" w:cs="方正仿宋_GBK"/>
          <w:color w:val="00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bidi="ar-SA"/>
        </w:rPr>
        <w:t xml:space="preserve">本单位决算公开信息反馈和联系方式：赵继容 </w:t>
      </w:r>
      <w:r>
        <w:rPr>
          <w:rFonts w:hint="eastAsia" w:ascii="方正仿宋_GBK" w:hAnsi="方正仿宋_GBK" w:eastAsia="方正仿宋_GBK" w:cs="方正仿宋_GBK"/>
          <w:color w:val="000000"/>
          <w:sz w:val="32"/>
          <w:szCs w:val="32"/>
          <w:shd w:val="clear" w:color="auto" w:fill="FFFFFF"/>
          <w:lang w:val="en-US" w:eastAsia="zh-CN"/>
        </w:rPr>
        <w:t>023-45870836</w:t>
      </w:r>
    </w:p>
    <w:p>
      <w:pPr>
        <w:pStyle w:val="11"/>
        <w:snapToGrid w:val="0"/>
        <w:spacing w:before="0" w:beforeLines="0" w:beforeAutospacing="0" w:after="0" w:afterLines="0" w:afterAutospacing="0" w:line="600" w:lineRule="exact"/>
        <w:ind w:firstLine="640" w:firstLineChars="200"/>
        <w:jc w:val="both"/>
        <w:rPr>
          <w:rFonts w:hint="eastAsia" w:ascii="方正仿宋_GBK" w:hAnsi="方正仿宋_GBK" w:eastAsia="方正仿宋_GBK" w:cs="方正仿宋_GBK"/>
          <w:kern w:val="2"/>
          <w:sz w:val="32"/>
          <w:szCs w:val="32"/>
          <w:highlight w:val="yellow"/>
          <w:shd w:val="clear" w:color="auto" w:fill="FFFFFF"/>
          <w:lang w:val="en-US" w:eastAsia="zh-CN" w:bidi="ar-SA"/>
        </w:rPr>
      </w:pPr>
    </w:p>
    <w:sectPr>
      <w:footerReference r:id="rId3"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ascii="Calibri" w:hAnsi="Calibri" w:eastAsia="宋体" w:cs="黑体"/>
        <w:kern w:val="2"/>
        <w:sz w:val="18"/>
        <w:szCs w:val="18"/>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A2YThjZjZkZDUwMDQzMTU2OWE4NDRlYTg4MmE2ZDcifQ=="/>
  </w:docVars>
  <w:rsids>
    <w:rsidRoot w:val="00000000"/>
    <w:rsid w:val="043964FE"/>
    <w:rsid w:val="0EA746EC"/>
    <w:rsid w:val="11FE0013"/>
    <w:rsid w:val="12A06977"/>
    <w:rsid w:val="149B08DC"/>
    <w:rsid w:val="18951461"/>
    <w:rsid w:val="19BF10E1"/>
    <w:rsid w:val="1A771084"/>
    <w:rsid w:val="1BE55050"/>
    <w:rsid w:val="203159E0"/>
    <w:rsid w:val="22E220F1"/>
    <w:rsid w:val="241A0AA6"/>
    <w:rsid w:val="277A156A"/>
    <w:rsid w:val="283163FF"/>
    <w:rsid w:val="28EB4A94"/>
    <w:rsid w:val="326C3B92"/>
    <w:rsid w:val="32D47F9A"/>
    <w:rsid w:val="39B479BB"/>
    <w:rsid w:val="3A2666EE"/>
    <w:rsid w:val="3C345451"/>
    <w:rsid w:val="3CB63B91"/>
    <w:rsid w:val="426B4687"/>
    <w:rsid w:val="43ED10CC"/>
    <w:rsid w:val="44321EB7"/>
    <w:rsid w:val="45706228"/>
    <w:rsid w:val="487D32FD"/>
    <w:rsid w:val="4B91290A"/>
    <w:rsid w:val="4C9E4055"/>
    <w:rsid w:val="4E527330"/>
    <w:rsid w:val="4F5C6639"/>
    <w:rsid w:val="551A1EC8"/>
    <w:rsid w:val="57E96447"/>
    <w:rsid w:val="58305A91"/>
    <w:rsid w:val="585D70BF"/>
    <w:rsid w:val="593054FB"/>
    <w:rsid w:val="5E2B7481"/>
    <w:rsid w:val="5F8A6E4E"/>
    <w:rsid w:val="60B821C4"/>
    <w:rsid w:val="618D34B0"/>
    <w:rsid w:val="62AA446C"/>
    <w:rsid w:val="66576AAB"/>
    <w:rsid w:val="689D5999"/>
    <w:rsid w:val="6AEB1816"/>
    <w:rsid w:val="6DA81E2E"/>
    <w:rsid w:val="6DC55E69"/>
    <w:rsid w:val="6E7E4132"/>
    <w:rsid w:val="6FB81FE1"/>
    <w:rsid w:val="701E158D"/>
    <w:rsid w:val="7AA2343E"/>
    <w:rsid w:val="7BF278E8"/>
    <w:rsid w:val="7F3973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0">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1">
    <w:name w:val="Normal (Web)"/>
    <w:basedOn w:val="1"/>
    <w:qFormat/>
    <w:uiPriority w:val="0"/>
    <w:pPr>
      <w:spacing w:before="100" w:beforeLines="0" w:beforeAutospacing="1" w:after="100" w:afterLines="0" w:afterAutospacing="1"/>
    </w:pPr>
  </w:style>
  <w:style w:type="character" w:customStyle="1" w:styleId="12">
    <w:name w:val="21"/>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5835</Words>
  <Characters>6647</Characters>
  <Lines>0</Lines>
  <Paragraphs>0</Paragraphs>
  <TotalTime>0</TotalTime>
  <ScaleCrop>false</ScaleCrop>
  <LinksUpToDate>false</LinksUpToDate>
  <CharactersWithSpaces>6747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Administrator</cp:lastModifiedBy>
  <dcterms:modified xsi:type="dcterms:W3CDTF">2024-11-01T03:00:39Z</dcterms:modified>
  <dc:title>重庆市铜梁区东城街道办事处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E355CA9622374DFEB07B5E2BE15CF550_12</vt:lpwstr>
  </property>
</Properties>
</file>