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cs="Times New Roman"/>
          <w:kern w:val="0"/>
          <w:sz w:val="56"/>
          <w:szCs w:val="16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cs="Times New Roman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白羊府〔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号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 w:val="0"/>
          <w:spacing w:val="-14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 w:val="0"/>
          <w:spacing w:val="-14"/>
          <w:sz w:val="44"/>
          <w:szCs w:val="44"/>
        </w:rPr>
        <w:t>重庆市铜梁区白羊镇人民政府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 w:val="0"/>
          <w:spacing w:val="-1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pacing w:val="-14"/>
          <w:sz w:val="44"/>
          <w:szCs w:val="44"/>
        </w:rPr>
        <w:t>关于印发《</w:t>
      </w:r>
      <w:r>
        <w:rPr>
          <w:rFonts w:hint="eastAsia" w:ascii="方正小标宋_GBK" w:hAnsi="方正小标宋_GBK" w:eastAsia="方正小标宋_GBK" w:cs="方正小标宋_GBK"/>
          <w:b/>
          <w:bCs w:val="0"/>
          <w:spacing w:val="-14"/>
          <w:sz w:val="44"/>
          <w:szCs w:val="44"/>
          <w:lang w:eastAsia="zh-CN"/>
        </w:rPr>
        <w:t>白羊镇</w:t>
      </w:r>
      <w:r>
        <w:rPr>
          <w:rFonts w:hint="eastAsia" w:ascii="方正小标宋_GBK" w:hAnsi="方正小标宋_GBK" w:eastAsia="方正小标宋_GBK" w:cs="方正小标宋_GBK"/>
          <w:b/>
          <w:bCs w:val="0"/>
          <w:spacing w:val="-14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/>
          <w:bCs w:val="0"/>
          <w:spacing w:val="-14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/>
          <w:bCs w:val="0"/>
          <w:spacing w:val="-14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/>
          <w:bCs w:val="0"/>
          <w:spacing w:val="-14"/>
          <w:sz w:val="44"/>
          <w:szCs w:val="44"/>
          <w:lang w:val="en-US" w:eastAsia="zh-CN"/>
        </w:rPr>
        <w:t>科学施肥和</w:t>
      </w:r>
      <w:r>
        <w:rPr>
          <w:rFonts w:hint="eastAsia" w:ascii="方正小标宋_GBK" w:hAnsi="方正小标宋_GBK" w:eastAsia="方正小标宋_GBK" w:cs="方正小标宋_GBK"/>
          <w:b/>
          <w:bCs w:val="0"/>
          <w:spacing w:val="-14"/>
          <w:sz w:val="44"/>
          <w:szCs w:val="44"/>
        </w:rPr>
        <w:t>化</w:t>
      </w:r>
      <w:r>
        <w:rPr>
          <w:rFonts w:hint="eastAsia" w:ascii="方正小标宋_GBK" w:hAnsi="方正小标宋_GBK" w:eastAsia="方正小标宋_GBK" w:cs="方正小标宋_GBK"/>
          <w:b/>
          <w:bCs w:val="0"/>
          <w:spacing w:val="-14"/>
          <w:sz w:val="44"/>
          <w:szCs w:val="44"/>
          <w:lang w:val="en-US" w:eastAsia="zh-CN"/>
        </w:rPr>
        <w:t>学</w:t>
      </w:r>
      <w:r>
        <w:rPr>
          <w:rFonts w:hint="eastAsia" w:ascii="方正小标宋_GBK" w:hAnsi="方正小标宋_GBK" w:eastAsia="方正小标宋_GBK" w:cs="方正小标宋_GBK"/>
          <w:b/>
          <w:bCs w:val="0"/>
          <w:spacing w:val="-14"/>
          <w:sz w:val="44"/>
          <w:szCs w:val="44"/>
        </w:rPr>
        <w:t>农药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 w:val="0"/>
          <w:spacing w:val="-1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pacing w:val="-14"/>
          <w:sz w:val="44"/>
          <w:szCs w:val="44"/>
        </w:rPr>
        <w:t>减量工作方案》的通知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textAlignment w:val="auto"/>
        <w:rPr>
          <w:rFonts w:hint="default" w:ascii="Times New Roman" w:hAnsi="Times New Roman" w:cs="Times New Roman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各村，镇属各办、所（中心）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进一步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巩固提升中央环保督察反馈问题整改成果，提高科学施肥用药水平，特制定了《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白羊镇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科学施肥和化学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农药减量工作方案》。现印发给你们，请认真贯彻落实。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480" w:firstLineChars="14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白羊镇人民政府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1604" w:firstLine="320" w:firstLineChars="1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日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白羊镇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科学施肥和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化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学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农药减量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工作方案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坚持以习近平新时代中国特色社会主义思想为指导，全面贯彻落实习近平生态文明思想，进一步巩固提升中央环保督察反馈问题整改成果，推动全市科学施肥和化学农药减量，保障粮食和重要农产品有效供给，促进种植业绿色高质量发展，制定本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一、工作目标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以单位面积用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施肥用药量较高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的地区、作物和新型经营主体为重点，因地制宜推广配方肥、有机肥、水肥一体化、秸秆还田、绿肥栽培等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科学施肥和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绿色防控、统防统治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科学用药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化学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农药减量技术，力争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化肥农药使用量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不高于去年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深入推进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科学施肥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实施科学施肥增效行动。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以测土配方施肥数据为基础，应用智能化施肥推荐专家系统(NE)生成农户施肥方案。持续开展农户施肥情况调查、田间试验等基础工作，加强农科企对接，促进配方肥生产和推广应用。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科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施肥技术示范推进。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统筹绿色高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高效等项目，加大“机械深施肥” “水肥一体化”和“无人机施肥”为核心的“三新”配套技术推广力度。结合实际大力推广有机替代、绿肥种植、秸秆还田等多元替代技术，配合水肥一体化设备、无人机、种肥同播机、开沟施肥机等机具进一步促进肥料高效利用。探索推广主要农作物化肥定额制，开展示范技术与传统施肥模式效果比对监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（三）宣传培训引导带动。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联合科研教学、合作企业等持续强化科学施肥技术宣传培训力度，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以科学施肥达到化肥减量目的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级将召开技术培训会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次以上，重点培训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村社干部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、肥料经销商、规模种植户。各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召开技术培训会不少于1次，重点培训辖区内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社员代表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、规模种植户等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三、深入推进化学农药减量工作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（一）强化农作物病虫疫情监测预警。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开展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病虫发生趋势会商研判，创新多元化、可视化预警信息发布方式，及时发布病虫情报，提升病虫害科学防控能力，减少化学农药的使用。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（二）强化绿色防控与统防统治。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一是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建立绿色防控示范区。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开展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示范推广绿色防控技术，形成一批防治效果好、操作简便的绿色防控技术模式，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主要农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作物病虫害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en-US"/>
        </w:rPr>
        <w:t>绿色防控率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en-US"/>
        </w:rPr>
        <w:t>保持在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en-US"/>
        </w:rPr>
        <w:t>56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en-US"/>
        </w:rPr>
        <w:t>%以上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二是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推进专业化统防统治。因地制宜推广全程承包和应急防治技术服务，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三大粮食作物病虫害统防统治率达到46.5%以上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highlight w:val="none"/>
        </w:rPr>
        <w:t>三是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抓好试验示范与技术推广。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各村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根据产业发展实际，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聚焦粮食主产区、经济作物优势区，鼓励业主积极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开展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植保新技术、新产品、新器械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试验示范推广，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探索实施以生态区域为单元、作物全程生产为主线的农药减量增效技术模式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强化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科学安全用药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推进科学用药。加大农药科学安全使用技术宣传引导力度，针对重点地区、作物、病虫害、种植户，推广应用高效低毒低用量农药、高效植保机械、农药减量助剂等技术措施，降低中高毒农药使用比例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highlight w:val="none"/>
        </w:rPr>
        <w:t>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好农药减量示范项目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在全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实施水稻一代螟虫统防统治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4000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亩，建立减量示范监测点（户）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个。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highlight w:val="none"/>
        </w:rPr>
        <w:t>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规范管理。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镇农业服务中心对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减量监测点（户）要确定明确创建的目标作物、目标产量、主推技术，规范建立农药减量示范片到户台账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履行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农药包装废弃物回收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义务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960" w:firstLineChars="3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四、强化组织保障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强化组织领导。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成立由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镇政府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主要领导任组长，分管领导为副组长，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农业服务中心、产业服务培育中心、经济发展办公室、环境保护办公室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相关负责人为成员的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协调指导小组，办公室设在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农业服务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中心，协调指导组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每半年专题研究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科学施肥与化学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农药减量工作1次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要结合环保督察、面源污染防治等相关工作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统筹推进，确保工作落实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到位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eastAsia="方正仿宋_GBK"/>
          <w:sz w:val="44"/>
          <w:szCs w:val="44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  <w:t>（二）强化调度调查。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一是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农业服务中心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</w:rPr>
        <w:t>要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/>
        </w:rPr>
        <w:t>围绕科学施肥技术，及时收集汇总上报相关技术推广情况，科学施肥技术效果统计表；</w:t>
      </w:r>
      <w:r>
        <w:rPr>
          <w:rFonts w:hint="default" w:ascii="Times New Roman" w:hAnsi="Times New Roman" w:eastAsia="方正仿宋_GBK" w:cs="Times New Roman"/>
          <w:b/>
          <w:kern w:val="0"/>
          <w:sz w:val="32"/>
          <w:szCs w:val="32"/>
          <w:highlight w:val="none"/>
        </w:rPr>
        <w:t>二是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</w:rPr>
        <w:t>强化农事记录与减量调查。要督促指导农产品生产企业、农民专业合作等经济组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织依法建立健全生产记录，如实记载使用化肥、农药的名称、来源、用法、用量和使用、停用的日期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1"/>
        </w:pBdr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7" w:firstLineChars="49"/>
        <w:textAlignment w:val="auto"/>
        <w:rPr>
          <w:rFonts w:hint="default" w:ascii="Times New Roman" w:hAnsi="Times New Roman" w:eastAsia="方正仿宋_GBK" w:cs="Times New Roman"/>
          <w:spacing w:val="-2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汉仪君黑-35简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9A2E86"/>
    <w:multiLevelType w:val="singleLevel"/>
    <w:tmpl w:val="ED9A2E8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C59DD2C"/>
    <w:multiLevelType w:val="singleLevel"/>
    <w:tmpl w:val="2C59DD2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360DE"/>
    <w:rsid w:val="2A4360DE"/>
    <w:rsid w:val="2FFA53A0"/>
    <w:rsid w:val="3FEA7B50"/>
    <w:rsid w:val="5AFC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默认"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2024-04-15T09:18:00Z</dcterms:created>
  <dc:creator>Administrator</dc:creator>
  <cp:lastModifiedBy>tlww</cp:lastModifiedBy>
  <cp:lastPrinted>2024-04-15T09:26:00Z</cp:lastPrinted>
  <dcterms:modified xsi:type="dcterms:W3CDTF">2024-04-19T10:00:50Z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5688C35FAB524F208508F29EC33F7BA5</vt:lpwstr>
  </property>
</Properties>
</file>