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overflowPunct w:val="0"/>
        <w:spacing w:line="594" w:lineRule="exact"/>
        <w:ind w:firstLine="0" w:firstLineChars="0"/>
        <w:rPr>
          <w:rFonts w:hint="eastAsia" w:ascii="Times New Roman" w:hAnsi="Times New Roman" w:eastAsia="方正小标宋_GBK"/>
          <w:sz w:val="44"/>
          <w:szCs w:val="44"/>
        </w:rPr>
      </w:pPr>
      <w:r>
        <w:rPr>
          <w:rFonts w:eastAsia="方正黑体_GBK"/>
          <w:szCs w:val="32"/>
        </w:rPr>
        <w:t>附件1</w:t>
      </w:r>
    </w:p>
    <w:p>
      <w:pPr>
        <w:overflowPunct w:val="0"/>
        <w:spacing w:line="594" w:lineRule="exact"/>
        <w:jc w:val="center"/>
        <w:rPr>
          <w:rFonts w:ascii="Times New Roman" w:hAnsi="Times New Roman" w:eastAsia="黑体"/>
          <w:kern w:val="32"/>
          <w:sz w:val="44"/>
          <w:szCs w:val="44"/>
        </w:rPr>
      </w:pPr>
      <w:r>
        <w:rPr>
          <w:rFonts w:ascii="Times New Roman" w:hAnsi="Times New Roman" w:eastAsia="方正小标宋_GBK"/>
          <w:sz w:val="44"/>
          <w:szCs w:val="44"/>
        </w:rPr>
        <w:t>三类重点场所消防安全整治指南</w:t>
      </w:r>
    </w:p>
    <w:p>
      <w:pPr>
        <w:pStyle w:val="3"/>
        <w:overflowPunct w:val="0"/>
        <w:spacing w:after="0" w:line="594" w:lineRule="exact"/>
        <w:rPr>
          <w:rFonts w:hint="eastAsia" w:eastAsia="方正仿宋_GBK"/>
          <w:kern w:val="0"/>
          <w:sz w:val="32"/>
          <w:szCs w:val="32"/>
        </w:rPr>
      </w:pPr>
    </w:p>
    <w:p>
      <w:pPr>
        <w:overflowPunct w:val="0"/>
        <w:spacing w:line="594" w:lineRule="exact"/>
        <w:ind w:firstLine="640" w:firstLineChars="200"/>
        <w:rPr>
          <w:rFonts w:hint="eastAsia" w:ascii="方正仿宋_GBK" w:hAnsi="Times New Roman" w:eastAsia="方正仿宋_GBK"/>
          <w:kern w:val="32"/>
          <w:sz w:val="32"/>
          <w:szCs w:val="20"/>
        </w:rPr>
      </w:pPr>
      <w:r>
        <w:rPr>
          <w:rFonts w:hint="eastAsia" w:ascii="方正仿宋_GBK" w:hAnsi="Times New Roman" w:eastAsia="方正仿宋_GBK"/>
          <w:kern w:val="32"/>
          <w:sz w:val="32"/>
          <w:szCs w:val="20"/>
        </w:rPr>
        <w:t>为指导各地做好“九小场所”、多业态混合生产经营场所、人员密集场所的消防安全整治工作，制定以下指南：</w:t>
      </w:r>
    </w:p>
    <w:p>
      <w:pPr>
        <w:overflowPunct w:val="0"/>
        <w:spacing w:line="594" w:lineRule="exact"/>
        <w:ind w:firstLine="640" w:firstLineChars="200"/>
        <w:rPr>
          <w:rFonts w:ascii="Times New Roman" w:hAnsi="Times New Roman" w:eastAsia="方正黑体_GBK"/>
          <w:kern w:val="32"/>
          <w:sz w:val="32"/>
          <w:szCs w:val="20"/>
        </w:rPr>
      </w:pPr>
      <w:r>
        <w:rPr>
          <w:rFonts w:ascii="Times New Roman" w:hAnsi="Times New Roman" w:eastAsia="方正黑体_GBK"/>
          <w:kern w:val="32"/>
          <w:sz w:val="32"/>
          <w:szCs w:val="20"/>
        </w:rPr>
        <w:t>一、消防安全基本要求</w:t>
      </w:r>
    </w:p>
    <w:p>
      <w:pPr>
        <w:overflowPunct w:val="0"/>
        <w:spacing w:line="594" w:lineRule="exact"/>
        <w:ind w:firstLine="640" w:firstLineChars="200"/>
        <w:rPr>
          <w:rFonts w:ascii="Times New Roman" w:hAnsi="Times New Roman" w:eastAsia="方正楷体_GBK"/>
          <w:kern w:val="32"/>
          <w:sz w:val="32"/>
          <w:szCs w:val="20"/>
        </w:rPr>
      </w:pPr>
      <w:r>
        <w:rPr>
          <w:rFonts w:ascii="Times New Roman" w:hAnsi="Times New Roman" w:eastAsia="方正楷体_GBK"/>
          <w:kern w:val="32"/>
          <w:sz w:val="32"/>
          <w:szCs w:val="20"/>
        </w:rPr>
        <w:t>（一）消防安全责任制落实</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1. 应当明确消防安全责任。场所的法定代表人、主要负责人或实际控制人应当是场所的消防安全第一责任人。场所应当明确逐级和各岗位消防安全责任。具有承包、租赁或委托关系的场所应当在合同中明确各方的消防安全管理责任和消防设施、器材设置、维护保养责任，并确定责任人对共用的疏散通道、安全出口、建筑消防设施和消防车通道进行统一管理。</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2. 应当履行消防安全职责。应当根据生产经营特点，建立消防安全制度、消防安全操作规程，灭火和应急疏散预案。应当按标准配置消防设施器材，设置消防安全标志，并定期组织检验、维修和管理，确保完好有效。应保持防火门、防火卷帘等防火分隔设施处于正常状态。应每月开展防火检查，及时消除火灾隐患。公众聚集场所应在营业期间每2小时进行一次防火巡查。防火巡查、检查时，应填写巡查、检查记录，巡查和检查人员及其主管</w:t>
      </w:r>
      <w:r>
        <w:rPr>
          <w:rFonts w:ascii="Times New Roman" w:hAnsi="方正仿宋_GBK" w:eastAsia="方正仿宋_GBK"/>
          <w:kern w:val="32"/>
          <w:sz w:val="32"/>
          <w:szCs w:val="20"/>
        </w:rPr>
        <w:t>人员应在记录上签名。</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3. 应当组织教育培训演练。应当组织开展多种形式经常性消防宣传教育。应对新入职人员开展岗前消防安全培训。托儿所、幼儿园、寄宿制学校、校外培训机构</w:t>
      </w:r>
      <w:r>
        <w:rPr>
          <w:rFonts w:ascii="Times New Roman" w:hAnsi="Times New Roman" w:eastAsia="方正仿宋_GBK"/>
          <w:kern w:val="0"/>
          <w:sz w:val="32"/>
          <w:szCs w:val="20"/>
        </w:rPr>
        <w:t>应当对学生和儿童进行消防安全常识教育。</w:t>
      </w:r>
      <w:r>
        <w:rPr>
          <w:rFonts w:ascii="Times New Roman" w:hAnsi="Times New Roman" w:eastAsia="方正仿宋_GBK"/>
          <w:kern w:val="32"/>
          <w:sz w:val="32"/>
          <w:szCs w:val="20"/>
        </w:rPr>
        <w:t>人员密集场所应至少每半年开展一次全员消防安全培训。各类场所应当至少每年组织一次有针对性的消防演练，宾馆、商场、集贸市场、公共娱乐场所应至少每半年组织一次消防演练。</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4. 应当开展消防宣传提示。人员密集场所应当在醒目位置设置视频、警示牌或者采用广播等形式对公众提示下列消防安全事项：一是向公众提示所在场所的火灾危险性；二是提示所在场所安全逃生路线、安全出口的具体位置以及遇到火灾等紧急情况如何正确逃生、自救方法；三是提示所在场所内简易防护面罩、手电筒、灭火器等灭火、逃生设备器材的具体位置和使用方法。</w:t>
      </w:r>
    </w:p>
    <w:p>
      <w:pPr>
        <w:overflowPunct w:val="0"/>
        <w:spacing w:line="594" w:lineRule="exact"/>
        <w:ind w:firstLine="640" w:firstLineChars="200"/>
        <w:rPr>
          <w:rFonts w:ascii="Times New Roman" w:hAnsi="Times New Roman" w:eastAsia="方正楷体_GBK"/>
          <w:kern w:val="32"/>
          <w:sz w:val="32"/>
          <w:szCs w:val="20"/>
        </w:rPr>
      </w:pPr>
      <w:r>
        <w:rPr>
          <w:rFonts w:ascii="Times New Roman" w:hAnsi="Times New Roman" w:eastAsia="方正楷体_GBK"/>
          <w:kern w:val="32"/>
          <w:sz w:val="32"/>
          <w:szCs w:val="20"/>
        </w:rPr>
        <w:t>（二）消防安全基本条件</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5. 应当符合耐火等级。易燃易爆危险品销售场所建筑物耐火等级不应低于二级，其他场所建筑物的耐火等级不宜低于二级，确有困难时，可采用三、四级耐火等级的建筑，但应符合国家消防技术标准相关规定。</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6. 应当严格场所设置。设置在地下的公共娱乐场所不应设在地下二层及二层以下，当布置在地下一层时，地下一层地面与</w:t>
      </w:r>
      <w:r>
        <w:rPr>
          <w:rFonts w:ascii="Times New Roman" w:hAnsi="方正仿宋_GBK" w:eastAsia="方正仿宋_GBK"/>
          <w:kern w:val="32"/>
          <w:sz w:val="32"/>
          <w:szCs w:val="20"/>
        </w:rPr>
        <w:t>室</w:t>
      </w:r>
      <w:r>
        <w:rPr>
          <w:rFonts w:ascii="Times New Roman" w:hAnsi="Times New Roman" w:eastAsia="方正仿宋_GBK"/>
          <w:kern w:val="32"/>
          <w:sz w:val="32"/>
          <w:szCs w:val="20"/>
        </w:rPr>
        <w:t>外出入口地坪的高差不应大于10米。易燃易爆危险品销售场所、甲乙类生产加工企业、医院的住院部分、养老院当中的生活用房等场所严禁设在地下和半地下。托儿所、幼儿园、寄宿制学校、校外培训机构当中的儿童活动场所不应设置在地下或半地下，也不应设置在四层及以上的楼层。经营、存放和使用甲、乙类火灾危险性物品的商店、作坊和储存间，严禁附设在民用建筑内。民用建筑内除为满足民用建筑使用功能所设置的附属库房外，不应设置生产车间和其他库房。</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7. 应当实施防火分隔。附设在非住宅民用建筑内的医院，养老院，托儿所、幼儿园、寄宿制学校、校外培训机构当中的儿童活动场所，应采用耐火极限不低于2小时的防火隔墙和1小时楼板与其他场所隔开，墙上必须设置的门窗应采用乙级防火门窗。经营性场所与住宅位于同一建筑时，应采用耐火极限不低于2小时且无门窗洞口的</w:t>
      </w:r>
      <w:bookmarkStart w:id="0" w:name="_GoBack"/>
      <w:bookmarkEnd w:id="0"/>
      <w:r>
        <w:rPr>
          <w:rFonts w:ascii="Times New Roman" w:hAnsi="Times New Roman" w:eastAsia="方正仿宋_GBK"/>
          <w:kern w:val="32"/>
          <w:sz w:val="32"/>
          <w:szCs w:val="20"/>
        </w:rPr>
        <w:t>不燃烧体墙和耐火极限不低于1. 5小时的楼板与居住部分完全分隔，且不应与居住部分共用安全出口和疏散楼梯。</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8. 应当设置消防设施。商场、宾馆、饭店、公共娱乐场所、医院、托儿所、幼儿园、寄宿制学校、校外培训机构等场所应设置消防软管卷盘或轻便消防水龙、消防应急照明和灯光疏散指示标志。应配置相适应的灭火器。不满足火灾自动报警系统和自动喷水灭火系统设置条件的场所，宜设置独立式感烟火灾探测报警器和局部应用自动喷水灭火系统。建筑面积大于1000平方米的餐饮场所烹饪操作间的排油烟罩及烹饪部位应设置自动灭火装置，并应在燃气或燃油管道上设置与自动灭火装置联动的自动切断装置。</w:t>
      </w:r>
    </w:p>
    <w:p>
      <w:pPr>
        <w:overflowPunct w:val="0"/>
        <w:spacing w:line="594" w:lineRule="exact"/>
        <w:ind w:firstLine="640" w:firstLineChars="200"/>
        <w:rPr>
          <w:rFonts w:ascii="Times New Roman" w:hAnsi="Times New Roman" w:eastAsia="方正楷体_GBK"/>
          <w:kern w:val="32"/>
          <w:sz w:val="32"/>
          <w:szCs w:val="20"/>
        </w:rPr>
      </w:pPr>
      <w:r>
        <w:rPr>
          <w:rFonts w:ascii="Times New Roman" w:hAnsi="Times New Roman" w:eastAsia="方正楷体_GBK"/>
          <w:kern w:val="32"/>
          <w:sz w:val="32"/>
          <w:szCs w:val="20"/>
        </w:rPr>
        <w:t>（三）用火用电安全管理</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9. 应当规范明火使用。不得在具有火灾、爆炸危险的场所使用明火。公共娱乐场所内禁止使用明火表演或燃放烟花。因施工等特殊情况需要进行电焊、气焊等明火作业的，应当按照规定办理动火审批手续，落实现场监护人，配备消防器材，并在场所主入口和作业现场显著位置公告。动火作业人员应当依法持证上岗，严格遵守消防安全规定和操作流程。人员密集或设置在高层建筑内的场所严禁在营业时间进行动火作业。</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10. 应当加强用电管理。应建立用电防火安全管理制度，规范场所内各类电气设备的采购、使用、检查和操作。电气线路敷设、电气设备安装和维修应指定具备职业资格的电工实施，并留存线路图纸和施工记录。不得随意私拉乱接电气线路，擅自增加用电设备。购物、餐饮和公共娱乐场所营业结束时，应切断营业场所非必要电源。场所门厅、疏散走道、楼梯间、安全出口和人员密集场所内严禁电动自行车停放、充电。</w:t>
      </w:r>
    </w:p>
    <w:p>
      <w:pPr>
        <w:overflowPunct w:val="0"/>
        <w:spacing w:line="594" w:lineRule="exact"/>
        <w:ind w:firstLine="640" w:firstLineChars="200"/>
        <w:rPr>
          <w:rFonts w:ascii="Times New Roman" w:hAnsi="Times New Roman" w:eastAsia="方正楷体_GBK"/>
          <w:kern w:val="32"/>
          <w:sz w:val="32"/>
          <w:szCs w:val="20"/>
        </w:rPr>
      </w:pPr>
      <w:r>
        <w:rPr>
          <w:rFonts w:ascii="Times New Roman" w:hAnsi="Times New Roman" w:eastAsia="方正楷体_GBK"/>
          <w:kern w:val="32"/>
          <w:sz w:val="32"/>
          <w:szCs w:val="20"/>
        </w:rPr>
        <w:t>（四）易燃易爆可燃物安全管理</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11. 应当控制装修材料。场所内水平疏散走道和安全出口门厅顶棚，地下层疏散走道和安全出口墙面和地面，场所内厨房和重要设备用房顶棚、墙面和地面均应采用不燃装修材料。场所内配电箱、控制面板、接线盒、开关、插座等不应直接安装在易（可）燃装修材料上。严禁采用聚氨酯、聚苯乙烯及其芯材的金属夹芯板等易燃可燃材料装修、分隔。附设在单层、多层建筑内和地下、半地下的场所严禁使用易（可）燃材料装修。人员密集场所采用的内保温材料燃烧性能应为A级；人员密集场所所在建筑的外墙外保温材料燃烧性能应为A级。</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12. 应当规范燃料使用。场所内燃气（油）用具的安装使用及其管路敷设、维护保养和检测应当符合相关技术标准和管理规定。设置在高层民用建筑的场所使用燃气应当采用管道供气方式。地下场所禁止使用液化石油气。燃料存放设备应设置独立房间。燃料供给总管道上应设置紧急事故切断装置。禁止违规擅自安装、改装、拆除燃料设备和用具。宾馆、饭店、医院、托儿所、幼儿园、寄宿制学校等场所厨房烟道应至少每季度清洗一次。</w:t>
      </w:r>
    </w:p>
    <w:p>
      <w:pPr>
        <w:overflowPunct w:val="0"/>
        <w:spacing w:line="594" w:lineRule="exact"/>
        <w:ind w:firstLine="640" w:firstLineChars="200"/>
        <w:rPr>
          <w:rFonts w:ascii="Times New Roman" w:hAnsi="Times New Roman" w:eastAsia="方正楷体_GBK"/>
          <w:kern w:val="32"/>
          <w:sz w:val="32"/>
          <w:szCs w:val="20"/>
        </w:rPr>
      </w:pPr>
      <w:r>
        <w:rPr>
          <w:rFonts w:ascii="Times New Roman" w:hAnsi="Times New Roman" w:eastAsia="方正楷体_GBK"/>
          <w:kern w:val="32"/>
          <w:sz w:val="32"/>
          <w:szCs w:val="20"/>
        </w:rPr>
        <w:t>（五）安全疏散设施管理</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13. 应当规范设置疏散设施。各场所疏散门应采用向疏散方向开启的平开门，不应采用推拉门、卷帘门、转门、吊门和折叠门。疏散楼梯应能天然采光和自然通风或设置防烟设施，且其首层应设置直接对外的出口。与地下层共用的疏散楼梯应在首层进行有效防火分隔。楼梯间内不应设置烧水间、可燃材料储藏室和垃圾桶、更衣柜、休息椅等影响疏散的障碍物，不应设置易燃可燃液（气）体管道。</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14. 应当确保出口通道畅通。应保持疏散通道、安全出口畅通，</w:t>
      </w:r>
      <w:r>
        <w:rPr>
          <w:rFonts w:ascii="Times New Roman" w:hAnsi="Times New Roman" w:eastAsia="方正仿宋_GBK"/>
          <w:kern w:val="0"/>
          <w:sz w:val="32"/>
          <w:szCs w:val="20"/>
        </w:rPr>
        <w:t>严禁占用、堵塞、封闭疏散通道、安全出口。设置门禁系统的场所，应保证火灾时不需要使用钥匙等任何工具即能从内部易于打开，并应在显著位置设置提示标识。</w:t>
      </w:r>
      <w:r>
        <w:rPr>
          <w:rFonts w:ascii="Times New Roman" w:hAnsi="Times New Roman" w:eastAsia="方正仿宋_GBK"/>
          <w:kern w:val="32"/>
          <w:sz w:val="32"/>
          <w:szCs w:val="20"/>
        </w:rPr>
        <w:t>禁止在安全出口、疏散通道上安装固定栅栏等影响疏散的障碍物，禁止在公共区域的外窗上安装金属护栏或防盗网、广告牌等影响疏散、灭火救援的障碍物。人员密集场所使用、营业期间不应锁闭安全出口的门。</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15. 应当加强疏散提示引导。消防应急照明、疏散指示标志应保持完好有效，损坏后应及时维修更换。宾馆、商场、饭店、医院、托儿所、幼儿园、寄宿制学校、校外培训机构和公共娱乐场所应在各楼层明显位置设置疏散指示图，标明所在位置、疏散路线、安全出口等要素信息。地下或半地下购物场所、歌舞娱乐放映游艺场所应在疏散走道和主要疏散路径地面增设保持视觉连续的灯光疏散指示标志或蓄光疏散指示标志，歌舞厅及其包房影音系统应设置火灾初期声音视像切换警报功能。</w:t>
      </w:r>
    </w:p>
    <w:p>
      <w:pPr>
        <w:overflowPunct w:val="0"/>
        <w:spacing w:line="594" w:lineRule="exact"/>
        <w:ind w:firstLine="640" w:firstLineChars="200"/>
        <w:rPr>
          <w:rFonts w:ascii="Times New Roman" w:hAnsi="Times New Roman" w:eastAsia="方正黑体_GBK"/>
          <w:kern w:val="32"/>
          <w:sz w:val="32"/>
          <w:szCs w:val="20"/>
        </w:rPr>
      </w:pPr>
      <w:r>
        <w:rPr>
          <w:rFonts w:ascii="Times New Roman" w:hAnsi="Times New Roman" w:eastAsia="方正黑体_GBK"/>
          <w:kern w:val="32"/>
          <w:sz w:val="32"/>
          <w:szCs w:val="20"/>
        </w:rPr>
        <w:t>二、消防安全检查要求</w:t>
      </w:r>
    </w:p>
    <w:p>
      <w:pPr>
        <w:overflowPunct w:val="0"/>
        <w:spacing w:line="594" w:lineRule="exact"/>
        <w:ind w:firstLine="640" w:firstLineChars="200"/>
        <w:rPr>
          <w:rFonts w:ascii="Times New Roman" w:hAnsi="Times New Roman" w:eastAsia="方正楷体_GBK"/>
          <w:kern w:val="32"/>
          <w:sz w:val="32"/>
          <w:szCs w:val="20"/>
        </w:rPr>
      </w:pPr>
      <w:r>
        <w:rPr>
          <w:rFonts w:ascii="Times New Roman" w:hAnsi="Times New Roman" w:eastAsia="方正楷体_GBK"/>
          <w:kern w:val="32"/>
          <w:sz w:val="32"/>
          <w:szCs w:val="20"/>
        </w:rPr>
        <w:t>（一）消防安全责任制落实情况检查要求</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1. 场所是否落实全员消防安全责任制，法定代表人、主要负责人或实际控制人是否是场所的消防安全第一责任人，是否明确逐级和各岗位消防安全责任。场所为租赁的，是否在租赁协议中明确出租方、物业方和承租人各自的消防安全责任。</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2. 场所是否制定符合实际的消防安全制度和消防安全操作规程，并公布执行。多业态混合生产经营场所的产权单位和使用单位，是否确定责任人对共用的疏散通道、安全出口、建筑消防设施和消防车通道进行统一管理。</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3. 宾馆、商场、公共娱乐场所在营业时间是否至少每2小时巡查一次，营业结束后是否检査并消除遗留火种；医院、养老院及寄宿制的学校、托儿所和幼儿园是否每日组织夜间防火巡查，是否少于2次，每月是否开展一次防火检查。</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4. 场所是否每年至少开展一次消防安全培训，</w:t>
      </w:r>
      <w:r>
        <w:rPr>
          <w:rFonts w:hint="eastAsia" w:ascii="方正仿宋_GBK" w:hAnsi="Times New Roman" w:eastAsia="方正仿宋_GBK"/>
          <w:kern w:val="32"/>
          <w:sz w:val="32"/>
          <w:szCs w:val="20"/>
        </w:rPr>
        <w:t>开展消防安全“三提示”。从</w:t>
      </w:r>
      <w:r>
        <w:rPr>
          <w:rFonts w:ascii="Times New Roman" w:hAnsi="Times New Roman" w:eastAsia="方正仿宋_GBK"/>
          <w:kern w:val="32"/>
          <w:sz w:val="32"/>
          <w:szCs w:val="20"/>
        </w:rPr>
        <w:t>业人员是否掌握本场所火灾风险和消防安全常识，熟练掌握消防设施操作使用方法，知晓</w:t>
      </w:r>
      <w:r>
        <w:rPr>
          <w:rFonts w:hint="eastAsia" w:ascii="方正仿宋_GBK" w:hAnsi="Times New Roman" w:eastAsia="方正仿宋_GBK"/>
          <w:kern w:val="32"/>
          <w:sz w:val="32"/>
          <w:szCs w:val="20"/>
        </w:rPr>
        <w:t>“</w:t>
      </w:r>
      <w:r>
        <w:rPr>
          <w:rFonts w:ascii="Times New Roman" w:hAnsi="Times New Roman" w:eastAsia="方正仿宋_GBK"/>
          <w:kern w:val="32"/>
          <w:sz w:val="32"/>
          <w:szCs w:val="20"/>
        </w:rPr>
        <w:t>119</w:t>
      </w:r>
      <w:r>
        <w:rPr>
          <w:rFonts w:hint="eastAsia" w:ascii="方正仿宋_GBK" w:hAnsi="Times New Roman" w:eastAsia="方正仿宋_GBK"/>
          <w:kern w:val="32"/>
          <w:sz w:val="32"/>
          <w:szCs w:val="20"/>
        </w:rPr>
        <w:t>”</w:t>
      </w:r>
      <w:r>
        <w:rPr>
          <w:rFonts w:ascii="Times New Roman" w:hAnsi="Times New Roman" w:eastAsia="方正仿宋_GBK"/>
          <w:kern w:val="32"/>
          <w:sz w:val="32"/>
          <w:szCs w:val="20"/>
        </w:rPr>
        <w:t>火警报警方法，具备扑救初期火灾的能力和组织人员应急疏散逃生的能力。</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5. 场所是否制定灭火和应急疏散预案，是否按要求组织开展全员灭火和应急疏散演练。所在建筑消防控制室和微型消防站是否建立应急联动机制。场所设置在大型商业综合体或者与其他场所在一栋建筑合并设置时,是否建立火灾联动响应处置机制,开展联合消防演练。</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6. 场所营业期间,是否违规进行电焊、气焊、切割等动火施工作业。非营业期间动火施工作业是否经动火审批，是否落实现场安全监护措施。</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7. 电动自行车及其蓄电池是否违规在场所内、公共门厅、楼梯间、走道、安全出口停放、充电。</w:t>
      </w:r>
    </w:p>
    <w:p>
      <w:pPr>
        <w:overflowPunct w:val="0"/>
        <w:spacing w:line="594" w:lineRule="exact"/>
        <w:ind w:firstLine="640" w:firstLineChars="200"/>
        <w:rPr>
          <w:rFonts w:ascii="Times New Roman" w:hAnsi="Times New Roman" w:eastAsia="方正楷体_GBK"/>
          <w:kern w:val="32"/>
          <w:sz w:val="32"/>
          <w:szCs w:val="20"/>
        </w:rPr>
      </w:pPr>
      <w:r>
        <w:rPr>
          <w:rFonts w:ascii="Times New Roman" w:hAnsi="Times New Roman" w:eastAsia="方正楷体_GBK"/>
          <w:kern w:val="32"/>
          <w:sz w:val="32"/>
          <w:szCs w:val="20"/>
        </w:rPr>
        <w:t>（二）消防安全基本条件检查要求</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8. 消防车道是否划线管理，其净宽度和净空高度是否小于4米。消防车道与厂房（仓库）、民用建筑之间是否设置妨碍消防车作业的障碍物。</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9. 公共建筑的安全出口是否少于两个，其相邻2个安全出口最近边缘之间的水平距离是否小于5米。安全出口处是否设置门槛、屏风等影响疏散的障碍物，疏散门是否向疏散方向开启，是否违规采用卷帘门、转门、吊门、侧拉门。</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10. 人员密集场所的疏散通道的净宽、其他场所的疏散通道净宽是否符合消防技术标准要求。场所是否设置满足照度要求的消防应急照明灯和灯光疏散指示标志。</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11. 场所是否按照国家标准、行业标准设置消防设施、器材，场所消防设施的设置是否与其所在建筑的设置标准匹配。设有消防设施的场所是否每年对建筑消防设施至少进行一次全面检测。</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12. 场所电气线路、装置的设计、敷设是否由具备电气设计施工资质的机构或人员实施，是否采用合格的电器设备、电气线路。是否违规将电气线路、插座、电气设备直接敷设在易燃可燃材料的内部及表面，是否存在其他违规敷设电气线路的行为。是否超负荷使用电气设备。照明灯具的高温部位，当靠近易燃、可燃材料时，是否采取隔热、散热等防火保护措施，灯饰是否选用不燃、难燃材料；场所内是否违规私拉乱接电线。</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13. 场所室内装修材料是否符合国家标准《建筑内部装修设计防火规范》（GB50222）的有关规定，是否违规采用易燃可燃装修材料。人员密集场所及所在建筑采用的内保温材料、外墙外保温材料燃烧性能是否为A级。</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14. 生产、储存、经营易燃易爆危险品的场所是否违规与居住场所设置在同一建筑物内。生产、储存、经营其他物品的场所与居住场所设置在同一建筑物内时，安全出口是否分别设置。</w:t>
      </w:r>
    </w:p>
    <w:p>
      <w:pPr>
        <w:overflowPunct w:val="0"/>
        <w:spacing w:line="594" w:lineRule="exact"/>
        <w:ind w:firstLine="640" w:firstLineChars="200"/>
        <w:rPr>
          <w:rFonts w:ascii="Times New Roman" w:hAnsi="Times New Roman" w:eastAsia="方正楷体_GBK"/>
          <w:kern w:val="32"/>
          <w:sz w:val="32"/>
          <w:szCs w:val="20"/>
        </w:rPr>
      </w:pPr>
      <w:r>
        <w:rPr>
          <w:rFonts w:ascii="Times New Roman" w:hAnsi="Times New Roman" w:eastAsia="方正楷体_GBK"/>
          <w:kern w:val="32"/>
          <w:sz w:val="32"/>
          <w:szCs w:val="20"/>
        </w:rPr>
        <w:t>（三）各类场所消防安全检查要求</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1. 商场、集贸市场</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1）商场与住宅位于同一建筑的，商业部分是否与住宅部分的安全出口分开设置，楼梯首层是否能够直通室外。商场、市场内的小型中转仓库是否独立设置，如必须设置在商场、市场内，是否用防火墙隔开。</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2）高层、多层公共建筑内的商场、市场，其顶棚、墙面是否采用不燃或难燃装修材料。</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3）营业厅内食品加工区的明火部位是否靠外墙布置，是否采用耐火极限不低于2小时的隔墙与其他部位分隔，敞开式的食品加工区是否采用电加热设施。</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4）商场内经营指甲油、摩丝、丁烷气等易燃易爆商品时，储量是否控制在1日的销售量以内，是否采取防止日光直射措施，是否与其他高温电热器具隔开。地下商场是否违规经营销售烟花爆竹、发令枪纸、汽油、煤油、酒精、油漆等易燃易爆商品。</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2. 餐饮场所</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1）设置在商住楼或住宅楼内的餐饮场所是否与住宅部分分开设置。</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2）餐厅场所的用餐区域内是否违规存放、使用液化石油气钢瓶。厨房使用的煤气、天然气管道是否从室外单独引入，是否违规穿过用餐区域或其他公共区域。以柴油等丙类液体为燃料的餐饮场所，是否设置单独的储油间，柴油总储存量是否小于l立方米，是否采用防火墙与其他部位隔开，当必须在防火墙上开门时，是否设置甲级防火门。固定用火设施和大型用电设备是否确定专人负责。烟道等容易聚集油污的部位是否至少每季度清洗一次。</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3）多层及高层公共建筑内的餐饮场所，其顶棚、墙面是否采用不燃或难燃装修材料。</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4）场所是否张贴或悬挂安全疏散示意图，在出入口、楼梯口、疏散走道、疏散门等部位是否设灯光疏散指示标志。营业期间是否违规将安全出口上锁。</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3. 宾馆</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1）宾馆每个楼层的安全出口是否少于2个。</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2）除与敞开式外廊直接相连的楼梯间外，宾馆是否按消防技术标准要求采用封闭楼梯间或防烟楼梯间。楼梯间内是否违规设置烧水间、可燃材料储藏室、垃圾道，是否违规设置甲、乙、丙类液体管道，是否违规设置或穿过可燃气体管道。</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3）高层宾馆位于两个安全出口之间的房间疏散门至最近安全出口的直线距离是否大于30米，单、多层宾馆是否大于40米；位于袋形走道两侧或尽端的房间疏散门至最近安全出口的直线距离是否大于15</w:t>
      </w:r>
      <w:r>
        <w:rPr>
          <w:rFonts w:hint="eastAsia" w:ascii="Times New Roman" w:hAnsi="Times New Roman" w:eastAsia="方正仿宋_GBK"/>
          <w:kern w:val="32"/>
          <w:sz w:val="32"/>
          <w:szCs w:val="20"/>
          <w:lang w:eastAsia="zh-CN"/>
        </w:rPr>
        <w:t>米</w:t>
      </w:r>
      <w:r>
        <w:rPr>
          <w:rFonts w:ascii="Times New Roman" w:hAnsi="Times New Roman" w:eastAsia="方正仿宋_GBK"/>
          <w:kern w:val="32"/>
          <w:sz w:val="32"/>
          <w:szCs w:val="20"/>
        </w:rPr>
        <w:t>，单、多层宾馆是否大于22米。</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4）高层宾馆和体积大于5000立方米的单、多层宾馆是否设置室内消火栓系统。任一层建筑面积大于1500平方米或总建筑面积大于3000平方米的宾馆是否设置自动喷水灭火系统和火灾自动报警系统。</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5）宾馆是否设置消防应急照明和灯光疏散指示标志。灯光疏散指示标志的间距是否大于20米；对于袋形走道，是否大于10米；在走道转角区，是否大于1米。客房内是否设置醒目、耐久的“请勿卧床吸烟”提示牌和楼层安全疏散示意图。</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6）宾馆的水平疏散走道和安全出口的门厅，其顶棚材料是否采用不燃材料装修，其他部位是否采用不燃或难燃材料装修。</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7）宾馆的客房内是否配备应急手电筒、防烟面具等逃生器材及使用说明。</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4. 公共娱乐场所（含歌舞娱乐、网吧、美容洗浴等场所）</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1）场所是否违规设置在地下二层及以下楼层；是否违规设置在“三合一”场所（住宿与生产、储存经营合用场所）、彩钢板建筑和村（居）民自建房内；是否违规与生产、储存、经营易燃易爆危险品场所设置在同一建筑物内；是否违规与甲、乙类危险品仓库毗邻设置。经营服务对象主要为儿童的场所是否违规设置在地下、半地下或地上四层及以上楼层。</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2）场所与住宅位于同一建筑内的，场所与居民住宅的安全出口是否分开设置。燃油或燃气锅炉、油浸电力变压器、充有可燃油的高压电容器和多油开关等设备用房受条件限制必须布置在民用建筑内时，是否违规布置在公共娱乐场所的上一层、下一层或贴邻，是否符合有关消防技术要求。</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3）场所设置在多层建筑、高层建筑内的，顶棚是否采用不燃装修材料，墙面、地面、隔断等是否采用不燃或难燃装修材料。设置在地下的，顶棚、墙面是否采用不燃装修材料,其他部位是否采用不燃或难燃装修材料。是否违规采用聚氨酯类泡沫塑料等易燃可燃材料装修装饰。</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4）场所营业期间是否违规将安全出口上锁，门窗是否设置影响逃生和灭火救援的障碍物。场所是否违规存放易燃易爆危险品，设置在地下的场所是否违规使用液化石油气。</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5）场所是否违规自乱拉临时电线。是否在营业期间违规进行设备检修、电气焊、油漆粉刷等施工、维修作业，是否违规在室内燃放烟花。营业期间和营业结束后，是否指定专人进行安全巡视检查。是否注意无遗留烟头、烧香、蜡烛、使用明火等火种。确认安全后，是否切断电源。</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6）歌厅、舞厅及其包房内，是否设置声音或图像警报，是否能够实现在火灾发生初期，将歌厅、舞厅各房间的画面、音响消除，播送火灾警报，引导人员安全疏散。</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5. 医院、养老院、儿童福利院</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1）养老院当中的生活用房和医院的住院部分是否设置在三层及三层以上楼层或地下、半地下建筑（室）内。</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2）氧气站是否违规设在地下室内。液氧储罐是否设置在独立的一、二级耐火等级的专用建筑物，与住院楼、门诊楼之间的防火间距是否小于10米。在液氧储罐周围5米范围内是否禁止明火、是否杜绝一切火源和可燃物，是否设置明显的禁火标识。</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3）医院、养老院的病房、疏散走道等场所是否堆放可燃物品及其他杂物，是否加设床位，疏散门是否上锁。是否在窗口、阳台等部位设置影响疏散逃生的封闭式栅栏等设施。</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4）病房楼内是否违规使用液化石油气罐。医院的消防安全重点部位是否使用具有火灾危险性的电热器具，确因医疗、科研、试验需要而必须使用时,使用部门是否制定安全管理措施，明确责任人并报消防安全管理人批准、备案后，方可使用。</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6. 学校（含寄宿制学校、托儿所、幼儿园，非寄宿制的学校、托儿所、幼儿园，校外培训机构）</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1）托儿所、幼儿园的儿童用房和儿童游乐厅等儿童活动场所是否设置在四层及四层以上楼层或地下、半地下建筑（室）内。寄宿制学校的图书馆、教学楼、实验楼和集体宿舍的安全出口数量和宽度是否符合消防技术标准要求，公共疏散走道、疏散楼梯间是否违规设置卷帘门、栅栏等影响安全疏散的设施。</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2）寄宿制学校的集体宿舍是否违规使用蜡烛、电炉；当需要使用炉火采暖时，是否设专人负责，夜间是否定时进行防火巡査。</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3）托儿所、幼儿园的儿童用房及儿童游乐厅等儿童活动场所是否违规使用明火取暖、照明，当必须使用时，是否采取防火、防护措施，是否设专人负责。</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4）场所的厨房、烧水间是否单独设置。每间集体宿舍是否设置用电超载保护装置。电路熔断器是否违规使用铜丝、铝丝替代。</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7. 生产加工企业</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1）住宿与生产、储存、经营合用场所的住宿与非住宿部分是否进行防火分隔，安全出口是否相互独立。厂房、仓库内是否违规设置员工宿舍。</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2）车间内中间仓库的储量是否违规超过一昼夜的使用量。生产过程中的原料、半成品、成品是否违规集中摆放，机电设备周围0. 5米的范围内是否违规堆放可燃物。生产加工中使用电熨斗等电加热器具时，是否固定使用地点，是否采取可靠的防火措施。是否按操作规程定时清除电气设备及通风管道上的可燃粉尘、飞絮。</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3）生产加工车间、员工集体宿舍是否违规擅自拉接电气线路、设置炉灶。</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8. 易燃易爆危险品销售场所</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1）易燃易爆危险品销售场所是否违规附设在民用建筑内。易燃易爆危险品经营门店是否为独立的单层、框架或砖混结构的建筑，是否设置在建筑的一、二层，是否违规设置在地下、半地下。</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2）门店内的货物是否违规超量储存，化学性质不同以及相互发生反应的物品或者灭火方法不同的物品是否违规混存，储存场所是否有通风、降温措施。物品的包装是否牢固、密封，是否违规存在跑、冒、滴、漏情况。</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3）易燃易爆危险品经营门店内电气装置是否采用防爆电器，敷设的配电线路是否穿金属管或难燃塑料管保护。</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4）门店内是否存在吸烟、违规动火作业情况，是否违规使用电炉、明火等取暖、照明、烹饪食物。</w:t>
      </w:r>
    </w:p>
    <w:p>
      <w:pPr>
        <w:overflowPunct w:val="0"/>
        <w:spacing w:line="594" w:lineRule="exact"/>
        <w:ind w:firstLine="640" w:firstLineChars="200"/>
        <w:rPr>
          <w:rFonts w:ascii="Times New Roman" w:hAnsi="Times New Roman" w:eastAsia="方正仿宋_GBK"/>
          <w:kern w:val="32"/>
          <w:sz w:val="32"/>
          <w:szCs w:val="20"/>
        </w:rPr>
      </w:pPr>
      <w:r>
        <w:rPr>
          <w:rFonts w:ascii="Times New Roman" w:hAnsi="Times New Roman" w:eastAsia="方正仿宋_GBK"/>
          <w:kern w:val="32"/>
          <w:sz w:val="32"/>
          <w:szCs w:val="20"/>
        </w:rPr>
        <w:t>9. 仓储场所</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1）仓储场所与建筑物之间是否保持足够的防火间距。</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2）露天存放物品是否分类、分堆、分组和分垛，是否留出必要的防火间距。库存物品是否分类、分垛储存，每垛占地面积，垛与垛间距，垛与墙面间距，垛与梁、柱的间距，主要通道的宽度是否符合消防技术标准要求。</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3）场所内是否违规设置员工宿舍；确需设置办公室、休息室的，是否采用不燃烧体隔墙、楼板与库房分隔，是否设置独立的安全出口。场所的安全出口数量、宽度、间距是否符合消防技术标准要求。</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4）建筑占地面积大于300平方米的仓储场所，是否设置室内消火栓。</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5）场所内是否违规使用碘钨灯和超过60瓦以上的白炽灯等高温照明灯具。库房内敷设的配电线路，是否穿金属管或硬质阻燃塑料管保护；每个库房是否在库房外单独安装开关箱，保管人员离库时是否拉闸断电；是否违规使用不合规格的电路熔断器或断路器。</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6）场所的电气设备周围和架空线路下方是否堆放物品；对进入场所的机动车尾气管部位，是否设置机动车排气火花熄灭器。</w:t>
      </w:r>
    </w:p>
    <w:p>
      <w:pPr>
        <w:overflowPunct w:val="0"/>
        <w:spacing w:line="594" w:lineRule="exact"/>
        <w:ind w:firstLine="640" w:firstLineChars="200"/>
        <w:rPr>
          <w:rFonts w:ascii="Times New Roman" w:hAnsi="Times New Roman" w:eastAsia="方正仿宋_GBK"/>
          <w:kern w:val="32"/>
          <w:sz w:val="32"/>
          <w:szCs w:val="20"/>
        </w:r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7）场所是否按照国家标准要求设置防雷装置，是否定期检测。库房内是否违规使用电炉、电烙铁、电熨斗等电热器具。</w:t>
      </w:r>
    </w:p>
    <w:p>
      <w:pPr>
        <w:overflowPunct w:val="0"/>
        <w:spacing w:line="594" w:lineRule="exact"/>
        <w:ind w:firstLine="640" w:firstLineChars="200"/>
        <w:rPr>
          <w:kern w:val="32"/>
        </w:rPr>
        <w:sectPr>
          <w:footerReference r:id="rId3" w:type="default"/>
          <w:footerReference r:id="rId4" w:type="even"/>
          <w:pgSz w:w="11906" w:h="16838"/>
          <w:pgMar w:top="1984" w:right="1446" w:bottom="1644" w:left="1446" w:header="851" w:footer="1531" w:gutter="0"/>
          <w:pgNumType w:start="1"/>
          <w:cols w:space="720" w:num="1"/>
          <w:docGrid w:type="lines" w:linePitch="589" w:charSpace="0"/>
        </w:sectPr>
      </w:pPr>
      <w:r>
        <w:rPr>
          <w:rFonts w:hint="eastAsia" w:ascii="Times New Roman" w:hAnsi="Times New Roman" w:eastAsia="方正仿宋_GBK"/>
          <w:kern w:val="32"/>
          <w:sz w:val="32"/>
          <w:szCs w:val="20"/>
          <w:lang w:eastAsia="zh-CN"/>
        </w:rPr>
        <w:t>（</w:t>
      </w:r>
      <w:r>
        <w:rPr>
          <w:rFonts w:ascii="Times New Roman" w:hAnsi="Times New Roman" w:eastAsia="方正仿宋_GBK"/>
          <w:kern w:val="32"/>
          <w:sz w:val="32"/>
          <w:szCs w:val="20"/>
        </w:rPr>
        <w:t>8）物品入库前是否有专人负责检査，是否确定无火种等隐患后，方准入库。库房内和堆场是否违规使用明火,是否违规使用火炉取暖；库房外动用明火作业是否经过审批，是否做好防护措施。场所是否设置醒目的防火警示标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hint="eastAsia" w:ascii="宋体" w:hAnsi="宋体"/>
        <w:sz w:val="28"/>
        <w:szCs w:val="28"/>
      </w:rPr>
    </w:pPr>
    <w:r>
      <w:rPr>
        <w:rStyle w:val="7"/>
        <w:rFonts w:hint="eastAsia" w:ascii="宋体" w:hAnsi="宋体" w:eastAsia="方正仿宋_GBK"/>
        <w:sz w:val="28"/>
        <w:szCs w:val="28"/>
      </w:rPr>
      <w:t xml:space="preserve">— </w:t>
    </w:r>
    <w:r>
      <w:rPr>
        <w:rStyle w:val="7"/>
        <w:rFonts w:ascii="宋体" w:hAnsi="宋体" w:eastAsia="方正仿宋_GBK"/>
        <w:sz w:val="28"/>
        <w:szCs w:val="28"/>
      </w:rPr>
      <w:fldChar w:fldCharType="begin"/>
    </w:r>
    <w:r>
      <w:rPr>
        <w:rStyle w:val="7"/>
        <w:rFonts w:ascii="宋体" w:hAnsi="宋体" w:eastAsia="方正仿宋_GBK"/>
        <w:sz w:val="28"/>
        <w:szCs w:val="28"/>
      </w:rPr>
      <w:instrText xml:space="preserve">PAGE  </w:instrText>
    </w:r>
    <w:r>
      <w:rPr>
        <w:rStyle w:val="7"/>
        <w:rFonts w:ascii="宋体" w:hAnsi="宋体" w:eastAsia="方正仿宋_GBK"/>
        <w:sz w:val="28"/>
        <w:szCs w:val="28"/>
      </w:rPr>
      <w:fldChar w:fldCharType="separate"/>
    </w:r>
    <w:r>
      <w:rPr>
        <w:rStyle w:val="7"/>
        <w:rFonts w:ascii="宋体" w:hAnsi="宋体" w:eastAsia="方正仿宋_GBK"/>
        <w:sz w:val="28"/>
        <w:szCs w:val="28"/>
      </w:rPr>
      <w:t>42</w:t>
    </w:r>
    <w:r>
      <w:rPr>
        <w:rStyle w:val="7"/>
        <w:rFonts w:ascii="宋体" w:hAnsi="宋体" w:eastAsia="方正仿宋_GBK"/>
        <w:sz w:val="28"/>
        <w:szCs w:val="28"/>
      </w:rPr>
      <w:fldChar w:fldCharType="end"/>
    </w:r>
    <w:r>
      <w:rPr>
        <w:rStyle w:val="7"/>
        <w:rFonts w:hint="eastAsia" w:ascii="宋体" w:hAnsi="宋体" w:eastAsia="方正仿宋_GBK"/>
        <w:sz w:val="28"/>
        <w:szCs w:val="28"/>
      </w:rPr>
      <w:t xml:space="preserve"> —</w:t>
    </w:r>
  </w:p>
  <w:p>
    <w:pPr>
      <w:pStyle w:val="4"/>
      <w:ind w:right="360" w:firstLine="360"/>
      <w:rPr>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Cs w:val="20"/>
      </w:rPr>
    </w:pPr>
    <w:r>
      <w:rPr>
        <w:rStyle w:val="7"/>
        <w:rFonts w:eastAsia="方正仿宋_GBK"/>
        <w:sz w:val="32"/>
        <w:szCs w:val="20"/>
      </w:rPr>
      <w:fldChar w:fldCharType="begin"/>
    </w:r>
    <w:r>
      <w:rPr>
        <w:rStyle w:val="7"/>
        <w:rFonts w:eastAsia="方正仿宋_GBK"/>
        <w:sz w:val="32"/>
        <w:szCs w:val="20"/>
      </w:rPr>
      <w:instrText xml:space="preserve">PAGE  </w:instrText>
    </w:r>
    <w:r>
      <w:rPr>
        <w:rStyle w:val="7"/>
        <w:rFonts w:eastAsia="方正仿宋_GBK"/>
        <w:sz w:val="32"/>
        <w:szCs w:val="20"/>
      </w:rPr>
      <w:fldChar w:fldCharType="end"/>
    </w:r>
  </w:p>
  <w:p>
    <w:pPr>
      <w:pStyle w:val="4"/>
      <w:ind w:right="360" w:firstLine="360"/>
      <w:rPr>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4637B"/>
    <w:rsid w:val="5FF8F92A"/>
    <w:rsid w:val="6DA46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qFormat/>
    <w:uiPriority w:val="0"/>
    <w:pPr>
      <w:widowControl w:val="0"/>
      <w:ind w:firstLine="420" w:firstLineChars="200"/>
      <w:jc w:val="both"/>
    </w:pPr>
    <w:rPr>
      <w:rFonts w:ascii="Times New Roman" w:hAnsi="Times New Roman" w:eastAsia="仿宋" w:cs="Times New Roman"/>
      <w:kern w:val="2"/>
      <w:sz w:val="32"/>
      <w:lang w:val="en-US" w:eastAsia="zh-CN" w:bidi="ar-SA"/>
    </w:rPr>
  </w:style>
  <w:style w:type="paragraph" w:styleId="3">
    <w:name w:val="Body Text"/>
    <w:basedOn w:val="1"/>
    <w:next w:val="1"/>
    <w:unhideWhenUsed/>
    <w:qFormat/>
    <w:uiPriority w:val="99"/>
    <w:pPr>
      <w:widowControl w:val="0"/>
      <w:spacing w:after="120" w:afterLines="0" w:afterAutospacing="0"/>
      <w:jc w:val="both"/>
    </w:pPr>
    <w:rPr>
      <w:rFonts w:ascii="Times New Roman" w:hAnsi="Times New Roman" w:eastAsia="宋体" w:cs="Times New Roman"/>
      <w:kern w:val="2"/>
      <w:sz w:val="21"/>
      <w:lang w:val="en-US" w:eastAsia="zh-CN" w:bidi="ar-SA"/>
    </w:rPr>
  </w:style>
  <w:style w:type="paragraph" w:styleId="4">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lang w:val="en-US" w:eastAsia="zh-CN" w:bidi="ar-SA"/>
    </w:rPr>
  </w:style>
  <w:style w:type="character" w:styleId="7">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2024-02-21T10:36:00Z</dcterms:created>
  <dc:creator>Administrator</dc:creator>
  <cp:lastModifiedBy>tlww</cp:lastModifiedBy>
  <dcterms:modified xsi:type="dcterms:W3CDTF">2024-02-22T15:52:14Z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716E40D6CBF546E6AB3B9EFD79078BF3</vt:lpwstr>
  </property>
</Properties>
</file>