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ind w:left="0" w:leftChars="0" w:firstLine="0" w:firstLineChars="0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附件2</w:t>
      </w:r>
    </w:p>
    <w:p>
      <w:pPr>
        <w:pStyle w:val="7"/>
        <w:overflowPunct w:val="0"/>
        <w:spacing w:line="600" w:lineRule="exact"/>
        <w:ind w:left="0" w:leftChars="0"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白羊镇</w:t>
      </w:r>
      <w:r>
        <w:rPr>
          <w:rFonts w:ascii="Times New Roman" w:hAnsi="Times New Roman" w:eastAsia="方正小标宋_GBK"/>
          <w:sz w:val="44"/>
          <w:szCs w:val="44"/>
        </w:rPr>
        <w:t>消防安全集中除患攻坚大整治行动重点任务清单</w:t>
      </w:r>
    </w:p>
    <w:p>
      <w:pPr>
        <w:pStyle w:val="7"/>
        <w:overflowPunct w:val="0"/>
        <w:spacing w:line="300" w:lineRule="exact"/>
        <w:ind w:left="0" w:leftChars="0"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 xml:space="preserve"> </w:t>
      </w:r>
    </w:p>
    <w:tbl>
      <w:tblPr>
        <w:tblStyle w:val="4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30"/>
        <w:gridCol w:w="9160"/>
        <w:gridCol w:w="291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工作任务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1"/>
                <w:szCs w:val="21"/>
              </w:rPr>
              <w:t>具体内容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1"/>
                <w:szCs w:val="21"/>
              </w:rPr>
              <w:t>责任单位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1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（一）集中开展大排查行动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1. 全面发动三类场所自查自改消防安全突出风险隐患，要求场所责任人或委托管理人带队开展自查，并签字确认自查记录存档备查。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相关办所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排查本行业领域的单位场所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2月8日前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各负有安全生产监督管理职责的办所严格落实“三管三必须”要求，根据本行业领域火灾风险特点，开展消防安全针对性排查整治。应急办、经发办、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规划建设管理环保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办、民政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社事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办、派出所等单位要依据《指南》，分别牵头组织开展本行业领域消防安全大排查，查清行业领域突出风险隐患，排查情况定期向分管领导专题汇报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3.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各村（社区）落实属地管理责任，组织村社干部、网格员等力量开展全面排查，对难以整治的突出风险隐患，上报镇政府相关办所（中心）执法查处。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4.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办所要适时开展联合执法检查，加强与业务主管部门的沟通交流，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鼓励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采取聘请专家、第三方专业机构等形式参与排查，提高排查的精准性。镇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应急办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要组织开展业务培训，确保排查人员熟知排查内容、标准和要求。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5.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相关办所、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各村（社区）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开展全面排查，并对排查发现的突出风险隐患建立隐患问题清单，问题清单要明确隐患单位、隐患内容、整改责任单位、整改时限等要素，登记上账、闭环管理。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的办所、各村（社区）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74" w:hRule="atLeast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（二）集中开展大整治行动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各村（社区）、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办所对排查发现的突出风险隐患，督促隐患单位落实整改责任、时限、措施、资金和临时防范措施，分类施策、逐一销账。对于单位场所自身能整改的，要依法督促整改；对于难以整改的，制定隐患整改清单和责任清单，作为攻坚整治对象，督促相关单位场所制定整改方案，细化整改措施和时限，整改一处、销案一处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的办所、各村（社区）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4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相关办所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要加大执法力度，依法查处消防违法违规行为，对单位场所逾期不改或拒不整改的，要依法从严、从重、从快查处。应急办、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规划建设管理环保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办、经发办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、派出所、市场监管所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等有关单位按职责分工依法查处违规动火动焊施工作业问题；应急办、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派出所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负责重点查处占堵消防车通道、疏散通道和安全出口等消防违法行为。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应急办、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规划建设管理环保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办、经发办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、派出所、市场监管所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3.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各村（社区）、相关办所要开展人员密集场所“生命出口”集中清障行动，对排查发现人员密集场所违规设置影响逃生和灭火救援的防盗网、铁栅栏、广告牌等障碍物，要发动基层网格人员，上门做好拆除劝导工作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的办所、各村（社区）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4.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对存在严重失信行为的，由相关办所上报区级有关部门录入信用管理平台，实施联合惩戒。对涉嫌犯罪的，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及时上报区级有关部门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，依法追究刑事责任，绝不姑息迁就。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应急办、经发办、市场监管所、派出所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75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（三）集中开展大曝光行动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各村（社区）、相关办所要广泛发布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消防安全宣传提示，开展安全用火用电用气、安全燃放烟花爆竹、畅通生命通道、应急疏散逃生等常识宣传。要加强典型火灾案例警示教育，剖析火灾事故原因教训，提高公众消防安全能力素质。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组织引导居民落实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三清三关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（清走道、清阳台、清厨房，关电源、关气源、关门窗）要求。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大力宣传举报投诉渠道，落实火灾隐患举报投诉奖励机制，广泛发动公众举报火灾隐患和消防违法行为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，对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于隐患问题特别突出、违法行为特别严重的，要在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辖区内进行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曝光。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的办所、各村（社区）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598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（四）集中开展大演练行动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应急办会同相关办所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聚焦多业态混合生产经营、人员密集等重点场所，突出单位负责人和管理人、员工、宿舍管理员、医护人员和护工、物业人员、保安员和网格员等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重点人群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”，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聚焦“九小场所”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开展一轮全员消防安全演练，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重点演练火灾扑救和疏散逃生，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着力提升人员初起火灾扑救和疏散逃生能力，努力实现人人会逃生、个个会应急。</w:t>
            </w:r>
          </w:p>
          <w:p>
            <w:pPr>
              <w:overflowPunct w:val="0"/>
              <w:spacing w:line="34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应急办、各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50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（五）集中开展大约谈行动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春节前，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镇应急办牵头，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辖区内的重点场所负责人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召开一次消防安全约谈会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整治过程中，对工作进度滞后、隐患问题突出、火灾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易发多发的村（社区）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和行业，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镇政府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要组织对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负责人进行警示约谈。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对隐患整改难度大、火灾风险高的，经镇政府研究后，上报区级相关部门会商研究。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应急办、各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10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Times New Roman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1"/>
                <w:szCs w:val="21"/>
              </w:rPr>
              <w:t>（六）集中开展大督导行动</w:t>
            </w:r>
          </w:p>
        </w:tc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镇政府抽调相关人员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组织联合督导组下沉至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各村（社区）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和各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有关单位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，集中开展督导检查，较真碰硬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直击问题，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剖析深层次原因，通报不足之处，传递工作压力，提出建议措施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相关办所要加强对辖区重点单位开展宣传培训、自查自改等工作开展情况的督导检查，对工作开展推进缓慢、不深不实的，报镇工作专班研究惩处。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负有安全生产监督管理职责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eastAsia="zh-CN"/>
              </w:rPr>
              <w:t>的办所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3月15日前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 w:eastAsia="方正仿宋_GBK"/>
        <w:sz w:val="28"/>
        <w:szCs w:val="28"/>
      </w:rPr>
      <w:t xml:space="preserve">— </w:t>
    </w:r>
    <w:r>
      <w:rPr>
        <w:rStyle w:val="6"/>
        <w:rFonts w:ascii="宋体" w:hAnsi="宋体" w:eastAsia="方正仿宋_GBK"/>
        <w:sz w:val="28"/>
        <w:szCs w:val="28"/>
      </w:rPr>
      <w:fldChar w:fldCharType="begin"/>
    </w:r>
    <w:r>
      <w:rPr>
        <w:rStyle w:val="6"/>
        <w:rFonts w:ascii="宋体" w:hAnsi="宋体" w:eastAsia="方正仿宋_GBK"/>
        <w:sz w:val="28"/>
        <w:szCs w:val="28"/>
      </w:rPr>
      <w:instrText xml:space="preserve">PAGE  </w:instrText>
    </w:r>
    <w:r>
      <w:rPr>
        <w:rStyle w:val="6"/>
        <w:rFonts w:ascii="宋体" w:hAnsi="宋体" w:eastAsia="方正仿宋_GBK"/>
        <w:sz w:val="28"/>
        <w:szCs w:val="28"/>
      </w:rPr>
      <w:fldChar w:fldCharType="separate"/>
    </w:r>
    <w:r>
      <w:rPr>
        <w:rStyle w:val="6"/>
        <w:rFonts w:ascii="宋体" w:hAnsi="宋体" w:eastAsia="方正仿宋_GBK"/>
        <w:sz w:val="28"/>
        <w:szCs w:val="28"/>
      </w:rPr>
      <w:t>42</w:t>
    </w:r>
    <w:r>
      <w:rPr>
        <w:rStyle w:val="6"/>
        <w:rFonts w:ascii="宋体" w:hAnsi="宋体" w:eastAsia="方正仿宋_GBK"/>
        <w:sz w:val="28"/>
        <w:szCs w:val="28"/>
      </w:rPr>
      <w:fldChar w:fldCharType="end"/>
    </w:r>
    <w:r>
      <w:rPr>
        <w:rStyle w:val="6"/>
        <w:rFonts w:hint="eastAsia" w:ascii="宋体" w:hAnsi="宋体" w:eastAsia="方正仿宋_GBK"/>
        <w:sz w:val="28"/>
        <w:szCs w:val="28"/>
      </w:rPr>
      <w:t xml:space="preserve"> —</w:t>
    </w:r>
  </w:p>
  <w:p>
    <w:pPr>
      <w:pStyle w:val="2"/>
      <w:ind w:right="360" w:firstLine="360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B6D8E"/>
    <w:rsid w:val="016B6D8E"/>
    <w:rsid w:val="2F6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styleId="6">
    <w:name w:val="page number"/>
    <w:qFormat/>
    <w:uiPriority w:val="0"/>
  </w:style>
  <w:style w:type="paragraph" w:customStyle="1" w:styleId="7">
    <w:name w:val="BodyText1I2"/>
    <w:qFormat/>
    <w:uiPriority w:val="0"/>
    <w:pPr>
      <w:widowControl w:val="0"/>
      <w:spacing w:after="0"/>
      <w:ind w:left="200" w:leftChars="200" w:firstLine="200" w:firstLineChars="200"/>
      <w:jc w:val="both"/>
      <w:textAlignment w:val="baseline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2024-02-21T02:37:00Z</dcterms:created>
  <dc:creator>Administrator</dc:creator>
  <cp:lastModifiedBy>Administrator</cp:lastModifiedBy>
  <dcterms:modified xsi:type="dcterms:W3CDTF">2024-02-21T02:37:58Z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4705A633B0E14CEEAF105BEDC2C95EB9</vt:lpwstr>
  </property>
</Properties>
</file>