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color w:val="333333"/>
          <w:sz w:val="50"/>
          <w:szCs w:val="50"/>
          <w:shd w:val="clear" w:color="auto" w:fill="FFFFFF"/>
        </w:rPr>
      </w:pPr>
      <w:r>
        <w:rPr>
          <w:rFonts w:hint="eastAsia" w:ascii="方正小标宋_GBK" w:hAnsi="方正小标宋_GBK" w:eastAsia="方正小标宋_GBK" w:cs="方正小标宋_GBK"/>
          <w:color w:val="333333"/>
          <w:sz w:val="50"/>
          <w:szCs w:val="50"/>
          <w:shd w:val="clear" w:color="auto" w:fill="FFFFFF"/>
        </w:rPr>
        <w:t>重庆市铜梁区白羊镇人民政府2021年预算情况说明</w:t>
      </w:r>
    </w:p>
    <w:p>
      <w:pPr>
        <w:jc w:val="center"/>
        <w:rPr>
          <w:rFonts w:hint="default" w:ascii="Times New Roman" w:hAnsi="Times New Roman" w:eastAsia="寰蒋闆呴粦" w:cs="Times New Roman"/>
          <w:color w:val="333333"/>
          <w:sz w:val="50"/>
          <w:szCs w:val="50"/>
          <w:shd w:val="clear" w:color="auto" w:fill="FFFFFF"/>
        </w:rPr>
      </w:pPr>
    </w:p>
    <w:p>
      <w:pPr>
        <w:pStyle w:val="2"/>
        <w:shd w:val="clear" w:color="auto" w:fill="FFFFFF"/>
        <w:spacing w:before="0" w:beforeAutospacing="0" w:after="0" w:afterAutospacing="0" w:line="670" w:lineRule="atLeast"/>
        <w:ind w:left="720"/>
        <w:rPr>
          <w:rFonts w:hint="default" w:ascii="Times New Roman" w:hAnsi="Times New Roman" w:eastAsia="寰蒋闆呴粦" w:cs="Times New Roman"/>
          <w:color w:val="333333"/>
          <w:sz w:val="32"/>
          <w:szCs w:val="32"/>
        </w:rPr>
      </w:pPr>
      <w:r>
        <w:rPr>
          <w:rFonts w:hint="default" w:ascii="Times New Roman" w:hAnsi="Times New Roman" w:eastAsia="方正黑体_GBK" w:cs="Times New Roman"/>
          <w:color w:val="333333"/>
          <w:sz w:val="32"/>
          <w:szCs w:val="32"/>
        </w:rPr>
        <w:t>一、单位基本情况</w:t>
      </w:r>
    </w:p>
    <w:p>
      <w:pPr>
        <w:pStyle w:val="2"/>
        <w:shd w:val="clear" w:color="auto" w:fill="FFFFFF"/>
        <w:spacing w:before="0" w:beforeAutospacing="0" w:after="0" w:afterAutospacing="0" w:line="670" w:lineRule="atLeast"/>
        <w:ind w:firstLine="720"/>
        <w:rPr>
          <w:rFonts w:hint="default" w:ascii="Times New Roman" w:hAnsi="Times New Roman" w:eastAsia="寰蒋闆呴粦" w:cs="Times New Roman"/>
          <w:color w:val="333333"/>
          <w:sz w:val="32"/>
          <w:szCs w:val="32"/>
        </w:rPr>
      </w:pPr>
      <w:r>
        <w:rPr>
          <w:rFonts w:hint="default" w:ascii="Times New Roman" w:hAnsi="Times New Roman" w:eastAsia="方正楷体_GBK" w:cs="Times New Roman"/>
          <w:color w:val="333333"/>
          <w:sz w:val="32"/>
          <w:szCs w:val="32"/>
        </w:rPr>
        <w:t>（一）职能职责</w:t>
      </w:r>
    </w:p>
    <w:p>
      <w:pPr>
        <w:pStyle w:val="2"/>
        <w:shd w:val="clear" w:color="auto" w:fill="FFFFFF"/>
        <w:spacing w:before="0" w:beforeAutospacing="0" w:after="0" w:afterAutospacing="0" w:line="670" w:lineRule="atLeast"/>
        <w:ind w:firstLine="720"/>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color w:val="333333"/>
          <w:sz w:val="32"/>
          <w:szCs w:val="32"/>
        </w:rPr>
        <w:t>1.执行本</w:t>
      </w:r>
      <w:bookmarkStart w:id="0" w:name="_GoBack"/>
      <w:bookmarkEnd w:id="0"/>
      <w:r>
        <w:rPr>
          <w:rFonts w:hint="default" w:ascii="Times New Roman" w:hAnsi="Times New Roman" w:eastAsia="方正仿宋_GBK" w:cs="Times New Roman"/>
          <w:color w:val="333333"/>
          <w:sz w:val="32"/>
          <w:szCs w:val="32"/>
        </w:rPr>
        <w:t>级人民代表大会的决议和上级国家行政机关的决定和命令。</w:t>
      </w:r>
    </w:p>
    <w:p>
      <w:pPr>
        <w:pStyle w:val="2"/>
        <w:shd w:val="clear" w:color="auto" w:fill="FFFFFF"/>
        <w:spacing w:before="0" w:beforeAutospacing="0" w:after="0" w:afterAutospacing="0" w:line="670" w:lineRule="atLeast"/>
        <w:ind w:firstLine="720"/>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color w:val="333333"/>
          <w:sz w:val="32"/>
          <w:szCs w:val="32"/>
        </w:rPr>
        <w:t>2.执行本行政区域内的经济和社会发展计划、预算，管理本行政区域内的经济、教育、科学、文化、卫生、体育事业和财政、民政、公安、司法行政、计划生育等行政工作。</w:t>
      </w:r>
    </w:p>
    <w:p>
      <w:pPr>
        <w:pStyle w:val="2"/>
        <w:shd w:val="clear" w:color="auto" w:fill="FFFFFF"/>
        <w:spacing w:before="0" w:beforeAutospacing="0" w:after="0" w:afterAutospacing="0" w:line="670" w:lineRule="atLeast"/>
        <w:ind w:firstLine="720"/>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color w:val="333333"/>
          <w:sz w:val="32"/>
          <w:szCs w:val="32"/>
        </w:rPr>
        <w:t>3.保护社会主义的全民所有的财产和劳动群众集体所有的财产，保护公民私人所有的合法财产，维护社会秩序，保障公民的人身权利、民主权利和其他权利。</w:t>
      </w:r>
    </w:p>
    <w:p>
      <w:pPr>
        <w:pStyle w:val="2"/>
        <w:shd w:val="clear" w:color="auto" w:fill="FFFFFF"/>
        <w:spacing w:before="0" w:beforeAutospacing="0" w:after="0" w:afterAutospacing="0" w:line="670" w:lineRule="atLeast"/>
        <w:ind w:left="720"/>
        <w:rPr>
          <w:rFonts w:hint="default" w:ascii="Times New Roman" w:hAnsi="Times New Roman" w:eastAsia="寰蒋闆呴粦" w:cs="Times New Roman"/>
          <w:color w:val="333333"/>
          <w:sz w:val="32"/>
          <w:szCs w:val="32"/>
        </w:rPr>
      </w:pPr>
      <w:r>
        <w:rPr>
          <w:rFonts w:hint="default" w:ascii="Times New Roman" w:hAnsi="Times New Roman" w:eastAsia="方正楷体_GBK" w:cs="Times New Roman"/>
          <w:color w:val="333333"/>
          <w:sz w:val="32"/>
          <w:szCs w:val="32"/>
        </w:rPr>
        <w:t>（二）单位构成</w:t>
      </w:r>
    </w:p>
    <w:p>
      <w:pPr>
        <w:pStyle w:val="2"/>
        <w:shd w:val="clear" w:color="auto" w:fill="FFFFFF"/>
        <w:spacing w:before="0" w:beforeAutospacing="0" w:after="0" w:afterAutospacing="0" w:line="670" w:lineRule="atLeast"/>
        <w:ind w:firstLine="720"/>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color w:val="333333"/>
          <w:sz w:val="32"/>
          <w:szCs w:val="32"/>
        </w:rPr>
        <w:t>本镇设置独立编制机构8个，其中行政机构1个</w:t>
      </w:r>
      <w:r>
        <w:rPr>
          <w:rFonts w:hint="eastAsia" w:ascii="Times New Roman" w:hAnsi="Times New Roman" w:eastAsia="方正仿宋_GBK" w:cs="Times New Roman"/>
          <w:color w:val="333333"/>
          <w:sz w:val="32"/>
          <w:szCs w:val="32"/>
          <w:lang w:eastAsia="zh-CN"/>
        </w:rPr>
        <w:t>：</w:t>
      </w:r>
      <w:r>
        <w:rPr>
          <w:rFonts w:hint="default" w:ascii="Times New Roman" w:hAnsi="Times New Roman" w:eastAsia="方正仿宋_GBK" w:cs="Times New Roman"/>
          <w:color w:val="333333"/>
          <w:sz w:val="32"/>
          <w:szCs w:val="32"/>
        </w:rPr>
        <w:t>白羊镇人民政府；事业单位7个</w:t>
      </w:r>
      <w:r>
        <w:rPr>
          <w:rFonts w:hint="eastAsia" w:ascii="Times New Roman" w:hAnsi="Times New Roman" w:eastAsia="方正仿宋_GBK" w:cs="Times New Roman"/>
          <w:color w:val="333333"/>
          <w:sz w:val="32"/>
          <w:szCs w:val="32"/>
          <w:lang w:eastAsia="zh-CN"/>
        </w:rPr>
        <w:t>：</w:t>
      </w:r>
      <w:r>
        <w:rPr>
          <w:rFonts w:hint="default" w:ascii="Times New Roman" w:hAnsi="Times New Roman" w:eastAsia="方正仿宋_GBK" w:cs="Times New Roman"/>
          <w:color w:val="333333"/>
          <w:sz w:val="32"/>
          <w:szCs w:val="32"/>
          <w:lang w:eastAsia="zh-CN"/>
        </w:rPr>
        <w:t>劳动就业和</w:t>
      </w:r>
      <w:r>
        <w:rPr>
          <w:rFonts w:hint="default" w:ascii="Times New Roman" w:hAnsi="Times New Roman" w:eastAsia="方正仿宋_GBK" w:cs="Times New Roman"/>
          <w:color w:val="333333"/>
          <w:sz w:val="32"/>
          <w:szCs w:val="32"/>
        </w:rPr>
        <w:t>社会保障服务所、文化服务中心、农业服务中心、退役军人服务站、综合</w:t>
      </w:r>
      <w:r>
        <w:rPr>
          <w:rFonts w:hint="default" w:ascii="Times New Roman" w:hAnsi="Times New Roman" w:eastAsia="方正仿宋_GBK" w:cs="Times New Roman"/>
          <w:color w:val="333333"/>
          <w:sz w:val="32"/>
          <w:szCs w:val="32"/>
          <w:lang w:eastAsia="zh-CN"/>
        </w:rPr>
        <w:t>行政</w:t>
      </w:r>
      <w:r>
        <w:rPr>
          <w:rFonts w:hint="default" w:ascii="Times New Roman" w:hAnsi="Times New Roman" w:eastAsia="方正仿宋_GBK" w:cs="Times New Roman"/>
          <w:color w:val="333333"/>
          <w:sz w:val="32"/>
          <w:szCs w:val="32"/>
        </w:rPr>
        <w:t>执法大队、乡村产业培育中心、乡村生态治理中心。全镇7个村、103个社，1个社区。</w:t>
      </w:r>
    </w:p>
    <w:p>
      <w:pPr>
        <w:pStyle w:val="2"/>
        <w:shd w:val="clear" w:color="auto" w:fill="FFFFFF"/>
        <w:spacing w:before="0" w:beforeAutospacing="0" w:after="0" w:afterAutospacing="0" w:line="670" w:lineRule="atLeast"/>
        <w:ind w:left="720"/>
        <w:rPr>
          <w:rFonts w:hint="default" w:ascii="Times New Roman" w:hAnsi="Times New Roman" w:eastAsia="寰蒋闆呴粦" w:cs="Times New Roman"/>
          <w:color w:val="333333"/>
          <w:sz w:val="32"/>
          <w:szCs w:val="32"/>
        </w:rPr>
      </w:pPr>
      <w:r>
        <w:rPr>
          <w:rFonts w:hint="default" w:ascii="Times New Roman" w:hAnsi="Times New Roman" w:eastAsia="方正黑体_GBK" w:cs="Times New Roman"/>
          <w:color w:val="333333"/>
          <w:sz w:val="32"/>
          <w:szCs w:val="32"/>
        </w:rPr>
        <w:t>二、部门收支总体情况</w:t>
      </w:r>
    </w:p>
    <w:p>
      <w:pPr>
        <w:pStyle w:val="2"/>
        <w:shd w:val="clear" w:color="auto" w:fill="FFFFFF"/>
        <w:spacing w:before="0" w:beforeAutospacing="0" w:after="0" w:afterAutospacing="0" w:line="670" w:lineRule="atLeast"/>
        <w:ind w:firstLine="720"/>
        <w:rPr>
          <w:rFonts w:hint="default" w:ascii="Times New Roman" w:hAnsi="Times New Roman" w:eastAsia="寰蒋闆呴粦" w:cs="Times New Roman"/>
          <w:color w:val="333333"/>
          <w:sz w:val="32"/>
          <w:szCs w:val="32"/>
        </w:rPr>
      </w:pPr>
      <w:r>
        <w:rPr>
          <w:rFonts w:hint="default" w:ascii="Times New Roman" w:hAnsi="Times New Roman" w:eastAsia="方正楷体_GBK" w:cs="Times New Roman"/>
          <w:color w:val="333333"/>
          <w:sz w:val="32"/>
          <w:szCs w:val="32"/>
        </w:rPr>
        <w:t>（一）收入预算</w:t>
      </w:r>
    </w:p>
    <w:p>
      <w:pPr>
        <w:pStyle w:val="2"/>
        <w:shd w:val="clear" w:color="auto" w:fill="FFFFFF"/>
        <w:spacing w:before="0" w:beforeAutospacing="0" w:after="0" w:afterAutospacing="0" w:line="670" w:lineRule="atLeast"/>
        <w:ind w:firstLine="720"/>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color w:val="333333"/>
          <w:sz w:val="32"/>
          <w:szCs w:val="32"/>
        </w:rPr>
        <w:t>2021年年初预算数1807.92万元，其中：一般公共预算拨款1807.92万元，政府性基金预算拨款0万元，国有资本经营预算收入0万元，事业收入0万元，事业单位经营收入0万元。</w:t>
      </w:r>
    </w:p>
    <w:p>
      <w:pPr>
        <w:pStyle w:val="2"/>
        <w:shd w:val="clear" w:color="auto" w:fill="FFFFFF"/>
        <w:spacing w:before="0" w:beforeAutospacing="0" w:after="0" w:afterAutospacing="0" w:line="670" w:lineRule="atLeast"/>
        <w:ind w:firstLine="720"/>
        <w:rPr>
          <w:rFonts w:hint="default" w:ascii="Times New Roman" w:hAnsi="Times New Roman" w:eastAsia="寰蒋闆呴粦" w:cs="Times New Roman"/>
          <w:color w:val="333333"/>
          <w:sz w:val="32"/>
          <w:szCs w:val="32"/>
        </w:rPr>
      </w:pPr>
      <w:r>
        <w:rPr>
          <w:rFonts w:hint="default" w:ascii="Times New Roman" w:hAnsi="Times New Roman" w:eastAsia="方正楷体_GBK" w:cs="Times New Roman"/>
          <w:color w:val="333333"/>
          <w:sz w:val="32"/>
          <w:szCs w:val="32"/>
        </w:rPr>
        <w:t>（二）支出预算</w:t>
      </w:r>
    </w:p>
    <w:p>
      <w:pPr>
        <w:pStyle w:val="2"/>
        <w:shd w:val="clear" w:color="auto" w:fill="FFFFFF"/>
        <w:spacing w:before="0" w:beforeAutospacing="0" w:after="0" w:afterAutospacing="0" w:line="670" w:lineRule="atLeast"/>
        <w:ind w:firstLine="720"/>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color w:val="333333"/>
          <w:sz w:val="32"/>
          <w:szCs w:val="32"/>
        </w:rPr>
        <w:t>2021年年初预算数1807.92万元，其中： 一般公共服务支出预算557.2万元；文化体育与传媒支出44.27万元；社会保障和就业支出预算267.36万元；卫生健康支出预算62.83万元；节能环保支出预算168.51万元；城乡社区支出预算56万元；农林水支出预算581.75万元；交通运输支出预算16.95万元；住房保障支出预算53.05万元。</w:t>
      </w:r>
    </w:p>
    <w:p>
      <w:pPr>
        <w:pStyle w:val="2"/>
        <w:shd w:val="clear" w:color="auto" w:fill="FFFFFF"/>
        <w:spacing w:before="0" w:beforeAutospacing="0" w:after="0" w:afterAutospacing="0" w:line="670" w:lineRule="atLeast"/>
        <w:ind w:left="720"/>
        <w:rPr>
          <w:rFonts w:hint="default" w:ascii="Times New Roman" w:hAnsi="Times New Roman" w:eastAsia="寰蒋闆呴粦" w:cs="Times New Roman"/>
          <w:color w:val="333333"/>
          <w:sz w:val="32"/>
          <w:szCs w:val="32"/>
        </w:rPr>
      </w:pPr>
      <w:r>
        <w:rPr>
          <w:rFonts w:hint="default" w:ascii="Times New Roman" w:hAnsi="Times New Roman" w:eastAsia="方正黑体_GBK" w:cs="Times New Roman"/>
          <w:color w:val="333333"/>
          <w:sz w:val="32"/>
          <w:szCs w:val="32"/>
        </w:rPr>
        <w:t>三、部门预算情况说明</w:t>
      </w:r>
    </w:p>
    <w:p>
      <w:pPr>
        <w:pStyle w:val="2"/>
        <w:shd w:val="clear" w:color="auto" w:fill="FFFFFF"/>
        <w:spacing w:before="0" w:beforeAutospacing="0" w:after="0" w:afterAutospacing="0" w:line="670" w:lineRule="atLeast"/>
        <w:ind w:firstLine="720"/>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color w:val="333333"/>
          <w:sz w:val="32"/>
          <w:szCs w:val="32"/>
        </w:rPr>
        <w:t>2021年一般公共预算财政拨款收入1807.92万元，一般公共预算财政拨款支出1807.92万元，比2020年增加47.98万元。其中：基本支出1209.69万元，比2020年增加81.69万元，主要原因是新增人员以及工资调整等，主要用于保障本单位在职人员工资福利及社会保险缴费，离休人员离休费，退休人员补助等，保障部门正常运转的各项商品服务支出；项目支出598.24万元，比2020年减少33.72万元，主要原因是部分项目减少。</w:t>
      </w:r>
    </w:p>
    <w:p>
      <w:pPr>
        <w:pStyle w:val="2"/>
        <w:shd w:val="clear" w:color="auto" w:fill="FFFFFF"/>
        <w:spacing w:before="0" w:beforeAutospacing="0" w:after="0" w:afterAutospacing="0" w:line="670" w:lineRule="atLeast"/>
        <w:ind w:firstLine="720"/>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color w:val="333333"/>
          <w:sz w:val="32"/>
          <w:szCs w:val="32"/>
        </w:rPr>
        <w:t>2021年政府性基金预算收入0万元，政府性基金预算支出0 万元，与2020年一致。2021年无使用政府性基金预算拨款安排的支出。</w:t>
      </w:r>
    </w:p>
    <w:p>
      <w:pPr>
        <w:pStyle w:val="2"/>
        <w:shd w:val="clear" w:color="auto" w:fill="FFFFFF"/>
        <w:spacing w:before="0" w:beforeAutospacing="0" w:after="0" w:afterAutospacing="0" w:line="670" w:lineRule="atLeast"/>
        <w:ind w:left="720"/>
        <w:rPr>
          <w:rFonts w:hint="default" w:ascii="Times New Roman" w:hAnsi="Times New Roman" w:eastAsia="寰蒋闆呴粦" w:cs="Times New Roman"/>
          <w:color w:val="333333"/>
          <w:sz w:val="32"/>
          <w:szCs w:val="32"/>
        </w:rPr>
      </w:pPr>
      <w:r>
        <w:rPr>
          <w:rFonts w:hint="default" w:ascii="Times New Roman" w:hAnsi="Times New Roman" w:eastAsia="方正黑体_GBK" w:cs="Times New Roman"/>
          <w:color w:val="333333"/>
          <w:sz w:val="32"/>
          <w:szCs w:val="32"/>
        </w:rPr>
        <w:t>四、“三公”经费情况说明</w:t>
      </w:r>
    </w:p>
    <w:p>
      <w:pPr>
        <w:pStyle w:val="2"/>
        <w:shd w:val="clear" w:color="auto" w:fill="FFFFFF"/>
        <w:spacing w:before="0" w:beforeAutospacing="0" w:after="0" w:afterAutospacing="0" w:line="670" w:lineRule="atLeast"/>
        <w:ind w:firstLine="720"/>
        <w:rPr>
          <w:rFonts w:hint="default" w:ascii="Times New Roman" w:hAnsi="Times New Roman" w:eastAsia="方正仿宋_GBK" w:cs="Times New Roman"/>
          <w:color w:val="333333"/>
          <w:sz w:val="32"/>
          <w:szCs w:val="32"/>
        </w:rPr>
      </w:pPr>
      <w:r>
        <w:rPr>
          <w:rFonts w:hint="default" w:ascii="Times New Roman" w:hAnsi="Times New Roman" w:eastAsia="方正仿宋_GBK" w:cs="Times New Roman"/>
          <w:color w:val="333333"/>
          <w:sz w:val="32"/>
          <w:szCs w:val="32"/>
        </w:rPr>
        <w:t>2021年“三公”经费预算28万元。其中：因公出国（境）费用0万元；公务接待费6万元；公务用车运行维护费22万元；公务用车购置费0万元。</w:t>
      </w:r>
    </w:p>
    <w:p>
      <w:pPr>
        <w:pStyle w:val="2"/>
        <w:shd w:val="clear" w:color="auto" w:fill="FFFFFF"/>
        <w:spacing w:before="0" w:beforeAutospacing="0" w:after="0" w:afterAutospacing="0" w:line="670" w:lineRule="atLeast"/>
        <w:ind w:left="720"/>
        <w:rPr>
          <w:rFonts w:hint="default" w:ascii="Times New Roman" w:hAnsi="Times New Roman" w:eastAsia="寰蒋闆呴粦" w:cs="Times New Roman"/>
          <w:color w:val="333333"/>
          <w:sz w:val="32"/>
          <w:szCs w:val="32"/>
        </w:rPr>
      </w:pPr>
      <w:r>
        <w:rPr>
          <w:rFonts w:hint="default" w:ascii="Times New Roman" w:hAnsi="Times New Roman" w:eastAsia="方正黑体_GBK" w:cs="Times New Roman"/>
          <w:color w:val="333333"/>
          <w:sz w:val="32"/>
          <w:szCs w:val="32"/>
        </w:rPr>
        <w:t>五、其他重要事项的情况说明</w:t>
      </w:r>
    </w:p>
    <w:p>
      <w:pPr>
        <w:pStyle w:val="2"/>
        <w:shd w:val="clear" w:color="auto" w:fill="FFFFFF"/>
        <w:spacing w:before="0" w:beforeAutospacing="0" w:after="0" w:afterAutospacing="0" w:line="670" w:lineRule="atLeast"/>
        <w:ind w:firstLine="720"/>
        <w:rPr>
          <w:rFonts w:hint="default" w:ascii="Times New Roman" w:hAnsi="Times New Roman" w:eastAsia="方正仿宋_GBK" w:cs="Times New Roman"/>
          <w:color w:val="333333"/>
          <w:sz w:val="32"/>
          <w:szCs w:val="32"/>
        </w:rPr>
      </w:pPr>
      <w:r>
        <w:rPr>
          <w:rFonts w:hint="default" w:ascii="Times New Roman" w:hAnsi="Times New Roman" w:eastAsia="方正楷体_GBK" w:cs="Times New Roman"/>
          <w:color w:val="333333"/>
          <w:sz w:val="32"/>
          <w:szCs w:val="32"/>
        </w:rPr>
        <w:t>（一）机关运行经费。</w:t>
      </w:r>
      <w:r>
        <w:rPr>
          <w:rFonts w:hint="default" w:ascii="Times New Roman" w:hAnsi="Times New Roman" w:eastAsia="方正仿宋_GBK" w:cs="Times New Roman"/>
          <w:color w:val="333333"/>
          <w:sz w:val="32"/>
          <w:szCs w:val="32"/>
        </w:rPr>
        <w:t>2021年一般公共预算财政拨款运行经费270.67万元，比上年减少11.38万元。主要用于办公费、印刷费、邮电费、水电费、物管费、差旅费、会议费、培训费及其他商品和服务支出等。</w:t>
      </w:r>
    </w:p>
    <w:p>
      <w:pPr>
        <w:pStyle w:val="2"/>
        <w:shd w:val="clear" w:color="auto" w:fill="FFFFFF"/>
        <w:spacing w:before="0" w:beforeAutospacing="0" w:after="0" w:afterAutospacing="0" w:line="670" w:lineRule="atLeast"/>
        <w:ind w:firstLine="720"/>
        <w:rPr>
          <w:rFonts w:hint="default" w:ascii="Times New Roman" w:hAnsi="Times New Roman" w:eastAsia="方正仿宋_GBK" w:cs="Times New Roman"/>
          <w:color w:val="333333"/>
          <w:sz w:val="32"/>
          <w:szCs w:val="32"/>
        </w:rPr>
      </w:pPr>
      <w:r>
        <w:rPr>
          <w:rFonts w:hint="default" w:ascii="Times New Roman" w:hAnsi="Times New Roman" w:eastAsia="方正楷体_GBK" w:cs="Times New Roman"/>
          <w:color w:val="333333"/>
          <w:sz w:val="32"/>
          <w:szCs w:val="32"/>
        </w:rPr>
        <w:t>（二）政府采购情况。</w:t>
      </w:r>
      <w:r>
        <w:rPr>
          <w:rFonts w:hint="default" w:ascii="Times New Roman" w:hAnsi="Times New Roman" w:eastAsia="方正仿宋_GBK" w:cs="Times New Roman"/>
          <w:color w:val="333333"/>
          <w:sz w:val="32"/>
          <w:szCs w:val="32"/>
        </w:rPr>
        <w:t>所属各预算单位政府采购预算总额0万元：政府采购货物预算0万元、政府采购工程预算0万元、政府采购服务预算0万元；其中一般公共预</w:t>
      </w:r>
      <w:r>
        <w:rPr>
          <w:rFonts w:hint="default" w:ascii="Times New Roman" w:hAnsi="Times New Roman" w:eastAsia="方正仿宋_GBK" w:cs="Times New Roman"/>
          <w:color w:val="333333"/>
          <w:sz w:val="32"/>
          <w:szCs w:val="32"/>
          <w:highlight w:val="none"/>
        </w:rPr>
        <w:t>算拨款政府采购</w:t>
      </w:r>
      <w:r>
        <w:rPr>
          <w:rFonts w:hint="eastAsia" w:ascii="Times New Roman" w:hAnsi="Times New Roman" w:eastAsia="方正仿宋_GBK" w:cs="Times New Roman"/>
          <w:color w:val="333333"/>
          <w:sz w:val="32"/>
          <w:szCs w:val="32"/>
          <w:highlight w:val="none"/>
          <w:lang w:val="en-US" w:eastAsia="zh-CN"/>
        </w:rPr>
        <w:t>0</w:t>
      </w:r>
      <w:r>
        <w:rPr>
          <w:rFonts w:hint="default" w:ascii="Times New Roman" w:hAnsi="Times New Roman" w:eastAsia="方正仿宋_GBK" w:cs="Times New Roman"/>
          <w:color w:val="333333"/>
          <w:sz w:val="32"/>
          <w:szCs w:val="32"/>
          <w:highlight w:val="none"/>
        </w:rPr>
        <w:t>万元</w:t>
      </w:r>
      <w:r>
        <w:rPr>
          <w:rFonts w:hint="eastAsia" w:ascii="Times New Roman" w:hAnsi="Times New Roman" w:eastAsia="方正仿宋_GBK" w:cs="Times New Roman"/>
          <w:color w:val="333333"/>
          <w:sz w:val="32"/>
          <w:szCs w:val="32"/>
          <w:highlight w:val="none"/>
          <w:lang w:eastAsia="zh-CN"/>
        </w:rPr>
        <w:t>：</w:t>
      </w:r>
      <w:r>
        <w:rPr>
          <w:rFonts w:hint="default" w:ascii="Times New Roman" w:hAnsi="Times New Roman" w:eastAsia="方正仿宋_GBK" w:cs="Times New Roman"/>
          <w:color w:val="333333"/>
          <w:sz w:val="32"/>
          <w:szCs w:val="32"/>
          <w:highlight w:val="none"/>
        </w:rPr>
        <w:t>政</w:t>
      </w:r>
      <w:r>
        <w:rPr>
          <w:rFonts w:hint="default" w:ascii="Times New Roman" w:hAnsi="Times New Roman" w:eastAsia="方正仿宋_GBK" w:cs="Times New Roman"/>
          <w:color w:val="333333"/>
          <w:sz w:val="32"/>
          <w:szCs w:val="32"/>
        </w:rPr>
        <w:t>府采购货物预算0万元、政府采购工程预算0万元、政府采购服务预算0万元。</w:t>
      </w:r>
    </w:p>
    <w:p>
      <w:pPr>
        <w:pStyle w:val="2"/>
        <w:shd w:val="clear" w:color="auto" w:fill="FFFFFF"/>
        <w:spacing w:before="0" w:beforeAutospacing="0" w:after="0" w:afterAutospacing="0" w:line="670" w:lineRule="atLeast"/>
        <w:ind w:firstLine="720"/>
        <w:rPr>
          <w:rFonts w:hint="default" w:ascii="Times New Roman" w:hAnsi="Times New Roman" w:eastAsia="方正仿宋_GBK" w:cs="Times New Roman"/>
          <w:color w:val="333333"/>
          <w:sz w:val="32"/>
          <w:szCs w:val="32"/>
        </w:rPr>
      </w:pPr>
      <w:r>
        <w:rPr>
          <w:rFonts w:hint="default" w:ascii="Times New Roman" w:hAnsi="Times New Roman" w:eastAsia="方正楷体_GBK" w:cs="Times New Roman"/>
          <w:color w:val="333333"/>
          <w:sz w:val="32"/>
          <w:szCs w:val="32"/>
        </w:rPr>
        <w:t>（三）绩效目标设置情况。</w:t>
      </w:r>
      <w:r>
        <w:rPr>
          <w:rFonts w:hint="default" w:ascii="Times New Roman" w:hAnsi="Times New Roman" w:eastAsia="方正仿宋_GBK" w:cs="Times New Roman"/>
          <w:color w:val="333333"/>
          <w:sz w:val="32"/>
          <w:szCs w:val="32"/>
        </w:rPr>
        <w:t>2021年项目支出均实行了绩效目标管理。</w:t>
      </w:r>
    </w:p>
    <w:p>
      <w:pPr>
        <w:pStyle w:val="2"/>
        <w:shd w:val="clear" w:color="auto" w:fill="FFFFFF"/>
        <w:spacing w:before="0" w:beforeAutospacing="0" w:after="0" w:afterAutospacing="0" w:line="670" w:lineRule="atLeast"/>
        <w:ind w:firstLine="720"/>
        <w:rPr>
          <w:rFonts w:hint="default" w:ascii="Times New Roman" w:hAnsi="Times New Roman" w:eastAsia="方正仿宋_GBK" w:cs="Times New Roman"/>
          <w:color w:val="333333"/>
          <w:sz w:val="32"/>
          <w:szCs w:val="32"/>
        </w:rPr>
      </w:pPr>
      <w:r>
        <w:rPr>
          <w:rFonts w:hint="default" w:ascii="Times New Roman" w:hAnsi="Times New Roman" w:eastAsia="方正楷体_GBK" w:cs="Times New Roman"/>
          <w:color w:val="333333"/>
          <w:sz w:val="32"/>
          <w:szCs w:val="32"/>
        </w:rPr>
        <w:t>（四）国有资产占有使用情况。</w:t>
      </w:r>
      <w:r>
        <w:rPr>
          <w:rFonts w:hint="default" w:ascii="Times New Roman" w:hAnsi="Times New Roman" w:eastAsia="方正仿宋_GBK" w:cs="Times New Roman"/>
          <w:color w:val="333333"/>
          <w:sz w:val="32"/>
          <w:szCs w:val="32"/>
        </w:rPr>
        <w:t>截止2020年12月，所属各预算单位共有车辆5辆，其中一般公务用车1辆、执勤执法用车1辆、特种专业技术用车3辆，分别为垃圾车2辆、消防车1辆。2021年一般公共预算安排购置车辆0辆。</w:t>
      </w:r>
    </w:p>
    <w:p>
      <w:pPr>
        <w:pStyle w:val="2"/>
        <w:shd w:val="clear" w:color="auto" w:fill="FFFFFF"/>
        <w:spacing w:before="0" w:beforeAutospacing="0" w:after="0" w:afterAutospacing="0" w:line="670" w:lineRule="atLeast"/>
        <w:ind w:left="720"/>
        <w:rPr>
          <w:rFonts w:hint="default" w:ascii="Times New Roman" w:hAnsi="Times New Roman" w:eastAsia="寰蒋闆呴粦" w:cs="Times New Roman"/>
          <w:color w:val="333333"/>
          <w:sz w:val="32"/>
          <w:szCs w:val="32"/>
        </w:rPr>
      </w:pPr>
      <w:r>
        <w:rPr>
          <w:rFonts w:hint="default" w:ascii="Times New Roman" w:hAnsi="Times New Roman" w:eastAsia="方正黑体_GBK" w:cs="Times New Roman"/>
          <w:color w:val="333333"/>
          <w:sz w:val="32"/>
          <w:szCs w:val="32"/>
        </w:rPr>
        <w:t>六、专业性名词解释</w:t>
      </w:r>
    </w:p>
    <w:p>
      <w:pPr>
        <w:pStyle w:val="2"/>
        <w:shd w:val="clear" w:color="auto" w:fill="FFFFFF"/>
        <w:spacing w:before="0" w:beforeAutospacing="0" w:after="0" w:afterAutospacing="0" w:line="670" w:lineRule="atLeast"/>
        <w:ind w:firstLine="720"/>
        <w:rPr>
          <w:rFonts w:hint="default" w:ascii="Times New Roman" w:hAnsi="Times New Roman" w:eastAsia="方正仿宋_GBK" w:cs="Times New Roman"/>
          <w:color w:val="333333"/>
          <w:sz w:val="32"/>
          <w:szCs w:val="32"/>
        </w:rPr>
      </w:pPr>
      <w:r>
        <w:rPr>
          <w:rFonts w:hint="default" w:ascii="Times New Roman" w:hAnsi="Times New Roman" w:eastAsia="方正楷体_GBK" w:cs="Times New Roman"/>
          <w:color w:val="333333"/>
          <w:sz w:val="32"/>
          <w:szCs w:val="32"/>
        </w:rPr>
        <w:t>（一）财政拨款收入</w:t>
      </w:r>
      <w:r>
        <w:rPr>
          <w:rFonts w:hint="default" w:ascii="Times New Roman" w:hAnsi="Times New Roman" w:eastAsia="方正仿宋_GBK" w:cs="Times New Roman"/>
          <w:color w:val="333333"/>
          <w:sz w:val="32"/>
          <w:szCs w:val="32"/>
        </w:rPr>
        <w:t>：指本年度从本级财政部门取得的财政拨款，包括一般公共预算财政拨款和政府性基金预算财政拨款。</w:t>
      </w:r>
    </w:p>
    <w:p>
      <w:pPr>
        <w:pStyle w:val="2"/>
        <w:shd w:val="clear" w:color="auto" w:fill="FFFFFF"/>
        <w:spacing w:before="0" w:beforeAutospacing="0" w:after="0" w:afterAutospacing="0" w:line="670" w:lineRule="atLeast"/>
        <w:ind w:firstLine="720"/>
        <w:rPr>
          <w:rFonts w:hint="default" w:ascii="Times New Roman" w:hAnsi="Times New Roman" w:eastAsia="方正仿宋_GBK" w:cs="Times New Roman"/>
          <w:color w:val="333333"/>
          <w:sz w:val="32"/>
          <w:szCs w:val="32"/>
        </w:rPr>
      </w:pPr>
      <w:r>
        <w:rPr>
          <w:rFonts w:hint="default" w:ascii="Times New Roman" w:hAnsi="Times New Roman" w:eastAsia="方正楷体_GBK" w:cs="Times New Roman"/>
          <w:color w:val="333333"/>
          <w:sz w:val="32"/>
          <w:szCs w:val="32"/>
        </w:rPr>
        <w:t>（二）其他收入</w:t>
      </w:r>
      <w:r>
        <w:rPr>
          <w:rFonts w:hint="default" w:ascii="Times New Roman" w:hAnsi="Times New Roman" w:eastAsia="方正仿宋_GBK" w:cs="Times New Roman"/>
          <w:color w:val="333333"/>
          <w:sz w:val="32"/>
          <w:szCs w:val="32"/>
        </w:rPr>
        <w:t>：指单位取得的除“财政拨款收入”、“事业收入”、“经营收入”等以外的收入。</w:t>
      </w:r>
    </w:p>
    <w:p>
      <w:pPr>
        <w:pStyle w:val="2"/>
        <w:shd w:val="clear" w:color="auto" w:fill="FFFFFF"/>
        <w:spacing w:before="0" w:beforeAutospacing="0" w:after="0" w:afterAutospacing="0" w:line="670" w:lineRule="atLeast"/>
        <w:ind w:firstLine="720"/>
        <w:rPr>
          <w:rFonts w:hint="default" w:ascii="Times New Roman" w:hAnsi="Times New Roman" w:eastAsia="方正仿宋_GBK" w:cs="Times New Roman"/>
          <w:color w:val="333333"/>
          <w:sz w:val="32"/>
          <w:szCs w:val="32"/>
        </w:rPr>
      </w:pPr>
      <w:r>
        <w:rPr>
          <w:rFonts w:hint="default" w:ascii="Times New Roman" w:hAnsi="Times New Roman" w:eastAsia="方正楷体_GBK" w:cs="Times New Roman"/>
          <w:color w:val="333333"/>
          <w:sz w:val="32"/>
          <w:szCs w:val="32"/>
        </w:rPr>
        <w:t>（三）基本支出</w:t>
      </w:r>
      <w:r>
        <w:rPr>
          <w:rFonts w:hint="default" w:ascii="Times New Roman" w:hAnsi="Times New Roman" w:eastAsia="方正仿宋_GBK" w:cs="Times New Roman"/>
          <w:color w:val="333333"/>
          <w:sz w:val="32"/>
          <w:szCs w:val="32"/>
        </w:rPr>
        <w:t>：指为保障机构正常运转、完成日常工作任务而发生的人员经费和公用经费。</w:t>
      </w:r>
    </w:p>
    <w:p>
      <w:pPr>
        <w:pStyle w:val="2"/>
        <w:shd w:val="clear" w:color="auto" w:fill="FFFFFF"/>
        <w:spacing w:before="0" w:beforeAutospacing="0" w:after="0" w:afterAutospacing="0" w:line="670" w:lineRule="atLeast"/>
        <w:ind w:firstLine="720"/>
        <w:rPr>
          <w:rFonts w:hint="default" w:ascii="Times New Roman" w:hAnsi="Times New Roman" w:eastAsia="方正仿宋_GBK" w:cs="Times New Roman"/>
          <w:color w:val="333333"/>
          <w:sz w:val="32"/>
          <w:szCs w:val="32"/>
        </w:rPr>
      </w:pPr>
      <w:r>
        <w:rPr>
          <w:rFonts w:hint="default" w:ascii="Times New Roman" w:hAnsi="Times New Roman" w:eastAsia="方正楷体_GBK" w:cs="Times New Roman"/>
          <w:color w:val="333333"/>
          <w:sz w:val="32"/>
          <w:szCs w:val="32"/>
        </w:rPr>
        <w:t>（四）项目支出</w:t>
      </w:r>
      <w:r>
        <w:rPr>
          <w:rFonts w:hint="default" w:ascii="Times New Roman" w:hAnsi="Times New Roman" w:eastAsia="方正仿宋_GBK" w:cs="Times New Roman"/>
          <w:color w:val="333333"/>
          <w:sz w:val="32"/>
          <w:szCs w:val="32"/>
        </w:rPr>
        <w:t>：指在基本支出之外为完成特定行政任务和事业发展目标所发生的支出。</w:t>
      </w:r>
    </w:p>
    <w:p>
      <w:pPr>
        <w:pStyle w:val="2"/>
        <w:shd w:val="clear" w:color="auto" w:fill="FFFFFF"/>
        <w:spacing w:before="0" w:beforeAutospacing="0" w:after="0" w:afterAutospacing="0" w:line="670" w:lineRule="atLeast"/>
        <w:ind w:firstLine="720"/>
        <w:rPr>
          <w:rFonts w:hint="default" w:ascii="Times New Roman" w:hAnsi="Times New Roman" w:eastAsia="方正仿宋_GBK" w:cs="Times New Roman"/>
          <w:color w:val="333333"/>
          <w:sz w:val="32"/>
          <w:szCs w:val="32"/>
        </w:rPr>
      </w:pPr>
      <w:r>
        <w:rPr>
          <w:rFonts w:hint="default" w:ascii="Times New Roman" w:hAnsi="Times New Roman" w:eastAsia="方正楷体_GBK" w:cs="Times New Roman"/>
          <w:color w:val="333333"/>
          <w:sz w:val="32"/>
          <w:szCs w:val="32"/>
        </w:rPr>
        <w:t>（五）“三公”经费</w:t>
      </w:r>
      <w:r>
        <w:rPr>
          <w:rFonts w:hint="default" w:ascii="Times New Roman" w:hAnsi="Times New Roman" w:eastAsia="方正仿宋_GBK" w:cs="Times New Roman"/>
          <w:color w:val="333333"/>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2"/>
        <w:shd w:val="clear" w:color="auto" w:fill="FFFFFF"/>
        <w:spacing w:before="0" w:beforeAutospacing="0" w:after="0" w:afterAutospacing="0" w:line="670" w:lineRule="atLeast"/>
        <w:ind w:firstLine="720"/>
        <w:rPr>
          <w:rFonts w:hint="default" w:ascii="Times New Roman" w:hAnsi="Times New Roman" w:eastAsia="方正仿宋_GBK" w:cs="Times New Roman"/>
          <w:b/>
          <w:bCs/>
          <w:color w:val="333333"/>
          <w:sz w:val="32"/>
          <w:szCs w:val="32"/>
        </w:rPr>
      </w:pPr>
      <w:r>
        <w:rPr>
          <w:rFonts w:hint="default" w:ascii="Times New Roman" w:hAnsi="Times New Roman" w:eastAsia="方正仿宋_GBK" w:cs="Times New Roman"/>
          <w:b/>
          <w:bCs/>
          <w:color w:val="333333"/>
          <w:sz w:val="32"/>
          <w:szCs w:val="32"/>
        </w:rPr>
        <w:t>七、预算公开联系方式及信息反馈渠道。</w:t>
      </w:r>
    </w:p>
    <w:p>
      <w:pPr>
        <w:pStyle w:val="2"/>
        <w:shd w:val="clear" w:color="auto" w:fill="FFFFFF"/>
        <w:spacing w:before="0" w:beforeAutospacing="0" w:after="0" w:afterAutospacing="0" w:line="670" w:lineRule="atLeast"/>
        <w:ind w:firstLine="720"/>
        <w:rPr>
          <w:rFonts w:hint="default" w:ascii="Times New Roman" w:hAnsi="Times New Roman" w:eastAsia="方正仿宋_GBK" w:cs="Times New Roman"/>
          <w:b/>
          <w:bCs/>
          <w:color w:val="333333"/>
          <w:sz w:val="32"/>
          <w:szCs w:val="32"/>
        </w:rPr>
      </w:pPr>
      <w:r>
        <w:rPr>
          <w:rFonts w:hint="default" w:ascii="Times New Roman" w:hAnsi="Times New Roman" w:eastAsia="方正仿宋_GBK" w:cs="Times New Roman"/>
          <w:b/>
          <w:bCs/>
          <w:color w:val="333333"/>
          <w:sz w:val="32"/>
          <w:szCs w:val="32"/>
        </w:rPr>
        <w:t>部门预算公开联系人：蒋佳余， 联系方式：02345852110</w:t>
      </w:r>
    </w:p>
    <w:p>
      <w:pPr>
        <w:pStyle w:val="2"/>
        <w:shd w:val="clear" w:color="auto" w:fill="FFFFFF"/>
        <w:spacing w:before="0" w:beforeAutospacing="0" w:after="0" w:afterAutospacing="0" w:line="670" w:lineRule="atLeast"/>
        <w:ind w:firstLine="720"/>
        <w:rPr>
          <w:rFonts w:hint="default" w:ascii="Times New Roman" w:hAnsi="Times New Roman" w:eastAsia="方正仿宋_GBK" w:cs="Times New Roman"/>
          <w:color w:val="333333"/>
          <w:sz w:val="35"/>
          <w:szCs w:val="35"/>
          <w:lang w:val="en-US" w:eastAsia="zh-CN"/>
        </w:rPr>
      </w:pPr>
      <w:r>
        <w:rPr>
          <w:rFonts w:hint="eastAsia" w:ascii="Times New Roman" w:hAnsi="Times New Roman" w:eastAsia="方正仿宋_GBK" w:cs="Times New Roman"/>
          <w:color w:val="333333"/>
          <w:sz w:val="32"/>
          <w:szCs w:val="32"/>
          <w:lang w:val="en-US" w:eastAsia="zh-CN"/>
        </w:rPr>
        <w:t>附件：重庆市铜梁区白羊镇人民政府2021年部门预算公开报表</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寰蒋闆呴粦">
    <w:altName w:val="汉仪仿宋S"/>
    <w:panose1 w:val="00000000000000000000"/>
    <w:charset w:val="86"/>
    <w:family w:val="auto"/>
    <w:pitch w:val="default"/>
    <w:sig w:usb0="00000000" w:usb1="00000000" w:usb2="0000001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oto Sans CJK JP Bold">
    <w:panose1 w:val="020B0800000000000000"/>
    <w:charset w:val="86"/>
    <w:family w:val="auto"/>
    <w:pitch w:val="default"/>
    <w:sig w:usb0="30000003" w:usb1="2BDF3C10" w:usb2="00000016" w:usb3="00000000" w:csb0="602E0107" w:csb1="00000000"/>
  </w:font>
  <w:font w:name="DejaVu Sans">
    <w:panose1 w:val="020B0603030804020204"/>
    <w:charset w:val="00"/>
    <w:family w:val="auto"/>
    <w:pitch w:val="default"/>
    <w:sig w:usb0="E7006EFF" w:usb1="D200FDFF" w:usb2="0A246029" w:usb3="0400200C" w:csb0="600001FF" w:csb1="DFFF0000"/>
  </w:font>
  <w:font w:name="汉仪仿宋S">
    <w:panose1 w:val="00020600040101000101"/>
    <w:charset w:val="86"/>
    <w:family w:val="auto"/>
    <w:pitch w:val="default"/>
    <w:sig w:usb0="A00002BF" w:usb1="38CF7CFA" w:usb2="00000016" w:usb3="00000000" w:csb0="0004009F" w:csb1="00000000"/>
  </w:font>
  <w:font w:name="方正魏碑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YzgxNDY4YjQ4MTBjOTMzMzI4MDczMDEzMWQ2OWUxZDQifQ=="/>
  </w:docVars>
  <w:rsids>
    <w:rsidRoot w:val="00927FB3"/>
    <w:rsid w:val="000609F8"/>
    <w:rsid w:val="000A5576"/>
    <w:rsid w:val="000C65D0"/>
    <w:rsid w:val="00114BF3"/>
    <w:rsid w:val="001A0EF9"/>
    <w:rsid w:val="00200DB7"/>
    <w:rsid w:val="002450C3"/>
    <w:rsid w:val="00273E0B"/>
    <w:rsid w:val="00280AFE"/>
    <w:rsid w:val="002E009A"/>
    <w:rsid w:val="00324717"/>
    <w:rsid w:val="00327541"/>
    <w:rsid w:val="0033290F"/>
    <w:rsid w:val="003365FE"/>
    <w:rsid w:val="00391CBB"/>
    <w:rsid w:val="003B75C7"/>
    <w:rsid w:val="0044045B"/>
    <w:rsid w:val="004548A8"/>
    <w:rsid w:val="004A0288"/>
    <w:rsid w:val="004C479A"/>
    <w:rsid w:val="00554483"/>
    <w:rsid w:val="00593DC7"/>
    <w:rsid w:val="00594D2A"/>
    <w:rsid w:val="005A4041"/>
    <w:rsid w:val="00687247"/>
    <w:rsid w:val="006D05DB"/>
    <w:rsid w:val="006D72A7"/>
    <w:rsid w:val="007A66B0"/>
    <w:rsid w:val="007C0937"/>
    <w:rsid w:val="007C1FF1"/>
    <w:rsid w:val="007C7048"/>
    <w:rsid w:val="007D64E0"/>
    <w:rsid w:val="00805745"/>
    <w:rsid w:val="008D7723"/>
    <w:rsid w:val="008E3A8C"/>
    <w:rsid w:val="009245E1"/>
    <w:rsid w:val="00927FB3"/>
    <w:rsid w:val="009A05AF"/>
    <w:rsid w:val="009B6F26"/>
    <w:rsid w:val="00A23A35"/>
    <w:rsid w:val="00A64B57"/>
    <w:rsid w:val="00A730FA"/>
    <w:rsid w:val="00A969EF"/>
    <w:rsid w:val="00B033C8"/>
    <w:rsid w:val="00B14509"/>
    <w:rsid w:val="00B6561D"/>
    <w:rsid w:val="00BA158A"/>
    <w:rsid w:val="00C16DC4"/>
    <w:rsid w:val="00C63B0E"/>
    <w:rsid w:val="00CD27CB"/>
    <w:rsid w:val="00CE40C0"/>
    <w:rsid w:val="00D55931"/>
    <w:rsid w:val="00D65B3E"/>
    <w:rsid w:val="00DC1ACE"/>
    <w:rsid w:val="00DF7D6C"/>
    <w:rsid w:val="00E10E42"/>
    <w:rsid w:val="00E15626"/>
    <w:rsid w:val="00E22958"/>
    <w:rsid w:val="00E2490B"/>
    <w:rsid w:val="00E51343"/>
    <w:rsid w:val="00E55B79"/>
    <w:rsid w:val="00EC32E5"/>
    <w:rsid w:val="00EF0C4D"/>
    <w:rsid w:val="00F02AD5"/>
    <w:rsid w:val="00F74C59"/>
    <w:rsid w:val="00F857F1"/>
    <w:rsid w:val="00FA5899"/>
    <w:rsid w:val="00FC473F"/>
    <w:rsid w:val="00FF342C"/>
    <w:rsid w:val="09322AD0"/>
    <w:rsid w:val="1D89663B"/>
    <w:rsid w:val="2C291503"/>
    <w:rsid w:val="3057125D"/>
    <w:rsid w:val="462B3DAD"/>
    <w:rsid w:val="57BF073C"/>
    <w:rsid w:val="59B95275"/>
    <w:rsid w:val="E3D6440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unhideWhenUsed/>
    <w:qFormat/>
    <w:uiPriority w:val="1"/>
  </w:style>
  <w:style w:type="table" w:default="1" w:styleId="3">
    <w:name w:val="Normal Table"/>
    <w:unhideWhenUsed/>
    <w:qFormat/>
    <w:uiPriority w:val="99"/>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1684</Words>
  <Characters>1846</Characters>
  <Lines>13</Lines>
  <Paragraphs>3</Paragraphs>
  <TotalTime>2</TotalTime>
  <ScaleCrop>false</ScaleCrop>
  <LinksUpToDate>false</LinksUpToDate>
  <CharactersWithSpaces>1847</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2022-09-01T16:23:00Z</dcterms:created>
  <dc:creator>01</dc:creator>
  <cp:lastModifiedBy>tlww</cp:lastModifiedBy>
  <dcterms:modified xsi:type="dcterms:W3CDTF">2022-09-01T17:43:12Z</dcterms:modified>
  <dc:title>重庆市铜梁区白羊镇人民政府2021年预算情况说明</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D3F4B76DE6674AFC99A2E9B25CD1178D</vt:lpwstr>
  </property>
</Properties>
</file>