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333333"/>
          <w:sz w:val="50"/>
          <w:szCs w:val="50"/>
          <w:shd w:val="clear" w:color="auto" w:fill="FFFFFF"/>
        </w:rPr>
      </w:pPr>
      <w:r>
        <w:rPr>
          <w:rFonts w:hint="eastAsia" w:ascii="方正小标宋_GBK" w:hAnsi="方正小标宋_GBK" w:eastAsia="方正小标宋_GBK" w:cs="方正小标宋_GBK"/>
          <w:color w:val="333333"/>
          <w:sz w:val="50"/>
          <w:szCs w:val="50"/>
          <w:shd w:val="clear" w:color="auto" w:fill="FFFFFF"/>
        </w:rPr>
        <w:t>重庆市铜梁区白羊镇人民政府2021年预算情况说明</w:t>
      </w:r>
    </w:p>
    <w:p>
      <w:pPr>
        <w:jc w:val="center"/>
        <w:rPr>
          <w:rFonts w:hint="default" w:ascii="Times New Roman" w:hAnsi="Times New Roman" w:eastAsia="寰蒋闆呴粦" w:cs="Times New Roman"/>
          <w:color w:val="333333"/>
          <w:sz w:val="50"/>
          <w:szCs w:val="50"/>
          <w:shd w:val="clear" w:color="auto" w:fill="FFFFFF"/>
        </w:rPr>
      </w:pPr>
    </w:p>
    <w:p>
      <w:pPr>
        <w:pStyle w:val="2"/>
        <w:shd w:val="clear" w:color="auto" w:fill="FFFFFF"/>
        <w:spacing w:before="0" w:beforeAutospacing="0" w:after="0" w:afterAutospacing="0" w:line="670" w:lineRule="atLeast"/>
        <w:ind w:left="720"/>
        <w:rPr>
          <w:rFonts w:hint="default" w:ascii="Times New Roman" w:hAnsi="Times New Roman" w:eastAsia="寰蒋闆呴粦" w:cs="Times New Roman"/>
          <w:color w:val="333333"/>
          <w:sz w:val="32"/>
          <w:szCs w:val="32"/>
        </w:rPr>
      </w:pPr>
      <w:r>
        <w:rPr>
          <w:rFonts w:hint="default" w:ascii="Times New Roman" w:hAnsi="Times New Roman" w:eastAsia="方正黑体_GBK" w:cs="Times New Roman"/>
          <w:color w:val="333333"/>
          <w:sz w:val="32"/>
          <w:szCs w:val="32"/>
        </w:rPr>
        <w:t>一、单位基本情况</w:t>
      </w:r>
    </w:p>
    <w:p>
      <w:pPr>
        <w:pStyle w:val="2"/>
        <w:shd w:val="clear" w:color="auto" w:fill="FFFFFF"/>
        <w:spacing w:before="0" w:beforeAutospacing="0" w:after="0" w:afterAutospacing="0" w:line="670" w:lineRule="atLeast"/>
        <w:ind w:firstLine="720"/>
        <w:rPr>
          <w:rFonts w:hint="default" w:ascii="Times New Roman" w:hAnsi="Times New Roman" w:eastAsia="寰蒋闆呴粦" w:cs="Times New Roman"/>
          <w:color w:val="333333"/>
          <w:sz w:val="32"/>
          <w:szCs w:val="32"/>
        </w:rPr>
      </w:pPr>
      <w:r>
        <w:rPr>
          <w:rFonts w:hint="default" w:ascii="Times New Roman" w:hAnsi="Times New Roman" w:eastAsia="方正楷体_GBK" w:cs="Times New Roman"/>
          <w:color w:val="333333"/>
          <w:sz w:val="32"/>
          <w:szCs w:val="32"/>
        </w:rPr>
        <w:t>（一）职能职责</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1.执行本</w:t>
      </w:r>
      <w:bookmarkStart w:id="0" w:name="_GoBack"/>
      <w:bookmarkEnd w:id="0"/>
      <w:r>
        <w:rPr>
          <w:rFonts w:hint="default" w:ascii="Times New Roman" w:hAnsi="Times New Roman" w:eastAsia="方正仿宋_GBK" w:cs="Times New Roman"/>
          <w:color w:val="333333"/>
          <w:sz w:val="32"/>
          <w:szCs w:val="32"/>
        </w:rPr>
        <w:t>级人民代表大会的决议和上级国家行政机关的决定和命令。</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2.执行本行政区域内的经济和社会发展计划、预算，管理本行政区域内的经济、教育、科学、文化、卫生、体育事业和财政、民政、公安、司法行政、计划生育等行政工作。</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3.保护社会主义的全民所有的财产和劳动群众集体所有的财产，保护公民私人所有的合法财产，维护社会秩序，保障公民的人身权利、民主权利和其他权利。</w:t>
      </w:r>
    </w:p>
    <w:p>
      <w:pPr>
        <w:pStyle w:val="2"/>
        <w:shd w:val="clear" w:color="auto" w:fill="FFFFFF"/>
        <w:spacing w:before="0" w:beforeAutospacing="0" w:after="0" w:afterAutospacing="0" w:line="670" w:lineRule="atLeast"/>
        <w:ind w:left="720"/>
        <w:rPr>
          <w:rFonts w:hint="default" w:ascii="Times New Roman" w:hAnsi="Times New Roman" w:eastAsia="寰蒋闆呴粦" w:cs="Times New Roman"/>
          <w:color w:val="333333"/>
          <w:sz w:val="32"/>
          <w:szCs w:val="32"/>
        </w:rPr>
      </w:pPr>
      <w:r>
        <w:rPr>
          <w:rFonts w:hint="default" w:ascii="Times New Roman" w:hAnsi="Times New Roman" w:eastAsia="方正楷体_GBK" w:cs="Times New Roman"/>
          <w:color w:val="333333"/>
          <w:sz w:val="32"/>
          <w:szCs w:val="32"/>
        </w:rPr>
        <w:t>（二）单位构成</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本镇设置独立编制机构8个，其中行政机构1个</w:t>
      </w:r>
      <w:r>
        <w:rPr>
          <w:rFonts w:hint="eastAsia" w:ascii="Times New Roman" w:hAnsi="Times New Roman" w:eastAsia="方正仿宋_GBK" w:cs="Times New Roman"/>
          <w:color w:val="333333"/>
          <w:sz w:val="32"/>
          <w:szCs w:val="32"/>
          <w:lang w:eastAsia="zh-CN"/>
        </w:rPr>
        <w:t>：</w:t>
      </w:r>
      <w:r>
        <w:rPr>
          <w:rFonts w:hint="default" w:ascii="Times New Roman" w:hAnsi="Times New Roman" w:eastAsia="方正仿宋_GBK" w:cs="Times New Roman"/>
          <w:color w:val="333333"/>
          <w:sz w:val="32"/>
          <w:szCs w:val="32"/>
        </w:rPr>
        <w:t>白羊镇人民政府；事业单位7个</w:t>
      </w:r>
      <w:r>
        <w:rPr>
          <w:rFonts w:hint="eastAsia" w:ascii="Times New Roman" w:hAnsi="Times New Roman" w:eastAsia="方正仿宋_GBK" w:cs="Times New Roman"/>
          <w:color w:val="333333"/>
          <w:sz w:val="32"/>
          <w:szCs w:val="32"/>
          <w:lang w:eastAsia="zh-CN"/>
        </w:rPr>
        <w:t>：</w:t>
      </w:r>
      <w:r>
        <w:rPr>
          <w:rFonts w:hint="default" w:ascii="Times New Roman" w:hAnsi="Times New Roman" w:eastAsia="方正仿宋_GBK" w:cs="Times New Roman"/>
          <w:color w:val="333333"/>
          <w:sz w:val="32"/>
          <w:szCs w:val="32"/>
          <w:lang w:eastAsia="zh-CN"/>
        </w:rPr>
        <w:t>劳动就业和</w:t>
      </w:r>
      <w:r>
        <w:rPr>
          <w:rFonts w:hint="default" w:ascii="Times New Roman" w:hAnsi="Times New Roman" w:eastAsia="方正仿宋_GBK" w:cs="Times New Roman"/>
          <w:color w:val="333333"/>
          <w:sz w:val="32"/>
          <w:szCs w:val="32"/>
        </w:rPr>
        <w:t>社会保障服务所、文化服务中心、农业服务中心、退役军人服务站、综合</w:t>
      </w:r>
      <w:r>
        <w:rPr>
          <w:rFonts w:hint="default" w:ascii="Times New Roman" w:hAnsi="Times New Roman" w:eastAsia="方正仿宋_GBK" w:cs="Times New Roman"/>
          <w:color w:val="333333"/>
          <w:sz w:val="32"/>
          <w:szCs w:val="32"/>
          <w:lang w:eastAsia="zh-CN"/>
        </w:rPr>
        <w:t>行政</w:t>
      </w:r>
      <w:r>
        <w:rPr>
          <w:rFonts w:hint="default" w:ascii="Times New Roman" w:hAnsi="Times New Roman" w:eastAsia="方正仿宋_GBK" w:cs="Times New Roman"/>
          <w:color w:val="333333"/>
          <w:sz w:val="32"/>
          <w:szCs w:val="32"/>
        </w:rPr>
        <w:t>执法大队、乡村产业培育中心、乡村生态治理中心。全镇7个村、103个社，1个社区。</w:t>
      </w:r>
    </w:p>
    <w:p>
      <w:pPr>
        <w:pStyle w:val="2"/>
        <w:shd w:val="clear" w:color="auto" w:fill="FFFFFF"/>
        <w:spacing w:before="0" w:beforeAutospacing="0" w:after="0" w:afterAutospacing="0" w:line="670" w:lineRule="atLeast"/>
        <w:ind w:left="720"/>
        <w:rPr>
          <w:rFonts w:hint="default" w:ascii="Times New Roman" w:hAnsi="Times New Roman" w:eastAsia="寰蒋闆呴粦" w:cs="Times New Roman"/>
          <w:color w:val="333333"/>
          <w:sz w:val="32"/>
          <w:szCs w:val="32"/>
        </w:rPr>
      </w:pPr>
      <w:r>
        <w:rPr>
          <w:rFonts w:hint="default" w:ascii="Times New Roman" w:hAnsi="Times New Roman" w:eastAsia="方正黑体_GBK" w:cs="Times New Roman"/>
          <w:color w:val="333333"/>
          <w:sz w:val="32"/>
          <w:szCs w:val="32"/>
        </w:rPr>
        <w:t>二、部门收支总体情况</w:t>
      </w:r>
    </w:p>
    <w:p>
      <w:pPr>
        <w:pStyle w:val="2"/>
        <w:shd w:val="clear" w:color="auto" w:fill="FFFFFF"/>
        <w:spacing w:before="0" w:beforeAutospacing="0" w:after="0" w:afterAutospacing="0" w:line="670" w:lineRule="atLeast"/>
        <w:ind w:firstLine="720"/>
        <w:rPr>
          <w:rFonts w:hint="default" w:ascii="Times New Roman" w:hAnsi="Times New Roman" w:eastAsia="寰蒋闆呴粦" w:cs="Times New Roman"/>
          <w:color w:val="333333"/>
          <w:sz w:val="32"/>
          <w:szCs w:val="32"/>
        </w:rPr>
      </w:pPr>
      <w:r>
        <w:rPr>
          <w:rFonts w:hint="default" w:ascii="Times New Roman" w:hAnsi="Times New Roman" w:eastAsia="方正楷体_GBK" w:cs="Times New Roman"/>
          <w:color w:val="333333"/>
          <w:sz w:val="32"/>
          <w:szCs w:val="32"/>
        </w:rPr>
        <w:t>（一）收入预算</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2021年年初预算数1807.92万元，其中：一般公共预算拨款1807.92万元，政府性基金预算拨款0万元，国有资本经营预算收入0万元，事业收入0万元，事业单位经营收入0万元。</w:t>
      </w:r>
    </w:p>
    <w:p>
      <w:pPr>
        <w:pStyle w:val="2"/>
        <w:shd w:val="clear" w:color="auto" w:fill="FFFFFF"/>
        <w:spacing w:before="0" w:beforeAutospacing="0" w:after="0" w:afterAutospacing="0" w:line="670" w:lineRule="atLeast"/>
        <w:ind w:firstLine="720"/>
        <w:rPr>
          <w:rFonts w:hint="default" w:ascii="Times New Roman" w:hAnsi="Times New Roman" w:eastAsia="寰蒋闆呴粦" w:cs="Times New Roman"/>
          <w:color w:val="333333"/>
          <w:sz w:val="32"/>
          <w:szCs w:val="32"/>
        </w:rPr>
      </w:pPr>
      <w:r>
        <w:rPr>
          <w:rFonts w:hint="default" w:ascii="Times New Roman" w:hAnsi="Times New Roman" w:eastAsia="方正楷体_GBK" w:cs="Times New Roman"/>
          <w:color w:val="333333"/>
          <w:sz w:val="32"/>
          <w:szCs w:val="32"/>
        </w:rPr>
        <w:t>（二）支出预算</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2021年年初预算数1807.92万元，其中： 一般公共服务支出预算557.2万元；文化体育与传媒支出44.27万元；社会保障和就业支出预算267.36万元；卫生健康支出预算62.83万元；节能环保支出预算168.51万元；城乡社区支出预算56万元；农林水支出预算581.75万元；交通运输支出预算16.95万元；住房保障支出预算53.05万元。</w:t>
      </w:r>
    </w:p>
    <w:p>
      <w:pPr>
        <w:pStyle w:val="2"/>
        <w:shd w:val="clear" w:color="auto" w:fill="FFFFFF"/>
        <w:spacing w:before="0" w:beforeAutospacing="0" w:after="0" w:afterAutospacing="0" w:line="670" w:lineRule="atLeast"/>
        <w:ind w:left="720"/>
        <w:rPr>
          <w:rFonts w:hint="default" w:ascii="Times New Roman" w:hAnsi="Times New Roman" w:eastAsia="寰蒋闆呴粦" w:cs="Times New Roman"/>
          <w:color w:val="333333"/>
          <w:sz w:val="32"/>
          <w:szCs w:val="32"/>
        </w:rPr>
      </w:pPr>
      <w:r>
        <w:rPr>
          <w:rFonts w:hint="default" w:ascii="Times New Roman" w:hAnsi="Times New Roman" w:eastAsia="方正黑体_GBK" w:cs="Times New Roman"/>
          <w:color w:val="333333"/>
          <w:sz w:val="32"/>
          <w:szCs w:val="32"/>
        </w:rPr>
        <w:t>三、部门预算情况说明</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2021年一般公共预算财政拨款收入1807.92万元，一般公共预算财政拨款支出1807.92万元，比2020年增加47.98万元。其中：基本支出1209.69万元，比2020年增加81.69万元，主要原因是新增人员以及工资调整等，主要用于保障本单位在职人员工资福利及社会保险缴费，离休人员离休费，退休人员补助等，保障部门正常运转的各项商品服务支出；项目支出598.24万元，比2020年减少33.72万元，主要原因是部分项目减少。</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2021年政府性基金预算收入0万元，政府性基金预算支出0 万元，与2020年一致。2021年无使用政府性基金预算拨款安排的支出。</w:t>
      </w:r>
    </w:p>
    <w:p>
      <w:pPr>
        <w:pStyle w:val="2"/>
        <w:shd w:val="clear" w:color="auto" w:fill="FFFFFF"/>
        <w:spacing w:before="0" w:beforeAutospacing="0" w:after="0" w:afterAutospacing="0" w:line="670" w:lineRule="atLeast"/>
        <w:ind w:left="720"/>
        <w:rPr>
          <w:rFonts w:hint="default" w:ascii="Times New Roman" w:hAnsi="Times New Roman" w:eastAsia="寰蒋闆呴粦" w:cs="Times New Roman"/>
          <w:color w:val="333333"/>
          <w:sz w:val="32"/>
          <w:szCs w:val="32"/>
        </w:rPr>
      </w:pPr>
      <w:r>
        <w:rPr>
          <w:rFonts w:hint="default" w:ascii="Times New Roman" w:hAnsi="Times New Roman" w:eastAsia="方正黑体_GBK" w:cs="Times New Roman"/>
          <w:color w:val="333333"/>
          <w:sz w:val="32"/>
          <w:szCs w:val="32"/>
        </w:rPr>
        <w:t>四、“三公”经费情况说明</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2021年“三公”经费预算28万元。其中：因公出国（境）费用0万元；公务接待费6万元；公务用车运行维护费22万元；公务用车购置费0万元。</w:t>
      </w:r>
    </w:p>
    <w:p>
      <w:pPr>
        <w:pStyle w:val="2"/>
        <w:shd w:val="clear" w:color="auto" w:fill="FFFFFF"/>
        <w:spacing w:before="0" w:beforeAutospacing="0" w:after="0" w:afterAutospacing="0" w:line="670" w:lineRule="atLeast"/>
        <w:ind w:left="720"/>
        <w:rPr>
          <w:rFonts w:hint="default" w:ascii="Times New Roman" w:hAnsi="Times New Roman" w:eastAsia="寰蒋闆呴粦" w:cs="Times New Roman"/>
          <w:color w:val="333333"/>
          <w:sz w:val="32"/>
          <w:szCs w:val="32"/>
        </w:rPr>
      </w:pPr>
      <w:r>
        <w:rPr>
          <w:rFonts w:hint="default" w:ascii="Times New Roman" w:hAnsi="Times New Roman" w:eastAsia="方正黑体_GBK" w:cs="Times New Roman"/>
          <w:color w:val="333333"/>
          <w:sz w:val="32"/>
          <w:szCs w:val="32"/>
        </w:rPr>
        <w:t>五、其他重要事项的情况说明</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楷体_GBK" w:cs="Times New Roman"/>
          <w:color w:val="333333"/>
          <w:sz w:val="32"/>
          <w:szCs w:val="32"/>
        </w:rPr>
        <w:t>（一）机关运行经费。</w:t>
      </w:r>
      <w:r>
        <w:rPr>
          <w:rFonts w:hint="default" w:ascii="Times New Roman" w:hAnsi="Times New Roman" w:eastAsia="方正仿宋_GBK" w:cs="Times New Roman"/>
          <w:color w:val="333333"/>
          <w:sz w:val="32"/>
          <w:szCs w:val="32"/>
        </w:rPr>
        <w:t>2021年一般公共预算财政拨款运行经费270.67万元，比上年减少11.38万元。主要用于办公费、印刷费、邮电费、水电费、物管费、差旅费、会议费、培训费及其他商品和服务支出等。</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楷体_GBK" w:cs="Times New Roman"/>
          <w:color w:val="333333"/>
          <w:sz w:val="32"/>
          <w:szCs w:val="32"/>
        </w:rPr>
        <w:t>（二）政府采购情况。</w:t>
      </w:r>
      <w:r>
        <w:rPr>
          <w:rFonts w:hint="default" w:ascii="Times New Roman" w:hAnsi="Times New Roman" w:eastAsia="方正仿宋_GBK" w:cs="Times New Roman"/>
          <w:color w:val="333333"/>
          <w:sz w:val="32"/>
          <w:szCs w:val="32"/>
        </w:rPr>
        <w:t>所属各预算单位政府采购预算总额0万元：政府采购货物预算0万元、政府采购工程预算0万元、政府采购服务预算0万元；其中一般公共预</w:t>
      </w:r>
      <w:r>
        <w:rPr>
          <w:rFonts w:hint="default" w:ascii="Times New Roman" w:hAnsi="Times New Roman" w:eastAsia="方正仿宋_GBK" w:cs="Times New Roman"/>
          <w:color w:val="333333"/>
          <w:sz w:val="32"/>
          <w:szCs w:val="32"/>
          <w:highlight w:val="none"/>
        </w:rPr>
        <w:t>算拨款政府采购</w:t>
      </w:r>
      <w:r>
        <w:rPr>
          <w:rFonts w:hint="eastAsia" w:ascii="Times New Roman" w:hAnsi="Times New Roman" w:eastAsia="方正仿宋_GBK" w:cs="Times New Roman"/>
          <w:color w:val="333333"/>
          <w:sz w:val="32"/>
          <w:szCs w:val="32"/>
          <w:highlight w:val="none"/>
          <w:lang w:val="en-US" w:eastAsia="zh-CN"/>
        </w:rPr>
        <w:t>0</w:t>
      </w:r>
      <w:r>
        <w:rPr>
          <w:rFonts w:hint="default" w:ascii="Times New Roman" w:hAnsi="Times New Roman" w:eastAsia="方正仿宋_GBK" w:cs="Times New Roman"/>
          <w:color w:val="333333"/>
          <w:sz w:val="32"/>
          <w:szCs w:val="32"/>
          <w:highlight w:val="none"/>
        </w:rPr>
        <w:t>万元</w:t>
      </w:r>
      <w:r>
        <w:rPr>
          <w:rFonts w:hint="eastAsia" w:ascii="Times New Roman" w:hAnsi="Times New Roman" w:eastAsia="方正仿宋_GBK" w:cs="Times New Roman"/>
          <w:color w:val="333333"/>
          <w:sz w:val="32"/>
          <w:szCs w:val="32"/>
          <w:highlight w:val="none"/>
          <w:lang w:eastAsia="zh-CN"/>
        </w:rPr>
        <w:t>：</w:t>
      </w:r>
      <w:r>
        <w:rPr>
          <w:rFonts w:hint="default" w:ascii="Times New Roman" w:hAnsi="Times New Roman" w:eastAsia="方正仿宋_GBK" w:cs="Times New Roman"/>
          <w:color w:val="333333"/>
          <w:sz w:val="32"/>
          <w:szCs w:val="32"/>
          <w:highlight w:val="none"/>
        </w:rPr>
        <w:t>政</w:t>
      </w:r>
      <w:r>
        <w:rPr>
          <w:rFonts w:hint="default" w:ascii="Times New Roman" w:hAnsi="Times New Roman" w:eastAsia="方正仿宋_GBK" w:cs="Times New Roman"/>
          <w:color w:val="333333"/>
          <w:sz w:val="32"/>
          <w:szCs w:val="32"/>
        </w:rPr>
        <w:t>府采购货物预算0万元、政府采购工程预算0万元、政府采购服务预算0万元。</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楷体_GBK" w:cs="Times New Roman"/>
          <w:color w:val="333333"/>
          <w:sz w:val="32"/>
          <w:szCs w:val="32"/>
        </w:rPr>
        <w:t>（三）绩效目标设置情况。</w:t>
      </w:r>
      <w:r>
        <w:rPr>
          <w:rFonts w:hint="default" w:ascii="Times New Roman" w:hAnsi="Times New Roman" w:eastAsia="方正仿宋_GBK" w:cs="Times New Roman"/>
          <w:color w:val="333333"/>
          <w:sz w:val="32"/>
          <w:szCs w:val="32"/>
        </w:rPr>
        <w:t>2021年项目支出均实行了绩效目标管理。</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楷体_GBK" w:cs="Times New Roman"/>
          <w:color w:val="333333"/>
          <w:sz w:val="32"/>
          <w:szCs w:val="32"/>
        </w:rPr>
        <w:t>（四）国有资产占有使用情况。</w:t>
      </w:r>
      <w:r>
        <w:rPr>
          <w:rFonts w:hint="default" w:ascii="Times New Roman" w:hAnsi="Times New Roman" w:eastAsia="方正仿宋_GBK" w:cs="Times New Roman"/>
          <w:color w:val="333333"/>
          <w:sz w:val="32"/>
          <w:szCs w:val="32"/>
        </w:rPr>
        <w:t>截止2020年12月，所属各预算单位共有车辆5辆，其中一般公务用车1辆、执勤执法用车1辆、特种专业技术用车3辆，分别为垃圾车2辆、消防车1辆。2021年一般公共预算安排购置车辆0辆。</w:t>
      </w:r>
    </w:p>
    <w:p>
      <w:pPr>
        <w:pStyle w:val="2"/>
        <w:shd w:val="clear" w:color="auto" w:fill="FFFFFF"/>
        <w:spacing w:before="0" w:beforeAutospacing="0" w:after="0" w:afterAutospacing="0" w:line="670" w:lineRule="atLeast"/>
        <w:ind w:left="720"/>
        <w:rPr>
          <w:rFonts w:hint="default" w:ascii="Times New Roman" w:hAnsi="Times New Roman" w:eastAsia="寰蒋闆呴粦" w:cs="Times New Roman"/>
          <w:color w:val="333333"/>
          <w:sz w:val="32"/>
          <w:szCs w:val="32"/>
        </w:rPr>
      </w:pPr>
      <w:r>
        <w:rPr>
          <w:rFonts w:hint="default" w:ascii="Times New Roman" w:hAnsi="Times New Roman" w:eastAsia="方正黑体_GBK" w:cs="Times New Roman"/>
          <w:color w:val="333333"/>
          <w:sz w:val="32"/>
          <w:szCs w:val="32"/>
        </w:rPr>
        <w:t>六、专业性名词解释</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楷体_GBK" w:cs="Times New Roman"/>
          <w:color w:val="333333"/>
          <w:sz w:val="32"/>
          <w:szCs w:val="32"/>
        </w:rPr>
        <w:t>（一）财政拨款收入</w:t>
      </w:r>
      <w:r>
        <w:rPr>
          <w:rFonts w:hint="default" w:ascii="Times New Roman" w:hAnsi="Times New Roman" w:eastAsia="方正仿宋_GBK" w:cs="Times New Roman"/>
          <w:color w:val="333333"/>
          <w:sz w:val="32"/>
          <w:szCs w:val="32"/>
        </w:rPr>
        <w:t>：指本年度从本级财政部门取得的财政拨款，包括一般公共预算财政拨款和政府性基金预算财政拨款。</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楷体_GBK" w:cs="Times New Roman"/>
          <w:color w:val="333333"/>
          <w:sz w:val="32"/>
          <w:szCs w:val="32"/>
        </w:rPr>
        <w:t>（二）其他收入</w:t>
      </w:r>
      <w:r>
        <w:rPr>
          <w:rFonts w:hint="default" w:ascii="Times New Roman" w:hAnsi="Times New Roman" w:eastAsia="方正仿宋_GBK" w:cs="Times New Roman"/>
          <w:color w:val="333333"/>
          <w:sz w:val="32"/>
          <w:szCs w:val="32"/>
        </w:rPr>
        <w:t>：指单位取得的除“财政拨款收入”、“事业收入”、“经营收入”等以外的收入。</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楷体_GBK" w:cs="Times New Roman"/>
          <w:color w:val="333333"/>
          <w:sz w:val="32"/>
          <w:szCs w:val="32"/>
        </w:rPr>
        <w:t>（三）基本支出</w:t>
      </w:r>
      <w:r>
        <w:rPr>
          <w:rFonts w:hint="default" w:ascii="Times New Roman" w:hAnsi="Times New Roman" w:eastAsia="方正仿宋_GBK" w:cs="Times New Roman"/>
          <w:color w:val="333333"/>
          <w:sz w:val="32"/>
          <w:szCs w:val="32"/>
        </w:rPr>
        <w:t>：指为保障机构正常运转、完成日常工作任务而发生的人员经费和公用经费。</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楷体_GBK" w:cs="Times New Roman"/>
          <w:color w:val="333333"/>
          <w:sz w:val="32"/>
          <w:szCs w:val="32"/>
        </w:rPr>
        <w:t>（四）项目支出</w:t>
      </w:r>
      <w:r>
        <w:rPr>
          <w:rFonts w:hint="default" w:ascii="Times New Roman" w:hAnsi="Times New Roman" w:eastAsia="方正仿宋_GBK" w:cs="Times New Roman"/>
          <w:color w:val="333333"/>
          <w:sz w:val="32"/>
          <w:szCs w:val="32"/>
        </w:rPr>
        <w:t>：指在基本支出之外为完成特定行政任务和事业发展目标所发生的支出。</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2"/>
          <w:szCs w:val="32"/>
        </w:rPr>
      </w:pPr>
      <w:r>
        <w:rPr>
          <w:rFonts w:hint="default" w:ascii="Times New Roman" w:hAnsi="Times New Roman" w:eastAsia="方正楷体_GBK" w:cs="Times New Roman"/>
          <w:color w:val="333333"/>
          <w:sz w:val="32"/>
          <w:szCs w:val="32"/>
        </w:rPr>
        <w:t>（五）“三公”经费</w:t>
      </w:r>
      <w:r>
        <w:rPr>
          <w:rFonts w:hint="default" w:ascii="Times New Roman" w:hAnsi="Times New Roman" w:eastAsia="方正仿宋_GBK" w:cs="Times New Roman"/>
          <w:color w:val="333333"/>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b/>
          <w:bCs/>
          <w:color w:val="333333"/>
          <w:sz w:val="32"/>
          <w:szCs w:val="32"/>
        </w:rPr>
      </w:pPr>
      <w:r>
        <w:rPr>
          <w:rFonts w:hint="default" w:ascii="Times New Roman" w:hAnsi="Times New Roman" w:eastAsia="方正仿宋_GBK" w:cs="Times New Roman"/>
          <w:b/>
          <w:bCs/>
          <w:color w:val="333333"/>
          <w:sz w:val="32"/>
          <w:szCs w:val="32"/>
        </w:rPr>
        <w:t>七、预算公开联系方式及信息反馈渠道。</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b/>
          <w:bCs/>
          <w:color w:val="333333"/>
          <w:sz w:val="32"/>
          <w:szCs w:val="32"/>
        </w:rPr>
      </w:pPr>
      <w:r>
        <w:rPr>
          <w:rFonts w:hint="default" w:ascii="Times New Roman" w:hAnsi="Times New Roman" w:eastAsia="方正仿宋_GBK" w:cs="Times New Roman"/>
          <w:b/>
          <w:bCs/>
          <w:color w:val="333333"/>
          <w:sz w:val="32"/>
          <w:szCs w:val="32"/>
        </w:rPr>
        <w:t>部门预算公开联系人：蒋佳余， 联系方式：02345852110</w:t>
      </w:r>
    </w:p>
    <w:p>
      <w:pPr>
        <w:pStyle w:val="2"/>
        <w:shd w:val="clear" w:color="auto" w:fill="FFFFFF"/>
        <w:spacing w:before="0" w:beforeAutospacing="0" w:after="0" w:afterAutospacing="0" w:line="670" w:lineRule="atLeast"/>
        <w:ind w:firstLine="720"/>
        <w:rPr>
          <w:rFonts w:hint="default" w:ascii="Times New Roman" w:hAnsi="Times New Roman" w:eastAsia="方正仿宋_GBK" w:cs="Times New Roman"/>
          <w:color w:val="333333"/>
          <w:sz w:val="35"/>
          <w:szCs w:val="35"/>
          <w:lang w:val="en-US" w:eastAsia="zh-CN"/>
        </w:rPr>
      </w:pPr>
      <w:r>
        <w:rPr>
          <w:rFonts w:hint="eastAsia" w:ascii="Times New Roman" w:hAnsi="Times New Roman" w:eastAsia="方正仿宋_GBK" w:cs="Times New Roman"/>
          <w:color w:val="333333"/>
          <w:sz w:val="32"/>
          <w:szCs w:val="32"/>
          <w:lang w:val="en-US" w:eastAsia="zh-CN"/>
        </w:rPr>
        <w:t>附件：重庆市铜梁区白羊镇人民政府2021年部门预算公开报表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寰蒋闆呴粦">
    <w:altName w:val="汉仪仿宋S"/>
    <w:panose1 w:val="00000000000000000000"/>
    <w:charset w:val="86"/>
    <w:family w:val="auto"/>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 w:name="方正魏碑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zgxNDY4YjQ4MTBjOTMzMzI4MDczMDEzMWQ2OWUxZDQifQ=="/>
  </w:docVars>
  <w:rsids>
    <w:rsidRoot w:val="00927FB3"/>
    <w:rsid w:val="000609F8"/>
    <w:rsid w:val="000A5576"/>
    <w:rsid w:val="000C65D0"/>
    <w:rsid w:val="00114BF3"/>
    <w:rsid w:val="001A0EF9"/>
    <w:rsid w:val="00200DB7"/>
    <w:rsid w:val="002450C3"/>
    <w:rsid w:val="00273E0B"/>
    <w:rsid w:val="00280AFE"/>
    <w:rsid w:val="002E009A"/>
    <w:rsid w:val="00324717"/>
    <w:rsid w:val="00327541"/>
    <w:rsid w:val="0033290F"/>
    <w:rsid w:val="003365FE"/>
    <w:rsid w:val="00391CBB"/>
    <w:rsid w:val="003B75C7"/>
    <w:rsid w:val="0044045B"/>
    <w:rsid w:val="004548A8"/>
    <w:rsid w:val="004A0288"/>
    <w:rsid w:val="004C479A"/>
    <w:rsid w:val="00554483"/>
    <w:rsid w:val="00593DC7"/>
    <w:rsid w:val="00594D2A"/>
    <w:rsid w:val="005A4041"/>
    <w:rsid w:val="00687247"/>
    <w:rsid w:val="006D05DB"/>
    <w:rsid w:val="006D72A7"/>
    <w:rsid w:val="007A66B0"/>
    <w:rsid w:val="007C0937"/>
    <w:rsid w:val="007C1FF1"/>
    <w:rsid w:val="007C7048"/>
    <w:rsid w:val="007D64E0"/>
    <w:rsid w:val="00805745"/>
    <w:rsid w:val="008D7723"/>
    <w:rsid w:val="008E3A8C"/>
    <w:rsid w:val="009245E1"/>
    <w:rsid w:val="00927FB3"/>
    <w:rsid w:val="009A05AF"/>
    <w:rsid w:val="009B6F26"/>
    <w:rsid w:val="00A23A35"/>
    <w:rsid w:val="00A64B57"/>
    <w:rsid w:val="00A730FA"/>
    <w:rsid w:val="00A969EF"/>
    <w:rsid w:val="00B033C8"/>
    <w:rsid w:val="00B14509"/>
    <w:rsid w:val="00B6561D"/>
    <w:rsid w:val="00BA158A"/>
    <w:rsid w:val="00C16DC4"/>
    <w:rsid w:val="00C63B0E"/>
    <w:rsid w:val="00CD27CB"/>
    <w:rsid w:val="00CE40C0"/>
    <w:rsid w:val="00D55931"/>
    <w:rsid w:val="00D65B3E"/>
    <w:rsid w:val="00DC1ACE"/>
    <w:rsid w:val="00DF7D6C"/>
    <w:rsid w:val="00E10E42"/>
    <w:rsid w:val="00E15626"/>
    <w:rsid w:val="00E22958"/>
    <w:rsid w:val="00E2490B"/>
    <w:rsid w:val="00E51343"/>
    <w:rsid w:val="00E55B79"/>
    <w:rsid w:val="00EC32E5"/>
    <w:rsid w:val="00EF0C4D"/>
    <w:rsid w:val="00F02AD5"/>
    <w:rsid w:val="00F74C59"/>
    <w:rsid w:val="00F857F1"/>
    <w:rsid w:val="00FA5899"/>
    <w:rsid w:val="00FC473F"/>
    <w:rsid w:val="00FF342C"/>
    <w:rsid w:val="09322AD0"/>
    <w:rsid w:val="1D89663B"/>
    <w:rsid w:val="2C291503"/>
    <w:rsid w:val="3057125D"/>
    <w:rsid w:val="462B3DAD"/>
    <w:rsid w:val="57BF073C"/>
    <w:rsid w:val="59B95275"/>
    <w:rsid w:val="E3D644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1684</Words>
  <Characters>1846</Characters>
  <Lines>13</Lines>
  <Paragraphs>3</Paragraphs>
  <TotalTime>2</TotalTime>
  <ScaleCrop>false</ScaleCrop>
  <LinksUpToDate>false</LinksUpToDate>
  <CharactersWithSpaces>1847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2022-09-01T16:23:00Z</dcterms:created>
  <dc:creator>01</dc:creator>
  <cp:lastModifiedBy>tlww</cp:lastModifiedBy>
  <dcterms:modified xsi:type="dcterms:W3CDTF">2022-09-01T17:43:12Z</dcterms:modified>
  <dc:title>重庆市铜梁区白羊镇人民政府2021年预算情况说明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D3F4B76DE6674AFC99A2E9B25CD1178D</vt:lpwstr>
  </property>
</Properties>
</file>