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C894">
      <w:pPr>
        <w:pStyle w:val="5"/>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重庆市铜梁区白羊镇人民政府</w:t>
      </w:r>
    </w:p>
    <w:p w14:paraId="06AEAB4D">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387EC44D">
      <w:pPr>
        <w:pStyle w:val="5"/>
        <w:shd w:val="clear" w:color="auto" w:fill="FFFFFF"/>
        <w:rPr>
          <w:rFonts w:hint="default" w:ascii="黑体" w:hAnsi="黑体" w:eastAsia="黑体" w:cs="黑体"/>
          <w:sz w:val="32"/>
          <w:szCs w:val="32"/>
        </w:rPr>
      </w:pPr>
      <w:r>
        <w:rPr>
          <w:rStyle w:val="8"/>
          <w:rFonts w:ascii="黑体" w:hAnsi="黑体" w:eastAsia="黑体" w:cs="黑体"/>
          <w:sz w:val="32"/>
          <w:szCs w:val="32"/>
          <w:shd w:val="clear" w:color="auto" w:fill="FFFFFF"/>
        </w:rPr>
        <w:t>一、部门基本情况</w:t>
      </w:r>
    </w:p>
    <w:p w14:paraId="4E96BFA3">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623A5D62">
      <w:pPr>
        <w:pStyle w:val="5"/>
        <w:shd w:val="clear" w:color="auto" w:fill="FFFFFF"/>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重庆市铜梁区白羊镇人民政府贯彻执行党的路线方针政策和国家的法律法规、促进经济社会发展、加强社会管理和公共服务、维护社会和谐稳定。适当调整经济管理职能，切实把工作重点转移到对农户和各类经济主体进行示范引导、提供政策服务以及营造发展环境上来。在做好经济工作的同时，努力提高乡镇的社会管理和公共服务水平。转变社会管理的方式，变单纯依靠行政手段为综合利用经济、法律、行政和思想政治工作等手段开展工作。牢固树立和落实科学发展观，根据实际确定工作职责，乡镇政府要适应新的职能定位，积极转变工作方式，切实做到突出发展、依法办事、管理民主、政务公开、强化服务。</w:t>
      </w:r>
    </w:p>
    <w:p w14:paraId="32C606CA">
      <w:pPr>
        <w:pStyle w:val="5"/>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4A60954A">
      <w:pPr>
        <w:pStyle w:val="5"/>
        <w:shd w:val="clear" w:color="auto" w:fill="FFFFFF"/>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属于独立核算的行政单位，适用行政单位会计制度。内设办公室8个，具体为：党政办公室、党群工作办公室，经济发展办公室，民政和社会事务办公室，平安建设办公室，规划建设管理环保办公室，财政办公室，应急管理办公室；事业单位7个，具体为：综合行政执法大队、农业服务中心、文化服务中心、乡村产业培育中心、乡村生态治理中心、退役军人服务站、劳动就业和社会保障服务所</w:t>
      </w:r>
    </w:p>
    <w:p w14:paraId="61FFBE54">
      <w:pPr>
        <w:pStyle w:val="5"/>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二、部门决算情况说明</w:t>
      </w:r>
    </w:p>
    <w:p w14:paraId="0BEB9B3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64674A4">
      <w:pPr>
        <w:pStyle w:val="5"/>
        <w:shd w:val="clear" w:color="auto" w:fill="FFFFFF"/>
        <w:ind w:firstLine="643" w:firstLineChars="200"/>
        <w:rPr>
          <w:rFonts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2023年度收入总计3079.66万元，支出总计</w:t>
      </w:r>
      <w:r>
        <w:rPr>
          <w:rFonts w:ascii="方正仿宋_GBK" w:hAnsi="方正仿宋_GBK" w:eastAsia="方正仿宋_GBK" w:cs="方正仿宋_GBK"/>
          <w:sz w:val="32"/>
          <w:szCs w:val="32"/>
        </w:rPr>
        <w:t>3079.66</w:t>
      </w:r>
      <w:r>
        <w:rPr>
          <w:rFonts w:ascii="方正仿宋_GBK" w:hAnsi="方正仿宋_GBK" w:eastAsia="方正仿宋_GBK" w:cs="方正仿宋_GBK"/>
          <w:sz w:val="32"/>
          <w:szCs w:val="32"/>
          <w:shd w:val="clear" w:color="auto" w:fill="FFFFFF"/>
        </w:rPr>
        <w:t>万元。收支较上年决算数增加164.47万元，增长5.64%，主要原因是第十二特困供养设施（敬老院）建设的增加和“一镇一主题”文化宣传。</w:t>
      </w:r>
    </w:p>
    <w:p w14:paraId="308FE615">
      <w:pPr>
        <w:pStyle w:val="5"/>
        <w:shd w:val="clear" w:color="auto" w:fill="FFFFFF"/>
        <w:ind w:firstLine="643" w:firstLineChars="200"/>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2023年度收入合计3071.83万元，较上年决算数增加164.47万元，增长5.66%，主要原因是第十二特困供养设施（敬老院）建设的增加。其中：财政拨款收入</w:t>
      </w:r>
      <w:r>
        <w:rPr>
          <w:rFonts w:ascii="方正仿宋_GBK" w:hAnsi="方正仿宋_GBK" w:eastAsia="方正仿宋_GBK" w:cs="方正仿宋_GBK"/>
          <w:sz w:val="32"/>
          <w:szCs w:val="32"/>
        </w:rPr>
        <w:t>3071.83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7.83</w:t>
      </w:r>
      <w:r>
        <w:rPr>
          <w:rFonts w:ascii="方正仿宋_GBK" w:hAnsi="方正仿宋_GBK" w:eastAsia="方正仿宋_GBK" w:cs="方正仿宋_GBK"/>
          <w:sz w:val="32"/>
          <w:szCs w:val="32"/>
          <w:shd w:val="clear" w:color="auto" w:fill="FFFFFF"/>
        </w:rPr>
        <w:t>万元。</w:t>
      </w:r>
    </w:p>
    <w:p w14:paraId="27E72F3C">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3071.83</w:t>
      </w:r>
      <w:r>
        <w:rPr>
          <w:rFonts w:ascii="方正仿宋_GBK" w:hAnsi="方正仿宋_GBK" w:eastAsia="方正仿宋_GBK" w:cs="方正仿宋_GBK"/>
          <w:sz w:val="32"/>
          <w:szCs w:val="32"/>
          <w:shd w:val="clear" w:color="auto" w:fill="FFFFFF"/>
        </w:rPr>
        <w:t>万元，较上年决算数增加164.47万元，增长5.66%，主要原因第十二特困供养设施（敬老院）建设的增加和“一镇一主题”文化宣传。其中：基本支出</w:t>
      </w:r>
      <w:r>
        <w:rPr>
          <w:rFonts w:ascii="方正仿宋_GBK" w:hAnsi="方正仿宋_GBK" w:eastAsia="方正仿宋_GBK" w:cs="方正仿宋_GBK"/>
          <w:sz w:val="32"/>
          <w:szCs w:val="32"/>
        </w:rPr>
        <w:t>1548.00</w:t>
      </w:r>
      <w:r>
        <w:rPr>
          <w:rFonts w:ascii="方正仿宋_GBK" w:hAnsi="方正仿宋_GBK" w:eastAsia="方正仿宋_GBK" w:cs="方正仿宋_GBK"/>
          <w:sz w:val="32"/>
          <w:szCs w:val="32"/>
          <w:shd w:val="clear" w:color="auto" w:fill="FFFFFF"/>
        </w:rPr>
        <w:t>万元，占50.39%；项目支出</w:t>
      </w:r>
      <w:r>
        <w:rPr>
          <w:rFonts w:ascii="方正仿宋_GBK" w:hAnsi="方正仿宋_GBK" w:eastAsia="方正仿宋_GBK" w:cs="方正仿宋_GBK"/>
          <w:sz w:val="32"/>
          <w:szCs w:val="32"/>
        </w:rPr>
        <w:t>1523.83</w:t>
      </w:r>
      <w:r>
        <w:rPr>
          <w:rFonts w:ascii="方正仿宋_GBK" w:hAnsi="方正仿宋_GBK" w:eastAsia="方正仿宋_GBK" w:cs="方正仿宋_GBK"/>
          <w:sz w:val="32"/>
          <w:szCs w:val="32"/>
          <w:shd w:val="clear" w:color="auto" w:fill="FFFFFF"/>
        </w:rPr>
        <w:t>万元，占49.61%；经营支出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E9A4B91">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7.83</w:t>
      </w:r>
      <w:r>
        <w:rPr>
          <w:rFonts w:ascii="方正仿宋_GBK" w:hAnsi="方正仿宋_GBK" w:eastAsia="方正仿宋_GBK" w:cs="方正仿宋_GBK"/>
          <w:sz w:val="32"/>
          <w:szCs w:val="32"/>
          <w:shd w:val="clear" w:color="auto" w:fill="FFFFFF"/>
        </w:rPr>
        <w:t>万元，较上年决算数无增减。</w:t>
      </w:r>
    </w:p>
    <w:p w14:paraId="1EF02FD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3BD20DA">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2023年度财政拨款收、支总计3079.66万元。与2022年相比，财政拨款收、支总计各增加164.47万元，增长5.64%。主要原因是第十二特困供养设施（敬老院）建设的增加和“一镇一主题”文化宣传。</w:t>
      </w:r>
    </w:p>
    <w:p w14:paraId="02B3FA6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97725F1">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3071.83</w:t>
      </w:r>
      <w:r>
        <w:rPr>
          <w:rFonts w:ascii="方正仿宋_GBK" w:hAnsi="方正仿宋_GBK" w:eastAsia="方正仿宋_GBK" w:cs="方正仿宋_GBK"/>
          <w:sz w:val="32"/>
          <w:szCs w:val="32"/>
          <w:shd w:val="clear" w:color="auto" w:fill="FFFFFF"/>
        </w:rPr>
        <w:t>万元，较上年决算数增加164.47万元，增长5.66%。主要原因是第十二特困供养设施（敬老院）建设的增加。较年初预算数增加734.47万元，增长31.42%。主要原因是第十二特困供养设施（敬老院）建设的增加。此外，年初财政拨款结转和结余</w:t>
      </w:r>
      <w:r>
        <w:rPr>
          <w:rFonts w:ascii="方正仿宋_GBK" w:hAnsi="方正仿宋_GBK" w:eastAsia="方正仿宋_GBK" w:cs="方正仿宋_GBK"/>
          <w:sz w:val="32"/>
          <w:szCs w:val="32"/>
        </w:rPr>
        <w:t>7.83</w:t>
      </w:r>
      <w:r>
        <w:rPr>
          <w:rFonts w:ascii="方正仿宋_GBK" w:hAnsi="方正仿宋_GBK" w:eastAsia="方正仿宋_GBK" w:cs="方正仿宋_GBK"/>
          <w:sz w:val="32"/>
          <w:szCs w:val="32"/>
          <w:shd w:val="clear" w:color="auto" w:fill="FFFFFF"/>
        </w:rPr>
        <w:t>万元。</w:t>
      </w:r>
    </w:p>
    <w:p w14:paraId="249976B9">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3071.83</w:t>
      </w:r>
      <w:r>
        <w:rPr>
          <w:rFonts w:ascii="方正仿宋_GBK" w:hAnsi="方正仿宋_GBK" w:eastAsia="方正仿宋_GBK" w:cs="方正仿宋_GBK"/>
          <w:sz w:val="32"/>
          <w:szCs w:val="32"/>
          <w:shd w:val="clear" w:color="auto" w:fill="FFFFFF"/>
        </w:rPr>
        <w:t>万元，较上年决算数增加164.47万元，增长5.66%。主要原因是第十二特困供养设施（敬老院）建设的增加和“一镇一主题”文化宣传，较年初预算数增加734.47万元，增长31.42%。主要原因是第十二特困供养设施（敬老院）建设的增加。</w:t>
      </w:r>
    </w:p>
    <w:p w14:paraId="454C6F61">
      <w:pPr>
        <w:pStyle w:val="5"/>
        <w:snapToGrid w:val="0"/>
        <w:spacing w:before="0" w:beforeAutospacing="0" w:after="0" w:afterAutospacing="0" w:line="600" w:lineRule="exact"/>
        <w:ind w:firstLine="643" w:firstLineChars="200"/>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7.83</w:t>
      </w:r>
      <w:r>
        <w:rPr>
          <w:rFonts w:ascii="方正仿宋_GBK" w:hAnsi="方正仿宋_GBK" w:eastAsia="方正仿宋_GBK" w:cs="方正仿宋_GBK"/>
          <w:sz w:val="32"/>
          <w:szCs w:val="32"/>
          <w:shd w:val="clear" w:color="auto" w:fill="FFFFFF"/>
        </w:rPr>
        <w:t>万元，较上年决算数无增减。</w:t>
      </w:r>
    </w:p>
    <w:p w14:paraId="3922DE7D">
      <w:pPr>
        <w:pStyle w:val="5"/>
        <w:snapToGrid w:val="0"/>
        <w:spacing w:before="0" w:beforeAutospacing="0" w:after="0" w:afterAutospacing="0" w:line="600" w:lineRule="exact"/>
        <w:ind w:firstLine="643" w:firstLineChars="200"/>
        <w:rPr>
          <w:rFonts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5102395D">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744.66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24.24</w:t>
      </w:r>
      <w:r>
        <w:rPr>
          <w:rFonts w:ascii="方正仿宋_GBK" w:hAnsi="方正仿宋_GBK" w:eastAsia="方正仿宋_GBK" w:cs="方正仿宋_GBK"/>
          <w:sz w:val="32"/>
          <w:szCs w:val="32"/>
          <w:shd w:val="clear" w:color="auto" w:fill="FFFFFF"/>
        </w:rPr>
        <w:t>%，较年初预算数增加116.20万元，增长18.49%，主要原因是第十二特困供养设施（敬老院）建设的增加和“一镇一主题”文化宣传。</w:t>
      </w:r>
    </w:p>
    <w:p w14:paraId="74E66464">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（2）国防支出</w:t>
      </w:r>
      <w:r>
        <w:rPr>
          <w:rFonts w:ascii="方正仿宋_GBK" w:hAnsi="方正仿宋_GBK" w:eastAsia="方正仿宋_GBK" w:cs="方正仿宋_GBK"/>
          <w:sz w:val="32"/>
          <w:szCs w:val="32"/>
        </w:rPr>
        <w:t>1.45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%，较年初预算数减少3.55万元，下降71.00%，主要原因是民兵训练减少，相关办公用品已采购完成。</w:t>
      </w:r>
    </w:p>
    <w:p w14:paraId="6EF3F81C">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85.21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2.77</w:t>
      </w:r>
      <w:r>
        <w:rPr>
          <w:rFonts w:ascii="方正仿宋_GBK" w:hAnsi="方正仿宋_GBK" w:eastAsia="方正仿宋_GBK" w:cs="方正仿宋_GBK"/>
          <w:sz w:val="32"/>
          <w:szCs w:val="32"/>
          <w:shd w:val="clear" w:color="auto" w:fill="FFFFFF"/>
        </w:rPr>
        <w:t>%，较年初预算数增加45.21万元，增长113.03%，主要原因是“一镇一主题”文化宣传。</w:t>
      </w:r>
    </w:p>
    <w:p w14:paraId="5B3BD734">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723.56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23.55</w:t>
      </w:r>
      <w:r>
        <w:rPr>
          <w:rFonts w:ascii="方正仿宋_GBK" w:hAnsi="方正仿宋_GBK" w:eastAsia="方正仿宋_GBK" w:cs="方正仿宋_GBK"/>
          <w:sz w:val="32"/>
          <w:szCs w:val="32"/>
          <w:shd w:val="clear" w:color="auto" w:fill="FFFFFF"/>
        </w:rPr>
        <w:t>%，较年初预算数增加506.51万元，增长233.36%，主要原因是第十二特困供养设施（敬老院）建设的增加。</w:t>
      </w:r>
    </w:p>
    <w:p w14:paraId="4FD933C6">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43.52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1.42</w:t>
      </w:r>
      <w:r>
        <w:rPr>
          <w:rFonts w:ascii="方正仿宋_GBK" w:hAnsi="方正仿宋_GBK" w:eastAsia="方正仿宋_GBK" w:cs="方正仿宋_GBK"/>
          <w:sz w:val="32"/>
          <w:szCs w:val="32"/>
          <w:shd w:val="clear" w:color="auto" w:fill="FFFFFF"/>
        </w:rPr>
        <w:t>%，较年初预算数减少43.38万元，下降49.92%，主要原因是精神病人医疗费减少。</w:t>
      </w:r>
    </w:p>
    <w:p w14:paraId="443B3FCF">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63.13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%，较年初预算数增加43.13万元，增长215.65%，主要原因是人居环境整治经费的增加。</w:t>
      </w:r>
    </w:p>
    <w:p w14:paraId="0594B50F">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134.34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4.37</w:t>
      </w:r>
      <w:r>
        <w:rPr>
          <w:rFonts w:ascii="方正仿宋_GBK" w:hAnsi="方正仿宋_GBK" w:eastAsia="方正仿宋_GBK" w:cs="方正仿宋_GBK"/>
          <w:sz w:val="32"/>
          <w:szCs w:val="32"/>
          <w:shd w:val="clear" w:color="auto" w:fill="FFFFFF"/>
        </w:rPr>
        <w:t>%，较年初预算数增加36.34万元，增长37.08%，主要原因是太白路环线环境整治经费增加。</w:t>
      </w:r>
    </w:p>
    <w:p w14:paraId="3AE63759">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1019.48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33.19</w:t>
      </w:r>
      <w:r>
        <w:rPr>
          <w:rFonts w:ascii="方正仿宋_GBK" w:hAnsi="方正仿宋_GBK" w:eastAsia="方正仿宋_GBK" w:cs="方正仿宋_GBK"/>
          <w:sz w:val="32"/>
          <w:szCs w:val="32"/>
          <w:shd w:val="clear" w:color="auto" w:fill="FFFFFF"/>
        </w:rPr>
        <w:t>%，较年初预算数减少59.41万元，下降5.51%，主要原因是抗旱救灾经费的减少。</w:t>
      </w:r>
    </w:p>
    <w:p w14:paraId="2AB2BC14">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123.89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4.03</w:t>
      </w:r>
      <w:r>
        <w:rPr>
          <w:rFonts w:ascii="方正仿宋_GBK" w:hAnsi="方正仿宋_GBK" w:eastAsia="方正仿宋_GBK" w:cs="方正仿宋_GBK"/>
          <w:sz w:val="32"/>
          <w:szCs w:val="32"/>
          <w:shd w:val="clear" w:color="auto" w:fill="FFFFFF"/>
        </w:rPr>
        <w:t>%，较年初预算数增加51.54万元，增长71.24%，主要原因是四好公路建设支出。</w:t>
      </w:r>
    </w:p>
    <w:p w14:paraId="4F987C6E">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住房保障支出60.40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1.97</w:t>
      </w:r>
      <w:r>
        <w:rPr>
          <w:rFonts w:ascii="方正仿宋_GBK" w:hAnsi="方正仿宋_GBK" w:eastAsia="方正仿宋_GBK" w:cs="方正仿宋_GBK"/>
          <w:sz w:val="32"/>
          <w:szCs w:val="32"/>
          <w:shd w:val="clear" w:color="auto" w:fill="FFFFFF"/>
        </w:rPr>
        <w:t>%，较年初预算数减少10.30万元，下降14.57%，主要原因是住房公积金缴费基数变小导致缴费变低。</w:t>
      </w:r>
    </w:p>
    <w:p w14:paraId="066D6D3D">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灾害防治及应急管理支出72.19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2.35</w:t>
      </w:r>
      <w:r>
        <w:rPr>
          <w:rFonts w:ascii="方正仿宋_GBK" w:hAnsi="方正仿宋_GBK" w:eastAsia="方正仿宋_GBK" w:cs="方正仿宋_GBK"/>
          <w:sz w:val="32"/>
          <w:szCs w:val="32"/>
          <w:shd w:val="clear" w:color="auto" w:fill="FFFFFF"/>
        </w:rPr>
        <w:t>%，较年初预算数增加52.19万元，增长260.95%，主要原因是应急救援经费的增加。</w:t>
      </w:r>
    </w:p>
    <w:p w14:paraId="5FBAA8B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90C5357">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1548.00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1222.05</w:t>
      </w:r>
      <w:r>
        <w:rPr>
          <w:rFonts w:ascii="方正仿宋_GBK" w:hAnsi="方正仿宋_GBK" w:eastAsia="方正仿宋_GBK" w:cs="方正仿宋_GBK"/>
          <w:sz w:val="32"/>
          <w:szCs w:val="32"/>
          <w:shd w:val="clear" w:color="auto" w:fill="FFFFFF"/>
        </w:rPr>
        <w:t>万元，较上年决算数增加49.55万元，增长4.23%，主要原因是新晋人员的增加。人员经费用途主要包括工资、月考核绩效、社保、住房公积金、年终奖励等。公用经费</w:t>
      </w:r>
      <w:r>
        <w:rPr>
          <w:rFonts w:ascii="方正仿宋_GBK" w:hAnsi="方正仿宋_GBK" w:eastAsia="方正仿宋_GBK" w:cs="方正仿宋_GBK"/>
          <w:sz w:val="32"/>
          <w:szCs w:val="32"/>
        </w:rPr>
        <w:t>325.96</w:t>
      </w:r>
      <w:r>
        <w:rPr>
          <w:rFonts w:ascii="方正仿宋_GBK" w:hAnsi="方正仿宋_GBK" w:eastAsia="方正仿宋_GBK" w:cs="方正仿宋_GBK"/>
          <w:sz w:val="32"/>
          <w:szCs w:val="32"/>
          <w:shd w:val="clear" w:color="auto" w:fill="FFFFFF"/>
        </w:rPr>
        <w:t>万元，较上年决算数减少35.67万元，下降9.86%，主要原因是贯彻落实政府过“紧日子”要求，创建节约型政府，减少办公费用支出。公用经费用途主要包括办公费、培训费、差旅费、劳务费等。</w:t>
      </w:r>
    </w:p>
    <w:p w14:paraId="366213F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9E88580">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w:t>
      </w:r>
      <w:r>
        <w:rPr>
          <w:rFonts w:hint="eastAsia" w:ascii="方正仿宋_GBK" w:hAnsi="方正仿宋_GBK" w:eastAsia="方正仿宋_GBK" w:cs="方正仿宋_GBK"/>
          <w:sz w:val="32"/>
          <w:szCs w:val="32"/>
          <w:shd w:val="clear" w:color="auto" w:fill="FFFFFF"/>
        </w:rPr>
        <w:t>政府性基金预算</w:t>
      </w:r>
      <w:r>
        <w:rPr>
          <w:rFonts w:ascii="方正仿宋_GBK" w:hAnsi="方正仿宋_GBK" w:eastAsia="方正仿宋_GBK" w:cs="方正仿宋_GBK"/>
          <w:sz w:val="32"/>
          <w:szCs w:val="32"/>
          <w:shd w:val="clear" w:color="auto" w:fill="FFFFFF"/>
        </w:rPr>
        <w:t>财政拨款支出。</w:t>
      </w:r>
    </w:p>
    <w:p w14:paraId="1789265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B043275">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本部门2023年度无国有资本经营预算财政拨款支出。</w:t>
      </w:r>
    </w:p>
    <w:p w14:paraId="7970C431">
      <w:pPr>
        <w:pStyle w:val="5"/>
        <w:shd w:val="clear" w:color="auto" w:fill="FFFFFF"/>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三、“三公”经费情况说明</w:t>
      </w:r>
    </w:p>
    <w:p w14:paraId="0A91D29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3C6D2961">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10.72</w:t>
      </w:r>
      <w:r>
        <w:rPr>
          <w:rFonts w:ascii="方正仿宋_GBK" w:hAnsi="方正仿宋_GBK" w:eastAsia="方正仿宋_GBK" w:cs="方正仿宋_GBK"/>
          <w:sz w:val="32"/>
          <w:szCs w:val="32"/>
          <w:shd w:val="clear" w:color="auto" w:fill="FFFFFF"/>
        </w:rPr>
        <w:t>万元，较年初预算数减少3.08万元，下降22.32%，主要原因是公务用车油费减少。较上年支出数减少1.16万元，下降9.76%，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贯彻落实过“紧日子”要求，严格控制“三公”经费支出，做到只减不增。</w:t>
      </w:r>
    </w:p>
    <w:p w14:paraId="403669F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8C8743F">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2023年度本部门因公出国（境）费用0万元，费用支出较年初预算数增加0万元，增长0.0%，较上年支出数增加0万元，增长0.0%，本单位2022年度未发生因公出国（境）费用支出，与上年决算数持平。 </w:t>
      </w:r>
    </w:p>
    <w:p w14:paraId="54EFAF24">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公务用车购置费0万元，费用支出较年初预算数增加0万元，增长0.0%，较上年支出数增加0万元，增长0.0%，本单位2022年度未发生公务用车购置费支出，与上年决算数持平。 </w:t>
      </w:r>
    </w:p>
    <w:p w14:paraId="79CCE62C">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10.57</w:t>
      </w:r>
      <w:r>
        <w:rPr>
          <w:rFonts w:ascii="方正仿宋_GBK" w:hAnsi="方正仿宋_GBK" w:eastAsia="方正仿宋_GBK" w:cs="方正仿宋_GBK"/>
          <w:sz w:val="32"/>
          <w:szCs w:val="32"/>
          <w:shd w:val="clear" w:color="auto" w:fill="FFFFFF"/>
        </w:rPr>
        <w:t>万元，主要用于主要用于机要文件交换、重庆市内因公出行等工作所需车辆的燃料费、维修费、过桥过路费、车辆保险费等支出。费用支出较年初预算数减少0.23万元，下降2.13%，主要原因是公务电车油费减少预算。较上年支出数减少0.66万元，下降5.88%，主要原因是公务用车油费减少。</w:t>
      </w:r>
    </w:p>
    <w:p w14:paraId="2A2E0D98">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万元，主要用于接待公务活动用餐。费用支出较年初预算数减少2.85万元，下降95.00%，主要原因是减少公务接待预算。较上年支出数减少0.50万元，下降76.92%，</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落实严控“三公”经费政策，减少公务接待费用。</w:t>
      </w:r>
    </w:p>
    <w:p w14:paraId="09B3BB8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D6AF17D">
      <w:pPr>
        <w:pStyle w:val="5"/>
        <w:snapToGrid w:val="0"/>
        <w:spacing w:before="0" w:beforeAutospacing="0" w:after="0" w:afterAutospacing="0" w:line="600" w:lineRule="exact"/>
        <w:ind w:firstLine="640" w:firstLineChars="200"/>
        <w:rPr>
          <w:rFonts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45.45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万元。</w:t>
      </w:r>
    </w:p>
    <w:p w14:paraId="4F1928A9">
      <w:pPr>
        <w:pStyle w:val="5"/>
        <w:shd w:val="clear" w:color="auto" w:fill="FFFFFF"/>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四、其他需要说明的事项</w:t>
      </w:r>
    </w:p>
    <w:p w14:paraId="29C11E18">
      <w:pPr>
        <w:pStyle w:val="9"/>
        <w:autoSpaceDE w:val="0"/>
        <w:ind w:firstLine="630" w:firstLineChars="196"/>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6ACB37EC">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2.53</w:t>
      </w:r>
      <w:r>
        <w:rPr>
          <w:rFonts w:ascii="方正仿宋_GBK" w:hAnsi="方正仿宋_GBK" w:eastAsia="方正仿宋_GBK" w:cs="方正仿宋_GBK"/>
          <w:sz w:val="32"/>
          <w:szCs w:val="32"/>
          <w:shd w:val="clear" w:color="auto" w:fill="FFFFFF"/>
        </w:rPr>
        <w:t>万元，较上年决算数增加1.63万元，增长181.11%，主要原因工作紧凑会议次数增加。本年度培训费支出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万元，较上年决算数增加0.16万元，增长100.00%，主要原因是培训次数增加。</w:t>
      </w:r>
    </w:p>
    <w:p w14:paraId="3347F5D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0EBB275">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197.47</w:t>
      </w:r>
      <w:r>
        <w:rPr>
          <w:rFonts w:ascii="方正仿宋_GBK" w:hAnsi="方正仿宋_GBK" w:eastAsia="方正仿宋_GBK" w:cs="方正仿宋_GBK"/>
          <w:sz w:val="32"/>
          <w:szCs w:val="32"/>
          <w:shd w:val="clear" w:color="auto" w:fill="FFFFFF"/>
        </w:rPr>
        <w:t>万元，机关运行经费主要用于开支机关运行办公费、水电气费、伙食费等。机关运行经费较上年支出数减少52.49万元，下降21.00%，</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落实政府过紧日子要求，减少支出。</w:t>
      </w:r>
    </w:p>
    <w:p w14:paraId="70E8434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EE23B40">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15F1A4B">
      <w:pPr>
        <w:pStyle w:val="9"/>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4B1F63A">
      <w:pPr>
        <w:pStyle w:val="9"/>
        <w:autoSpaceDE w:val="0"/>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542.06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71.79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470.27</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542.06万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407.46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75.17</w:t>
      </w:r>
      <w:r>
        <w:rPr>
          <w:rFonts w:ascii="方正仿宋_GBK" w:hAnsi="方正仿宋_GBK" w:eastAsia="方正仿宋_GBK" w:cs="方正仿宋_GBK"/>
          <w:sz w:val="32"/>
          <w:szCs w:val="32"/>
          <w:shd w:val="clear" w:color="auto" w:fill="FFFFFF"/>
        </w:rPr>
        <w:t xml:space="preserve"> %。主要用于基础设施工程建设项目采购。</w:t>
      </w:r>
    </w:p>
    <w:p w14:paraId="5C29B647">
      <w:pPr>
        <w:pStyle w:val="9"/>
        <w:autoSpaceDE w:val="0"/>
        <w:ind w:firstLine="643"/>
        <w:rPr>
          <w:rStyle w:val="8"/>
          <w:rFonts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预算绩效管理情况说明</w:t>
      </w:r>
    </w:p>
    <w:p w14:paraId="07280E84">
      <w:r>
        <w:rPr>
          <w:rFonts w:ascii="方正楷体_GBK" w:hAnsi="方正楷体_GBK" w:eastAsia="方正楷体_GBK" w:cs="方正楷体_GBK"/>
          <w:sz w:val="32"/>
          <w:szCs w:val="32"/>
        </w:rPr>
        <w:t>（一）预算绩效管理工作开展情况</w:t>
      </w:r>
    </w:p>
    <w:p w14:paraId="70245741">
      <w:pP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根据预算绩效管理要求，我单位对部门整体和42个项目开展了绩效自评，其中，以填报自评表形式开展自评42项，涉及资金2691.95万元。</w:t>
      </w:r>
    </w:p>
    <w:p w14:paraId="01958DBD">
      <w:r>
        <w:rPr>
          <w:rFonts w:ascii="方正楷体_GBK" w:hAnsi="方正楷体_GBK" w:eastAsia="方正楷体_GBK" w:cs="方正楷体_GBK"/>
          <w:sz w:val="32"/>
          <w:szCs w:val="32"/>
        </w:rPr>
        <w:t xml:space="preserve"> （二）绩效自评结果。</w:t>
      </w:r>
    </w:p>
    <w:p w14:paraId="35E0047D">
      <w:pP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1.绩效目标自评表。</w:t>
      </w:r>
    </w:p>
    <w:p w14:paraId="67568AD9">
      <w:pP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（1）部门整体绩效自评表。</w:t>
      </w:r>
    </w:p>
    <w:p w14:paraId="0045CC1B">
      <w:pP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详见附件重庆市铜梁区白羊镇人民政府2023年度项目绩效自评表。</w:t>
      </w:r>
    </w:p>
    <w:p w14:paraId="79F0F99B">
      <w:pPr>
        <w:ind w:firstLine="320" w:firstLineChars="1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（2）项目绩效自评表。</w:t>
      </w:r>
    </w:p>
    <w:p w14:paraId="5731B493">
      <w:pPr>
        <w:pStyle w:val="15"/>
        <w:keepNext w:val="0"/>
        <w:keepLines w:val="0"/>
        <w:pageBreakBefore w:val="0"/>
        <w:widowControl/>
        <w:kinsoku/>
        <w:wordWrap/>
        <w:overflowPunct/>
        <w:topLinePunct w:val="0"/>
        <w:autoSpaceDE/>
        <w:autoSpaceDN w:val="0"/>
        <w:bidi w:val="0"/>
        <w:adjustRightInd/>
        <w:snapToGrid/>
        <w:spacing w:before="0" w:after="0" w:line="560" w:lineRule="exact"/>
        <w:ind w:firstLine="640" w:firstLineChars="2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详见附件重庆市铜梁区白羊镇人民政府2023年度</w:t>
      </w:r>
      <w:r>
        <w:rPr>
          <w:rFonts w:hint="default" w:ascii="Times New Roman" w:hAnsi="Times New Roman" w:eastAsia="方正仿宋_GBK" w:cs="Times New Roman"/>
          <w:sz w:val="32"/>
          <w:szCs w:val="32"/>
        </w:rPr>
        <w:t>整体绩效自评表。</w:t>
      </w:r>
    </w:p>
    <w:p w14:paraId="343DE86E">
      <w:pPr>
        <w:ind w:firstLine="320" w:firstLineChars="1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2.绩效自评报告或案例。</w:t>
      </w:r>
    </w:p>
    <w:p w14:paraId="1E69B945">
      <w:pP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我单位未委托第三方开展绩效评价。</w:t>
      </w:r>
    </w:p>
    <w:p w14:paraId="24C17792">
      <w:pP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3.关于绩效自评结果的说明。</w:t>
      </w:r>
    </w:p>
    <w:p w14:paraId="16694A04">
      <w:pPr>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我单位对43个项目进行绩效自评，其中4</w:t>
      </w:r>
      <w:r>
        <w:rPr>
          <w:rFonts w:hint="eastAsia" w:ascii="方正仿宋_GBK" w:hAnsi="方正仿宋_GBK" w:eastAsia="方正仿宋_GBK" w:cs="方正仿宋_GBK"/>
          <w:sz w:val="32"/>
          <w:szCs w:val="32"/>
          <w:lang w:val="en-US" w:eastAsia="zh-CN"/>
        </w:rPr>
        <w:t>3</w:t>
      </w:r>
      <w:r>
        <w:rPr>
          <w:rFonts w:ascii="方正仿宋_GBK" w:hAnsi="方正仿宋_GBK" w:eastAsia="方正仿宋_GBK" w:cs="方正仿宋_GBK"/>
          <w:sz w:val="32"/>
          <w:szCs w:val="32"/>
        </w:rPr>
        <w:t>个已完成年度绩效目标，0个未完成年度绩效目标。</w:t>
      </w:r>
    </w:p>
    <w:p w14:paraId="72371EEF">
      <w:r>
        <w:rPr>
          <w:rFonts w:ascii="方正楷体_GBK" w:hAnsi="方正楷体_GBK" w:eastAsia="方正楷体_GBK" w:cs="方正楷体_GBK"/>
          <w:sz w:val="32"/>
          <w:szCs w:val="32"/>
        </w:rPr>
        <w:t>（三）重点绩效评价结果。</w:t>
      </w:r>
    </w:p>
    <w:p w14:paraId="03254340">
      <w:pPr>
        <w:pStyle w:val="5"/>
        <w:shd w:val="clear" w:color="auto" w:fill="FFFFFF"/>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bookmarkStart w:id="0" w:name="_GoBack"/>
      <w:bookmarkEnd w:id="0"/>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我单位未开展重点绩效评价</w:t>
      </w:r>
    </w:p>
    <w:p w14:paraId="648EF13D">
      <w:pPr>
        <w:pStyle w:val="5"/>
        <w:shd w:val="clear" w:color="auto" w:fill="FFFFFF"/>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14:paraId="3C2B8D0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06D953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499D61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0A807C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091CDD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E04A29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664B1B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E4319C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724EE7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D59274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1F1906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13A41F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271A1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FF885B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44A0AE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06CC61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EA8334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61F76F8">
      <w:pPr>
        <w:pStyle w:val="5"/>
        <w:shd w:val="clear" w:color="auto" w:fill="FFFFFF"/>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14:paraId="6A8D8EC2">
      <w:pPr>
        <w:pStyle w:val="12"/>
        <w:snapToGrid w:val="0"/>
        <w:spacing w:beforeAutospacing="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67AC4B4B">
      <w:pPr>
        <w:pStyle w:val="12"/>
        <w:snapToGrid w:val="0"/>
        <w:spacing w:beforeAutospacing="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林罗平——15223200329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2C7865"/>
    <w:rsid w:val="002C7865"/>
    <w:rsid w:val="00522568"/>
    <w:rsid w:val="00C62FE2"/>
    <w:rsid w:val="02AF2B6A"/>
    <w:rsid w:val="072E056A"/>
    <w:rsid w:val="0CDD2A52"/>
    <w:rsid w:val="0D24767F"/>
    <w:rsid w:val="10E904CB"/>
    <w:rsid w:val="1B672584"/>
    <w:rsid w:val="27B52BC4"/>
    <w:rsid w:val="2A981479"/>
    <w:rsid w:val="2D1C387A"/>
    <w:rsid w:val="2FCB3B39"/>
    <w:rsid w:val="358B1E03"/>
    <w:rsid w:val="35E34777"/>
    <w:rsid w:val="3EA2685E"/>
    <w:rsid w:val="3EB912C4"/>
    <w:rsid w:val="42143C78"/>
    <w:rsid w:val="421A4855"/>
    <w:rsid w:val="48627937"/>
    <w:rsid w:val="4911055A"/>
    <w:rsid w:val="4A211D2D"/>
    <w:rsid w:val="4C49391D"/>
    <w:rsid w:val="4FBA68B3"/>
    <w:rsid w:val="4FBC0AE8"/>
    <w:rsid w:val="50295FED"/>
    <w:rsid w:val="54C60377"/>
    <w:rsid w:val="567B2B25"/>
    <w:rsid w:val="57130537"/>
    <w:rsid w:val="59077615"/>
    <w:rsid w:val="5A0E7CED"/>
    <w:rsid w:val="5E14754F"/>
    <w:rsid w:val="601E18C0"/>
    <w:rsid w:val="6049200C"/>
    <w:rsid w:val="609B2C09"/>
    <w:rsid w:val="65120C65"/>
    <w:rsid w:val="667F66ED"/>
    <w:rsid w:val="682021F8"/>
    <w:rsid w:val="6AA9520C"/>
    <w:rsid w:val="6BB22A33"/>
    <w:rsid w:val="6E702150"/>
    <w:rsid w:val="7816139E"/>
    <w:rsid w:val="7AD128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普通(网站)1"/>
    <w:basedOn w:val="1"/>
    <w:qFormat/>
    <w:uiPriority w:val="0"/>
    <w:pPr>
      <w:spacing w:beforeAutospacing="1" w:afterAutospacing="1"/>
    </w:pPr>
  </w:style>
  <w:style w:type="character" w:customStyle="1" w:styleId="13">
    <w:name w:val="页眉 Char"/>
    <w:basedOn w:val="7"/>
    <w:link w:val="3"/>
    <w:qFormat/>
    <w:uiPriority w:val="0"/>
    <w:rPr>
      <w:rFonts w:ascii="宋体" w:hAnsi="宋体"/>
      <w:sz w:val="18"/>
      <w:szCs w:val="18"/>
    </w:rPr>
  </w:style>
  <w:style w:type="character" w:customStyle="1" w:styleId="14">
    <w:name w:val="页脚 Char"/>
    <w:basedOn w:val="7"/>
    <w:link w:val="2"/>
    <w:qFormat/>
    <w:uiPriority w:val="0"/>
    <w:rPr>
      <w:rFonts w:ascii="宋体" w:hAnsi="宋体"/>
      <w:sz w:val="18"/>
      <w:szCs w:val="18"/>
    </w:rPr>
  </w:style>
  <w:style w:type="paragraph" w:customStyle="1" w:styleId="15">
    <w:name w:val="p15"/>
    <w:basedOn w:val="1"/>
    <w:qFormat/>
    <w:uiPriority w:val="0"/>
    <w:pPr>
      <w:widowControl/>
      <w:spacing w:before="100" w:after="1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2012dnd.com</Company>
  <Pages>12</Pages>
  <Words>5124</Words>
  <Characters>5815</Characters>
  <Lines>42</Lines>
  <Paragraphs>11</Paragraphs>
  <TotalTime>0</TotalTime>
  <ScaleCrop>false</ScaleCrop>
  <LinksUpToDate>false</LinksUpToDate>
  <CharactersWithSpaces>5860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2024-09-13T06:45:00Z</dcterms:created>
  <dc:creator>hp99</dc:creator>
  <cp:lastModifiedBy>。</cp:lastModifiedBy>
  <dcterms:modified xsi:type="dcterms:W3CDTF">2024-10-30T07:53:06Z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F4E1D4A8CF6C4819B740D75DEC08CE0B_12</vt:lpwstr>
  </property>
</Properties>
</file>