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Times New Roman" w:eastAsia="方正小标宋_GBK" w:cs="Times New Roman"/>
          <w:kern w:val="2"/>
          <w:sz w:val="44"/>
          <w:szCs w:val="44"/>
          <w:lang w:val="en-US" w:eastAsia="zh-CN" w:bidi="ar-SA"/>
        </w:rPr>
      </w:pPr>
      <w:r>
        <w:rPr>
          <w:rFonts w:hint="eastAsia" w:ascii="方正小标宋_GBK" w:hAnsi="Times New Roman" w:eastAsia="方正小标宋_GBK" w:cs="Times New Roman"/>
          <w:kern w:val="2"/>
          <w:sz w:val="44"/>
          <w:szCs w:val="44"/>
          <w:lang w:val="en-US" w:eastAsia="zh-CN" w:bidi="ar-SA"/>
        </w:rPr>
        <w:t>重庆市铜梁区巴川街道退役军人服务站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Times New Roman" w:eastAsia="方正小标宋_GBK" w:cs="Times New Roman"/>
          <w:kern w:val="2"/>
          <w:sz w:val="44"/>
          <w:szCs w:val="44"/>
          <w:lang w:val="en-US" w:eastAsia="zh-CN" w:bidi="ar-SA"/>
        </w:rPr>
      </w:pPr>
      <w:r>
        <w:rPr>
          <w:rFonts w:hint="eastAsia" w:ascii="方正小标宋_GBK" w:hAnsi="Times New Roman" w:eastAsia="方正小标宋_GBK" w:cs="Times New Roman"/>
          <w:kern w:val="2"/>
          <w:sz w:val="44"/>
          <w:szCs w:val="44"/>
          <w:lang w:val="en-US" w:eastAsia="zh-CN" w:bidi="ar-SA"/>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仿宋_GBK" w:hAnsi="方正仿宋_GBK" w:eastAsia="方正仿宋_GBK" w:cs="方正仿宋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 xml:space="preserve">一、单位基本情况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主要职责任务是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重庆市铜梁区巴川街道退役军人服务站无内设机构。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1.总体情况。2024年度收入总计80.28万元</w:t>
      </w:r>
      <w:r>
        <w:rPr>
          <w:rFonts w:hint="eastAsia" w:ascii="方正仿宋_GBK" w:hAnsi="方正仿宋_GBK" w:eastAsia="方正仿宋_GBK" w:cs="方正仿宋_GBK"/>
          <w:b w:val="0"/>
          <w:bCs w:val="0"/>
          <w:sz w:val="32"/>
          <w:szCs w:val="32"/>
          <w:shd w:val="clear" w:color="auto" w:fill="FFFFFF"/>
        </w:rPr>
        <w:t>，支出总计80.28</w:t>
      </w:r>
      <w:r>
        <w:rPr>
          <w:rFonts w:hint="eastAsia" w:ascii="方正仿宋_GBK" w:hAnsi="方正仿宋_GBK" w:eastAsia="方正仿宋_GBK" w:cs="方正仿宋_GBK"/>
          <w:b w:val="0"/>
          <w:bCs w:val="0"/>
          <w:sz w:val="32"/>
          <w:szCs w:val="32"/>
          <w:shd w:val="clear" w:color="auto" w:fill="FFFFFF"/>
        </w:rPr>
        <w:t>万元。收、支与2023年度相比，增加80.28万元，增长100.0%，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度收入合计80.28万元，与2023年度相比，增加80.28万元，增长100.0%，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80.28</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keepNext w:val="0"/>
        <w:keepLines w:val="0"/>
        <w:pageBreakBefore w:val="0"/>
        <w:widowControl/>
        <w:suppressLineNumbers w:val="0"/>
        <w:kinsoku/>
        <w:wordWrap/>
        <w:overflowPunct/>
        <w:topLinePunct w:val="0"/>
        <w:autoSpaceDN/>
        <w:bidi w:val="0"/>
        <w:adjustRightIn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80.28</w:t>
      </w:r>
      <w:r>
        <w:rPr>
          <w:rFonts w:hint="eastAsia" w:ascii="方正仿宋_GBK" w:hAnsi="方正仿宋_GBK" w:eastAsia="方正仿宋_GBK" w:cs="方正仿宋_GBK"/>
          <w:b w:val="0"/>
          <w:bCs w:val="0"/>
          <w:sz w:val="32"/>
          <w:szCs w:val="32"/>
          <w:shd w:val="clear" w:color="auto" w:fill="FFFFFF"/>
        </w:rPr>
        <w:t>万元，与2023年度相比，增加80.28万元，增长100.0%，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79.84</w:t>
      </w:r>
      <w:r>
        <w:rPr>
          <w:rFonts w:hint="eastAsia" w:ascii="方正仿宋_GBK" w:hAnsi="方正仿宋_GBK" w:eastAsia="方正仿宋_GBK" w:cs="方正仿宋_GBK"/>
          <w:b w:val="0"/>
          <w:bCs w:val="0"/>
          <w:sz w:val="32"/>
          <w:szCs w:val="32"/>
          <w:shd w:val="clear" w:color="auto" w:fill="FFFFFF"/>
        </w:rPr>
        <w:t>万元，占99.46%；项目支出</w:t>
      </w:r>
      <w:r>
        <w:rPr>
          <w:rFonts w:hint="eastAsia" w:ascii="方正仿宋_GBK" w:hAnsi="方正仿宋_GBK" w:eastAsia="方正仿宋_GBK" w:cs="方正仿宋_GBK"/>
          <w:b w:val="0"/>
          <w:bCs w:val="0"/>
          <w:sz w:val="32"/>
          <w:szCs w:val="32"/>
        </w:rPr>
        <w:t>0.44</w:t>
      </w:r>
      <w:r>
        <w:rPr>
          <w:rFonts w:hint="eastAsia" w:ascii="方正仿宋_GBK" w:hAnsi="方正仿宋_GBK" w:eastAsia="方正仿宋_GBK" w:cs="方正仿宋_GBK"/>
          <w:b w:val="0"/>
          <w:bCs w:val="0"/>
          <w:sz w:val="32"/>
          <w:szCs w:val="32"/>
          <w:shd w:val="clear" w:color="auto" w:fill="FFFFFF"/>
        </w:rPr>
        <w:t>万元，占0.54%；经营支出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8"/>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度财政拨款收、支总计80.28万元。与202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80.28</w:t>
      </w:r>
      <w:r>
        <w:rPr>
          <w:rFonts w:hint="eastAsia" w:ascii="方正仿宋_GBK" w:hAnsi="方正仿宋_GBK" w:eastAsia="方正仿宋_GBK" w:cs="方正仿宋_GBK"/>
          <w:b w:val="0"/>
          <w:bCs w:val="0"/>
          <w:sz w:val="32"/>
          <w:szCs w:val="32"/>
          <w:shd w:val="clear" w:color="auto" w:fill="FFFFFF"/>
        </w:rPr>
        <w:t>万元，与2023年度相比，增加80.28万元，增长100.0%。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较年初预算数减少20.56万元，下降20.4%。主要原因是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机构改革，事业编制人员调整、工会经费减少、公用经费减少。</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80.28</w:t>
      </w:r>
      <w:r>
        <w:rPr>
          <w:rFonts w:hint="eastAsia" w:ascii="方正仿宋_GBK" w:hAnsi="方正仿宋_GBK" w:eastAsia="方正仿宋_GBK" w:cs="方正仿宋_GBK"/>
          <w:b w:val="0"/>
          <w:bCs w:val="0"/>
          <w:sz w:val="32"/>
          <w:szCs w:val="32"/>
          <w:shd w:val="clear" w:color="auto" w:fill="FFFFFF"/>
        </w:rPr>
        <w:t>万元，与2023年度相比，增加80.28万元，增长100.0%。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较年初预算数减少20.56万元，下降20.4%。主要原因是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机构改革，事业编制人员调整、工会经费减少、公用经费减少。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）社会保障与就业支出</w:t>
      </w:r>
      <w:r>
        <w:rPr>
          <w:rFonts w:hint="eastAsia" w:ascii="方正仿宋_GBK" w:hAnsi="方正仿宋_GBK" w:eastAsia="方正仿宋_GBK" w:cs="方正仿宋_GBK"/>
          <w:b w:val="0"/>
          <w:bCs w:val="0"/>
          <w:sz w:val="32"/>
          <w:szCs w:val="32"/>
        </w:rPr>
        <w:t>73.41</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91.44</w:t>
      </w:r>
      <w:r>
        <w:rPr>
          <w:rFonts w:hint="eastAsia" w:ascii="方正仿宋_GBK" w:hAnsi="方正仿宋_GBK" w:eastAsia="方正仿宋_GBK" w:cs="方正仿宋_GBK"/>
          <w:b w:val="0"/>
          <w:bCs w:val="0"/>
          <w:sz w:val="32"/>
          <w:szCs w:val="32"/>
          <w:shd w:val="clear" w:color="auto" w:fill="FFFFFF"/>
        </w:rPr>
        <w:t>%，较年初预算数减少19.31万元，下降20.8%，主要原因是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2.97</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3.71</w:t>
      </w:r>
      <w:r>
        <w:rPr>
          <w:rFonts w:hint="eastAsia" w:ascii="方正仿宋_GBK" w:hAnsi="方正仿宋_GBK" w:eastAsia="方正仿宋_GBK" w:cs="方正仿宋_GBK"/>
          <w:b w:val="0"/>
          <w:bCs w:val="0"/>
          <w:sz w:val="32"/>
          <w:szCs w:val="32"/>
          <w:shd w:val="clear" w:color="auto" w:fill="FFFFFF"/>
        </w:rPr>
        <w:t>%，较年初预算数减少1.25万元，下降29.6%，主要原因是</w:t>
      </w:r>
      <w:r>
        <w:rPr>
          <w:rFonts w:hint="eastAsia" w:ascii="方正仿宋_GBK" w:hAnsi="方正仿宋_GBK" w:eastAsia="方正仿宋_GBK" w:cs="方正仿宋_GBK"/>
          <w:b w:val="0"/>
          <w:bCs w:val="0"/>
          <w:sz w:val="32"/>
          <w:szCs w:val="32"/>
          <w:shd w:val="clear" w:color="auto" w:fill="FFFFFF"/>
          <w:lang w:eastAsia="zh-CN"/>
        </w:rPr>
        <w:t>机构改革，事业编制人员调整。</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住房保障支出3.89</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4.85</w:t>
      </w:r>
      <w:r>
        <w:rPr>
          <w:rFonts w:hint="eastAsia" w:ascii="方正仿宋_GBK" w:hAnsi="方正仿宋_GBK" w:eastAsia="方正仿宋_GBK" w:cs="方正仿宋_GBK"/>
          <w:b w:val="0"/>
          <w:bCs w:val="0"/>
          <w:sz w:val="32"/>
          <w:szCs w:val="32"/>
          <w:shd w:val="clear" w:color="auto" w:fill="FFFFFF"/>
        </w:rPr>
        <w:t>%，较年初预算数无增减</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 </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79.84</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74.90</w:t>
      </w:r>
      <w:r>
        <w:rPr>
          <w:rFonts w:hint="eastAsia" w:ascii="方正仿宋_GBK" w:hAnsi="方正仿宋_GBK" w:eastAsia="方正仿宋_GBK" w:cs="方正仿宋_GBK"/>
          <w:b w:val="0"/>
          <w:bCs w:val="0"/>
          <w:sz w:val="32"/>
          <w:szCs w:val="32"/>
          <w:shd w:val="clear" w:color="auto" w:fill="FFFFFF"/>
        </w:rPr>
        <w:t>万元，与2023年度相比，增加74.90万元，增长100.0%，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4.94</w:t>
      </w:r>
      <w:r>
        <w:rPr>
          <w:rFonts w:hint="eastAsia" w:ascii="方正仿宋_GBK" w:hAnsi="方正仿宋_GBK" w:eastAsia="方正仿宋_GBK" w:cs="方正仿宋_GBK"/>
          <w:b w:val="0"/>
          <w:bCs w:val="0"/>
          <w:sz w:val="32"/>
          <w:szCs w:val="32"/>
          <w:shd w:val="clear" w:color="auto" w:fill="FFFFFF"/>
        </w:rPr>
        <w:t>万元，与2023年度相比，增加4.94万元，增长100.0%，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公用经费用途</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主要包括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离退休干部经费、工会经费、职工教育费。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 （一）“三公”经费支出总体情况说明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万元，较年初预算数无增减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bookmarkStart w:id="0" w:name="_GoBack"/>
      <w:bookmarkEnd w:id="0"/>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r>
        <w:rPr>
          <w:rFonts w:hint="eastAsia" w:ascii="方正仿宋_GBK" w:hAnsi="方正仿宋_GBK" w:eastAsia="方正仿宋_GBK" w:cs="方正仿宋_GBK"/>
          <w:b w:val="0"/>
          <w:bCs w:val="0"/>
          <w:sz w:val="32"/>
          <w:szCs w:val="32"/>
          <w:shd w:val="clear" w:color="auto" w:fill="FFFFFF"/>
        </w:rPr>
        <w:t>。本年度培训费支出</w:t>
      </w:r>
      <w:r>
        <w:rPr>
          <w:rFonts w:hint="eastAsia" w:ascii="方正仿宋_GBK" w:hAnsi="方正仿宋_GBK" w:eastAsia="方正仿宋_GBK" w:cs="方正仿宋_GBK"/>
          <w:b w:val="0"/>
          <w:bCs w:val="0"/>
          <w:sz w:val="32"/>
          <w:szCs w:val="32"/>
        </w:rPr>
        <w:t>0.41</w:t>
      </w:r>
      <w:r>
        <w:rPr>
          <w:rFonts w:hint="eastAsia" w:ascii="方正仿宋_GBK" w:hAnsi="方正仿宋_GBK" w:eastAsia="方正仿宋_GBK" w:cs="方正仿宋_GBK"/>
          <w:b w:val="0"/>
          <w:bCs w:val="0"/>
          <w:sz w:val="32"/>
          <w:szCs w:val="32"/>
          <w:shd w:val="clear" w:color="auto" w:fill="FFFFFF"/>
        </w:rPr>
        <w:t>万元，与2023年度相比，增加0.41万元，增长100.0%，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r>
        <w:rPr>
          <w:rFonts w:hint="eastAsia" w:ascii="方正仿宋_GBK" w:hAnsi="方正仿宋_GBK" w:eastAsia="方正仿宋_GBK" w:cs="方正仿宋_GBK"/>
          <w:b w:val="0"/>
          <w:bCs w:val="0"/>
          <w:sz w:val="32"/>
          <w:szCs w:val="32"/>
          <w:shd w:val="clear" w:color="auto" w:fill="FFFFFF"/>
          <w:lang w:val="en-US" w:eastAsia="zh-CN" w:bidi="ar-SA"/>
        </w:rPr>
        <w:t>巴川街道退役军人服务站</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2024年度我单位未发生政府采购事项，无相关经费支出。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0.44</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方正仿宋_GBK" w:hAnsi="方正仿宋_GBK" w:eastAsia="方正仿宋_GBK" w:cs="方正仿宋_GBK"/>
          <w:b w:val="0"/>
          <w:bCs w:val="0"/>
          <w:sz w:val="32"/>
          <w:szCs w:val="32"/>
          <w:shd w:val="clear" w:color="auto" w:fill="FFFFFF"/>
          <w:lang w:val="en-US" w:eastAsia="zh-CN" w:bidi="ar-SA"/>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1"/>
          <w:rFonts w:hint="eastAsia" w:ascii="方正仿宋_GBK" w:hAnsi="方正仿宋_GBK" w:eastAsia="方正仿宋_GBK" w:cs="方正仿宋_GBK"/>
          <w:b w:val="0"/>
          <w:bCs w:val="0"/>
          <w:sz w:val="32"/>
          <w:szCs w:val="32"/>
          <w:shd w:val="clear" w:fill="FFFF00"/>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6E2954"/>
    <w:rsid w:val="107B59E5"/>
    <w:rsid w:val="11003CB0"/>
    <w:rsid w:val="111445C7"/>
    <w:rsid w:val="1158083A"/>
    <w:rsid w:val="119B3316"/>
    <w:rsid w:val="11F03528"/>
    <w:rsid w:val="12C921C4"/>
    <w:rsid w:val="13850DCB"/>
    <w:rsid w:val="13871C70"/>
    <w:rsid w:val="13A71CB4"/>
    <w:rsid w:val="13AF1D43"/>
    <w:rsid w:val="13C643C6"/>
    <w:rsid w:val="13CE1647"/>
    <w:rsid w:val="141A11EA"/>
    <w:rsid w:val="14200702"/>
    <w:rsid w:val="148E377E"/>
    <w:rsid w:val="1580711B"/>
    <w:rsid w:val="176454B2"/>
    <w:rsid w:val="189B0D0B"/>
    <w:rsid w:val="194A1770"/>
    <w:rsid w:val="19917D9C"/>
    <w:rsid w:val="19B906A4"/>
    <w:rsid w:val="1A1F744B"/>
    <w:rsid w:val="1A4854EC"/>
    <w:rsid w:val="1B6F15B6"/>
    <w:rsid w:val="1BAA2EDC"/>
    <w:rsid w:val="1C7B5275"/>
    <w:rsid w:val="1CE157EE"/>
    <w:rsid w:val="1D014A01"/>
    <w:rsid w:val="1D022362"/>
    <w:rsid w:val="1DD26311"/>
    <w:rsid w:val="1EF67CA4"/>
    <w:rsid w:val="1FCD26AF"/>
    <w:rsid w:val="20642787"/>
    <w:rsid w:val="21253E0C"/>
    <w:rsid w:val="21556F04"/>
    <w:rsid w:val="22403BD3"/>
    <w:rsid w:val="24932670"/>
    <w:rsid w:val="24B92327"/>
    <w:rsid w:val="2533755C"/>
    <w:rsid w:val="25C452C8"/>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921082"/>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854290A"/>
    <w:rsid w:val="495C4A24"/>
    <w:rsid w:val="4AD70EE7"/>
    <w:rsid w:val="4B5E145C"/>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002DB9"/>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4C5B36"/>
    <w:rsid w:val="665C1999"/>
    <w:rsid w:val="667F2393"/>
    <w:rsid w:val="66EE5541"/>
    <w:rsid w:val="692172FD"/>
    <w:rsid w:val="6A3829EE"/>
    <w:rsid w:val="6B474EF5"/>
    <w:rsid w:val="6C560CAE"/>
    <w:rsid w:val="6CDE5314"/>
    <w:rsid w:val="6D0615E4"/>
    <w:rsid w:val="6D903FF5"/>
    <w:rsid w:val="6DA955B8"/>
    <w:rsid w:val="6DE346AB"/>
    <w:rsid w:val="6F7F6A2D"/>
    <w:rsid w:val="6FB442D1"/>
    <w:rsid w:val="6FFB2E76"/>
    <w:rsid w:val="71C34D91"/>
    <w:rsid w:val="71ED38AA"/>
    <w:rsid w:val="720229AA"/>
    <w:rsid w:val="72B404C9"/>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11</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2025-10-16T07:07:44Z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