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重庆市铜梁区巴川街道社区事务服务中心</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仿宋_GBK" w:hAnsi="方正仿宋_GBK" w:eastAsia="方正仿宋_GBK" w:cs="方正仿宋_GBK"/>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一、单位基本情况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主要职责任务是承担指导居委会的管理和办理社区服务，健全社区服务网络，完善社区服务体系，承担城乡社区服务业务培训、指导等具体工</w:t>
      </w:r>
      <w:bookmarkStart w:id="0" w:name="_GoBack"/>
      <w:bookmarkEnd w:id="0"/>
      <w:r>
        <w:rPr>
          <w:rFonts w:hint="eastAsia" w:ascii="方正仿宋_GBK" w:hAnsi="方正仿宋_GBK" w:eastAsia="方正仿宋_GBK" w:cs="方正仿宋_GBK"/>
          <w:b w:val="0"/>
          <w:bCs w:val="0"/>
          <w:sz w:val="32"/>
          <w:szCs w:val="32"/>
          <w:shd w:val="clear" w:color="auto" w:fill="FFFFFF"/>
          <w:lang w:val="en-US" w:eastAsia="zh-CN"/>
        </w:rPr>
        <w:t>作，承担精神文明创建和志愿服务等工作，完成主管部门交办的其他任务。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重庆市铜梁区巴川街道社区事务服务中心无内设机构。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二、单位决算收支情况说明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1.总体情况。2024年度收入总计134.62万元，支出总计134.62万元。收、支与2023年度相比，增加134.62万元，增长100.0%，主要原因是2024年依据财政局要求，本单位将事业单位划分为重庆市铜梁区巴川街道社区事务服务</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度收入合计134.62万元，与2023年度相比，增加134.62万元，增长100.0%，主要原因是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社区事务服务中心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rPr>
        <w:t>134.62</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万元，占0.00%；经营收入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万元，占0.00%；其他收入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万元，占0.00%。此外，使用非财政拨款结余和专用结余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万元，年初结转和结余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度支出合计</w:t>
      </w:r>
      <w:r>
        <w:rPr>
          <w:rFonts w:hint="eastAsia" w:ascii="方正仿宋_GBK" w:hAnsi="方正仿宋_GBK" w:eastAsia="方正仿宋_GBK" w:cs="方正仿宋_GBK"/>
          <w:b w:val="0"/>
          <w:bCs w:val="0"/>
          <w:sz w:val="32"/>
          <w:szCs w:val="32"/>
        </w:rPr>
        <w:t>134.62</w:t>
      </w:r>
      <w:r>
        <w:rPr>
          <w:rFonts w:hint="eastAsia" w:ascii="方正仿宋_GBK" w:hAnsi="方正仿宋_GBK" w:eastAsia="方正仿宋_GBK" w:cs="方正仿宋_GBK"/>
          <w:b w:val="0"/>
          <w:bCs w:val="0"/>
          <w:sz w:val="32"/>
          <w:szCs w:val="32"/>
          <w:shd w:val="clear" w:color="auto" w:fill="FFFFFF"/>
        </w:rPr>
        <w:t>万元，与2023年度相比，增加134.62万元，增长100.0%，主要原因是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社区事务服务中心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rPr>
        <w:t>114.62</w:t>
      </w:r>
      <w:r>
        <w:rPr>
          <w:rFonts w:hint="eastAsia" w:ascii="方正仿宋_GBK" w:hAnsi="方正仿宋_GBK" w:eastAsia="方正仿宋_GBK" w:cs="方正仿宋_GBK"/>
          <w:b w:val="0"/>
          <w:bCs w:val="0"/>
          <w:sz w:val="32"/>
          <w:szCs w:val="32"/>
          <w:shd w:val="clear" w:color="auto" w:fill="FFFFFF"/>
        </w:rPr>
        <w:t>万元，占85.14%；项目支出</w:t>
      </w:r>
      <w:r>
        <w:rPr>
          <w:rFonts w:hint="eastAsia" w:ascii="方正仿宋_GBK" w:hAnsi="方正仿宋_GBK" w:eastAsia="方正仿宋_GBK" w:cs="方正仿宋_GBK"/>
          <w:b w:val="0"/>
          <w:bCs w:val="0"/>
          <w:sz w:val="32"/>
          <w:szCs w:val="32"/>
        </w:rPr>
        <w:t>20.00</w:t>
      </w:r>
      <w:r>
        <w:rPr>
          <w:rFonts w:hint="eastAsia" w:ascii="方正仿宋_GBK" w:hAnsi="方正仿宋_GBK" w:eastAsia="方正仿宋_GBK" w:cs="方正仿宋_GBK"/>
          <w:b w:val="0"/>
          <w:bCs w:val="0"/>
          <w:sz w:val="32"/>
          <w:szCs w:val="32"/>
          <w:shd w:val="clear" w:color="auto" w:fill="FFFFFF"/>
        </w:rPr>
        <w:t>万元，占14.86%；经营支出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万元，占0.00%。此外，结余分配</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Style w:val="8"/>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度财政拨款收、支总计134.62万元。与202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年相比，财政拨款收、支总计各增加134.62万元，增长100.0%。主要原因是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社区事务服务中心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度一般公共预算财政拨款收入</w:t>
      </w:r>
      <w:r>
        <w:rPr>
          <w:rFonts w:hint="eastAsia" w:ascii="方正仿宋_GBK" w:hAnsi="方正仿宋_GBK" w:eastAsia="方正仿宋_GBK" w:cs="方正仿宋_GBK"/>
          <w:b w:val="0"/>
          <w:bCs w:val="0"/>
          <w:sz w:val="32"/>
          <w:szCs w:val="32"/>
        </w:rPr>
        <w:t>134.62</w:t>
      </w:r>
      <w:r>
        <w:rPr>
          <w:rFonts w:hint="eastAsia" w:ascii="方正仿宋_GBK" w:hAnsi="方正仿宋_GBK" w:eastAsia="方正仿宋_GBK" w:cs="方正仿宋_GBK"/>
          <w:b w:val="0"/>
          <w:bCs w:val="0"/>
          <w:sz w:val="32"/>
          <w:szCs w:val="32"/>
          <w:shd w:val="clear" w:color="auto" w:fill="FFFFFF"/>
        </w:rPr>
        <w:t>万元，与2023年度相比，增加134.62万元，增长100.0%。主要原因是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社区事务服务中心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较年初预算数减少22.26万元，下降14.2%。主要原因是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机构改革，事业编制人员调整、工会经费减少、公用经费减少。</w:t>
      </w:r>
      <w:r>
        <w:rPr>
          <w:rFonts w:hint="eastAsia" w:ascii="方正仿宋_GBK" w:hAnsi="方正仿宋_GBK" w:eastAsia="方正仿宋_GBK" w:cs="方正仿宋_GBK"/>
          <w:b w:val="0"/>
          <w:bCs w:val="0"/>
          <w:sz w:val="32"/>
          <w:szCs w:val="32"/>
          <w:shd w:val="clear" w:color="auto" w:fill="FFFFFF"/>
        </w:rPr>
        <w:t>此外，年初财政拨款结转和结余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8"/>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w:t>
      </w:r>
      <w:r>
        <w:rPr>
          <w:rFonts w:hint="eastAsia" w:ascii="方正仿宋_GBK" w:hAnsi="方正仿宋_GBK" w:eastAsia="方正仿宋_GBK" w:cs="方正仿宋_GBK"/>
          <w:b w:val="0"/>
          <w:bCs w:val="0"/>
          <w:sz w:val="32"/>
          <w:szCs w:val="32"/>
        </w:rPr>
        <w:t>134.62</w:t>
      </w:r>
      <w:r>
        <w:rPr>
          <w:rFonts w:hint="eastAsia" w:ascii="方正仿宋_GBK" w:hAnsi="方正仿宋_GBK" w:eastAsia="方正仿宋_GBK" w:cs="方正仿宋_GBK"/>
          <w:b w:val="0"/>
          <w:bCs w:val="0"/>
          <w:sz w:val="32"/>
          <w:szCs w:val="32"/>
          <w:shd w:val="clear" w:color="auto" w:fill="FFFFFF"/>
        </w:rPr>
        <w:t>万元，与2023年度相比，增加134.62万元，增长100.0%。主要原因是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社区事务服务中心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较年初预算数减少22.26万元，下降14.2%。主要原因是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机构改革，事业编制人员调整、工会经费减少、公用经费减少。</w:t>
      </w:r>
      <w:r>
        <w:rPr>
          <w:rFonts w:hint="eastAsia" w:ascii="方正仿宋_GBK" w:hAnsi="方正仿宋_GBK" w:eastAsia="方正仿宋_GBK" w:cs="方正仿宋_GBK"/>
          <w:b w:val="0"/>
          <w:bCs w:val="0"/>
          <w:sz w:val="32"/>
          <w:szCs w:val="32"/>
          <w:shd w:val="clear" w:color="auto" w:fill="FFFFFF"/>
          <w:lang w:val="en-US" w:eastAsia="zh-CN"/>
        </w:rPr>
        <w:t xml:space="preserve">    </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Style w:val="8"/>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度年末一般公共预算财政拨款结转和结余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）社会保障与就业支出</w:t>
      </w:r>
      <w:r>
        <w:rPr>
          <w:rFonts w:hint="eastAsia" w:ascii="方正仿宋_GBK" w:hAnsi="方正仿宋_GBK" w:eastAsia="方正仿宋_GBK" w:cs="方正仿宋_GBK"/>
          <w:b w:val="0"/>
          <w:bCs w:val="0"/>
          <w:sz w:val="32"/>
          <w:szCs w:val="32"/>
        </w:rPr>
        <w:t>9.34</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6.94</w:t>
      </w:r>
      <w:r>
        <w:rPr>
          <w:rFonts w:hint="eastAsia" w:ascii="方正仿宋_GBK" w:hAnsi="方正仿宋_GBK" w:eastAsia="方正仿宋_GBK" w:cs="方正仿宋_GBK"/>
          <w:b w:val="0"/>
          <w:bCs w:val="0"/>
          <w:sz w:val="32"/>
          <w:szCs w:val="32"/>
          <w:shd w:val="clear" w:color="auto" w:fill="FFFFFF"/>
        </w:rPr>
        <w:t>%，较年初预算数减少0.83万元，下降8.2%，主要原因是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hint="eastAsia"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rPr>
        <w:t>3.89</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2.89</w:t>
      </w:r>
      <w:r>
        <w:rPr>
          <w:rFonts w:hint="eastAsia" w:ascii="方正仿宋_GBK" w:hAnsi="方正仿宋_GBK" w:eastAsia="方正仿宋_GBK" w:cs="方正仿宋_GBK"/>
          <w:b w:val="0"/>
          <w:bCs w:val="0"/>
          <w:sz w:val="32"/>
          <w:szCs w:val="32"/>
          <w:shd w:val="clear" w:color="auto" w:fill="FFFFFF"/>
        </w:rPr>
        <w:t>%，较年初预算数减少1.62万元，下降29.4%，主要原因是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）城乡社区支出</w:t>
      </w:r>
      <w:r>
        <w:rPr>
          <w:rFonts w:hint="eastAsia" w:ascii="方正仿宋_GBK" w:hAnsi="方正仿宋_GBK" w:eastAsia="方正仿宋_GBK" w:cs="方正仿宋_GBK"/>
          <w:b w:val="0"/>
          <w:bCs w:val="0"/>
          <w:sz w:val="32"/>
          <w:szCs w:val="32"/>
        </w:rPr>
        <w:t>116.31</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86.40</w:t>
      </w:r>
      <w:r>
        <w:rPr>
          <w:rFonts w:hint="eastAsia" w:ascii="方正仿宋_GBK" w:hAnsi="方正仿宋_GBK" w:eastAsia="方正仿宋_GBK" w:cs="方正仿宋_GBK"/>
          <w:b w:val="0"/>
          <w:bCs w:val="0"/>
          <w:sz w:val="32"/>
          <w:szCs w:val="32"/>
          <w:shd w:val="clear" w:color="auto" w:fill="FFFFFF"/>
        </w:rPr>
        <w:t>%，较年初预算数减少19.82</w:t>
      </w:r>
      <w:r>
        <w:rPr>
          <w:rFonts w:hint="eastAsia" w:ascii="方正仿宋_GBK" w:hAnsi="方正仿宋_GBK" w:eastAsia="方正仿宋_GBK" w:cs="方正仿宋_GBK"/>
          <w:b w:val="0"/>
          <w:bCs w:val="0"/>
          <w:sz w:val="32"/>
          <w:szCs w:val="32"/>
        </w:rPr>
        <w:t>万元，下降14.6%，主要原因是</w:t>
      </w:r>
      <w:r>
        <w:rPr>
          <w:rFonts w:hint="eastAsia" w:ascii="方正仿宋_GBK" w:hAnsi="方正仿宋_GBK" w:eastAsia="方正仿宋_GBK" w:cs="方正仿宋_GBK"/>
          <w:b w:val="0"/>
          <w:bCs w:val="0"/>
          <w:sz w:val="32"/>
          <w:szCs w:val="32"/>
          <w:lang w:eastAsia="zh-CN"/>
        </w:rPr>
        <w:t>公用经费减少。</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rPr>
        <w:t>住房保障支出5.08</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3.77</w:t>
      </w:r>
      <w:r>
        <w:rPr>
          <w:rFonts w:hint="eastAsia" w:ascii="方正仿宋_GBK" w:hAnsi="方正仿宋_GBK" w:eastAsia="方正仿宋_GBK" w:cs="方正仿宋_GBK"/>
          <w:b w:val="0"/>
          <w:bCs w:val="0"/>
          <w:sz w:val="32"/>
          <w:szCs w:val="32"/>
          <w:shd w:val="clear" w:color="auto" w:fill="FFFFFF"/>
        </w:rPr>
        <w:t>%，较年初预算数无增减</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 </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度一般公共财政拨款基本支出</w:t>
      </w:r>
      <w:r>
        <w:rPr>
          <w:rFonts w:hint="eastAsia" w:ascii="方正仿宋_GBK" w:hAnsi="方正仿宋_GBK" w:eastAsia="方正仿宋_GBK" w:cs="方正仿宋_GBK"/>
          <w:b w:val="0"/>
          <w:bCs w:val="0"/>
          <w:sz w:val="32"/>
          <w:szCs w:val="32"/>
        </w:rPr>
        <w:t>114.62</w:t>
      </w:r>
      <w:r>
        <w:rPr>
          <w:rFonts w:hint="eastAsia"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rPr>
        <w:t>101.97</w:t>
      </w:r>
      <w:r>
        <w:rPr>
          <w:rFonts w:hint="eastAsia" w:ascii="方正仿宋_GBK" w:hAnsi="方正仿宋_GBK" w:eastAsia="方正仿宋_GBK" w:cs="方正仿宋_GBK"/>
          <w:b w:val="0"/>
          <w:bCs w:val="0"/>
          <w:sz w:val="32"/>
          <w:szCs w:val="32"/>
          <w:shd w:val="clear" w:color="auto" w:fill="FFFFFF"/>
        </w:rPr>
        <w:t>万元，与2023年度相比，增加101.97万元，增长100.0%，主要原因是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社区事务服务中心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w:t>
      </w:r>
      <w:r>
        <w:rPr>
          <w:rFonts w:hint="eastAsia" w:ascii="方正仿宋_GBK" w:hAnsi="方正仿宋_GBK" w:eastAsia="方正仿宋_GBK" w:cs="方正仿宋_GBK"/>
          <w:b w:val="0"/>
          <w:bCs w:val="0"/>
          <w:sz w:val="32"/>
          <w:szCs w:val="32"/>
          <w:shd w:val="clear" w:color="auto" w:fill="FFFFFF"/>
        </w:rPr>
        <w:t>公用经费</w:t>
      </w:r>
      <w:r>
        <w:rPr>
          <w:rFonts w:hint="eastAsia" w:ascii="方正仿宋_GBK" w:hAnsi="方正仿宋_GBK" w:eastAsia="方正仿宋_GBK" w:cs="方正仿宋_GBK"/>
          <w:b w:val="0"/>
          <w:bCs w:val="0"/>
          <w:sz w:val="32"/>
          <w:szCs w:val="32"/>
        </w:rPr>
        <w:t>12.65</w:t>
      </w:r>
      <w:r>
        <w:rPr>
          <w:rFonts w:hint="eastAsia" w:ascii="方正仿宋_GBK" w:hAnsi="方正仿宋_GBK" w:eastAsia="方正仿宋_GBK" w:cs="方正仿宋_GBK"/>
          <w:b w:val="0"/>
          <w:bCs w:val="0"/>
          <w:sz w:val="32"/>
          <w:szCs w:val="32"/>
          <w:shd w:val="clear" w:color="auto" w:fill="FFFFFF"/>
        </w:rPr>
        <w:t>万元，与2023年度相比，增加12.65万元，增长100.0%，主要原因是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社区事务服务中心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公用经费用途</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主要包括</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离退休干部经费、工会经费。</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本单位2024年度无政府性基金预算财政拨款收支。</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（一）“三公”经费支出总体情况说明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度“三公”经费支出共计</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万元，较年初预算数无增减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度本单位因公出国（境）费用</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公务车购置费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万元。费用支出较年初预算数无增减。与2023年度相比无增减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较上年支出数无增减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度本单位因公出国（境）共计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个团组，</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人；公务用车购置</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辆，公务车保有量为</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辆；国内公务接待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人，其中：国内外事接待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人；国（境）外公务接待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本单位人均接待费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元，车均购置费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万元，车均维护费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r>
        <w:rPr>
          <w:rFonts w:hint="eastAsia" w:ascii="方正仿宋_GBK" w:hAnsi="方正仿宋_GBK" w:eastAsia="方正仿宋_GBK" w:cs="方正仿宋_GBK"/>
          <w:b w:val="0"/>
          <w:bCs w:val="0"/>
          <w:sz w:val="32"/>
          <w:szCs w:val="32"/>
          <w:shd w:val="clear" w:color="auto" w:fill="FFFFFF"/>
        </w:rPr>
        <w:t>本年度培训费支出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w:t>
      </w:r>
      <w:r>
        <w:rPr>
          <w:rFonts w:hint="eastAsia" w:ascii="方正仿宋_GBK" w:hAnsi="方正仿宋_GBK" w:eastAsia="方正仿宋_GBK" w:cs="方正仿宋_GBK"/>
          <w:b w:val="0"/>
          <w:bCs w:val="0"/>
          <w:sz w:val="32"/>
          <w:szCs w:val="32"/>
          <w:shd w:val="clear" w:color="auto" w:fill="FFFFFF"/>
          <w:lang w:eastAsia="zh-CN"/>
        </w:rPr>
        <w:t>增减，与上年持平。</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FF0000"/>
          <w:sz w:val="32"/>
          <w:szCs w:val="32"/>
        </w:rPr>
      </w:pPr>
      <w:r>
        <w:rPr>
          <w:rFonts w:hint="eastAsia" w:ascii="方正仿宋_GBK" w:hAnsi="方正仿宋_GBK" w:eastAsia="方正仿宋_GBK" w:cs="方正仿宋_GBK"/>
          <w:b w:val="0"/>
          <w:bCs w:val="0"/>
          <w:sz w:val="32"/>
          <w:szCs w:val="32"/>
          <w:shd w:val="clear" w:color="auto" w:fill="FFFFFF"/>
        </w:rPr>
        <w:t>按照部门决算列报口径，我单位不在机关运行经费统计范围之内。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12月31日，本单位共有车辆</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辆，其中，副部（省）级及以上领导用车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辆、主要负责人用车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辆、执法执勤用车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辆，特种专业技术用车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辆，离退休干部用车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辆。单价100万元（含）以上专用设备</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台（套）。</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val="en-US" w:eastAsia="zh-CN" w:bidi="ar-SA"/>
        </w:rPr>
      </w:pPr>
      <w:r>
        <w:rPr>
          <w:rFonts w:hint="eastAsia" w:ascii="方正仿宋_GBK" w:hAnsi="方正仿宋_GBK" w:eastAsia="方正仿宋_GBK" w:cs="方正仿宋_GBK"/>
          <w:b w:val="0"/>
          <w:bCs w:val="0"/>
          <w:kern w:val="0"/>
          <w:sz w:val="32"/>
          <w:szCs w:val="32"/>
          <w:shd w:val="clear" w:fill="FFFFFF"/>
          <w:lang w:val="en-US" w:eastAsia="zh-CN" w:bidi="ar-SA"/>
        </w:rPr>
        <w:t>2024年度我单位未发生政府采购事项，无相关经费支出。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方正仿宋_GBK" w:hAnsi="方正仿宋_GBK" w:eastAsia="方正仿宋_GBK" w:cs="方正仿宋_GBK"/>
          <w:b w:val="0"/>
          <w:bCs w:val="0"/>
          <w:kern w:val="0"/>
          <w:sz w:val="32"/>
          <w:szCs w:val="32"/>
          <w:shd w:val="clear" w:fill="FFFFFF"/>
          <w:lang w:val="en-US" w:eastAsia="zh-CN"/>
        </w:rPr>
        <w:t>20</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方正仿宋_GBK" w:hAnsi="方正仿宋_GBK" w:eastAsia="方正仿宋_GBK" w:cs="方正仿宋_GBK"/>
          <w:b w:val="0"/>
          <w:bCs w:val="0"/>
          <w:kern w:val="0"/>
          <w:sz w:val="32"/>
          <w:szCs w:val="32"/>
          <w:shd w:val="clear" w:fill="FFFFFF"/>
          <w:lang w:val="en-US" w:eastAsia="zh-CN"/>
        </w:rPr>
        <w:t>1个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方正仿宋_GBK" w:hAnsi="方正仿宋_GBK" w:eastAsia="方正仿宋_GBK" w:cs="方正仿宋_GBK"/>
          <w:b w:val="0"/>
          <w:bCs w:val="0"/>
          <w:sz w:val="32"/>
          <w:szCs w:val="32"/>
          <w:shd w:val="clear" w:color="auto" w:fill="FFFFFF"/>
          <w:lang w:val="en-US" w:eastAsia="zh-CN" w:bidi="ar-SA"/>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C44B59"/>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A0346"/>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231F24"/>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3D3C2B"/>
    <w:rsid w:val="50DE1912"/>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AE4102"/>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820C7E"/>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2025-10-16T07:09:59Z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