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56D3A">
      <w:pPr>
        <w:pStyle w:val="3"/>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w:t>
      </w:r>
      <w:r>
        <w:rPr>
          <w:rFonts w:hint="eastAsia" w:ascii="方正小标宋_GBK" w:hAnsi="方正小标宋_GBK" w:eastAsia="方正小标宋_GBK" w:cs="方正小标宋_GBK"/>
          <w:sz w:val="36"/>
          <w:szCs w:val="36"/>
          <w:lang w:val="en-US" w:eastAsia="zh-CN"/>
        </w:rPr>
        <w:t>人民政府</w:t>
      </w:r>
      <w:r>
        <w:rPr>
          <w:rFonts w:ascii="方正小标宋_GBK" w:hAnsi="方正小标宋_GBK" w:eastAsia="方正小标宋_GBK" w:cs="方正小标宋_GBK"/>
          <w:sz w:val="36"/>
          <w:szCs w:val="36"/>
        </w:rPr>
        <w:t>巴川街道办事处</w:t>
      </w:r>
    </w:p>
    <w:p w14:paraId="4E493E21">
      <w:pPr>
        <w:pStyle w:val="3"/>
        <w:spacing w:before="0" w:beforeAutospacing="0"/>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14:paraId="41B71D58">
      <w:pPr>
        <w:widowControl w:val="0"/>
        <w:spacing w:line="560" w:lineRule="exact"/>
        <w:jc w:val="both"/>
        <w:rPr>
          <w:rFonts w:hint="default" w:ascii="方正仿宋_GBK" w:hAnsi="Times New Roman" w:eastAsia="方正仿宋_GBK" w:cs="Times New Roman"/>
          <w:kern w:val="2"/>
          <w:sz w:val="32"/>
          <w:szCs w:val="32"/>
          <w:lang w:val="en-US" w:eastAsia="zh-CN"/>
        </w:rPr>
      </w:pPr>
    </w:p>
    <w:p w14:paraId="2CE3A6B2">
      <w:pPr>
        <w:pStyle w:val="3"/>
        <w:shd w:val="clear" w:color="auto" w:fill="FFFFFF"/>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一、部门基本情况</w:t>
      </w:r>
    </w:p>
    <w:p w14:paraId="1F661476">
      <w:pPr>
        <w:pStyle w:val="3"/>
        <w:shd w:val="clear" w:color="auto" w:fill="FFFFFF"/>
        <w:ind w:firstLine="420"/>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14:paraId="03107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在区委、区政府的领导下，贯彻执行党和国家各项方针、政策、法律、法规；负责辖区内的地区性、群众性、公益性、社会性工作。</w:t>
      </w:r>
    </w:p>
    <w:p w14:paraId="3D287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负责精神文明建设工作，积极组织以提高市民素质为目的的活动，树立文明新风。</w:t>
      </w:r>
    </w:p>
    <w:p w14:paraId="0894E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按照职责范围，做好辖区范围内的城市建设和管理、市容环境卫生、园林绿化、环境保护、规划、房地产等监督、管理、服务工作。</w:t>
      </w:r>
    </w:p>
    <w:p w14:paraId="6CADB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负责辖区内的维护稳定工作及社会治安综合治理工作，依照有关政策规定做好出租屋和外来人口的管理工作；负责民事调解，法律服务工作，维护居民的合法权益。</w:t>
      </w:r>
    </w:p>
    <w:p w14:paraId="2B06D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负责社区建设和管理，指导开展社区服务工作，大力兴办社会福利事业，发动和组织社区成员开展各类社区公益活动；做好退役军人关系转接、联络接待、困难帮扶、信息采集、情况反映、立功喜报、悬挂光荣牌和“八一”、春节等节日以及重大变故走访慰问等具体事务，搭建政策咨询、帮扶援助、沟通联系、学习交流等活动场所</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负责民兵、兵役、拥军优属、优抚安置、社会救济、社会福利、社区文化、科普、体育、教育、旅游工作。</w:t>
      </w:r>
    </w:p>
    <w:p w14:paraId="01136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发展街道和村级经济，管理街道国有资产和集体资产，为街道、行政村经济组织提供人才、科技、信息和其他服务，以经济、法律和必要的行政手段推动街道、村级经济发展和维护市场秩序。</w:t>
      </w:r>
    </w:p>
    <w:p w14:paraId="63AB9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负责劳动就业、安全生产监督、初级卫生保健、侨务和婚姻登记、调解等工作</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尊重少数民族的风俗习惯，保障少数民族的权益。</w:t>
      </w:r>
    </w:p>
    <w:p w14:paraId="04546E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指导和帮助居（村）民委员会做好组织建设和制度建设，发挥居（村）民委员会的群众自治作用。</w:t>
      </w:r>
    </w:p>
    <w:p w14:paraId="0D1DD2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配合有关</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做好</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防汛</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、防风、防火、防震、抢险和救灾工作。</w:t>
      </w:r>
    </w:p>
    <w:p w14:paraId="154E2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向区人民政府反映群众的意见和要求，办理人民群众的来信来访事项。</w:t>
      </w:r>
    </w:p>
    <w:p w14:paraId="191EC0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集中行使农林水利、规划建设、卫生健康、市容环卫、环境保护、文化旅游等领域的行政执法权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4C3B4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承担文化、宣传、广播电视、体育、科技培训等方面服务工作，管理文艺演出活动和文化市场，非物质文化遗产搜集、整理</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544F2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承办区政府交办的其它工作。</w:t>
      </w:r>
    </w:p>
    <w:p w14:paraId="34CA2219">
      <w:pPr>
        <w:pStyle w:val="3"/>
        <w:shd w:val="clear" w:color="auto" w:fill="FFFFFF"/>
        <w:ind w:firstLine="420"/>
        <w:rPr>
          <w:rFonts w:hint="eastAsia" w:ascii="方正楷体_GBK" w:hAnsi="方正楷体_GBK" w:eastAsia="方正楷体_GBK" w:cs="方正楷体_GBK"/>
          <w:b w:val="0"/>
          <w:bCs/>
          <w:color w:val="000000" w:themeColor="text1"/>
          <w:kern w:val="2"/>
          <w:sz w:val="32"/>
          <w:szCs w:val="32"/>
          <w:highlight w:val="none"/>
          <w:lang w:val="en-US" w:eastAsia="zh-CN" w:bidi="ar"/>
          <w14:textFill>
            <w14:solidFill>
              <w14:schemeClr w14:val="tx1"/>
            </w14:solidFill>
          </w14:textFill>
        </w:rPr>
      </w:pPr>
      <w:r>
        <w:rPr>
          <w:rStyle w:val="6"/>
          <w:rFonts w:hint="eastAsia" w:ascii="方正楷体_GBK" w:hAnsi="方正楷体_GBK" w:eastAsia="方正楷体_GBK" w:cs="方正楷体_GBK"/>
          <w:b w:val="0"/>
          <w:bCs/>
          <w:color w:val="000000" w:themeColor="text1"/>
          <w:sz w:val="32"/>
          <w:szCs w:val="32"/>
          <w:highlight w:val="none"/>
          <w:shd w:val="clear" w:color="auto" w:fill="FFFFFF"/>
          <w14:textFill>
            <w14:solidFill>
              <w14:schemeClr w14:val="tx1"/>
            </w14:solidFill>
          </w14:textFill>
        </w:rPr>
        <w:t>（二）机构设置</w:t>
      </w:r>
    </w:p>
    <w:p w14:paraId="2BACC70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巴川街道办事处内设独立编制机构8个，其中行政机构1个，具体政府机关；事业部门7个，具体产业培育中心、劳动就业和社会保障服务所、社区文化服务中心、综合行政执法大队</w:t>
      </w:r>
      <w:r>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t>、社区事务服务中心、退役军人服务站、城市提升服务中心。</w:t>
      </w:r>
    </w:p>
    <w:p w14:paraId="27FF585A">
      <w:pPr>
        <w:pStyle w:val="3"/>
        <w:shd w:val="clear" w:color="auto" w:fill="FFFFFF"/>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pPr>
      <w:r>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t>二、</w:t>
      </w:r>
      <w:r>
        <w:rPr>
          <w:rStyle w:val="6"/>
          <w:rFonts w:hint="eastAsia" w:ascii="方正黑体_GBK" w:hAnsi="方正黑体_GBK" w:eastAsia="方正黑体_GBK" w:cs="方正黑体_GBK"/>
          <w:color w:val="000000" w:themeColor="text1"/>
          <w:sz w:val="32"/>
          <w:szCs w:val="32"/>
          <w:highlight w:val="none"/>
          <w:shd w:val="clear" w:color="auto" w:fill="FFFFFF"/>
          <w:lang w:eastAsia="zh-CN"/>
          <w14:textFill>
            <w14:solidFill>
              <w14:schemeClr w14:val="tx1"/>
            </w14:solidFill>
          </w14:textFill>
        </w:rPr>
        <w:t>部门</w:t>
      </w:r>
      <w:r>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t>决算情况说明</w:t>
      </w:r>
    </w:p>
    <w:p w14:paraId="1B3F6FAD">
      <w:pPr>
        <w:pStyle w:val="7"/>
        <w:autoSpaceDE w:val="0"/>
        <w:ind w:firstLine="640"/>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t>（一）收入支出决算总体情况说明。</w:t>
      </w:r>
    </w:p>
    <w:p w14:paraId="03757BC3">
      <w:pPr>
        <w:keepNext w:val="0"/>
        <w:keepLines w:val="0"/>
        <w:widowControl w:val="0"/>
        <w:suppressLineNumbers w:val="0"/>
        <w:snapToGrid w:val="0"/>
        <w:spacing w:before="0" w:beforeAutospacing="0" w:after="0" w:afterAutospacing="0" w:line="520" w:lineRule="exact"/>
        <w:ind w:left="0" w:right="0" w:firstLine="643" w:firstLineChars="200"/>
        <w:jc w:val="both"/>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2023年度收入总计9009.53万元，支出总计</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9009.53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万元。收支较上年决算数增加701.92万元，增长8.45%，</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主要原因是镇街防汛救灾专项资金增加，村社区工资调资，公路建设、泥结石路硬化项目支出增加，公务员保险基数调高等。</w:t>
      </w:r>
    </w:p>
    <w:p w14:paraId="591DD75C">
      <w:pPr>
        <w:keepNext w:val="0"/>
        <w:keepLines w:val="0"/>
        <w:widowControl w:val="0"/>
        <w:suppressLineNumbers w:val="0"/>
        <w:snapToGrid w:val="0"/>
        <w:spacing w:before="0" w:beforeAutospacing="0" w:after="0" w:afterAutospacing="0" w:line="520" w:lineRule="exact"/>
        <w:ind w:left="0" w:right="0" w:firstLine="640" w:firstLineChars="200"/>
        <w:jc w:val="both"/>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2.收入情况。2023年度收入合计9009.53万元，较上年决算数增加701</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.92万元，增长8.45%，主要原因是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镇街防汛救灾专项资金增加，村社区工资调资，公路建设、泥结石路硬化项目支出增加，公务员保险基数调高等。</w:t>
      </w:r>
    </w:p>
    <w:p w14:paraId="3570B945">
      <w:pPr>
        <w:keepNext w:val="0"/>
        <w:keepLines w:val="0"/>
        <w:widowControl w:val="0"/>
        <w:suppressLineNumbers w:val="0"/>
        <w:snapToGrid w:val="0"/>
        <w:spacing w:before="0" w:beforeAutospacing="0" w:after="0" w:afterAutospacing="0" w:line="520" w:lineRule="exact"/>
        <w:ind w:left="0" w:right="0" w:firstLine="640" w:firstLineChars="200"/>
        <w:jc w:val="both"/>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其中：财政</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拨款收入</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9009.53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100.00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万元，占0.00%；经营收入</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万元，占0.00%；其他收入</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万元，占0.00%。此外，使用非财政拨款结余和专用结余</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万元，年初结转和结余</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w:t>
      </w:r>
    </w:p>
    <w:p w14:paraId="6E5C7156">
      <w:pPr>
        <w:keepNext w:val="0"/>
        <w:keepLines w:val="0"/>
        <w:widowControl w:val="0"/>
        <w:suppressLineNumbers w:val="0"/>
        <w:snapToGrid w:val="0"/>
        <w:spacing w:before="0" w:beforeAutospacing="0" w:after="0" w:afterAutospacing="0" w:line="520" w:lineRule="exact"/>
        <w:ind w:left="0" w:right="0" w:firstLine="643" w:firstLineChars="200"/>
        <w:jc w:val="both"/>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2023年度支出合计</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9009.53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万元，较上年决算数增加701.92万元，增长8.45%，主要原因是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镇街防汛救灾专项资金支出，村社区工资调资，公路建设、泥结石路硬化项目支出增加等，公务员保险基数调高等。</w:t>
      </w:r>
    </w:p>
    <w:p w14:paraId="5A2993ED">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其中：基本支出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3487.60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万元，占38.71%；项目支出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5521.93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万元，占61.29%；经营支出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万元，占0.00%。此外，结余分配</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w:t>
      </w:r>
    </w:p>
    <w:p w14:paraId="33C5CF87">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2023年度年末结转和结余</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万元，较上年决算数无增减</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p>
    <w:p w14:paraId="11234019">
      <w:pPr>
        <w:pStyle w:val="7"/>
        <w:autoSpaceDE w:val="0"/>
        <w:ind w:firstLine="640"/>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t>（二）财政拨款收入支出决算总体情况说明</w:t>
      </w:r>
    </w:p>
    <w:p w14:paraId="4D53D3D9">
      <w:pPr>
        <w:keepNext w:val="0"/>
        <w:keepLines w:val="0"/>
        <w:widowControl w:val="0"/>
        <w:suppressLineNumbers w:val="0"/>
        <w:snapToGrid w:val="0"/>
        <w:spacing w:before="0" w:beforeAutospacing="0" w:after="0" w:afterAutospacing="0" w:line="520" w:lineRule="exact"/>
        <w:ind w:left="0" w:right="0" w:firstLine="640"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2023年度财政拨款收、支总计9009.53万元。与2022年相比，财政拨款收、支总计各增加701.92万元，增长8.45%。主要原因是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镇街防汛救灾专项资金增加，村社区工资调资，公路建设、泥结石路硬化项目支出增加，公务员保险基数调高等。</w:t>
      </w:r>
    </w:p>
    <w:p w14:paraId="60E2C000">
      <w:pPr>
        <w:pStyle w:val="7"/>
        <w:autoSpaceDE w:val="0"/>
        <w:ind w:firstLine="640"/>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t>（三）一般公共预算财政拨款收入支出决算情况说明</w:t>
      </w:r>
    </w:p>
    <w:p w14:paraId="5CF98B54">
      <w:pPr>
        <w:keepNext w:val="0"/>
        <w:keepLines w:val="0"/>
        <w:widowControl w:val="0"/>
        <w:suppressLineNumbers w:val="0"/>
        <w:snapToGrid w:val="0"/>
        <w:spacing w:before="0" w:beforeAutospacing="0" w:after="0" w:afterAutospacing="0" w:line="520" w:lineRule="exact"/>
        <w:ind w:left="0" w:right="0" w:firstLine="643" w:firstLineChars="200"/>
        <w:jc w:val="both"/>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2023年度一般公共预算财政拨款收入</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9009.53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万元，较上年决算数增加701.92万元，增长8.45%。主要原因是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镇街防汛救灾专项资金增加，村社区工资调资，公路建设、泥结石路硬化项目支出增加，公务员保险基数调高等。</w:t>
      </w:r>
    </w:p>
    <w:p w14:paraId="601564C5">
      <w:pPr>
        <w:keepNext w:val="0"/>
        <w:keepLines w:val="0"/>
        <w:widowControl w:val="0"/>
        <w:suppressLineNumbers w:val="0"/>
        <w:snapToGrid w:val="0"/>
        <w:spacing w:before="0" w:beforeAutospacing="0" w:after="0" w:afterAutospacing="0" w:line="520" w:lineRule="exact"/>
        <w:ind w:left="0" w:right="0" w:firstLine="640"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较年初预算数增加1213.71万元，增长15.57%。主要</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村社区工资调资，公路建设、泥结石路硬化项目支出增加，公务员保险基数调高等。</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此外，年初财政拨款结转和结余</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w:t>
      </w:r>
    </w:p>
    <w:p w14:paraId="21A8FCF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2023年度一般公共预算财政拨款支出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9009.53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万元，较上年决算数增加701.92万元，增长8.45%。主要原因是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镇街防汛救灾专项资金增加，村社区工资调资，公路建设、泥结石路硬化项目支出增加，公务员保险基数调高等。</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较年初预算数增加1213.71万元，增长15.57%。主要</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村社区工资调资，公路建设、泥结石路硬化项目支出增加，公务员保险基数调高等。</w:t>
      </w:r>
    </w:p>
    <w:p w14:paraId="2863A6DC">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2023年度年末一般公共预算财政拨款结转和结余</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万元，较上年决算数无增减</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p>
    <w:p w14:paraId="0ABEEC85">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xml:space="preserve"> 4.比较情况。</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2023年度一般公共预算财政拨款支出主要用于以下几个方面：</w:t>
      </w:r>
    </w:p>
    <w:p w14:paraId="6EA6DDE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000000" w:themeColor="text1"/>
          <w:sz w:val="32"/>
          <w:szCs w:val="32"/>
          <w:highlight w:val="yellow"/>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（1）一般公共服务支出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1529.33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16.97</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%，较年初预算数增加230.80万元，增长17.77%，</w:t>
      </w:r>
      <w:r>
        <w:rPr>
          <w:rFonts w:hint="eastAsia" w:ascii="方正仿宋_GBK" w:hAnsi="方正仿宋_GBK" w:eastAsia="方正仿宋_GBK" w:cs="方正仿宋_GBK"/>
          <w:kern w:val="2"/>
          <w:sz w:val="32"/>
          <w:szCs w:val="32"/>
          <w:lang w:val="en-US" w:eastAsia="zh-CN" w:bidi="ar"/>
        </w:rPr>
        <w:t>主要原因是年初预算数综合行政执法大队在农林水支出中，实际支出应该在一般公共服务支出中列支。</w:t>
      </w:r>
    </w:p>
    <w:p w14:paraId="1F23A796">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）国防支出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9.27</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0.10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%，较年初预算数减少0.73万元，下降7.30%，主要原因是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厉行节约。</w:t>
      </w:r>
    </w:p>
    <w:p w14:paraId="6A2ABBD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）公共安全支出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100.00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1.11</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%，较年初预算数增加100.00万元，增长100.00%，主要原因是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镇街防汛救灾专项资金增加等。</w:t>
      </w:r>
    </w:p>
    <w:p w14:paraId="323161DF">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）教育支出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10.00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0.11</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%，较年初预算数增加10.00万元，增长100.00%，主要原因是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社区教育示范基地提档升级项目支出。</w:t>
      </w:r>
    </w:p>
    <w:p w14:paraId="03D53FF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）文化旅游体育与传媒支出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77.19</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0.86</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%，较年初预算数增加61.19万元，增长382.44%，主要原因是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追加文化站免费开放经费及事业编人员绩效等。</w:t>
      </w:r>
    </w:p>
    <w:p w14:paraId="05DF2AB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）社会保障与就业支出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1572.40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17.45</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%，较年初预算数增加275.26万元，增长21.22%，主要原因是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社区干部调资、公务员保险基数调整。</w:t>
      </w:r>
    </w:p>
    <w:p w14:paraId="27D616F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）卫生健康支出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185.80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2.06</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%，较年初预算数减少93.84万元，下降33.56%，主要原因是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疫情防控专项经费减少。</w:t>
      </w:r>
    </w:p>
    <w:p w14:paraId="3676AE2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）节能环保支出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166.77</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1.85</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%，较年初预算数增加61.77万元，增长58.83%，主要原因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大气污染、河长制、人居环境整治支出增加。</w:t>
      </w:r>
    </w:p>
    <w:p w14:paraId="6FFB8D8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）城乡社区支出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3567.92</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39.60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%，较年初预算数减少681.97万元，下降16.05%，主要原因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事业编制人员工资、绩效、公用经费等在城乡社区支出中预算，实际支出在文化旅游体育与传媒支出、社会保障和就业支出、农林水支出中列支；城市提质环境保护支出增加等。</w:t>
      </w:r>
    </w:p>
    <w:p w14:paraId="4D23A7E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）农林水支出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1291.00</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14.33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%，较年初预算数增加910.00万元，增长238.85%，主要原因是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事业编制人员工资、绩效、公用经费等在城乡社区支出中预算，部分支出实际在农林水支出中列支；村干部调资；泥结石路建设支出增加。</w:t>
      </w:r>
    </w:p>
    <w:p w14:paraId="1993AAF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）交通运输支出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237.24</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2.63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%，较年初预算数增加237.24万元，增长100.00%，主要原因是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交通基础设施建设（公路）支出增加。</w:t>
      </w:r>
    </w:p>
    <w:p w14:paraId="3E6509AA">
      <w:pPr>
        <w:ind w:firstLine="640" w:firstLineChars="20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住房保障支出158.63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1.76</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%，较年初预算数无增减，</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住房公积金支出。</w:t>
      </w:r>
    </w:p>
    <w:p w14:paraId="5E25EE1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灾害防治及应急管理支出103.99</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1.15</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%，较年初预算数增加103.99万元，增长100.00%，主要原因是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镇街防汛救灾专项资金增加等。</w:t>
      </w:r>
    </w:p>
    <w:p w14:paraId="74B4ECB8">
      <w:pPr>
        <w:pStyle w:val="7"/>
        <w:autoSpaceDE w:val="0"/>
        <w:ind w:firstLine="640"/>
        <w:rPr>
          <w:rFonts w:hint="eastAsia" w:ascii="方正楷体_GBK" w:hAnsi="方正楷体_GBK" w:eastAsia="方正楷体_GBK" w:cs="方正楷体_GBK"/>
          <w:b/>
          <w:bCs/>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shd w:val="clear" w:color="auto" w:fill="FFFFFF"/>
          <w:lang w:bidi="ar"/>
          <w14:textFill>
            <w14:solidFill>
              <w14:schemeClr w14:val="tx1"/>
            </w14:solidFill>
          </w14:textFill>
        </w:rPr>
        <w:t>（四）一般公共预算财政拨款基本支出决算情况说明</w:t>
      </w:r>
    </w:p>
    <w:p w14:paraId="12A66396">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2023年度一般公共财政拨款基本支出</w:t>
      </w:r>
      <w:r>
        <w:rPr>
          <w:rFonts w:ascii="方正仿宋_GBK" w:hAnsi="方正仿宋_GBK" w:eastAsia="方正仿宋_GBK" w:cs="方正仿宋_GBK"/>
          <w:color w:val="000000" w:themeColor="text1"/>
          <w:sz w:val="32"/>
          <w:szCs w:val="32"/>
          <w:highlight w:val="none"/>
          <w14:textFill>
            <w14:solidFill>
              <w14:schemeClr w14:val="tx1"/>
            </w14:solidFill>
          </w14:textFill>
        </w:rPr>
        <w:t>3487.60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highlight w:val="none"/>
          <w14:textFill>
            <w14:solidFill>
              <w14:schemeClr w14:val="tx1"/>
            </w14:solidFill>
          </w14:textFill>
        </w:rPr>
        <w:t>2900.03</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万元，较上年决算数增加125.99万元，增长4.54%，主要原因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事业编制人员工资、绩效增加；村干部调资。</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事业编制人员工资、绩效、村干部调资。</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highlight w:val="none"/>
          <w14:textFill>
            <w14:solidFill>
              <w14:schemeClr w14:val="tx1"/>
            </w14:solidFill>
          </w14:textFill>
        </w:rPr>
        <w:t>587.57</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万元，较上年决算数增加33.75万元，增长6.09%，主要原因是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车辆运行维护费增加、离退休经费增加</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公用经费</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用途主要包括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车辆运行维护费、离退休经费。</w:t>
      </w:r>
    </w:p>
    <w:p w14:paraId="57AF997A">
      <w:pPr>
        <w:pStyle w:val="7"/>
        <w:autoSpaceDE w:val="0"/>
        <w:ind w:firstLine="640"/>
        <w:rPr>
          <w:rFonts w:hint="eastAsia" w:ascii="方正楷体_GBK" w:hAnsi="方正楷体_GBK" w:eastAsia="方正楷体_GBK" w:cs="方正楷体_GBK"/>
          <w:b/>
          <w:bCs/>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shd w:val="clear" w:color="auto" w:fill="FFFFFF"/>
          <w:lang w:bidi="ar"/>
          <w14:textFill>
            <w14:solidFill>
              <w14:schemeClr w14:val="tx1"/>
            </w14:solidFill>
          </w14:textFill>
        </w:rPr>
        <w:t>（五）政府性基金预算收支决算情况说明</w:t>
      </w:r>
    </w:p>
    <w:p w14:paraId="35361876">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bCs/>
          <w:color w:val="000000" w:themeColor="text1"/>
          <w:sz w:val="32"/>
          <w:szCs w:val="32"/>
          <w:highlight w:val="none"/>
          <w:shd w:val="clear" w:color="auto" w:fill="FFFFFF"/>
          <w14:textFill>
            <w14:solidFill>
              <w14:schemeClr w14:val="tx1"/>
            </w14:solidFill>
          </w14:textFill>
        </w:rPr>
      </w:pPr>
      <w:r>
        <w:rPr>
          <w:rFonts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本</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部门</w:t>
      </w:r>
      <w:r>
        <w:rPr>
          <w:rFonts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2023年度无政府性基金预算财政拨款收支。</w:t>
      </w:r>
    </w:p>
    <w:p w14:paraId="2EE0E71C">
      <w:pPr>
        <w:pStyle w:val="7"/>
        <w:autoSpaceDE w:val="0"/>
        <w:ind w:firstLine="640"/>
        <w:rPr>
          <w:rFonts w:hint="eastAsia" w:ascii="方正楷体_GBK" w:hAnsi="方正楷体_GBK" w:eastAsia="方正楷体_GBK" w:cs="方正楷体_GBK"/>
          <w:b/>
          <w:bCs/>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shd w:val="clear" w:color="auto" w:fill="FFFFFF"/>
          <w:lang w:bidi="ar"/>
          <w14:textFill>
            <w14:solidFill>
              <w14:schemeClr w14:val="tx1"/>
            </w14:solidFill>
          </w14:textFill>
        </w:rPr>
        <w:t>（六）国有资本经营预算财政拨款支出决算情况说明</w:t>
      </w:r>
    </w:p>
    <w:p w14:paraId="3A1B7D14">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ascii="方正仿宋_GBK" w:hAnsi="方正仿宋_GBK" w:eastAsia="方正仿宋_GBK" w:cs="方正仿宋_GBK"/>
          <w:b/>
          <w:bCs/>
          <w:color w:val="000000" w:themeColor="text1"/>
          <w:sz w:val="32"/>
          <w:szCs w:val="32"/>
          <w:highlight w:val="none"/>
          <w:shd w:val="clear" w:color="auto" w:fill="FFFFFF"/>
          <w14:textFill>
            <w14:solidFill>
              <w14:schemeClr w14:val="tx1"/>
            </w14:solidFill>
          </w14:textFill>
        </w:rPr>
        <w:t> </w:t>
      </w:r>
      <w:r>
        <w:rPr>
          <w:rFonts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本</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14:textFill>
            <w14:solidFill>
              <w14:schemeClr w14:val="tx1"/>
            </w14:solidFill>
          </w14:textFill>
        </w:rPr>
        <w:t>部门</w:t>
      </w:r>
      <w:r>
        <w:rPr>
          <w:rFonts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2023年度无国有资本经营预算财政拨款支出。</w:t>
      </w:r>
    </w:p>
    <w:p w14:paraId="6E5826FA">
      <w:pPr>
        <w:pStyle w:val="3"/>
        <w:shd w:val="clear" w:color="auto" w:fill="FFFFFF"/>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pPr>
      <w:r>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t>三、“三公”经费情况说明</w:t>
      </w:r>
    </w:p>
    <w:p w14:paraId="66ACFF31">
      <w:pPr>
        <w:pStyle w:val="7"/>
        <w:autoSpaceDE w:val="0"/>
        <w:ind w:firstLine="643"/>
        <w:rPr>
          <w:rFonts w:hint="eastAsia" w:ascii="方正楷体_GBK" w:hAnsi="方正楷体_GBK" w:eastAsia="方正楷体_GBK" w:cs="方正楷体_GBK"/>
          <w:b/>
          <w:bCs/>
          <w:color w:val="000000" w:themeColor="text1"/>
          <w:sz w:val="32"/>
          <w:szCs w:val="32"/>
          <w:highlight w:val="none"/>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shd w:val="clear" w:color="auto" w:fill="FFFFFF"/>
          <w14:textFill>
            <w14:solidFill>
              <w14:schemeClr w14:val="tx1"/>
            </w14:solidFill>
          </w14:textFill>
        </w:rPr>
        <w:t xml:space="preserve"> （一）“三公”经费支出总体情况说明</w:t>
      </w:r>
    </w:p>
    <w:p w14:paraId="47B2A197">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2023年度“三公”经费支出共计229.50万元，较年初预算数减少10.50万元，下降4.38%，主要原因是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厉行节约。</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较上年支出数增加8.65万元，增长3.92%，主要原因是</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2023年生态环境整治环卫清扫车油耗增加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8.65</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万元。</w:t>
      </w:r>
    </w:p>
    <w:p w14:paraId="51DD210E">
      <w:pPr>
        <w:pStyle w:val="7"/>
        <w:autoSpaceDE w:val="0"/>
        <w:ind w:firstLine="643"/>
        <w:rPr>
          <w:rFonts w:hint="eastAsia" w:ascii="方正楷体_GBK" w:hAnsi="方正楷体_GBK" w:eastAsia="方正楷体_GBK" w:cs="方正楷体_GBK"/>
          <w:b/>
          <w:bCs/>
          <w:color w:val="000000" w:themeColor="text1"/>
          <w:sz w:val="32"/>
          <w:szCs w:val="32"/>
          <w:highlight w:val="none"/>
          <w:shd w:val="clear" w:color="auto" w:fill="FFFFFF"/>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shd w:val="clear" w:color="auto" w:fill="FFFFFF"/>
          <w14:textFill>
            <w14:solidFill>
              <w14:schemeClr w14:val="tx1"/>
            </w14:solidFill>
          </w14:textFill>
        </w:rPr>
        <w:t>（二）“三公”经费分项支出情况</w:t>
      </w:r>
    </w:p>
    <w:p w14:paraId="4D24CB97">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b/>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highlight w:val="none"/>
          <w14:textFill>
            <w14:solidFill>
              <w14:schemeClr w14:val="tx1"/>
            </w14:solidFill>
          </w14:textFill>
        </w:rPr>
        <w:t>本</w:t>
      </w:r>
      <w:r>
        <w:rPr>
          <w:rFonts w:hint="eastAsia" w:ascii="方正仿宋_GBK" w:hAnsi="方正仿宋_GBK" w:eastAsia="方正仿宋_GBK" w:cs="方正仿宋_GBK"/>
          <w:b/>
          <w:bCs w:val="0"/>
          <w:color w:val="000000" w:themeColor="text1"/>
          <w:sz w:val="32"/>
          <w:szCs w:val="32"/>
          <w:highlight w:val="none"/>
          <w:lang w:eastAsia="zh-CN"/>
          <w14:textFill>
            <w14:solidFill>
              <w14:schemeClr w14:val="tx1"/>
            </w14:solidFill>
          </w14:textFill>
        </w:rPr>
        <w:t>部门</w:t>
      </w:r>
      <w:r>
        <w:rPr>
          <w:rFonts w:hint="eastAsia" w:ascii="方正仿宋_GBK" w:hAnsi="方正仿宋_GBK" w:eastAsia="方正仿宋_GBK" w:cs="方正仿宋_GBK"/>
          <w:b/>
          <w:bCs w:val="0"/>
          <w:color w:val="000000" w:themeColor="text1"/>
          <w:sz w:val="32"/>
          <w:szCs w:val="32"/>
          <w:highlight w:val="none"/>
          <w14:textFill>
            <w14:solidFill>
              <w14:schemeClr w14:val="tx1"/>
            </w14:solidFill>
          </w14:textFill>
        </w:rPr>
        <w:t>202</w:t>
      </w:r>
      <w:r>
        <w:rPr>
          <w:rFonts w:hint="eastAsia" w:ascii="方正仿宋_GBK" w:hAnsi="方正仿宋_GBK" w:eastAsia="方正仿宋_GBK" w:cs="方正仿宋_GBK"/>
          <w:b/>
          <w:bCs w:val="0"/>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32"/>
          <w:szCs w:val="32"/>
          <w:highlight w:val="none"/>
          <w14:textFill>
            <w14:solidFill>
              <w14:schemeClr w14:val="tx1"/>
            </w14:solidFill>
          </w14:textFill>
        </w:rPr>
        <w:t>年度未发生因公出国（境）费用支出</w:t>
      </w:r>
      <w:r>
        <w:rPr>
          <w:rFonts w:hint="eastAsia" w:ascii="方正仿宋_GBK" w:hAnsi="方正仿宋_GBK" w:eastAsia="方正仿宋_GBK" w:cs="方正仿宋_GBK"/>
          <w:b/>
          <w:bCs w:val="0"/>
          <w:color w:val="000000" w:themeColor="text1"/>
          <w:sz w:val="32"/>
          <w:szCs w:val="32"/>
          <w:highlight w:val="none"/>
          <w:lang w:eastAsia="zh-CN"/>
          <w14:textFill>
            <w14:solidFill>
              <w14:schemeClr w14:val="tx1"/>
            </w14:solidFill>
          </w14:textFill>
        </w:rPr>
        <w:t>。</w:t>
      </w:r>
    </w:p>
    <w:p w14:paraId="5870303F">
      <w:pPr>
        <w:pStyle w:val="3"/>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000000" w:themeColor="text1"/>
          <w:kern w:val="0"/>
          <w:sz w:val="32"/>
          <w:szCs w:val="32"/>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2023</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年度本单位因公出国（境）费用</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0</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万元，费用支出较年初预算数增加</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0</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万元，增长</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0.0%</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。较上年支出数增加</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0</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万元，增长</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0.0%</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2023</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年度我单位无因公出国（境）支出，与上年度决算数持平。</w:t>
      </w:r>
    </w:p>
    <w:p w14:paraId="279542D9">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b/>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highlight w:val="none"/>
          <w14:textFill>
            <w14:solidFill>
              <w14:schemeClr w14:val="tx1"/>
            </w14:solidFill>
          </w14:textFill>
        </w:rPr>
        <w:t>本</w:t>
      </w:r>
      <w:r>
        <w:rPr>
          <w:rFonts w:hint="eastAsia" w:ascii="方正仿宋_GBK" w:hAnsi="方正仿宋_GBK" w:eastAsia="方正仿宋_GBK" w:cs="方正仿宋_GBK"/>
          <w:b/>
          <w:bCs w:val="0"/>
          <w:color w:val="000000" w:themeColor="text1"/>
          <w:sz w:val="32"/>
          <w:szCs w:val="32"/>
          <w:highlight w:val="none"/>
          <w:lang w:eastAsia="zh-CN"/>
          <w14:textFill>
            <w14:solidFill>
              <w14:schemeClr w14:val="tx1"/>
            </w14:solidFill>
          </w14:textFill>
        </w:rPr>
        <w:t>部门</w:t>
      </w:r>
      <w:r>
        <w:rPr>
          <w:rFonts w:hint="eastAsia" w:ascii="方正仿宋_GBK" w:hAnsi="方正仿宋_GBK" w:eastAsia="方正仿宋_GBK" w:cs="方正仿宋_GBK"/>
          <w:b/>
          <w:bCs w:val="0"/>
          <w:color w:val="000000" w:themeColor="text1"/>
          <w:sz w:val="32"/>
          <w:szCs w:val="32"/>
          <w:highlight w:val="none"/>
          <w14:textFill>
            <w14:solidFill>
              <w14:schemeClr w14:val="tx1"/>
            </w14:solidFill>
          </w14:textFill>
        </w:rPr>
        <w:t>202</w:t>
      </w:r>
      <w:r>
        <w:rPr>
          <w:rFonts w:hint="eastAsia" w:ascii="方正仿宋_GBK" w:hAnsi="方正仿宋_GBK" w:eastAsia="方正仿宋_GBK" w:cs="方正仿宋_GBK"/>
          <w:b/>
          <w:bCs w:val="0"/>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32"/>
          <w:szCs w:val="32"/>
          <w:highlight w:val="none"/>
          <w14:textFill>
            <w14:solidFill>
              <w14:schemeClr w14:val="tx1"/>
            </w14:solidFill>
          </w14:textFill>
        </w:rPr>
        <w:t>年度未发生公务车购置费用支出</w:t>
      </w:r>
      <w:r>
        <w:rPr>
          <w:rFonts w:hint="eastAsia" w:ascii="方正仿宋_GBK" w:hAnsi="方正仿宋_GBK" w:eastAsia="方正仿宋_GBK" w:cs="方正仿宋_GBK"/>
          <w:b/>
          <w:bCs w:val="0"/>
          <w:color w:val="000000" w:themeColor="text1"/>
          <w:sz w:val="32"/>
          <w:szCs w:val="32"/>
          <w:highlight w:val="none"/>
          <w:lang w:eastAsia="zh-CN"/>
          <w14:textFill>
            <w14:solidFill>
              <w14:schemeClr w14:val="tx1"/>
            </w14:solidFill>
          </w14:textFill>
        </w:rPr>
        <w:t>。</w:t>
      </w:r>
    </w:p>
    <w:p w14:paraId="7C52E985">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kern w:val="0"/>
          <w:sz w:val="32"/>
          <w:szCs w:val="32"/>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公务用车购置费0万元，费用支出较年初预算数增加0万元，增长0.0%。较上年支出数增加0万元，增长0.0%。本单位2023年度未发生公务用车购置费，与上年度决算数持平。</w:t>
      </w:r>
    </w:p>
    <w:p w14:paraId="23D87FD7">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公务车运行维护费</w:t>
      </w:r>
      <w:r>
        <w:rPr>
          <w:rFonts w:ascii="方正仿宋_GBK" w:hAnsi="方正仿宋_GBK" w:eastAsia="方正仿宋_GBK" w:cs="方正仿宋_GBK"/>
          <w:color w:val="000000" w:themeColor="text1"/>
          <w:sz w:val="32"/>
          <w:szCs w:val="32"/>
          <w:highlight w:val="none"/>
          <w14:textFill>
            <w14:solidFill>
              <w14:schemeClr w14:val="tx1"/>
            </w14:solidFill>
          </w14:textFill>
        </w:rPr>
        <w:t>229.37</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万元，主要用于</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机要文件交换、市内因公出行、业务检查</w:t>
      </w:r>
      <w:r>
        <w:rPr>
          <w:rFonts w:hint="default" w:ascii="方正仿宋_GBK" w:hAnsi="方正仿宋_GBK" w:eastAsia="方正仿宋_GBK" w:cs="方正仿宋_GBK"/>
          <w:color w:val="000000" w:themeColor="text1"/>
          <w:sz w:val="32"/>
          <w:szCs w:val="32"/>
          <w:highlight w:val="none"/>
          <w14:textFill>
            <w14:solidFill>
              <w14:schemeClr w14:val="tx1"/>
            </w14:solidFill>
          </w14:textFill>
        </w:rPr>
        <w:t>等工作所需车辆的燃料费、维修费、过桥过路费、保险费等。</w:t>
      </w:r>
      <w:r>
        <w:rPr>
          <w:rFonts w:ascii="方正仿宋_GBK" w:hAnsi="方正仿宋_GBK" w:eastAsia="方正仿宋_GBK" w:cs="方正仿宋_GBK"/>
          <w:color w:val="000000" w:themeColor="text1"/>
          <w:sz w:val="32"/>
          <w:szCs w:val="32"/>
          <w:highlight w:val="none"/>
          <w14:textFill>
            <w14:solidFill>
              <w14:schemeClr w14:val="tx1"/>
            </w14:solidFill>
          </w14:textFill>
        </w:rPr>
        <w:t>费用支出较年初预算数减少5.63万元，下降2.40%，主要原因是</w:t>
      </w:r>
      <w:r>
        <w:rPr>
          <w:rFonts w:hint="default" w:ascii="Times New Roman" w:hAnsi="Times New Roman" w:eastAsia="方正仿宋_GBK" w:cs="Times New Roman"/>
          <w:color w:val="000000" w:themeColor="text1"/>
          <w:kern w:val="0"/>
          <w:sz w:val="32"/>
          <w:szCs w:val="32"/>
          <w:highlight w:val="none"/>
          <w:shd w:val="clear" w:color="auto" w:fill="FFFFFF"/>
          <w:lang w:eastAsia="zh-CN"/>
          <w14:textFill>
            <w14:solidFill>
              <w14:schemeClr w14:val="tx1"/>
            </w14:solidFill>
          </w14:textFill>
        </w:rPr>
        <w:t>严格执行公务车定点加油、定点停放、定点维修原则，健全完善专人负责制度，统一派车，加强审核公务车的维修申请，严格控制公务车的各项运行维护费用，从而降低公务车运行维护费</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w:t>
      </w:r>
      <w:r>
        <w:rPr>
          <w:rFonts w:ascii="方正仿宋_GBK" w:hAnsi="方正仿宋_GBK" w:eastAsia="方正仿宋_GBK" w:cs="方正仿宋_GBK"/>
          <w:color w:val="000000" w:themeColor="text1"/>
          <w:sz w:val="32"/>
          <w:szCs w:val="32"/>
          <w:highlight w:val="none"/>
          <w14:textFill>
            <w14:solidFill>
              <w14:schemeClr w14:val="tx1"/>
            </w14:solidFill>
          </w14:textFill>
        </w:rPr>
        <w:t>较上年支出数增加8.66万元，增长3.92%，主要原因是</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2023年生态环境整治环卫清扫车油耗增加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8.66</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万元。</w:t>
      </w:r>
    </w:p>
    <w:p w14:paraId="325CE192">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kern w:val="0"/>
          <w:sz w:val="32"/>
          <w:szCs w:val="32"/>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公务接待费</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0.12</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万元，主要用于接待</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上游新闻设置组</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10人，接待费用1212元。</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费用支出较年初预算数减少4.88万元，下降97.60%，主要原因是</w:t>
      </w:r>
      <w:r>
        <w:rPr>
          <w:rFonts w:hint="eastAsia" w:ascii="方正仿宋_GBK" w:hAnsi="方正仿宋_GBK" w:eastAsia="方正仿宋_GBK" w:cs="方正仿宋_GBK"/>
          <w:color w:val="000000" w:themeColor="text1"/>
          <w:kern w:val="0"/>
          <w:sz w:val="32"/>
          <w:szCs w:val="32"/>
          <w:highlight w:val="none"/>
          <w:shd w:val="clear" w:color="auto" w:fill="FFFFFF"/>
          <w:lang w:eastAsia="zh-CN"/>
          <w14:textFill>
            <w14:solidFill>
              <w14:schemeClr w14:val="tx1"/>
            </w14:solidFill>
          </w14:textFill>
        </w:rPr>
        <w:t>厉行节约。较上年支出数减少0.02万元，下降14.29%，主要原因是厉行节约。</w:t>
      </w:r>
    </w:p>
    <w:p w14:paraId="04C03E88">
      <w:pPr>
        <w:pStyle w:val="7"/>
        <w:autoSpaceDE w:val="0"/>
        <w:ind w:firstLine="643"/>
        <w:rPr>
          <w:rFonts w:hint="eastAsia" w:ascii="方正楷体_GBK" w:hAnsi="方正楷体_GBK" w:eastAsia="方正楷体_GBK" w:cs="方正楷体_GBK"/>
          <w:b w:val="0"/>
          <w:bCs w:val="0"/>
          <w:color w:val="000000" w:themeColor="text1"/>
          <w:sz w:val="32"/>
          <w:szCs w:val="32"/>
          <w:highlight w:val="none"/>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14:textFill>
            <w14:solidFill>
              <w14:schemeClr w14:val="tx1"/>
            </w14:solidFill>
          </w14:textFill>
        </w:rPr>
        <w:t>（三）“三公”经费实物量情况</w:t>
      </w:r>
    </w:p>
    <w:p w14:paraId="6E0BCA20">
      <w:pPr>
        <w:pStyle w:val="3"/>
        <w:snapToGrid w:val="0"/>
        <w:spacing w:before="0" w:beforeAutospacing="0" w:after="0" w:afterAutospacing="0" w:line="600" w:lineRule="exact"/>
        <w:ind w:firstLine="640" w:firstLineChars="200"/>
        <w:jc w:val="both"/>
        <w:rPr>
          <w:rFonts w:hint="eastAsia" w:ascii="Times New Roman" w:hAnsi="Times New Roman" w:eastAsia="方正仿宋_GBK"/>
          <w:bCs/>
          <w:color w:val="000000" w:themeColor="text1"/>
          <w:sz w:val="32"/>
          <w:szCs w:val="32"/>
          <w:highlight w:val="none"/>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因公出国（境）共计</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highlight w:val="none"/>
          <w14:textFill>
            <w14:solidFill>
              <w14:schemeClr w14:val="tx1"/>
            </w14:solidFill>
          </w14:textFill>
        </w:rPr>
        <w:t>16</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highlight w:val="none"/>
          <w14:textFill>
            <w14:solidFill>
              <w14:schemeClr w14:val="tx1"/>
            </w14:solidFill>
          </w14:textFill>
        </w:rPr>
        <w:t>1</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highlight w:val="none"/>
          <w14:textFill>
            <w14:solidFill>
              <w14:schemeClr w14:val="tx1"/>
            </w14:solidFill>
          </w14:textFill>
        </w:rPr>
        <w:t>10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人。2023年本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人均接待费</w:t>
      </w:r>
      <w:r>
        <w:rPr>
          <w:rFonts w:ascii="方正仿宋_GBK" w:hAnsi="方正仿宋_GBK" w:eastAsia="方正仿宋_GBK" w:cs="方正仿宋_GBK"/>
          <w:color w:val="000000" w:themeColor="text1"/>
          <w:sz w:val="32"/>
          <w:szCs w:val="32"/>
          <w:highlight w:val="none"/>
          <w14:textFill>
            <w14:solidFill>
              <w14:schemeClr w14:val="tx1"/>
            </w14:solidFill>
          </w14:textFill>
        </w:rPr>
        <w:t>121.20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highlight w:val="none"/>
          <w14:textFill>
            <w14:solidFill>
              <w14:schemeClr w14:val="tx1"/>
            </w14:solidFill>
          </w14:textFill>
        </w:rPr>
        <w:t>14.34</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w:t>
      </w:r>
    </w:p>
    <w:p w14:paraId="43F8B631">
      <w:pPr>
        <w:pStyle w:val="3"/>
        <w:shd w:val="clear" w:color="auto" w:fill="FFFFFF"/>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pPr>
      <w:r>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t>四、其他需要说明的事项</w:t>
      </w:r>
    </w:p>
    <w:p w14:paraId="146BF4AC">
      <w:pPr>
        <w:pStyle w:val="7"/>
        <w:autoSpaceDE w:val="0"/>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t>（一）财政拨款会议费和培训费情况说明</w:t>
      </w:r>
    </w:p>
    <w:p w14:paraId="7CDDB53C">
      <w:pPr>
        <w:keepNext w:val="0"/>
        <w:keepLines w:val="0"/>
        <w:widowControl w:val="0"/>
        <w:numPr>
          <w:ilvl w:val="0"/>
          <w:numId w:val="0"/>
        </w:numPr>
        <w:suppressLineNumbers w:val="0"/>
        <w:snapToGrid w:val="0"/>
        <w:spacing w:before="0" w:beforeAutospacing="0" w:after="0" w:afterAutospacing="0" w:line="520" w:lineRule="exact"/>
        <w:ind w:right="0" w:rightChars="0" w:firstLine="640" w:firstLineChars="200"/>
        <w:jc w:val="both"/>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本年度会议费支出</w:t>
      </w:r>
      <w:r>
        <w:rPr>
          <w:rFonts w:ascii="方正仿宋_GBK" w:hAnsi="方正仿宋_GBK" w:eastAsia="方正仿宋_GBK" w:cs="方正仿宋_GBK"/>
          <w:color w:val="000000" w:themeColor="text1"/>
          <w:sz w:val="32"/>
          <w:szCs w:val="32"/>
          <w:highlight w:val="none"/>
          <w14:textFill>
            <w14:solidFill>
              <w14:schemeClr w14:val="tx1"/>
            </w14:solidFill>
          </w14:textFill>
        </w:rPr>
        <w:t>0.68</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万元，较上年决算数增加0.68万元，增长100.00%，主要原因是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会议实际增加</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。本年度培训费支出</w:t>
      </w:r>
      <w:r>
        <w:rPr>
          <w:rFonts w:ascii="方正仿宋_GBK" w:hAnsi="方正仿宋_GBK" w:eastAsia="方正仿宋_GBK" w:cs="方正仿宋_GBK"/>
          <w:color w:val="000000" w:themeColor="text1"/>
          <w:sz w:val="32"/>
          <w:szCs w:val="32"/>
          <w:highlight w:val="none"/>
          <w14:textFill>
            <w14:solidFill>
              <w14:schemeClr w14:val="tx1"/>
            </w14:solidFill>
          </w14:textFill>
        </w:rPr>
        <w:t>1.21</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万元，较上年决算数增加0.74万元，增长157.45%，主要原因是</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本年度在职人员赴外地培训次数增多，相应开支增加</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p>
    <w:p w14:paraId="41DFBE10">
      <w:pPr>
        <w:pStyle w:val="7"/>
        <w:autoSpaceDE w:val="0"/>
        <w:ind w:firstLine="640"/>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t>（二）机关运行经费情况说明</w:t>
      </w:r>
    </w:p>
    <w:p w14:paraId="4E644BA0">
      <w:pPr>
        <w:pStyle w:val="3"/>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kern w:val="0"/>
          <w:sz w:val="32"/>
          <w:szCs w:val="32"/>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机关运行经费支出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318.55</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万元，机关运行经费主要用于</w:t>
      </w:r>
      <w:r>
        <w:rPr>
          <w:rFonts w:hint="eastAsia" w:ascii="方正仿宋_GBK" w:hAnsi="方正仿宋_GBK" w:eastAsia="方正仿宋_GBK" w:cs="方正仿宋_GBK"/>
          <w:bCs/>
          <w:color w:val="000000" w:themeColor="text1"/>
          <w:sz w:val="32"/>
          <w:szCs w:val="32"/>
          <w:highlight w:val="none"/>
          <w14:textFill>
            <w14:solidFill>
              <w14:schemeClr w14:val="tx1"/>
            </w14:solidFill>
          </w14:textFill>
        </w:rPr>
        <w:t>开支</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行政</w:t>
      </w:r>
      <w:r>
        <w:rPr>
          <w:rFonts w:hint="eastAsia" w:ascii="方正仿宋_GBK" w:hAnsi="方正仿宋_GBK" w:eastAsia="方正仿宋_GBK" w:cs="方正仿宋_GBK"/>
          <w:color w:val="000000" w:themeColor="text1"/>
          <w:kern w:val="0"/>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、参照公务员法管理的事业</w:t>
      </w:r>
      <w:r>
        <w:rPr>
          <w:rFonts w:hint="eastAsia" w:ascii="方正仿宋_GBK" w:hAnsi="方正仿宋_GBK" w:eastAsia="方正仿宋_GBK" w:cs="方正仿宋_GBK"/>
          <w:color w:val="000000" w:themeColor="text1"/>
          <w:kern w:val="0"/>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正常运行的经费，包括了办公费、印刷费、公务车运行维护费等</w:t>
      </w:r>
      <w:r>
        <w:rPr>
          <w:rFonts w:hint="eastAsia" w:ascii="方正仿宋_GBK" w:hAnsi="方正仿宋_GBK" w:eastAsia="方正仿宋_GBK" w:cs="方正仿宋_GBK"/>
          <w:bCs/>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机关运行</w:t>
      </w:r>
      <w:r>
        <w:rPr>
          <w:rFonts w:hint="eastAsia" w:ascii="方正仿宋_GBK" w:hAnsi="方正仿宋_GBK" w:eastAsia="方正仿宋_GBK" w:cs="方正仿宋_GBK"/>
          <w:color w:val="000000" w:themeColor="text1"/>
          <w:kern w:val="0"/>
          <w:sz w:val="32"/>
          <w:szCs w:val="32"/>
          <w:highlight w:val="none"/>
          <w:shd w:val="clear" w:color="auto" w:fill="FFFFFF"/>
          <w14:textFill>
            <w14:solidFill>
              <w14:schemeClr w14:val="tx1"/>
            </w14:solidFill>
          </w14:textFill>
        </w:rPr>
        <w:t>经费较上年支出数减少65.42万元，下降17.04%，主要原因是</w:t>
      </w:r>
      <w:r>
        <w:rPr>
          <w:rFonts w:hint="eastAsia" w:ascii="方正仿宋_GBK" w:hAnsi="方正仿宋_GBK" w:eastAsia="方正仿宋_GBK" w:cs="方正仿宋_GBK"/>
          <w:color w:val="000000" w:themeColor="text1"/>
          <w:kern w:val="0"/>
          <w:sz w:val="32"/>
          <w:szCs w:val="32"/>
          <w:highlight w:val="none"/>
          <w:shd w:val="clear" w:color="auto" w:fill="FFFFFF"/>
          <w:lang w:eastAsia="zh-CN"/>
          <w14:textFill>
            <w14:solidFill>
              <w14:schemeClr w14:val="tx1"/>
            </w14:solidFill>
          </w14:textFill>
        </w:rPr>
        <w:t>厉行节约。</w:t>
      </w:r>
    </w:p>
    <w:p w14:paraId="3ADF7BB3">
      <w:pPr>
        <w:pStyle w:val="7"/>
        <w:autoSpaceDE w:val="0"/>
        <w:ind w:firstLine="640"/>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t>（三）国有资产占用情况说明</w:t>
      </w:r>
    </w:p>
    <w:p w14:paraId="6385A4B4">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截至2023年12月31日，本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共有车辆</w:t>
      </w:r>
      <w:r>
        <w:rPr>
          <w:rFonts w:ascii="方正仿宋_GBK" w:hAnsi="方正仿宋_GBK" w:eastAsia="方正仿宋_GBK" w:cs="方正仿宋_GBK"/>
          <w:color w:val="000000" w:themeColor="text1"/>
          <w:sz w:val="32"/>
          <w:szCs w:val="32"/>
          <w:highlight w:val="none"/>
          <w14:textFill>
            <w14:solidFill>
              <w14:schemeClr w14:val="tx1"/>
            </w14:solidFill>
          </w14:textFill>
        </w:rPr>
        <w:t>16</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highlight w:val="none"/>
          <w14:textFill>
            <w14:solidFill>
              <w14:schemeClr w14:val="tx1"/>
            </w14:solidFill>
          </w14:textFill>
        </w:rPr>
        <w:t>5</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highlight w:val="none"/>
          <w14:textFill>
            <w14:solidFill>
              <w14:schemeClr w14:val="tx1"/>
            </w14:solidFill>
          </w14:textFill>
        </w:rPr>
        <w:t>11</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highlight w:val="none"/>
          <w14:textFill>
            <w14:solidFill>
              <w14:schemeClr w14:val="tx1"/>
            </w14:solidFill>
          </w14:textFill>
        </w:rPr>
        <w:t>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台（套）。</w:t>
      </w:r>
    </w:p>
    <w:p w14:paraId="69C6E69E">
      <w:pPr>
        <w:pStyle w:val="7"/>
        <w:autoSpaceDE w:val="0"/>
        <w:ind w:firstLine="640"/>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shd w:val="clear" w:color="auto" w:fill="FFFFFF"/>
          <w:lang w:bidi="ar"/>
          <w14:textFill>
            <w14:solidFill>
              <w14:schemeClr w14:val="tx1"/>
            </w14:solidFill>
          </w14:textFill>
        </w:rPr>
        <w:t>（四）政府采购支出情况说明</w:t>
      </w:r>
    </w:p>
    <w:p w14:paraId="339834A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2023年度本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政府采购支出总额</w:t>
      </w:r>
      <w:r>
        <w:rPr>
          <w:rFonts w:ascii="方正仿宋_GBK" w:hAnsi="方正仿宋_GBK" w:eastAsia="方正仿宋_GBK" w:cs="方正仿宋_GBK"/>
          <w:color w:val="000000" w:themeColor="text1"/>
          <w:sz w:val="32"/>
          <w:szCs w:val="32"/>
          <w:highlight w:val="none"/>
          <w14:textFill>
            <w14:solidFill>
              <w14:schemeClr w14:val="tx1"/>
            </w14:solidFill>
          </w14:textFill>
        </w:rPr>
        <w:t>1381.79</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万元，其中：政府采购货物支出</w:t>
      </w:r>
      <w:r>
        <w:rPr>
          <w:rFonts w:ascii="方正仿宋_GBK" w:hAnsi="方正仿宋_GBK" w:eastAsia="方正仿宋_GBK" w:cs="方正仿宋_GBK"/>
          <w:color w:val="000000" w:themeColor="text1"/>
          <w:sz w:val="32"/>
          <w:szCs w:val="32"/>
          <w:highlight w:val="none"/>
          <w14:textFill>
            <w14:solidFill>
              <w14:schemeClr w14:val="tx1"/>
            </w14:solidFill>
          </w14:textFill>
        </w:rPr>
        <w:t>22.51</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万元、政府采购工程支出</w:t>
      </w:r>
      <w:r>
        <w:rPr>
          <w:rFonts w:ascii="方正仿宋_GBK" w:hAnsi="方正仿宋_GBK" w:eastAsia="方正仿宋_GBK" w:cs="方正仿宋_GBK"/>
          <w:color w:val="000000" w:themeColor="text1"/>
          <w:sz w:val="32"/>
          <w:szCs w:val="32"/>
          <w:highlight w:val="none"/>
          <w14:textFill>
            <w14:solidFill>
              <w14:schemeClr w14:val="tx1"/>
            </w14:solidFill>
          </w14:textFill>
        </w:rPr>
        <w:t>1359.28</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万元、政府采购服务支出</w:t>
      </w:r>
      <w:r>
        <w:rPr>
          <w:rFonts w:ascii="方正仿宋_GBK" w:hAnsi="方正仿宋_GBK" w:eastAsia="方正仿宋_GBK" w:cs="方正仿宋_GBK"/>
          <w:color w:val="000000" w:themeColor="text1"/>
          <w:sz w:val="32"/>
          <w:szCs w:val="32"/>
          <w:highlight w:val="none"/>
          <w14:textFill>
            <w14:solidFill>
              <w14:schemeClr w14:val="tx1"/>
            </w14:solidFill>
          </w14:textFill>
        </w:rPr>
        <w:t>0.00</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万元。授予中小企业合同金额</w:t>
      </w:r>
      <w:r>
        <w:rPr>
          <w:rFonts w:ascii="方正仿宋_GBK" w:hAnsi="方正仿宋_GBK" w:eastAsia="方正仿宋_GBK" w:cs="方正仿宋_GBK"/>
          <w:color w:val="000000" w:themeColor="text1"/>
          <w:sz w:val="32"/>
          <w:szCs w:val="32"/>
          <w:highlight w:val="none"/>
          <w14:textFill>
            <w14:solidFill>
              <w14:schemeClr w14:val="tx1"/>
            </w14:solidFill>
          </w14:textFill>
        </w:rPr>
        <w:t>1192.27万</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元，占政府采购支出总额的</w:t>
      </w:r>
      <w:r>
        <w:rPr>
          <w:rFonts w:ascii="方正仿宋_GBK" w:hAnsi="方正仿宋_GBK" w:eastAsia="方正仿宋_GBK" w:cs="方正仿宋_GBK"/>
          <w:color w:val="000000" w:themeColor="text1"/>
          <w:sz w:val="32"/>
          <w:szCs w:val="32"/>
          <w:highlight w:val="none"/>
          <w14:textFill>
            <w14:solidFill>
              <w14:schemeClr w14:val="tx1"/>
            </w14:solidFill>
          </w14:textFill>
        </w:rPr>
        <w:t>86.28</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%，其中：授予小微企业合同金额</w:t>
      </w:r>
      <w:r>
        <w:rPr>
          <w:rFonts w:ascii="方正仿宋_GBK" w:hAnsi="方正仿宋_GBK" w:eastAsia="方正仿宋_GBK" w:cs="方正仿宋_GBK"/>
          <w:color w:val="000000" w:themeColor="text1"/>
          <w:sz w:val="32"/>
          <w:szCs w:val="32"/>
          <w:highlight w:val="none"/>
          <w14:textFill>
            <w14:solidFill>
              <w14:schemeClr w14:val="tx1"/>
            </w14:solidFill>
          </w14:textFill>
        </w:rPr>
        <w:t>1192.27</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万元，占政府采购支出总额的</w:t>
      </w:r>
      <w:r>
        <w:rPr>
          <w:rFonts w:ascii="方正仿宋_GBK" w:hAnsi="方正仿宋_GBK" w:eastAsia="方正仿宋_GBK" w:cs="方正仿宋_GBK"/>
          <w:color w:val="000000" w:themeColor="text1"/>
          <w:sz w:val="32"/>
          <w:szCs w:val="32"/>
          <w:highlight w:val="none"/>
          <w14:textFill>
            <w14:solidFill>
              <w14:schemeClr w14:val="tx1"/>
            </w14:solidFill>
          </w14:textFill>
        </w:rPr>
        <w:t>86.28</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xml:space="preserve"> %。主要用于采购</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主要用于采购</w:t>
      </w:r>
      <w:r>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t>空调、电脑等货物、旧城改造等工程</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w:t>
      </w:r>
    </w:p>
    <w:p w14:paraId="5C5D67FE">
      <w:pPr>
        <w:pStyle w:val="3"/>
        <w:numPr>
          <w:ilvl w:val="0"/>
          <w:numId w:val="1"/>
        </w:numPr>
        <w:shd w:val="clear" w:color="auto" w:fill="FFFFFF"/>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pPr>
      <w:r>
        <w:rPr>
          <w:rStyle w:val="6"/>
          <w:rFonts w:hint="eastAsia" w:ascii="方正黑体_GBK" w:hAnsi="方正黑体_GBK" w:eastAsia="方正黑体_GBK" w:cs="方正黑体_GBK"/>
          <w:color w:val="000000" w:themeColor="text1"/>
          <w:sz w:val="32"/>
          <w:szCs w:val="32"/>
          <w:highlight w:val="none"/>
          <w:shd w:val="clear" w:color="auto" w:fill="FFFFFF"/>
          <w14:textFill>
            <w14:solidFill>
              <w14:schemeClr w14:val="tx1"/>
            </w14:solidFill>
          </w14:textFill>
        </w:rPr>
        <w:t>预算绩效管理情况说明</w:t>
      </w:r>
    </w:p>
    <w:p w14:paraId="0E26B52B">
      <w:pP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（一）预算绩效管理工作开展情况</w:t>
      </w:r>
    </w:p>
    <w:p w14:paraId="65782BF8">
      <w:pPr>
        <w:rPr>
          <w:rFonts w:hint="eastAsia" w:eastAsia="方正仿宋_GBK"/>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根据预算绩效管理要求，我</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个项目开展了绩效自评，其中，以填报自评表形式开展自评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项，涉及资金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5521.93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002AFBB6">
      <w:pPr>
        <w:rPr>
          <w:b w:val="0"/>
          <w:bCs w:val="0"/>
          <w:color w:val="000000" w:themeColor="text1"/>
          <w:highlight w:val="none"/>
          <w14:textFill>
            <w14:solidFill>
              <w14:schemeClr w14:val="tx1"/>
            </w14:solidFill>
          </w14:textFill>
        </w:rPr>
      </w:pPr>
      <w:r>
        <w:rPr>
          <w:b w:val="0"/>
          <w:bCs w:val="0"/>
          <w:color w:val="000000" w:themeColor="text1"/>
          <w:highlight w:val="none"/>
          <w14:textFill>
            <w14:solidFill>
              <w14:schemeClr w14:val="tx1"/>
            </w14:solidFill>
          </w14:textFill>
        </w:rPr>
        <w:t xml:space="preserve">    </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（二）绩效自评结果。</w:t>
      </w:r>
    </w:p>
    <w:p w14:paraId="7187D0E7">
      <w:pPr>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1.绩效目标自评表。</w:t>
      </w:r>
    </w:p>
    <w:p w14:paraId="7567232C">
      <w:pPr>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整体绩效自评表。</w:t>
      </w:r>
    </w:p>
    <w:p w14:paraId="4A189C76">
      <w:pPr>
        <w:ind w:firstLine="64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详见附件。</w:t>
      </w:r>
    </w:p>
    <w:p w14:paraId="05DF1159">
      <w:pPr>
        <w:numPr>
          <w:ilvl w:val="0"/>
          <w:numId w:val="0"/>
        </w:numPr>
        <w:ind w:firstLine="64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项目绩效自评表。</w:t>
      </w:r>
    </w:p>
    <w:p w14:paraId="3843BCD6">
      <w:pPr>
        <w:numPr>
          <w:ilvl w:val="0"/>
          <w:numId w:val="0"/>
        </w:numPr>
        <w:ind w:firstLine="64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Cs/>
          <w:sz w:val="32"/>
          <w:szCs w:val="32"/>
          <w:lang w:val="en-US" w:eastAsia="zh-CN"/>
        </w:rPr>
        <w:t>详见附件。其中信访维稳依上级要求不予公开</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 xml:space="preserve">  </w:t>
      </w:r>
    </w:p>
    <w:p w14:paraId="3CA66522">
      <w:pPr>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2.绩效自评报告或案例。</w:t>
      </w:r>
    </w:p>
    <w:p w14:paraId="45CEAB81">
      <w:pPr>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我</w:t>
      </w:r>
      <w:r>
        <w:rPr>
          <w:rFonts w:hint="eastAsia" w:ascii="Times New Roman" w:hAnsi="Times New Roman" w:eastAsia="方正仿宋_GBK"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未委托第三方开展绩效评价。</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p>
    <w:p w14:paraId="2C26F40F">
      <w:pPr>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3.关于绩效自评结果的说明。</w:t>
      </w:r>
    </w:p>
    <w:p w14:paraId="519413A8">
      <w:pPr>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我</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项目进行绩效自评，其中</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个已完成年度绩效目标，</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个未完成年度绩效目标。</w:t>
      </w:r>
    </w:p>
    <w:p w14:paraId="0CD4FC1C">
      <w:pPr>
        <w:ind w:firstLine="640" w:firstLineChars="200"/>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（三）重点绩效评价结果。</w:t>
      </w:r>
    </w:p>
    <w:p w14:paraId="7B8E2379">
      <w:pPr>
        <w:ind w:firstLine="640" w:firstLineChars="200"/>
        <w:rPr>
          <w:rFonts w:hint="eastAsia" w:ascii="方正仿宋_GBK" w:hAnsi="方正仿宋_GBK" w:eastAsia="方正仿宋_GBK" w:cs="方正仿宋_GBK"/>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我</w:t>
      </w:r>
      <w:r>
        <w:rPr>
          <w:rFonts w:hint="eastAsia" w:ascii="Times New Roman" w:hAnsi="Times New Roman" w:eastAsia="方正仿宋_GBK"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未开展重点绩效评价。</w:t>
      </w:r>
    </w:p>
    <w:p w14:paraId="47081BE7">
      <w:pPr>
        <w:pStyle w:val="3"/>
        <w:shd w:val="clear" w:color="auto" w:fill="FFFFFF"/>
        <w:rPr>
          <w:rStyle w:val="6"/>
          <w:rFonts w:hint="eastAsia" w:ascii="方正黑体_GBK" w:hAnsi="方正黑体_GBK" w:eastAsia="方正黑体_GBK" w:cs="方正黑体_GBK"/>
          <w:color w:val="000000" w:themeColor="text1"/>
          <w:sz w:val="32"/>
          <w:szCs w:val="32"/>
          <w:highlight w:val="none"/>
          <w:shd w:val="clear" w:color="auto" w:fill="FFFFFF"/>
          <w:lang w:val="en-US" w:eastAsia="zh-CN"/>
          <w14:textFill>
            <w14:solidFill>
              <w14:schemeClr w14:val="tx1"/>
            </w14:solidFill>
          </w14:textFill>
        </w:rPr>
      </w:pPr>
      <w:r>
        <w:rPr>
          <w:rStyle w:val="6"/>
          <w:rFonts w:hint="eastAsia" w:ascii="方正黑体_GBK" w:hAnsi="方正黑体_GBK" w:eastAsia="方正黑体_GBK" w:cs="方正黑体_GBK"/>
          <w:color w:val="000000" w:themeColor="text1"/>
          <w:sz w:val="32"/>
          <w:szCs w:val="32"/>
          <w:highlight w:val="none"/>
          <w:shd w:val="clear" w:color="auto" w:fill="FFFFFF"/>
          <w:lang w:val="en-US" w:eastAsia="zh-CN"/>
          <w14:textFill>
            <w14:solidFill>
              <w14:schemeClr w14:val="tx1"/>
            </w14:solidFill>
          </w14:textFill>
        </w:rPr>
        <w:t>  六、专业名词解释</w:t>
      </w:r>
    </w:p>
    <w:p w14:paraId="6525308F">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shd w:val="clear" w:color="auto" w:fill="FFFFFF"/>
          <w:lang w:val="en-US" w:eastAsia="zh-CN" w:bidi="ar"/>
          <w14:textFill>
            <w14:solidFill>
              <w14:schemeClr w14:val="tx1"/>
            </w14:solidFill>
          </w14:textFill>
        </w:rPr>
        <w:t> </w:t>
      </w:r>
      <w:r>
        <w:rPr>
          <w:rFonts w:hint="eastAsia" w:ascii="方正楷体_GBK" w:hAnsi="方正楷体_GBK" w:eastAsia="方正楷体_GBK" w:cs="方正楷体_GBK"/>
          <w:b/>
          <w:bCs/>
          <w:color w:val="000000" w:themeColor="text1"/>
          <w:kern w:val="0"/>
          <w:sz w:val="32"/>
          <w:szCs w:val="32"/>
          <w:highlight w:val="none"/>
          <w:shd w:val="clear" w:color="auto" w:fill="FFFFFF"/>
          <w:lang w:val="en-US" w:eastAsia="zh-CN" w:bidi="ar"/>
          <w14:textFill>
            <w14:solidFill>
              <w14:schemeClr w14:val="tx1"/>
            </w14:solidFill>
          </w14:textFill>
        </w:rPr>
        <w:t>（一）财政拨款收入：</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指本年度从本级财政</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取得的财政拨款，包括一般公共预算财政拨款和政府性基金预算财政拨款。</w:t>
      </w:r>
    </w:p>
    <w:p w14:paraId="17E09CC0">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（二）事业收入</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指事业</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开展专业业务活动及其辅助活动取得的现金流入；事业</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收到的财政专户实际核拨的教育收费等资金在此反映。</w:t>
      </w:r>
    </w:p>
    <w:p w14:paraId="68EC7160">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（三）经营收入</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指事业</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在专业业务活动及其辅助活动之外开展非独立核算经营活动取得的现金流入。</w:t>
      </w:r>
    </w:p>
    <w:p w14:paraId="7EB36D56">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 （四）其他收入</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取得的除“财政拨款收入”、“事业收入”、“经营收入”等以外的收入，包括未纳入财政预算或财政专户管理的投资收益、银行存款利息收入、租金</w:t>
      </w:r>
      <w:bookmarkStart w:id="0" w:name="_GoBack"/>
      <w:bookmarkEnd w:id="0"/>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收入、捐赠收入，现金盘盈收入、存货盘盈收入、收回已核销的应收及预付款项、无法偿付的应付及预收款项等。各</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从本级财政</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以外的同级</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取得的经费、从非本级财政</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取得的经费，以及行政</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收到的财政专户管理资金反映在本项内。</w:t>
      </w:r>
    </w:p>
    <w:p w14:paraId="398E5709">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（五）使用非财政拨款结余</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在当年的“财政拨款收入”、“事业收入”、“经营收入”、“其他收入”等不足以安排当年支出的情况下，使用以前年度积累的非财政拨款结余弥补本年度收支缺口的资金。</w:t>
      </w:r>
    </w:p>
    <w:p w14:paraId="498425DA">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（六）年初结转和结余</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上年结转本年使用的基本支出结转、项目支出结转和结余、经营结余。</w:t>
      </w:r>
    </w:p>
    <w:p w14:paraId="29D2DF80">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（七）结余分配</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按照国家有关规定，缴纳所得税、提取专用基金、转入非财政拨款结余等当年结余的分配情况。</w:t>
      </w:r>
    </w:p>
    <w:p w14:paraId="50BAC510">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（八）年末结转和结余</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结转下年的基本支出结转、项目支出结转和结余、经营结余。</w:t>
      </w:r>
    </w:p>
    <w:p w14:paraId="2A6EA5D7">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 （九）基本支出</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138CF39">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（十）项目支出</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指在基本支出之外为完成特定行政任务和事业发展目标所发生的支出。</w:t>
      </w:r>
    </w:p>
    <w:p w14:paraId="1DD2D327">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（十一）经营支出</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指事业</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在专业业务活动及其辅助活动之外开展非独立核算经营活动发生的支出。</w:t>
      </w:r>
    </w:p>
    <w:p w14:paraId="5F6C8407">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（十二）“三公”经费</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公务出国（境）的国际旅费、国外城市间交通费、住宿费、伙食费、培训费、公杂费等支出；公务用车购置费反映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公务用车购置支出（含车辆购置税）；公务用车运行维护费反映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按规定保留的公务用车燃料费、维修费、过路过桥费、保险费、安全奖励费用等支出；公务接待费反映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按规定开支的各类公务接待（含外宾接待）支出。</w:t>
      </w:r>
    </w:p>
    <w:p w14:paraId="5A90CDD2">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（十三）机关运行经费</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为保障行政</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（含参照公务员法管理的事业</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A34C79">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（十四）工资福利支出（支出经济分类科目类级）</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反映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开支的在职职工和编制外长期聘用人员的各类劳动报酬，以及为上述人员缴纳的各项社会保险费等。</w:t>
      </w:r>
    </w:p>
    <w:p w14:paraId="69181B99">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（十五）商品和服务支出（支出经济分类科目类级）</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反映</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购买商品和服务的支出（不包括用于购置固定资产的支出、战略性和应急储备支出）。</w:t>
      </w:r>
    </w:p>
    <w:p w14:paraId="6DCCD848">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 （十六）对个人和家庭的补助（支出经济分类科目类级）</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反映用于对个人和家庭的补助支出。</w:t>
      </w:r>
    </w:p>
    <w:p w14:paraId="61E2DBBC">
      <w:pPr>
        <w:pStyle w:val="3"/>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Style w:val="6"/>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 </w:t>
      </w:r>
      <w:r>
        <w:rPr>
          <w:rStyle w:val="6"/>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（十七）其他资本性支出（支出经济分类科目类级）</w:t>
      </w:r>
      <w:r>
        <w:rPr>
          <w:rFonts w:hint="eastAsia" w:ascii="方正楷体_GBK" w:hAnsi="方正楷体_GBK" w:eastAsia="方正楷体_GBK" w:cs="方正楷体_GBK"/>
          <w:color w:val="000000" w:themeColor="text1"/>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反映非各级发展与改革</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33B9761F">
      <w:pPr>
        <w:pStyle w:val="3"/>
        <w:shd w:val="clear" w:color="auto" w:fill="FFFFFF"/>
        <w:rPr>
          <w:rStyle w:val="6"/>
          <w:rFonts w:hint="eastAsia" w:ascii="方正黑体_GBK" w:hAnsi="方正黑体_GBK" w:eastAsia="方正黑体_GBK" w:cs="方正黑体_GBK"/>
          <w:color w:val="000000" w:themeColor="text1"/>
          <w:sz w:val="32"/>
          <w:szCs w:val="32"/>
          <w:highlight w:val="none"/>
          <w:shd w:val="clear" w:color="auto" w:fill="FFFFFF"/>
          <w:lang w:val="en-US" w:eastAsia="zh-CN"/>
          <w14:textFill>
            <w14:solidFill>
              <w14:schemeClr w14:val="tx1"/>
            </w14:solidFill>
          </w14:textFill>
        </w:rPr>
      </w:pPr>
      <w:r>
        <w:rPr>
          <w:rStyle w:val="6"/>
          <w:rFonts w:hint="eastAsia" w:ascii="方正黑体_GBK" w:hAnsi="方正黑体_GBK" w:eastAsia="方正黑体_GBK" w:cs="方正黑体_GBK"/>
          <w:color w:val="000000" w:themeColor="text1"/>
          <w:sz w:val="32"/>
          <w:szCs w:val="32"/>
          <w:highlight w:val="none"/>
          <w:shd w:val="clear" w:color="auto" w:fill="FFFFFF"/>
          <w:lang w:val="en-US" w:eastAsia="zh-CN"/>
          <w14:textFill>
            <w14:solidFill>
              <w14:schemeClr w14:val="tx1"/>
            </w14:solidFill>
          </w14:textFill>
        </w:rPr>
        <w:t>  七、决算公开联系方式及信息反馈渠道</w:t>
      </w:r>
    </w:p>
    <w:p w14:paraId="3DCC6724">
      <w:pPr>
        <w:pStyle w:val="10"/>
        <w:snapToGrid w:val="0"/>
        <w:spacing w:before="0" w:beforeLines="0" w:beforeAutospacing="0" w:after="0" w:afterLines="0" w:afterAutospacing="0" w:line="600" w:lineRule="exact"/>
        <w:ind w:firstLine="640" w:firstLineChars="200"/>
        <w:jc w:val="both"/>
        <w:rPr>
          <w:rFonts w:hint="default" w:ascii="方正仿宋_GBK" w:hAnsi="方正仿宋_GBK" w:eastAsia="方正仿宋_GBK" w:cs="方正仿宋_GBK"/>
          <w:color w:val="000000" w:themeColor="text1"/>
          <w:sz w:val="32"/>
          <w:szCs w:val="32"/>
          <w:highlight w:val="none"/>
          <w:shd w:val="clear" w:color="auto" w:fill="FFFFFF"/>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部门</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决算公开信息反馈和联系方式：</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向家艳</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023-</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45689188</w:t>
      </w:r>
    </w:p>
    <w:p w14:paraId="1B57EA66">
      <w:pPr>
        <w:pStyle w:val="10"/>
        <w:snapToGrid w:val="0"/>
        <w:spacing w:before="0" w:beforeLines="0" w:beforeAutospacing="0" w:after="0" w:afterLines="0" w:afterAutospacing="0" w:line="600" w:lineRule="exact"/>
        <w:ind w:firstLine="480" w:firstLineChars="200"/>
        <w:jc w:val="both"/>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11014B1"/>
    <w:rsid w:val="02AF2B6A"/>
    <w:rsid w:val="03DE280D"/>
    <w:rsid w:val="07572E51"/>
    <w:rsid w:val="08135BA4"/>
    <w:rsid w:val="0BD82574"/>
    <w:rsid w:val="0CDD2A52"/>
    <w:rsid w:val="0D24767F"/>
    <w:rsid w:val="0F992A4B"/>
    <w:rsid w:val="0FAD50F8"/>
    <w:rsid w:val="100C3078"/>
    <w:rsid w:val="10E904CB"/>
    <w:rsid w:val="11E25CA2"/>
    <w:rsid w:val="13C9166A"/>
    <w:rsid w:val="18162341"/>
    <w:rsid w:val="1B672584"/>
    <w:rsid w:val="24565BD5"/>
    <w:rsid w:val="2A981479"/>
    <w:rsid w:val="2D1C387A"/>
    <w:rsid w:val="2F1201D7"/>
    <w:rsid w:val="2FCB3B39"/>
    <w:rsid w:val="34986ECD"/>
    <w:rsid w:val="358B1E03"/>
    <w:rsid w:val="35E34777"/>
    <w:rsid w:val="36F700E6"/>
    <w:rsid w:val="382837D5"/>
    <w:rsid w:val="39A93836"/>
    <w:rsid w:val="3EB912C4"/>
    <w:rsid w:val="42143C78"/>
    <w:rsid w:val="421A4855"/>
    <w:rsid w:val="45EB1ABA"/>
    <w:rsid w:val="4911055A"/>
    <w:rsid w:val="4A211D2D"/>
    <w:rsid w:val="4BFA6AB7"/>
    <w:rsid w:val="4C49391D"/>
    <w:rsid w:val="4D945ED6"/>
    <w:rsid w:val="4FBA68B3"/>
    <w:rsid w:val="4FBC0AE8"/>
    <w:rsid w:val="50295FED"/>
    <w:rsid w:val="52B827E4"/>
    <w:rsid w:val="53BE1870"/>
    <w:rsid w:val="54912C1E"/>
    <w:rsid w:val="54C60377"/>
    <w:rsid w:val="55352F38"/>
    <w:rsid w:val="567B2B25"/>
    <w:rsid w:val="59C23911"/>
    <w:rsid w:val="5A0E7CED"/>
    <w:rsid w:val="5CC351E9"/>
    <w:rsid w:val="5E14754F"/>
    <w:rsid w:val="601E18C0"/>
    <w:rsid w:val="6049200C"/>
    <w:rsid w:val="647547AF"/>
    <w:rsid w:val="65120C65"/>
    <w:rsid w:val="65F56982"/>
    <w:rsid w:val="65F9043C"/>
    <w:rsid w:val="667F66ED"/>
    <w:rsid w:val="682021F8"/>
    <w:rsid w:val="6AA9520C"/>
    <w:rsid w:val="6BB22A33"/>
    <w:rsid w:val="6D5C10C9"/>
    <w:rsid w:val="6E702150"/>
    <w:rsid w:val="6EF86ECB"/>
    <w:rsid w:val="715A6AA4"/>
    <w:rsid w:val="746851D6"/>
    <w:rsid w:val="768109EE"/>
    <w:rsid w:val="76BF32C9"/>
    <w:rsid w:val="774A2430"/>
    <w:rsid w:val="7816139E"/>
    <w:rsid w:val="7AD128D4"/>
    <w:rsid w:val="7FE7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7">
    <w:name w:val="列出段落1"/>
    <w:basedOn w:val="1"/>
    <w:qFormat/>
    <w:uiPriority w:val="99"/>
    <w:pPr>
      <w:ind w:firstLine="420" w:firstLineChars="200"/>
    </w:pPr>
    <w:rPr>
      <w:rFonts w:hint="default"/>
    </w:rPr>
  </w:style>
  <w:style w:type="paragraph" w:customStyle="1" w:styleId="8">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paragraph" w:customStyle="1" w:styleId="9">
    <w:name w:val="List Paragraph"/>
    <w:basedOn w:val="1"/>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0">
    <w:name w:val="Normal (Web)"/>
    <w:basedOn w:val="1"/>
    <w:qFormat/>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6099</Words>
  <Characters>6867</Characters>
  <Lines>0</Lines>
  <Paragraphs>0</Paragraphs>
  <TotalTime>5</TotalTime>
  <ScaleCrop>false</ScaleCrop>
  <LinksUpToDate>false</LinksUpToDate>
  <CharactersWithSpaces>6913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2024-09-13T06:45:00Z</dcterms:created>
  <dc:creator>hp99</dc:creator>
  <cp:lastModifiedBy>。</cp:lastModifiedBy>
  <dcterms:modified xsi:type="dcterms:W3CDTF">2024-10-30T11:14:52Z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14A62887F2D2490BBF8C245729D40D66_12</vt:lpwstr>
  </property>
</Properties>
</file>