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3"/>
          <w:szCs w:val="43"/>
        </w:rPr>
        <w:t>重庆市铜梁区安溪镇人民政府2022年度</w:t>
      </w:r>
      <w:r>
        <w:rPr>
          <w:rFonts w:ascii="Calibri" w:hAnsi="Calibri" w:eastAsia="方正小标宋_GBK" w:cs="Calibri"/>
          <w:i w:val="0"/>
          <w:caps w:val="0"/>
          <w:color w:val="000000"/>
          <w:spacing w:val="0"/>
          <w:sz w:val="43"/>
          <w:szCs w:val="43"/>
        </w:rPr>
        <w:t>“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3"/>
          <w:szCs w:val="43"/>
        </w:rPr>
        <w:t>三公</w:t>
      </w:r>
      <w:r>
        <w:rPr>
          <w:rFonts w:hint="default" w:ascii="Calibri" w:hAnsi="Calibri" w:eastAsia="方正小标宋_GBK" w:cs="Calibri"/>
          <w:i w:val="0"/>
          <w:caps w:val="0"/>
          <w:color w:val="000000"/>
          <w:spacing w:val="0"/>
          <w:sz w:val="43"/>
          <w:szCs w:val="43"/>
        </w:rPr>
        <w:t>”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3"/>
          <w:szCs w:val="43"/>
        </w:rPr>
        <w:t>经费决算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3"/>
          <w:szCs w:val="43"/>
        </w:rPr>
        <w:t>汇总情况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 按照《中华人民共和国预算法》和《重庆市铜梁区预决算信息公开管理办法》有关要求，现将铜梁区安溪镇人民政府2022年度“三公”经费决算汇总情况公布如下：  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2022年度安溪镇人民政府“三公”经费决算16.2万元，较上年决算数增加2.88万元，增长21.6%。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因公出国（境）费0万元，与上年持平，主要原因是受新冠疫情影响，我单位无因公出国（境）费支出。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公务接待费0万元，与上年持平，主要原因是受新冠疫情影响，上级单位业务指导较少，故2022年度无公务接待费支出。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公务用车购置及运行维护费16.2万元（公务用车购置费0万元、公务用车运行维护费16.2万元）。较上年决算数增加2.88万元，增长21.6%。主要原因是公务车日常运行维护次数的变化。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（联系方式：023-45393101）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ans-serif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EEFFD44A"/>
    <w:rsid w:val="FAFFF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tlww</cp:lastModifiedBy>
  <dcterms:modified xsi:type="dcterms:W3CDTF">2023-11-02T09:33:59Z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