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重庆市铜梁区安溪镇人民政府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年总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决算报告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预算收支决算情况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一般公共预算收支情况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全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cs="Times New Roman"/>
        </w:rPr>
        <w:t>本级一般公共预算收入实</w:t>
      </w:r>
      <w:bookmarkStart w:id="0" w:name="_GoBack"/>
      <w:bookmarkEnd w:id="0"/>
      <w:r>
        <w:rPr>
          <w:rFonts w:hint="default" w:ascii="Times New Roman" w:hAnsi="Times New Roman" w:cs="Times New Roman"/>
        </w:rPr>
        <w:t>现351.73万元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为年初预算的</w:t>
      </w:r>
      <w:r>
        <w:rPr>
          <w:rFonts w:hint="default" w:ascii="Times New Roman" w:hAnsi="Times New Roman" w:cs="Times New Roman"/>
          <w:lang w:val="en-US" w:eastAsia="zh-CN"/>
        </w:rPr>
        <w:t>58.6</w:t>
      </w:r>
      <w:r>
        <w:rPr>
          <w:rFonts w:hint="default" w:ascii="Times New Roman" w:hAnsi="Times New Roman" w:cs="Times New Roman"/>
        </w:rPr>
        <w:t>%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比上年增长</w:t>
      </w:r>
      <w:r>
        <w:rPr>
          <w:rFonts w:hint="default" w:ascii="Times New Roman" w:hAnsi="Times New Roman" w:cs="Times New Roman"/>
          <w:lang w:val="en-US" w:eastAsia="zh-CN"/>
        </w:rPr>
        <w:t>-44.7</w:t>
      </w:r>
      <w:r>
        <w:rPr>
          <w:rFonts w:hint="default" w:ascii="Times New Roman" w:hAnsi="Times New Roman" w:cs="Times New Roman"/>
        </w:rPr>
        <w:t>%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其中税收收入315.30万元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增长</w:t>
      </w:r>
      <w:r>
        <w:rPr>
          <w:rFonts w:hint="default" w:ascii="Times New Roman" w:hAnsi="Times New Roman" w:cs="Times New Roman"/>
          <w:lang w:val="en-US" w:eastAsia="zh-CN"/>
        </w:rPr>
        <w:t>-50.3</w:t>
      </w:r>
      <w:r>
        <w:rPr>
          <w:rFonts w:hint="default" w:ascii="Times New Roman" w:hAnsi="Times New Roman" w:cs="Times New Roman"/>
        </w:rPr>
        <w:t>%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非税收入36.43万元。加上托底保障补助、结算补助、专项</w:t>
      </w:r>
      <w:r>
        <w:rPr>
          <w:rFonts w:hint="default" w:ascii="Times New Roman" w:hAnsi="Times New Roman" w:cs="Times New Roman"/>
          <w:lang w:eastAsia="zh-CN"/>
        </w:rPr>
        <w:t>转</w:t>
      </w:r>
      <w:r>
        <w:rPr>
          <w:rFonts w:hint="default" w:ascii="Times New Roman" w:hAnsi="Times New Roman" w:cs="Times New Roman"/>
        </w:rPr>
        <w:t>移支付补助、上年结转、动用预算稳定调节基金等2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893.91万元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收入总计3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245.64万元。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全镇本级一般公共预算支出3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088.06万元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为年初预算的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179.6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比上年增长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61.0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%。加上结转下年、安排预算稳定调节基金、上解上级支出等157.58万元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支出总计3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245.64万元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当年实现收支平衡。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(二)政府性基金预算收支情况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全镇政府性基金收入上级补助收入104.03万元，加上上年结转收入0.00万元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收入总计104.03万元。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全镇政府性基金支出104.03万元。加上上解上级支出、调出资金、结转下年支出等0.00万元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支出总计104.03万元。当年实现收支平衡。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(三)国有资本经营预算收支情况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我镇无国有资本经营预算收支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二、2021年地方财力及平衡情况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(一)一般公共预算财力及平衡情况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全镇一般公共预算财力3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245.64万元。由一般公共预算收入351.73万元，加上级补助收入、上年结余、动用预算稳定调节基金等2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893.91万元构成。支出总计3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245.64万元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由一般公共预算支出3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088.06万元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加上解支出、安排预算稳定调节基金、结转下年等157.58万元等构成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当年收支平衡。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(二)政府性基金预算财力及平衡情况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政府性基金财力104.03万元，由上级补助收入、上年结余等构成。支出总计104.03万元，由政府性基金支出、结转下年支出、上解上级支出、调出资金等构成，当年收支平衡。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(三)国有资本经营预算财力及平衡情况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我镇无国有资本经营预算及支出情况。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三、其他重点报告事项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(一)财政转移支付安排情况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2021年我镇收到上级转移支付补助2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997.94万元，其中:一般公共预算2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893.91万元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政府性基金预算104.03万元。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(二)政府债务限额、余额及变动情况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我镇无地方政府债务。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(三)预算绩效管理开展情况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根据预算绩效管理要求，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部门整体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2021年度项目资金进行了绩效目标评价，分别对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乡村振兴泥结石硬化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四好农村路建设项目、敬老院改造升级、党群服务中心建设项目、积分制、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2020年中央公共文化服务体系建设专项资金、安溪镇谭洪村乡村振兴示范点规划、农村人居环境整治、义务兵家庭优待金、临时救助、农村垃圾清运和原农技干部生活困难补助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个项目开展了绩效自评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其中，以填报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项目资金绩效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目标自评表形式开展自评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项，涉及资金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1347.36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项目绩效自评表如下：</w:t>
      </w:r>
    </w:p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jc w:val="left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10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16"/>
        <w:gridCol w:w="491"/>
        <w:gridCol w:w="228"/>
        <w:gridCol w:w="945"/>
        <w:gridCol w:w="254"/>
        <w:gridCol w:w="425"/>
        <w:gridCol w:w="207"/>
        <w:gridCol w:w="754"/>
        <w:gridCol w:w="62"/>
        <w:gridCol w:w="765"/>
        <w:gridCol w:w="57"/>
        <w:gridCol w:w="970"/>
        <w:gridCol w:w="421"/>
        <w:gridCol w:w="685"/>
        <w:gridCol w:w="408"/>
        <w:gridCol w:w="352"/>
        <w:gridCol w:w="425"/>
        <w:gridCol w:w="909"/>
        <w:gridCol w:w="632"/>
        <w:gridCol w:w="528"/>
        <w:gridCol w:w="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铜梁区2021年度项目资金绩效目标自评表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0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敬老院改造升级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王大洪17783541988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1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88.976573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88.976573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1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其中：财政资金</w:t>
            </w:r>
          </w:p>
        </w:tc>
        <w:tc>
          <w:tcPr>
            <w:tcW w:w="1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88.976573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88.976573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1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年度总体目标完成综述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完成对敬老院的改造升级</w:t>
            </w:r>
          </w:p>
        </w:tc>
        <w:tc>
          <w:tcPr>
            <w:tcW w:w="5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按时高质量完成了敬老院无障碍改造升级，并高效投入使用。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项目个数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财政资金节约率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资金拨付完成率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群众认可度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敬老院居住人群满意度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陈静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15340569896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说明：定量指标-达到目标确定标准，计满分；低于目标确定标准，偏离度在15%以内的，按照指标分值权重平均扣分，偏离度超过15%的，不得分。定性指标-全部或基本达成预期指标，计相应权重80%以上的分值；部分达成预期指标具有一定效果的，计相应权重60%以上且低于80%的分值；未达成预期指标或效果较差的，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5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5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5" w:type="dxa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3" w:hRule="atLeast"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23" w:hRule="atLeast"/>
        </w:trPr>
        <w:tc>
          <w:tcPr>
            <w:tcW w:w="108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铜梁区2021年度项目资金绩效目标自评表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69" w:hRule="atLeast"/>
        </w:trPr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原乡镇农机站聘用制干部生活困难补助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张保山18084094955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70" w:hRule="atLeast"/>
        </w:trPr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33" w:hRule="atLeast"/>
        </w:trPr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执行率（B/A）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09" w:hRule="atLeast"/>
        </w:trPr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1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09" w:hRule="atLeast"/>
        </w:trPr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其中：财政资金</w:t>
            </w:r>
          </w:p>
        </w:tc>
        <w:tc>
          <w:tcPr>
            <w:tcW w:w="1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49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5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3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年度总体目标完成综述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81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保障原乡镇农机站聘用制干部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正常生活支出</w:t>
            </w:r>
          </w:p>
        </w:tc>
        <w:tc>
          <w:tcPr>
            <w:tcW w:w="53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资金及时发放至困难干部手中，保障原乡镇农机站聘用制干部正常生活支出。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33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全年实际值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资金拨付完成率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解决困难干部生活（万元）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惠及人数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6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困难干部满意度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22" w:hRule="atLeast"/>
        </w:trPr>
        <w:tc>
          <w:tcPr>
            <w:tcW w:w="2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76" w:hRule="atLeast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填报人：陈静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联系电话：15340569896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1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说明：定量指标－达到目标确定标准，计满分；低于目标确定标准，偏离度在15%以内的，按照指标分值权重平均扣分，偏离度超过15%的，不得分。定性指标－全部或基本达成预期指标，计相应权重80%以上的分值；部分达成预期指标具有一定效果的，计相应权重60%以上且低于80%的分值；未达成预期指标或效果较差的，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15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15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15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964" w:right="510" w:bottom="96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1C292"/>
    <w:multiLevelType w:val="singleLevel"/>
    <w:tmpl w:val="9B91C2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DEwOWNkZTY4OGQ5OTAzODFiZGU5MTAxYTJjNDAifQ=="/>
  </w:docVars>
  <w:rsids>
    <w:rsidRoot w:val="7FB12BC7"/>
    <w:rsid w:val="00A641E7"/>
    <w:rsid w:val="030F30CB"/>
    <w:rsid w:val="05A970F3"/>
    <w:rsid w:val="0A481E7F"/>
    <w:rsid w:val="0B004ABA"/>
    <w:rsid w:val="0D537A8C"/>
    <w:rsid w:val="131021B8"/>
    <w:rsid w:val="13865D79"/>
    <w:rsid w:val="1E7674E0"/>
    <w:rsid w:val="208C266E"/>
    <w:rsid w:val="27BA3F65"/>
    <w:rsid w:val="27EC4EA0"/>
    <w:rsid w:val="28F25980"/>
    <w:rsid w:val="2C163734"/>
    <w:rsid w:val="2EBF0297"/>
    <w:rsid w:val="3772660A"/>
    <w:rsid w:val="384E7D53"/>
    <w:rsid w:val="392E1AF2"/>
    <w:rsid w:val="3A6D576D"/>
    <w:rsid w:val="3FAC6431"/>
    <w:rsid w:val="40C854ED"/>
    <w:rsid w:val="410B75F3"/>
    <w:rsid w:val="43A90509"/>
    <w:rsid w:val="446577F3"/>
    <w:rsid w:val="490B41C9"/>
    <w:rsid w:val="4938391C"/>
    <w:rsid w:val="4E2F6BAB"/>
    <w:rsid w:val="50C664D0"/>
    <w:rsid w:val="54977258"/>
    <w:rsid w:val="57CC0FC7"/>
    <w:rsid w:val="5C1A0C80"/>
    <w:rsid w:val="5DDE1A54"/>
    <w:rsid w:val="62856942"/>
    <w:rsid w:val="64672BB0"/>
    <w:rsid w:val="66C338F8"/>
    <w:rsid w:val="6D5269CD"/>
    <w:rsid w:val="6F287EEA"/>
    <w:rsid w:val="76B02C89"/>
    <w:rsid w:val="78374CDD"/>
    <w:rsid w:val="7ACD2D8E"/>
    <w:rsid w:val="7FB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link w:val="8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adjustRightInd w:val="0"/>
      <w:snapToGrid w:val="0"/>
      <w:spacing w:line="560" w:lineRule="exact"/>
      <w:ind w:firstLine="640" w:firstLineChars="200"/>
      <w:jc w:val="left"/>
    </w:pPr>
    <w:rPr>
      <w:rFonts w:hint="eastAsia" w:ascii="方正仿宋_GBK" w:hAnsi="方正仿宋_GBK" w:eastAsia="方正仿宋_GBK" w:cs="方正仿宋_GBK"/>
      <w:kern w:val="0"/>
      <w:sz w:val="32"/>
      <w:szCs w:val="32"/>
      <w:lang w:bidi="ar"/>
    </w:rPr>
  </w:style>
  <w:style w:type="character" w:customStyle="1" w:styleId="8">
    <w:name w:val="样式1 Char"/>
    <w:link w:val="7"/>
    <w:qFormat/>
    <w:uiPriority w:val="0"/>
    <w:rPr>
      <w:rFonts w:hint="eastAsia" w:ascii="方正仿宋_GBK" w:hAnsi="方正仿宋_GBK" w:eastAsia="方正仿宋_GBK" w:cs="方正仿宋_GBK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1985</Words>
  <Characters>2373</Characters>
  <Lines>0</Lines>
  <Paragraphs>0</Paragraphs>
  <TotalTime>1</TotalTime>
  <ScaleCrop>false</ScaleCrop>
  <LinksUpToDate>false</LinksUpToDate>
  <CharactersWithSpaces>2450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2022-10-11T07:30:00Z</dcterms:created>
  <dc:creator>Administrator</dc:creator>
  <cp:lastModifiedBy>Administrator</cp:lastModifiedBy>
  <dcterms:modified xsi:type="dcterms:W3CDTF">2022-10-14T08:19:00Z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04A22A7E22134F4CA9E9CA998A19DF1C</vt:lpwstr>
  </property>
</Properties>
</file>