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bidi w:val="0"/>
        <w:jc w:val="center"/>
        <w:outlineLvl w:val="1"/>
        <w:rPr>
          <w:rFonts w:hint="eastAsia" w:ascii="方正小标宋_GBK" w:hAnsi="方正小标宋_GBK" w:eastAsia="方正小标宋_GBK" w:cs="方正小标宋_GBK"/>
          <w:sz w:val="36"/>
          <w:szCs w:val="28"/>
          <w:lang w:val="en-US" w:eastAsia="zh-CN"/>
        </w:rPr>
      </w:pPr>
      <w:bookmarkStart w:id="0" w:name="_Toc26521"/>
      <w:r>
        <w:rPr>
          <w:rFonts w:hint="eastAsia" w:ascii="方正小标宋_GBK" w:hAnsi="方正小标宋_GBK" w:eastAsia="方正小标宋_GBK" w:cs="方正小标宋_GBK"/>
          <w:sz w:val="36"/>
          <w:szCs w:val="28"/>
        </w:rPr>
        <w:t>声环境</w:t>
      </w:r>
      <w:r>
        <w:rPr>
          <w:rFonts w:hint="eastAsia" w:ascii="方正小标宋_GBK" w:hAnsi="方正小标宋_GBK" w:eastAsia="方正小标宋_GBK" w:cs="方正小标宋_GBK"/>
          <w:sz w:val="36"/>
          <w:szCs w:val="28"/>
          <w:lang w:val="en-US" w:eastAsia="zh-CN"/>
        </w:rPr>
        <w:t>功能区划成果调整说明</w:t>
      </w:r>
      <w:bookmarkEnd w:id="0"/>
    </w:p>
    <w:p>
      <w:pPr>
        <w:pStyle w:val="3"/>
        <w:spacing w:beforeLines="0" w:line="600" w:lineRule="exact"/>
        <w:ind w:firstLine="480" w:firstLineChars="150"/>
        <w:rPr>
          <w:sz w:val="32"/>
        </w:rPr>
      </w:pPr>
      <w:bookmarkStart w:id="1" w:name="_Toc23577"/>
      <w:bookmarkStart w:id="2" w:name="_Toc529778233"/>
      <w:bookmarkStart w:id="3" w:name="_Toc530476258"/>
      <w:bookmarkStart w:id="4" w:name="_Toc529870672"/>
    </w:p>
    <w:p>
      <w:pPr>
        <w:pStyle w:val="2"/>
        <w:pageBreakBefore w:val="0"/>
        <w:widowControl w:val="0"/>
        <w:kinsoku/>
        <w:wordWrap/>
        <w:overflowPunct/>
        <w:topLinePunct w:val="0"/>
        <w:autoSpaceDE/>
        <w:autoSpaceDN/>
        <w:bidi w:val="0"/>
        <w:ind w:firstLine="640" w:firstLineChars="200"/>
        <w:textAlignment w:val="auto"/>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一、方案调整背景</w:t>
      </w:r>
    </w:p>
    <w:p>
      <w:pPr>
        <w:pageBreakBefore w:val="0"/>
        <w:widowControl w:val="0"/>
        <w:kinsoku/>
        <w:wordWrap/>
        <w:overflowPunct/>
        <w:topLinePunct w:val="0"/>
        <w:autoSpaceDE/>
        <w:autoSpaceDN/>
        <w:bidi w:val="0"/>
        <w:ind w:firstLine="640" w:firstLineChars="200"/>
        <w:textAlignment w:val="auto"/>
        <w:rPr>
          <w:rFonts w:hint="eastAsia"/>
          <w:lang w:val="en-US" w:eastAsia="zh-CN"/>
        </w:rPr>
      </w:pPr>
      <w:r>
        <w:rPr>
          <w:rFonts w:hint="eastAsia"/>
          <w:lang w:val="en-US" w:eastAsia="zh-CN"/>
        </w:rPr>
        <w:t>随着全区城市化进程加快，城市面积不断扩大，城市路网快速扩张，</w:t>
      </w:r>
      <w:bookmarkStart w:id="6" w:name="_GoBack"/>
      <w:bookmarkEnd w:id="6"/>
      <w:r>
        <w:rPr>
          <w:rFonts w:hint="eastAsia"/>
          <w:lang w:val="en-US" w:eastAsia="zh-CN"/>
        </w:rPr>
        <w:t>城市内部用地结构不断变化，环境噪声影响程度和范围也在不断变化。声环境功能区划是合理安排声环境功能区布局的基础，是防治环境噪声污染，保护和改善声环境质量的前提。</w:t>
      </w:r>
    </w:p>
    <w:p>
      <w:pPr>
        <w:pageBreakBefore w:val="0"/>
        <w:widowControl w:val="0"/>
        <w:kinsoku/>
        <w:wordWrap/>
        <w:overflowPunct/>
        <w:topLinePunct w:val="0"/>
        <w:autoSpaceDE/>
        <w:autoSpaceDN/>
        <w:bidi w:val="0"/>
        <w:ind w:firstLine="640" w:firstLineChars="200"/>
        <w:textAlignment w:val="auto"/>
        <w:rPr>
          <w:rFonts w:hint="eastAsia"/>
          <w:lang w:val="en-US" w:eastAsia="zh-CN"/>
        </w:rPr>
      </w:pPr>
      <w:r>
        <w:rPr>
          <w:rFonts w:hint="default" w:ascii="Times New Roman" w:hAnsi="Times New Roman" w:eastAsia="方正仿宋_GBK" w:cs="Times New Roman"/>
          <w:sz w:val="32"/>
          <w:szCs w:val="32"/>
        </w:rPr>
        <w:t>根据《</w:t>
      </w:r>
      <w:r>
        <w:rPr>
          <w:rFonts w:hint="eastAsia" w:ascii="Times New Roman" w:hAnsi="Times New Roman" w:eastAsia="方正仿宋_GBK" w:cs="Times New Roman"/>
          <w:sz w:val="32"/>
          <w:szCs w:val="32"/>
          <w:lang w:eastAsia="zh-CN"/>
        </w:rPr>
        <w:t>重庆市生态环境局办公室</w:t>
      </w:r>
      <w:r>
        <w:rPr>
          <w:rFonts w:hint="default" w:ascii="Times New Roman" w:hAnsi="Times New Roman" w:eastAsia="方正仿宋_GBK" w:cs="Times New Roman"/>
          <w:sz w:val="32"/>
          <w:szCs w:val="32"/>
        </w:rPr>
        <w:t>关于进一步做好声环境功能区划分调整工作的通知》（渝环办〔2022〕42号）</w:t>
      </w:r>
      <w:r>
        <w:rPr>
          <w:rFonts w:hint="eastAsia" w:ascii="Times New Roman" w:hAnsi="Times New Roman" w:eastAsia="方正仿宋_GBK" w:cs="Times New Roman"/>
          <w:sz w:val="32"/>
          <w:szCs w:val="32"/>
          <w:lang w:val="en-US" w:eastAsia="zh-CN"/>
        </w:rPr>
        <w:t>以及《关于明确声环境功能区划分调整有关工作事项的函》</w:t>
      </w:r>
      <w:r>
        <w:rPr>
          <w:rFonts w:hint="eastAsia"/>
          <w:lang w:val="en-US" w:eastAsia="zh-CN"/>
        </w:rPr>
        <w:t>要求，结合《声环境质量标准》（GB3096—2008）、《声环境功能区划分技术规范》（GB/T15190—2014）、《重庆市声环境功能区划分技术规范实施细则（试行）》（渝环〔2015〕429号）等文件，铜梁区生态环境局组织开展了声环境功能区划分调整工作。</w:t>
      </w:r>
    </w:p>
    <w:p>
      <w:pPr>
        <w:pageBreakBefore w:val="0"/>
        <w:widowControl w:val="0"/>
        <w:kinsoku/>
        <w:wordWrap/>
        <w:overflowPunct/>
        <w:topLinePunct w:val="0"/>
        <w:autoSpaceDE/>
        <w:autoSpaceDN/>
        <w:bidi w:val="0"/>
        <w:ind w:firstLine="640" w:firstLineChars="200"/>
        <w:textAlignment w:val="auto"/>
        <w:rPr>
          <w:rFonts w:hint="eastAsia"/>
          <w:lang w:val="en-US" w:eastAsia="zh-CN"/>
        </w:rPr>
      </w:pPr>
      <w:r>
        <w:rPr>
          <w:rFonts w:hint="eastAsia"/>
          <w:lang w:val="en-US" w:eastAsia="zh-CN"/>
        </w:rPr>
        <w:t>通过声环境功能区划能够促进城市环境保护与社会经济协调发展，</w:t>
      </w:r>
      <w:r>
        <w:rPr>
          <w:rFonts w:hint="eastAsia"/>
        </w:rPr>
        <w:t>统筹谋划今后一个时期</w:t>
      </w:r>
      <w:r>
        <w:rPr>
          <w:rFonts w:hint="eastAsia"/>
          <w:lang w:val="en-US" w:eastAsia="zh-CN"/>
        </w:rPr>
        <w:t>声</w:t>
      </w:r>
      <w:r>
        <w:rPr>
          <w:rFonts w:hint="eastAsia"/>
        </w:rPr>
        <w:t>环境保护工作，</w:t>
      </w:r>
      <w:r>
        <w:rPr>
          <w:rFonts w:hint="eastAsia"/>
          <w:lang w:val="en-US" w:eastAsia="zh-CN"/>
        </w:rPr>
        <w:t>深入打好</w:t>
      </w:r>
      <w:r>
        <w:rPr>
          <w:rFonts w:hint="eastAsia"/>
        </w:rPr>
        <w:t>污染防治攻坚战，提升</w:t>
      </w:r>
      <w:r>
        <w:rPr>
          <w:rFonts w:hint="eastAsia"/>
          <w:lang w:val="en-US" w:eastAsia="zh-CN"/>
        </w:rPr>
        <w:t>铜梁区</w:t>
      </w:r>
      <w:r>
        <w:rPr>
          <w:rFonts w:hint="eastAsia"/>
        </w:rPr>
        <w:t>生态环境质量水平，建设宁静宜居的美丽家园</w:t>
      </w:r>
      <w:r>
        <w:rPr>
          <w:rFonts w:hint="eastAsia"/>
          <w:lang w:val="en-US" w:eastAsia="zh-CN"/>
        </w:rPr>
        <w:t>。</w:t>
      </w:r>
    </w:p>
    <w:p>
      <w:pPr>
        <w:pStyle w:val="2"/>
        <w:pageBreakBefore w:val="0"/>
        <w:widowControl w:val="0"/>
        <w:numPr>
          <w:ilvl w:val="0"/>
          <w:numId w:val="0"/>
        </w:numPr>
        <w:kinsoku/>
        <w:wordWrap/>
        <w:overflowPunct/>
        <w:topLinePunct w:val="0"/>
        <w:autoSpaceDE/>
        <w:autoSpaceDN/>
        <w:bidi w:val="0"/>
        <w:ind w:firstLine="640" w:firstLineChars="200"/>
        <w:textAlignment w:val="auto"/>
        <w:rPr>
          <w:rFonts w:hint="default"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二、重点事项说明</w:t>
      </w:r>
    </w:p>
    <w:p>
      <w:pPr>
        <w:pStyle w:val="3"/>
        <w:pageBreakBefore w:val="0"/>
        <w:widowControl w:val="0"/>
        <w:kinsoku/>
        <w:wordWrap/>
        <w:overflowPunct/>
        <w:topLinePunct w:val="0"/>
        <w:autoSpaceDE/>
        <w:autoSpaceDN/>
        <w:bidi w:val="0"/>
        <w:spacing w:beforeLines="0" w:line="600" w:lineRule="exact"/>
        <w:ind w:firstLine="640" w:firstLineChars="200"/>
        <w:textAlignment w:val="auto"/>
        <w:rPr>
          <w:rFonts w:hint="default" w:eastAsia="方正楷体_GBK"/>
          <w:sz w:val="32"/>
          <w:lang w:val="en-US" w:eastAsia="zh-CN"/>
        </w:rPr>
      </w:pPr>
      <w:r>
        <w:rPr>
          <w:sz w:val="32"/>
        </w:rPr>
        <w:t>（一）声环境区划</w:t>
      </w:r>
      <w:r>
        <w:rPr>
          <w:rFonts w:hint="eastAsia"/>
          <w:sz w:val="32"/>
          <w:lang w:val="en-US" w:eastAsia="zh-CN"/>
        </w:rPr>
        <w:t>范围说明</w:t>
      </w:r>
    </w:p>
    <w:p>
      <w:pPr>
        <w:pageBreakBefore w:val="0"/>
        <w:widowControl w:val="0"/>
        <w:kinsoku/>
        <w:wordWrap/>
        <w:overflowPunct/>
        <w:topLinePunct w:val="0"/>
        <w:autoSpaceDE/>
        <w:autoSpaceDN/>
        <w:bidi w:val="0"/>
        <w:ind w:firstLine="640" w:firstLineChars="200"/>
        <w:textAlignment w:val="auto"/>
        <w:rPr>
          <w:rFonts w:hint="default"/>
          <w:lang w:val="en-US" w:eastAsia="zh-CN"/>
        </w:rPr>
      </w:pPr>
      <w:r>
        <w:rPr>
          <w:rFonts w:hint="eastAsia"/>
          <w:lang w:val="en-US" w:eastAsia="zh-CN"/>
        </w:rPr>
        <w:t>结合属地管理实际，本方案划定规划区范围为铜梁区规划建设区域。</w:t>
      </w:r>
    </w:p>
    <w:p>
      <w:pPr>
        <w:pStyle w:val="3"/>
        <w:spacing w:beforeLines="0" w:line="600" w:lineRule="exact"/>
        <w:ind w:firstLine="640" w:firstLineChars="200"/>
        <w:rPr>
          <w:rFonts w:hint="eastAsia" w:eastAsia="方正楷体_GBK"/>
          <w:sz w:val="32"/>
          <w:lang w:val="en-US" w:eastAsia="zh-CN"/>
        </w:rPr>
      </w:pPr>
      <w:r>
        <w:rPr>
          <w:sz w:val="32"/>
        </w:rPr>
        <w:t>（</w:t>
      </w:r>
      <w:r>
        <w:rPr>
          <w:rFonts w:hint="eastAsia"/>
          <w:sz w:val="32"/>
          <w:lang w:val="en-US" w:eastAsia="zh-CN"/>
        </w:rPr>
        <w:t>二</w:t>
      </w:r>
      <w:r>
        <w:rPr>
          <w:sz w:val="32"/>
        </w:rPr>
        <w:t>）声环境区划单元</w:t>
      </w:r>
      <w:bookmarkEnd w:id="1"/>
      <w:bookmarkEnd w:id="2"/>
      <w:bookmarkEnd w:id="3"/>
      <w:bookmarkEnd w:id="4"/>
      <w:r>
        <w:rPr>
          <w:rFonts w:hint="eastAsia"/>
          <w:sz w:val="32"/>
          <w:lang w:val="en-US" w:eastAsia="zh-CN"/>
        </w:rPr>
        <w:t>说明</w:t>
      </w:r>
    </w:p>
    <w:p>
      <w:pPr>
        <w:ind w:firstLine="480"/>
        <w:rPr>
          <w:rFonts w:hint="eastAsia"/>
        </w:rPr>
      </w:pPr>
      <w:r>
        <w:rPr>
          <w:rFonts w:hint="eastAsia"/>
        </w:rPr>
        <w:t>根据城市功能、城市用地类型、行政边界、交通干线等确定声环境区划单元，原则上单块区划单元面积不低于0.5</w:t>
      </w:r>
      <w:r>
        <w:t>km</w:t>
      </w:r>
      <w:r>
        <w:rPr>
          <w:vertAlign w:val="superscript"/>
        </w:rPr>
        <w:t>2</w:t>
      </w:r>
      <w:r>
        <w:rPr>
          <w:rFonts w:hint="eastAsia"/>
        </w:rPr>
        <w:t>，具体面积大小根据实际情况确定</w:t>
      </w:r>
      <w:r>
        <w:rPr>
          <w:rFonts w:hint="eastAsia"/>
          <w:lang w:eastAsia="zh-CN"/>
        </w:rPr>
        <w:t>，</w:t>
      </w:r>
      <w:r>
        <w:rPr>
          <w:rFonts w:hint="eastAsia"/>
          <w:lang w:val="en-US" w:eastAsia="zh-CN"/>
        </w:rPr>
        <w:t>部分由于行政边界和地势位置影响独立存在，达不到</w:t>
      </w:r>
      <w:r>
        <w:rPr>
          <w:rFonts w:hint="eastAsia"/>
        </w:rPr>
        <w:t>0.5</w:t>
      </w:r>
      <w:r>
        <w:t>km</w:t>
      </w:r>
      <w:r>
        <w:rPr>
          <w:vertAlign w:val="superscript"/>
        </w:rPr>
        <w:t>2</w:t>
      </w:r>
      <w:r>
        <w:rPr>
          <w:rFonts w:hint="eastAsia"/>
        </w:rPr>
        <w:t>。区划单元由交通干线、河流、沟壑等明显线状地物和绿地等围成的城市结构、布局和环境状况相近的居、街委会或小区构成。充分利用交通干线（主干线及以上级别）、行政边界、河流、沟壑、绿地等地形地貌作为区划边界把多个区域类型相同且相邻的单元连成片。</w:t>
      </w:r>
    </w:p>
    <w:p>
      <w:pPr>
        <w:pStyle w:val="3"/>
        <w:spacing w:beforeLines="0" w:line="600" w:lineRule="exact"/>
        <w:ind w:firstLine="640" w:firstLineChars="200"/>
        <w:rPr>
          <w:rFonts w:hint="default" w:eastAsia="方正楷体_GBK"/>
          <w:sz w:val="32"/>
          <w:lang w:val="en-US" w:eastAsia="zh-CN"/>
        </w:rPr>
      </w:pPr>
      <w:r>
        <w:rPr>
          <w:sz w:val="32"/>
        </w:rPr>
        <w:t>（</w:t>
      </w:r>
      <w:r>
        <w:rPr>
          <w:rFonts w:hint="eastAsia"/>
          <w:sz w:val="32"/>
          <w:lang w:val="en-US" w:eastAsia="zh-CN"/>
        </w:rPr>
        <w:t>三</w:t>
      </w:r>
      <w:r>
        <w:rPr>
          <w:sz w:val="32"/>
        </w:rPr>
        <w:t>）</w:t>
      </w:r>
      <w:r>
        <w:rPr>
          <w:rFonts w:hint="eastAsia"/>
          <w:sz w:val="32"/>
          <w:lang w:val="en-US" w:eastAsia="zh-CN"/>
        </w:rPr>
        <w:t>特殊区域说明</w:t>
      </w:r>
    </w:p>
    <w:p>
      <w:pPr>
        <w:rPr>
          <w:rFonts w:hint="eastAsia" w:cs="Times New Roman"/>
          <w:bCs w:val="0"/>
          <w:kern w:val="2"/>
          <w:sz w:val="32"/>
          <w:szCs w:val="24"/>
          <w:lang w:val="en-US" w:eastAsia="zh-CN" w:bidi="ar-SA"/>
        </w:rPr>
      </w:pPr>
      <w:r>
        <w:rPr>
          <w:rFonts w:hint="eastAsia" w:cs="Times New Roman"/>
          <w:bCs w:val="0"/>
          <w:kern w:val="2"/>
          <w:sz w:val="32"/>
          <w:szCs w:val="24"/>
          <w:lang w:val="en-US" w:eastAsia="zh-CN" w:bidi="ar-SA"/>
        </w:rPr>
        <w:t>1、道路两侧声环境功能区处理：对于一侧有声环境功能区，一侧无声环境功能区的情况，有声环境功能区的一侧做了道路缓冲处理，无声环境功能区的一侧则未进行处理（即未进行划分）。</w:t>
      </w:r>
    </w:p>
    <w:p>
      <w:pPr>
        <w:rPr>
          <w:rFonts w:hint="default" w:cs="Times New Roman"/>
          <w:bCs w:val="0"/>
          <w:kern w:val="2"/>
          <w:sz w:val="32"/>
          <w:szCs w:val="24"/>
          <w:lang w:val="en-US" w:eastAsia="zh-CN" w:bidi="ar-SA"/>
        </w:rPr>
      </w:pPr>
      <w:r>
        <w:rPr>
          <w:rFonts w:hint="eastAsia" w:cs="Times New Roman"/>
          <w:bCs w:val="0"/>
          <w:kern w:val="2"/>
          <w:sz w:val="32"/>
          <w:szCs w:val="24"/>
          <w:lang w:val="en-US" w:eastAsia="zh-CN" w:bidi="ar-SA"/>
        </w:rPr>
        <w:t>2、连续道路处理：对于一条道路穿越整个片区，但是某些路段有声环境功能区，某些路段无声环境功能区的情况，仅对穿越有声环境功能区的路段划分了4类声环境功能区，对穿越无声环境功能区的路段未进行划分。龙腾大道（长五间处）由于上方正在建设有轨电车，同时龙腾大道以北存在弹性用地，故该处道路做了连续处理。</w:t>
      </w:r>
    </w:p>
    <w:p>
      <w:pPr>
        <w:rPr>
          <w:rFonts w:hint="eastAsia" w:cs="Times New Roman"/>
          <w:bCs w:val="0"/>
          <w:kern w:val="2"/>
          <w:sz w:val="32"/>
          <w:szCs w:val="24"/>
          <w:lang w:val="en-US" w:eastAsia="zh-CN" w:bidi="ar-SA"/>
        </w:rPr>
      </w:pPr>
      <w:r>
        <w:rPr>
          <w:rFonts w:hint="eastAsia" w:cs="Times New Roman"/>
          <w:bCs w:val="0"/>
          <w:kern w:val="2"/>
          <w:sz w:val="32"/>
          <w:szCs w:val="24"/>
          <w:lang w:val="en-US" w:eastAsia="zh-CN" w:bidi="ar-SA"/>
        </w:rPr>
        <w:t>3、新增区域处理：以城镇开发边界范围、国土空间范围为参考，现行声环境功能区范围，对边界进行了优化调整。规划地类结合规划地类、现状在建情况以及声环境管理考虑而划定。</w:t>
      </w:r>
    </w:p>
    <w:p>
      <w:pPr>
        <w:rPr>
          <w:rFonts w:hint="eastAsia" w:cs="Times New Roman"/>
          <w:bCs w:val="0"/>
          <w:kern w:val="2"/>
          <w:sz w:val="32"/>
          <w:szCs w:val="24"/>
          <w:lang w:val="en-US" w:eastAsia="zh-CN" w:bidi="ar-SA"/>
        </w:rPr>
      </w:pPr>
    </w:p>
    <w:p>
      <w:pPr>
        <w:pStyle w:val="3"/>
        <w:spacing w:beforeLines="0" w:line="600" w:lineRule="exact"/>
        <w:ind w:firstLine="560" w:firstLineChars="200"/>
        <w:rPr>
          <w:rFonts w:hint="eastAsia"/>
          <w:lang w:val="en-US" w:eastAsia="zh-CN"/>
        </w:rPr>
        <w:sectPr>
          <w:footerReference r:id="rId5" w:type="default"/>
          <w:pgSz w:w="11906" w:h="16838"/>
          <w:pgMar w:top="1440" w:right="1803" w:bottom="1440" w:left="1803" w:header="851" w:footer="992" w:gutter="0"/>
          <w:cols w:space="0" w:num="1"/>
          <w:rtlGutter w:val="0"/>
          <w:docGrid w:type="lines" w:linePitch="436" w:charSpace="0"/>
        </w:sectPr>
      </w:pPr>
    </w:p>
    <w:p>
      <w:pPr>
        <w:numPr>
          <w:ilvl w:val="0"/>
          <w:numId w:val="0"/>
        </w:numPr>
        <w:ind w:firstLine="640" w:firstLineChars="200"/>
        <w:rPr>
          <w:rFonts w:hint="eastAsia" w:eastAsia="方正楷体_GBK" w:cs="Times New Roman"/>
          <w:bCs/>
          <w:kern w:val="2"/>
          <w:sz w:val="32"/>
          <w:szCs w:val="32"/>
          <w:lang w:val="en-US" w:eastAsia="zh-CN" w:bidi="ar-SA"/>
        </w:rPr>
      </w:pPr>
    </w:p>
    <w:p>
      <w:pPr>
        <w:numPr>
          <w:ilvl w:val="0"/>
          <w:numId w:val="1"/>
        </w:numPr>
        <w:ind w:firstLine="640" w:firstLineChars="200"/>
        <w:rPr>
          <w:rFonts w:hint="eastAsia" w:ascii="Times New Roman" w:hAnsi="Times New Roman" w:eastAsia="方正楷体_GBK" w:cs="Times New Roman"/>
          <w:bCs/>
          <w:kern w:val="2"/>
          <w:sz w:val="32"/>
          <w:szCs w:val="32"/>
          <w:lang w:val="en-US" w:eastAsia="zh-CN" w:bidi="ar-SA"/>
        </w:rPr>
      </w:pPr>
      <w:r>
        <w:rPr>
          <w:rFonts w:hint="eastAsia" w:ascii="Times New Roman" w:hAnsi="Times New Roman" w:eastAsia="方正楷体_GBK" w:cs="Times New Roman"/>
          <w:bCs/>
          <w:kern w:val="2"/>
          <w:sz w:val="32"/>
          <w:szCs w:val="32"/>
          <w:lang w:val="en-US" w:eastAsia="zh-CN" w:bidi="ar-SA"/>
        </w:rPr>
        <w:t>各个声环境区调整说明</w:t>
      </w:r>
    </w:p>
    <w:p>
      <w:pPr>
        <w:bidi w:val="0"/>
        <w:rPr>
          <w:rFonts w:hint="eastAsia"/>
          <w:lang w:val="en-US" w:eastAsia="zh-CN"/>
        </w:rPr>
      </w:pPr>
      <w:r>
        <w:rPr>
          <w:rFonts w:hint="eastAsia"/>
          <w:lang w:val="en-US" w:eastAsia="zh-CN"/>
        </w:rPr>
        <w:t>1、0类声环境功能区调整：区域内暂无区域满足0类声环境功能区要求，故此区域未划定。</w:t>
      </w:r>
    </w:p>
    <w:p>
      <w:pPr>
        <w:bidi w:val="0"/>
        <w:rPr>
          <w:rFonts w:hint="eastAsia"/>
          <w:lang w:val="en-US" w:eastAsia="zh-CN"/>
        </w:rPr>
      </w:pPr>
      <w:r>
        <w:rPr>
          <w:rFonts w:hint="eastAsia"/>
          <w:lang w:val="en-US" w:eastAsia="zh-CN"/>
        </w:rPr>
        <w:t>2、1类声环境功能区调整：结合原划定类型以及现状、规划情况，部分区域现状及规划为1类声环境功能区，该部分区域保持不变。</w:t>
      </w:r>
    </w:p>
    <w:p>
      <w:pPr>
        <w:pStyle w:val="2"/>
        <w:jc w:val="center"/>
        <w:rPr>
          <w:rFonts w:hint="eastAsia"/>
          <w:lang w:val="en-US" w:eastAsia="zh-CN"/>
        </w:rPr>
      </w:pPr>
      <w:r>
        <w:rPr>
          <w:rFonts w:hint="eastAsia"/>
          <w:lang w:val="en-US" w:eastAsia="zh-CN"/>
        </w:rPr>
        <w:drawing>
          <wp:inline distT="0" distB="0" distL="114300" distR="114300">
            <wp:extent cx="4294505" cy="3780155"/>
            <wp:effectExtent l="0" t="0" r="10795" b="10795"/>
            <wp:docPr id="8" name="图片 8" descr="1类2018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类2018版"/>
                    <pic:cNvPicPr>
                      <a:picLocks noChangeAspect="1"/>
                    </pic:cNvPicPr>
                  </pic:nvPicPr>
                  <pic:blipFill>
                    <a:blip r:embed="rId8"/>
                    <a:srcRect r="19594"/>
                    <a:stretch>
                      <a:fillRect/>
                    </a:stretch>
                  </pic:blipFill>
                  <pic:spPr>
                    <a:xfrm>
                      <a:off x="0" y="0"/>
                      <a:ext cx="4294505" cy="3780155"/>
                    </a:xfrm>
                    <a:prstGeom prst="rect">
                      <a:avLst/>
                    </a:prstGeom>
                  </pic:spPr>
                </pic:pic>
              </a:graphicData>
            </a:graphic>
          </wp:inline>
        </w:drawing>
      </w:r>
      <w:r>
        <w:rPr>
          <w:rFonts w:hint="eastAsia"/>
          <w:lang w:val="en-US" w:eastAsia="zh-CN"/>
        </w:rPr>
        <w:drawing>
          <wp:inline distT="0" distB="0" distL="114300" distR="114300">
            <wp:extent cx="4471670" cy="3780155"/>
            <wp:effectExtent l="0" t="0" r="5080" b="10795"/>
            <wp:docPr id="9" name="图片 9" descr="1类调整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类调整后"/>
                    <pic:cNvPicPr>
                      <a:picLocks noChangeAspect="1"/>
                    </pic:cNvPicPr>
                  </pic:nvPicPr>
                  <pic:blipFill>
                    <a:blip r:embed="rId9"/>
                    <a:srcRect r="16264"/>
                    <a:stretch>
                      <a:fillRect/>
                    </a:stretch>
                  </pic:blipFill>
                  <pic:spPr>
                    <a:xfrm>
                      <a:off x="0" y="0"/>
                      <a:ext cx="4471670" cy="3780155"/>
                    </a:xfrm>
                    <a:prstGeom prst="rect">
                      <a:avLst/>
                    </a:prstGeom>
                  </pic:spPr>
                </pic:pic>
              </a:graphicData>
            </a:graphic>
          </wp:inline>
        </w:drawing>
      </w:r>
    </w:p>
    <w:p>
      <w:pPr>
        <w:adjustRightInd w:val="0"/>
        <w:ind w:firstLine="0" w:firstLineChars="0"/>
        <w:jc w:val="center"/>
        <w:outlineLvl w:val="0"/>
        <w:rPr>
          <w:rFonts w:hint="default" w:ascii="方正黑体_GBK" w:hAnsi="方正仿宋_GBK" w:eastAsia="方正黑体_GBK" w:cs="方正仿宋_GBK"/>
          <w:bCs/>
          <w:color w:val="000000"/>
          <w:sz w:val="24"/>
          <w:lang w:val="en-US" w:eastAsia="zh-CN"/>
        </w:rPr>
      </w:pPr>
      <w:r>
        <w:rPr>
          <w:rFonts w:hint="eastAsia" w:ascii="方正黑体_GBK" w:hAnsi="方正仿宋_GBK" w:eastAsia="方正黑体_GBK" w:cs="方正仿宋_GBK"/>
          <w:bCs/>
          <w:color w:val="000000"/>
          <w:sz w:val="24"/>
          <w:lang w:val="en-US" w:eastAsia="zh-CN"/>
        </w:rPr>
        <w:t>表1</w:t>
      </w:r>
      <w:r>
        <w:rPr>
          <w:rFonts w:hint="eastAsia" w:ascii="方正黑体_GBK" w:hAnsi="方正仿宋_GBK" w:eastAsia="方正黑体_GBK" w:cs="方正仿宋_GBK"/>
          <w:bCs/>
          <w:color w:val="000000"/>
          <w:sz w:val="24"/>
        </w:rPr>
        <w:t xml:space="preserve">  </w:t>
      </w:r>
      <w:r>
        <w:rPr>
          <w:rFonts w:hint="eastAsia" w:ascii="方正黑体_GBK" w:hAnsi="方正仿宋_GBK" w:eastAsia="方正黑体_GBK" w:cs="方正仿宋_GBK"/>
          <w:bCs/>
          <w:color w:val="000000"/>
          <w:sz w:val="24"/>
          <w:lang w:val="en-US" w:eastAsia="zh-CN"/>
        </w:rPr>
        <w:t>1类</w:t>
      </w:r>
      <w:r>
        <w:rPr>
          <w:rFonts w:ascii="方正黑体_GBK" w:hAnsi="方正仿宋_GBK" w:eastAsia="方正黑体_GBK" w:cs="方正仿宋_GBK"/>
          <w:bCs/>
          <w:color w:val="000000"/>
          <w:sz w:val="24"/>
        </w:rPr>
        <w:t>声</w:t>
      </w:r>
      <w:r>
        <w:rPr>
          <w:rFonts w:hint="eastAsia" w:ascii="方正黑体_GBK" w:hAnsi="方正仿宋_GBK" w:eastAsia="方正黑体_GBK" w:cs="方正仿宋_GBK"/>
          <w:bCs/>
          <w:color w:val="000000"/>
          <w:sz w:val="24"/>
        </w:rPr>
        <w:t>环境</w:t>
      </w:r>
      <w:r>
        <w:rPr>
          <w:rFonts w:ascii="方正黑体_GBK" w:hAnsi="方正仿宋_GBK" w:eastAsia="方正黑体_GBK" w:cs="方正仿宋_GBK"/>
          <w:bCs/>
          <w:color w:val="000000"/>
          <w:sz w:val="24"/>
        </w:rPr>
        <w:t>功能区划定</w:t>
      </w:r>
      <w:r>
        <w:rPr>
          <w:rFonts w:hint="eastAsia" w:ascii="方正黑体_GBK" w:hAnsi="方正仿宋_GBK" w:eastAsia="方正黑体_GBK" w:cs="方正仿宋_GBK"/>
          <w:bCs/>
          <w:color w:val="000000"/>
          <w:sz w:val="24"/>
          <w:lang w:val="en-US" w:eastAsia="zh-CN"/>
        </w:rPr>
        <w:t>调整说明</w:t>
      </w:r>
    </w:p>
    <w:tbl>
      <w:tblPr>
        <w:tblStyle w:val="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17"/>
        <w:gridCol w:w="2167"/>
        <w:gridCol w:w="9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0"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区划单元编码</w:t>
            </w:r>
          </w:p>
        </w:tc>
        <w:tc>
          <w:tcPr>
            <w:tcW w:w="429" w:type="pct"/>
            <w:noWrap w:val="0"/>
            <w:vAlign w:val="center"/>
          </w:tcPr>
          <w:p>
            <w:pPr>
              <w:adjustRightInd w:val="0"/>
              <w:spacing w:line="300" w:lineRule="exact"/>
              <w:ind w:firstLine="0" w:firstLineChars="0"/>
              <w:jc w:val="both"/>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声环境功能区类型</w:t>
            </w:r>
          </w:p>
        </w:tc>
        <w:tc>
          <w:tcPr>
            <w:tcW w:w="765"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区划单元范围描述</w:t>
            </w:r>
          </w:p>
        </w:tc>
        <w:tc>
          <w:tcPr>
            <w:tcW w:w="3365"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调整说明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124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5001511L001</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1L</w:t>
            </w:r>
          </w:p>
        </w:tc>
        <w:tc>
          <w:tcPr>
            <w:tcW w:w="216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重庆传媒职业学院、铜梁职业教育中心、普罗旺斯国际公馆、紫金华庭等片区</w:t>
            </w:r>
          </w:p>
        </w:tc>
        <w:tc>
          <w:tcPr>
            <w:tcW w:w="3365" w:type="pct"/>
            <w:noWrap w:val="0"/>
            <w:vAlign w:val="center"/>
          </w:tcPr>
          <w:p>
            <w:pPr>
              <w:adjustRightInd w:val="0"/>
              <w:snapToGrid w:val="0"/>
              <w:spacing w:line="360" w:lineRule="exact"/>
              <w:ind w:left="0" w:leftChars="0" w:firstLine="0" w:firstLineChars="0"/>
              <w:jc w:val="both"/>
              <w:rPr>
                <w:rFonts w:hint="default" w:ascii="Times New Roman" w:hAnsi="Times New Roman" w:eastAsia="仿宋"/>
                <w:sz w:val="24"/>
                <w:szCs w:val="24"/>
                <w:lang w:val="en-US"/>
              </w:rPr>
            </w:pPr>
            <w:r>
              <w:rPr>
                <w:rFonts w:hint="default"/>
                <w:sz w:val="24"/>
                <w:szCs w:val="24"/>
                <w:lang w:val="en-US" w:eastAsia="zh-CN"/>
              </w:rPr>
              <w:t>现状为居住、</w:t>
            </w:r>
            <w:r>
              <w:rPr>
                <w:rFonts w:hint="eastAsia"/>
                <w:sz w:val="24"/>
                <w:szCs w:val="24"/>
                <w:lang w:val="en-US" w:eastAsia="zh-CN"/>
              </w:rPr>
              <w:t>公园、</w:t>
            </w:r>
            <w:r>
              <w:rPr>
                <w:rFonts w:hint="default"/>
                <w:sz w:val="24"/>
                <w:szCs w:val="24"/>
                <w:lang w:val="en-US" w:eastAsia="zh-CN"/>
              </w:rPr>
              <w:t>科研教育</w:t>
            </w:r>
            <w:r>
              <w:rPr>
                <w:rFonts w:hint="eastAsia"/>
                <w:sz w:val="24"/>
                <w:szCs w:val="24"/>
                <w:lang w:val="en-US" w:eastAsia="zh-CN"/>
              </w:rPr>
              <w:t>区</w:t>
            </w:r>
            <w:r>
              <w:rPr>
                <w:rFonts w:hint="default"/>
                <w:sz w:val="24"/>
                <w:szCs w:val="24"/>
                <w:lang w:val="en-US" w:eastAsia="zh-CN"/>
              </w:rPr>
              <w:t>，符合《重庆市声环境功能区划分技术规范实施细则（试行）》条款</w:t>
            </w:r>
            <w:r>
              <w:rPr>
                <w:rFonts w:hint="eastAsia"/>
                <w:sz w:val="24"/>
                <w:szCs w:val="24"/>
                <w:lang w:val="en-US" w:eastAsia="zh-CN"/>
              </w:rPr>
              <w:t>5.4.1城市用地现状已形成一定规模或近期规划已明确主要功能的区域，其用地性质符合居民住宅、医疗卫生、文化教育、科研设计、行政办公为主要功能，需要保持安静的区域，可划为1类声环境功能区</w:t>
            </w:r>
            <w:r>
              <w:rPr>
                <w:rFonts w:hint="default"/>
                <w:sz w:val="24"/>
                <w:szCs w:val="24"/>
                <w:lang w:val="en-US" w:eastAsia="zh-CN"/>
              </w:rPr>
              <w:t>的规定。</w:t>
            </w:r>
            <w:r>
              <w:rPr>
                <w:rFonts w:hint="eastAsia"/>
                <w:sz w:val="24"/>
                <w:szCs w:val="24"/>
                <w:lang w:val="en-US" w:eastAsia="zh-CN"/>
              </w:rPr>
              <w:t>该区域内调整前为1、4类区，规划为公共管理、居住用地，现状为</w:t>
            </w:r>
            <w:r>
              <w:rPr>
                <w:rFonts w:hint="default"/>
                <w:sz w:val="24"/>
                <w:szCs w:val="24"/>
                <w:lang w:val="en-US" w:eastAsia="zh-CN"/>
              </w:rPr>
              <w:t>居住、</w:t>
            </w:r>
            <w:r>
              <w:rPr>
                <w:rFonts w:hint="eastAsia"/>
                <w:sz w:val="24"/>
                <w:szCs w:val="24"/>
                <w:lang w:val="en-US" w:eastAsia="zh-CN"/>
              </w:rPr>
              <w:t>公园、</w:t>
            </w:r>
            <w:r>
              <w:rPr>
                <w:rFonts w:hint="default"/>
                <w:sz w:val="24"/>
                <w:szCs w:val="24"/>
                <w:lang w:val="en-US" w:eastAsia="zh-CN"/>
              </w:rPr>
              <w:t>科研教育</w:t>
            </w:r>
            <w:r>
              <w:rPr>
                <w:rFonts w:hint="eastAsia"/>
                <w:sz w:val="24"/>
                <w:szCs w:val="24"/>
                <w:lang w:val="en-US" w:eastAsia="zh-CN"/>
              </w:rPr>
              <w:t>用地，部分区域道路并未修建，结合规划该部分道路取消，调整后为1类区。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5001511L002</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1L</w:t>
            </w:r>
          </w:p>
        </w:tc>
        <w:tc>
          <w:tcPr>
            <w:tcW w:w="216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巴川街道重庆铜梁行政服务中心、雪庵公园等片区、南城街道重庆铜梁一中片区、铜梁区外国语实验小学、罗蔓山</w:t>
            </w:r>
          </w:p>
        </w:tc>
        <w:tc>
          <w:tcPr>
            <w:tcW w:w="3365" w:type="pct"/>
            <w:noWrap w:val="0"/>
            <w:vAlign w:val="center"/>
          </w:tcPr>
          <w:p>
            <w:pPr>
              <w:adjustRightInd w:val="0"/>
              <w:snapToGrid w:val="0"/>
              <w:spacing w:line="360" w:lineRule="exact"/>
              <w:ind w:left="0" w:leftChars="0" w:firstLine="0" w:firstLineChars="0"/>
              <w:jc w:val="both"/>
              <w:rPr>
                <w:rFonts w:hint="eastAsia" w:ascii="Times New Roman" w:hAnsi="Times New Roman" w:eastAsia="方正仿宋_GBK"/>
                <w:sz w:val="24"/>
                <w:szCs w:val="24"/>
                <w:lang w:val="en-US" w:eastAsia="zh-CN"/>
              </w:rPr>
            </w:pPr>
            <w:r>
              <w:rPr>
                <w:rFonts w:hint="default"/>
                <w:sz w:val="24"/>
                <w:szCs w:val="24"/>
                <w:lang w:val="en-US" w:eastAsia="zh-CN"/>
              </w:rPr>
              <w:t>现状为居住、行政办公、公园</w:t>
            </w:r>
            <w:r>
              <w:rPr>
                <w:rFonts w:hint="eastAsia"/>
                <w:sz w:val="24"/>
                <w:szCs w:val="24"/>
                <w:lang w:val="en-US" w:eastAsia="zh-CN"/>
              </w:rPr>
              <w:t>区</w:t>
            </w:r>
            <w:r>
              <w:rPr>
                <w:rFonts w:hint="default"/>
                <w:sz w:val="24"/>
                <w:szCs w:val="24"/>
                <w:lang w:val="en-US" w:eastAsia="zh-CN"/>
              </w:rPr>
              <w:t>，符合《重庆市声环境功能区划分技术规范实施细则（试行）》条款</w:t>
            </w:r>
            <w:r>
              <w:rPr>
                <w:rFonts w:hint="eastAsia"/>
                <w:sz w:val="24"/>
                <w:szCs w:val="24"/>
                <w:lang w:val="en-US" w:eastAsia="zh-CN"/>
              </w:rPr>
              <w:t>5.4.1城市用地现状已形成一定规模或近期规划已明确主要功能的区域，其用地性质符合居民住宅、医疗卫生、文化教育、科研设计、行政办公为主要功能，需要保持安静的区域，可划为1类声环境功能区</w:t>
            </w:r>
            <w:r>
              <w:rPr>
                <w:rFonts w:hint="default"/>
                <w:sz w:val="24"/>
                <w:szCs w:val="24"/>
                <w:lang w:val="en-US" w:eastAsia="zh-CN"/>
              </w:rPr>
              <w:t>的规定。</w:t>
            </w:r>
            <w:r>
              <w:rPr>
                <w:rFonts w:hint="eastAsia"/>
                <w:sz w:val="24"/>
                <w:szCs w:val="24"/>
                <w:lang w:val="en-US" w:eastAsia="zh-CN"/>
              </w:rPr>
              <w:t>该区域内调整前为1类区，规划为居住、公共管理用地，现状为</w:t>
            </w:r>
            <w:r>
              <w:rPr>
                <w:rFonts w:hint="default"/>
                <w:sz w:val="24"/>
                <w:szCs w:val="24"/>
                <w:lang w:val="en-US" w:eastAsia="zh-CN"/>
              </w:rPr>
              <w:t>居住、行政办公、公园</w:t>
            </w:r>
            <w:r>
              <w:rPr>
                <w:rFonts w:hint="eastAsia"/>
                <w:sz w:val="24"/>
                <w:szCs w:val="24"/>
                <w:lang w:val="en-US" w:eastAsia="zh-CN"/>
              </w:rPr>
              <w:t>用地，部分区域在建，调整后保持为1类区。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5001511L003</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1L</w:t>
            </w:r>
          </w:p>
        </w:tc>
        <w:tc>
          <w:tcPr>
            <w:tcW w:w="216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东城街道人民公园、铜梁区金龙小学、来新居水岸国际、梁祝村梁山村、何家湾片区、南城街道聚星村片区</w:t>
            </w:r>
          </w:p>
        </w:tc>
        <w:tc>
          <w:tcPr>
            <w:tcW w:w="3365" w:type="pct"/>
            <w:noWrap w:val="0"/>
            <w:vAlign w:val="center"/>
          </w:tcPr>
          <w:p>
            <w:pPr>
              <w:adjustRightInd w:val="0"/>
              <w:snapToGrid w:val="0"/>
              <w:spacing w:line="360" w:lineRule="exact"/>
              <w:ind w:left="0" w:leftChars="0" w:firstLine="0" w:firstLineChars="0"/>
              <w:jc w:val="both"/>
              <w:rPr>
                <w:rFonts w:hint="default"/>
                <w:sz w:val="24"/>
                <w:szCs w:val="24"/>
                <w:lang w:val="en-US" w:eastAsia="zh-CN"/>
              </w:rPr>
            </w:pPr>
            <w:r>
              <w:rPr>
                <w:rFonts w:hint="default"/>
                <w:sz w:val="24"/>
                <w:szCs w:val="24"/>
                <w:lang w:val="en-US" w:eastAsia="zh-CN"/>
              </w:rPr>
              <w:t>现状为居住、公园、行政办公</w:t>
            </w:r>
            <w:r>
              <w:rPr>
                <w:rFonts w:hint="eastAsia"/>
                <w:sz w:val="24"/>
                <w:szCs w:val="24"/>
                <w:lang w:val="en-US" w:eastAsia="zh-CN"/>
              </w:rPr>
              <w:t>区</w:t>
            </w:r>
            <w:r>
              <w:rPr>
                <w:rFonts w:hint="default"/>
                <w:sz w:val="24"/>
                <w:szCs w:val="24"/>
                <w:lang w:val="en-US" w:eastAsia="zh-CN"/>
              </w:rPr>
              <w:t>，符合《重庆市声环境功能区划分技术规范实施细则（试行）》条款</w:t>
            </w:r>
            <w:r>
              <w:rPr>
                <w:rFonts w:hint="eastAsia"/>
                <w:sz w:val="24"/>
                <w:szCs w:val="24"/>
                <w:lang w:val="en-US" w:eastAsia="zh-CN"/>
              </w:rPr>
              <w:t>5.4.1城市用地现状已形成一定规模或近期规划已明确主要功能的区域，其用地性质符合居民住宅、医疗卫生、文化教育、科研设计、行政办公为主要功能，需要保持安静的区域，可划为1类声环境功能区</w:t>
            </w:r>
            <w:r>
              <w:rPr>
                <w:rFonts w:hint="default"/>
                <w:sz w:val="24"/>
                <w:szCs w:val="24"/>
                <w:lang w:val="en-US" w:eastAsia="zh-CN"/>
              </w:rPr>
              <w:t>的规定。</w:t>
            </w:r>
            <w:r>
              <w:rPr>
                <w:rFonts w:hint="eastAsia"/>
                <w:sz w:val="24"/>
                <w:szCs w:val="24"/>
                <w:lang w:val="en-US" w:eastAsia="zh-CN"/>
              </w:rPr>
              <w:t>该区域内调整前为1类区，规划为居住、公园用地，调整后保持为1类区。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5001511L004</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1L</w:t>
            </w:r>
          </w:p>
        </w:tc>
        <w:tc>
          <w:tcPr>
            <w:tcW w:w="216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南城街道铜梁区妇女儿童医院等片区</w:t>
            </w:r>
          </w:p>
        </w:tc>
        <w:tc>
          <w:tcPr>
            <w:tcW w:w="3365" w:type="pct"/>
            <w:noWrap w:val="0"/>
            <w:vAlign w:val="center"/>
          </w:tcPr>
          <w:p>
            <w:pPr>
              <w:adjustRightInd w:val="0"/>
              <w:snapToGrid w:val="0"/>
              <w:spacing w:line="360" w:lineRule="exact"/>
              <w:ind w:left="0" w:leftChars="0" w:firstLine="0" w:firstLineChars="0"/>
              <w:jc w:val="both"/>
              <w:rPr>
                <w:rFonts w:hint="default"/>
                <w:sz w:val="24"/>
                <w:szCs w:val="24"/>
                <w:lang w:val="en-US" w:eastAsia="zh-CN"/>
              </w:rPr>
            </w:pPr>
            <w:r>
              <w:rPr>
                <w:rFonts w:hint="default"/>
                <w:sz w:val="24"/>
                <w:szCs w:val="24"/>
                <w:lang w:val="en-US" w:eastAsia="zh-CN"/>
              </w:rPr>
              <w:t>现状为居住、医疗卫生</w:t>
            </w:r>
            <w:r>
              <w:rPr>
                <w:rFonts w:hint="eastAsia"/>
                <w:sz w:val="24"/>
                <w:szCs w:val="24"/>
                <w:lang w:val="en-US" w:eastAsia="zh-CN"/>
              </w:rPr>
              <w:t>区</w:t>
            </w:r>
            <w:r>
              <w:rPr>
                <w:rFonts w:hint="default"/>
                <w:sz w:val="24"/>
                <w:szCs w:val="24"/>
                <w:lang w:val="en-US" w:eastAsia="zh-CN"/>
              </w:rPr>
              <w:t>，符合《重庆市声环境功能区划分技术规范实施细则（试行）》条款</w:t>
            </w:r>
            <w:r>
              <w:rPr>
                <w:rFonts w:hint="eastAsia"/>
                <w:sz w:val="24"/>
                <w:szCs w:val="24"/>
                <w:lang w:val="en-US" w:eastAsia="zh-CN"/>
              </w:rPr>
              <w:t>5.4.1城市用地现状已形成一定规模或近期规划已明确主要功能的区域，其用地性质符合居民住宅、医疗卫生、文化教育、科研设计、行政办公为主要功能，需要保持安静的区域；5.4.2</w:t>
            </w:r>
            <w:r>
              <w:rPr>
                <w:rFonts w:hint="default"/>
                <w:sz w:val="24"/>
                <w:szCs w:val="24"/>
                <w:lang w:val="en-US" w:eastAsia="zh-CN"/>
              </w:rPr>
              <w:t>在拥有Ⅰ类</w:t>
            </w:r>
            <w:r>
              <w:rPr>
                <w:rStyle w:val="9"/>
                <w:rFonts w:hint="default"/>
                <w:sz w:val="24"/>
                <w:szCs w:val="24"/>
                <w:lang w:val="en-US" w:eastAsia="zh-CN"/>
              </w:rPr>
              <w:footnoteReference w:id="0"/>
            </w:r>
            <w:r>
              <w:rPr>
                <w:rFonts w:hint="default"/>
                <w:sz w:val="24"/>
                <w:szCs w:val="24"/>
                <w:lang w:val="en-US" w:eastAsia="zh-CN"/>
              </w:rPr>
              <w:t>、Ⅱ类</w:t>
            </w:r>
            <w:r>
              <w:rPr>
                <w:rStyle w:val="9"/>
                <w:rFonts w:hint="default"/>
                <w:sz w:val="24"/>
                <w:szCs w:val="24"/>
                <w:lang w:val="en-US" w:eastAsia="zh-CN"/>
              </w:rPr>
              <w:footnoteReference w:id="1"/>
            </w:r>
            <w:r>
              <w:rPr>
                <w:rFonts w:hint="default"/>
                <w:sz w:val="24"/>
                <w:szCs w:val="24"/>
                <w:lang w:val="en-US" w:eastAsia="zh-CN"/>
              </w:rPr>
              <w:t>用地以及其他用地类型的混合区域中，若Ⅰ类用地占地率大于70%（含70%），</w:t>
            </w:r>
            <w:r>
              <w:rPr>
                <w:rFonts w:hint="eastAsia"/>
                <w:sz w:val="24"/>
                <w:szCs w:val="24"/>
                <w:lang w:val="en-US" w:eastAsia="zh-CN"/>
              </w:rPr>
              <w:t>可划为1类声环境功能区</w:t>
            </w:r>
            <w:r>
              <w:rPr>
                <w:rFonts w:hint="default"/>
                <w:sz w:val="24"/>
                <w:szCs w:val="24"/>
                <w:lang w:val="en-US" w:eastAsia="zh-CN"/>
              </w:rPr>
              <w:t>的规定。</w:t>
            </w:r>
            <w:r>
              <w:rPr>
                <w:rFonts w:hint="eastAsia"/>
                <w:sz w:val="24"/>
                <w:szCs w:val="24"/>
                <w:lang w:val="en-US" w:eastAsia="zh-CN"/>
              </w:rPr>
              <w:t>该区域内调整前为1类区，规划为居住、商业用地，商业用地暂未建设，调整后暂时保持为1类区，后期根据建设情况再进行调整。</w:t>
            </w:r>
          </w:p>
        </w:tc>
      </w:tr>
    </w:tbl>
    <w:p>
      <w:pPr>
        <w:bidi w:val="0"/>
        <w:ind w:left="0" w:leftChars="0" w:firstLine="640" w:firstLineChars="200"/>
        <w:rPr>
          <w:rFonts w:hint="eastAsia"/>
          <w:lang w:val="en-US" w:eastAsia="zh-CN"/>
        </w:rPr>
      </w:pPr>
    </w:p>
    <w:p>
      <w:pPr>
        <w:bidi w:val="0"/>
        <w:ind w:left="0" w:leftChars="0" w:firstLine="640" w:firstLineChars="200"/>
        <w:rPr>
          <w:rFonts w:hint="eastAsia"/>
          <w:lang w:val="en-US" w:eastAsia="zh-CN"/>
        </w:rPr>
      </w:pPr>
      <w:r>
        <w:rPr>
          <w:rFonts w:hint="eastAsia"/>
          <w:lang w:val="en-US" w:eastAsia="zh-CN"/>
        </w:rPr>
        <w:t>3、2类声环境功能区调整：结合原划定类型以及现状、规划情况，部分原1类声环境功能区区域现状已建或规划在建为商住混合用地，该区域调整为2类声环境功能区。部分区域为规划区扩大新增区域，根据规划及在建现状划为2类声环境功能区。部分区域现状及规划为2类声环境功能区，该部分区域保持不变。</w:t>
      </w:r>
    </w:p>
    <w:p>
      <w:pPr>
        <w:pStyle w:val="2"/>
        <w:jc w:val="center"/>
        <w:rPr>
          <w:rFonts w:hint="default"/>
          <w:lang w:val="en-US" w:eastAsia="zh-CN"/>
        </w:rPr>
      </w:pPr>
      <w:r>
        <w:rPr>
          <w:rFonts w:hint="default"/>
          <w:lang w:val="en-US" w:eastAsia="zh-CN"/>
        </w:rPr>
        <w:drawing>
          <wp:inline distT="0" distB="0" distL="114300" distR="114300">
            <wp:extent cx="4302125" cy="3780155"/>
            <wp:effectExtent l="0" t="0" r="3175" b="10795"/>
            <wp:docPr id="10" name="图片 10" descr="2类2018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类2018版"/>
                    <pic:cNvPicPr>
                      <a:picLocks noChangeAspect="1"/>
                    </pic:cNvPicPr>
                  </pic:nvPicPr>
                  <pic:blipFill>
                    <a:blip r:embed="rId10"/>
                    <a:srcRect r="19466"/>
                    <a:stretch>
                      <a:fillRect/>
                    </a:stretch>
                  </pic:blipFill>
                  <pic:spPr>
                    <a:xfrm>
                      <a:off x="0" y="0"/>
                      <a:ext cx="4302125" cy="3780155"/>
                    </a:xfrm>
                    <a:prstGeom prst="rect">
                      <a:avLst/>
                    </a:prstGeom>
                  </pic:spPr>
                </pic:pic>
              </a:graphicData>
            </a:graphic>
          </wp:inline>
        </w:drawing>
      </w:r>
      <w:r>
        <w:rPr>
          <w:rFonts w:hint="default"/>
          <w:lang w:val="en-US" w:eastAsia="zh-CN"/>
        </w:rPr>
        <w:drawing>
          <wp:inline distT="0" distB="0" distL="114300" distR="114300">
            <wp:extent cx="4472940" cy="3780155"/>
            <wp:effectExtent l="0" t="0" r="3810" b="10795"/>
            <wp:docPr id="12" name="图片 12" descr="2类调整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类调整后"/>
                    <pic:cNvPicPr>
                      <a:picLocks noChangeAspect="1"/>
                    </pic:cNvPicPr>
                  </pic:nvPicPr>
                  <pic:blipFill>
                    <a:blip r:embed="rId11"/>
                    <a:srcRect r="16264"/>
                    <a:stretch>
                      <a:fillRect/>
                    </a:stretch>
                  </pic:blipFill>
                  <pic:spPr>
                    <a:xfrm>
                      <a:off x="0" y="0"/>
                      <a:ext cx="4472940" cy="3780155"/>
                    </a:xfrm>
                    <a:prstGeom prst="rect">
                      <a:avLst/>
                    </a:prstGeom>
                  </pic:spPr>
                </pic:pic>
              </a:graphicData>
            </a:graphic>
          </wp:inline>
        </w:drawing>
      </w:r>
    </w:p>
    <w:p>
      <w:pPr>
        <w:adjustRightInd w:val="0"/>
        <w:ind w:firstLine="0" w:firstLineChars="0"/>
        <w:jc w:val="center"/>
        <w:outlineLvl w:val="0"/>
        <w:rPr>
          <w:rFonts w:hint="default" w:ascii="方正黑体_GBK" w:hAnsi="方正仿宋_GBK" w:eastAsia="方正黑体_GBK" w:cs="方正仿宋_GBK"/>
          <w:bCs/>
          <w:color w:val="000000"/>
          <w:sz w:val="24"/>
          <w:lang w:val="en-US" w:eastAsia="zh-CN"/>
        </w:rPr>
      </w:pPr>
      <w:r>
        <w:rPr>
          <w:rFonts w:hint="eastAsia" w:ascii="方正黑体_GBK" w:hAnsi="方正仿宋_GBK" w:eastAsia="方正黑体_GBK" w:cs="方正仿宋_GBK"/>
          <w:bCs/>
          <w:color w:val="000000"/>
          <w:sz w:val="24"/>
          <w:lang w:val="en-US" w:eastAsia="zh-CN"/>
        </w:rPr>
        <w:t>表2</w:t>
      </w:r>
      <w:r>
        <w:rPr>
          <w:rFonts w:hint="eastAsia" w:ascii="方正黑体_GBK" w:hAnsi="方正仿宋_GBK" w:eastAsia="方正黑体_GBK" w:cs="方正仿宋_GBK"/>
          <w:bCs/>
          <w:color w:val="000000"/>
          <w:sz w:val="24"/>
        </w:rPr>
        <w:t xml:space="preserve">  </w:t>
      </w:r>
      <w:r>
        <w:rPr>
          <w:rFonts w:hint="eastAsia" w:ascii="方正黑体_GBK" w:hAnsi="方正仿宋_GBK" w:eastAsia="方正黑体_GBK" w:cs="方正仿宋_GBK"/>
          <w:bCs/>
          <w:color w:val="000000"/>
          <w:sz w:val="24"/>
          <w:lang w:val="en-US" w:eastAsia="zh-CN"/>
        </w:rPr>
        <w:t>2类</w:t>
      </w:r>
      <w:r>
        <w:rPr>
          <w:rFonts w:ascii="方正黑体_GBK" w:hAnsi="方正仿宋_GBK" w:eastAsia="方正黑体_GBK" w:cs="方正仿宋_GBK"/>
          <w:bCs/>
          <w:color w:val="000000"/>
          <w:sz w:val="24"/>
        </w:rPr>
        <w:t>声</w:t>
      </w:r>
      <w:r>
        <w:rPr>
          <w:rFonts w:hint="eastAsia" w:ascii="方正黑体_GBK" w:hAnsi="方正仿宋_GBK" w:eastAsia="方正黑体_GBK" w:cs="方正仿宋_GBK"/>
          <w:bCs/>
          <w:color w:val="000000"/>
          <w:sz w:val="24"/>
        </w:rPr>
        <w:t>环境</w:t>
      </w:r>
      <w:r>
        <w:rPr>
          <w:rFonts w:ascii="方正黑体_GBK" w:hAnsi="方正仿宋_GBK" w:eastAsia="方正黑体_GBK" w:cs="方正仿宋_GBK"/>
          <w:bCs/>
          <w:color w:val="000000"/>
          <w:sz w:val="24"/>
        </w:rPr>
        <w:t>功能区划定</w:t>
      </w:r>
      <w:r>
        <w:rPr>
          <w:rFonts w:hint="eastAsia" w:ascii="方正黑体_GBK" w:hAnsi="方正仿宋_GBK" w:eastAsia="方正黑体_GBK" w:cs="方正仿宋_GBK"/>
          <w:bCs/>
          <w:color w:val="000000"/>
          <w:sz w:val="24"/>
          <w:lang w:val="en-US" w:eastAsia="zh-CN"/>
        </w:rPr>
        <w:t>调整说明</w:t>
      </w:r>
    </w:p>
    <w:tbl>
      <w:tblPr>
        <w:tblStyle w:val="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17"/>
        <w:gridCol w:w="2256"/>
        <w:gridCol w:w="94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0"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区划单元编码</w:t>
            </w:r>
          </w:p>
        </w:tc>
        <w:tc>
          <w:tcPr>
            <w:tcW w:w="429" w:type="pct"/>
            <w:noWrap w:val="0"/>
            <w:vAlign w:val="center"/>
          </w:tcPr>
          <w:p>
            <w:pPr>
              <w:adjustRightInd w:val="0"/>
              <w:spacing w:line="300" w:lineRule="exact"/>
              <w:ind w:firstLine="0" w:firstLineChars="0"/>
              <w:jc w:val="both"/>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声环境功能区类型</w:t>
            </w:r>
          </w:p>
        </w:tc>
        <w:tc>
          <w:tcPr>
            <w:tcW w:w="796"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区划单元范围描述</w:t>
            </w:r>
          </w:p>
        </w:tc>
        <w:tc>
          <w:tcPr>
            <w:tcW w:w="3333"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调整说明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440"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5001512L001</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重庆传媒职业学院、铜梁职业教育中心、普罗旺斯国际公馆、紫金华庭等片区</w:t>
            </w:r>
          </w:p>
        </w:tc>
        <w:tc>
          <w:tcPr>
            <w:tcW w:w="3333" w:type="pct"/>
            <w:noWrap w:val="0"/>
            <w:vAlign w:val="center"/>
          </w:tcPr>
          <w:p>
            <w:pPr>
              <w:adjustRightInd w:val="0"/>
              <w:spacing w:line="300" w:lineRule="exact"/>
              <w:ind w:firstLine="0" w:firstLineChars="0"/>
              <w:jc w:val="center"/>
              <w:rPr>
                <w:rFonts w:hint="eastAsia" w:ascii="Times New Roman" w:hAnsi="Times New Roman" w:eastAsia="仿宋"/>
                <w:sz w:val="24"/>
                <w:szCs w:val="24"/>
              </w:rPr>
            </w:pPr>
            <w:r>
              <w:rPr>
                <w:rFonts w:hint="default"/>
                <w:sz w:val="24"/>
                <w:szCs w:val="24"/>
                <w:lang w:val="en-US" w:eastAsia="zh-CN"/>
              </w:rPr>
              <w:t>现状</w:t>
            </w:r>
            <w:r>
              <w:rPr>
                <w:rFonts w:hint="eastAsia"/>
                <w:sz w:val="24"/>
                <w:szCs w:val="24"/>
                <w:lang w:val="en-US" w:eastAsia="zh-CN"/>
              </w:rPr>
              <w:t>为居住、教育、工业混杂区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5.6.1城市用地现状或近期规划已明确以商业金融、集市贸易为主要功能的区域；5.6.2在划定的0、1、3类声环境功能区以外居住、商业、工业混杂区域，可划为2类声环境功能区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w:t>
            </w:r>
            <w:r>
              <w:rPr>
                <w:rFonts w:hint="eastAsia" w:cs="Times New Roman"/>
                <w:sz w:val="24"/>
                <w:szCs w:val="24"/>
                <w:lang w:val="en-US" w:eastAsia="zh-CN"/>
              </w:rPr>
              <w:t>1</w:t>
            </w:r>
            <w:r>
              <w:rPr>
                <w:rFonts w:hint="eastAsia" w:ascii="Times New Roman" w:hAnsi="Times New Roman" w:cs="Times New Roman"/>
                <w:sz w:val="24"/>
                <w:szCs w:val="24"/>
                <w:lang w:val="en-US" w:eastAsia="zh-CN"/>
              </w:rPr>
              <w:t>类区</w:t>
            </w:r>
            <w:r>
              <w:rPr>
                <w:rFonts w:hint="eastAsia" w:cs="Times New Roman"/>
                <w:sz w:val="24"/>
                <w:szCs w:val="24"/>
                <w:lang w:val="en-US" w:eastAsia="zh-CN"/>
              </w:rPr>
              <w:t>，大部分为新增。原1类区为重庆法官学校，规划为公共管理、商业用地，现状已建成</w:t>
            </w:r>
            <w:r>
              <w:rPr>
                <w:rFonts w:hint="eastAsia"/>
                <w:sz w:val="24"/>
                <w:szCs w:val="24"/>
                <w:lang w:val="en-US" w:eastAsia="zh-CN"/>
              </w:rPr>
              <w:t>法官学院，部分区域为居住、工业混杂区，原1类区与新划分区域暂纳为2类区，之后根据建设情况进行调整。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5001512L002</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巴川街道书香门第、北国风光、北城蓝湖、龙都花园、城市星都、龙都时代广场、铜梁区物流园、光伦商贸园片区</w:t>
            </w:r>
          </w:p>
        </w:tc>
        <w:tc>
          <w:tcPr>
            <w:tcW w:w="3333" w:type="pct"/>
            <w:noWrap w:val="0"/>
            <w:vAlign w:val="center"/>
          </w:tcPr>
          <w:p>
            <w:pPr>
              <w:adjustRightInd w:val="0"/>
              <w:spacing w:line="300" w:lineRule="exact"/>
              <w:ind w:firstLine="0" w:firstLineChars="0"/>
              <w:jc w:val="center"/>
              <w:rPr>
                <w:rFonts w:hint="eastAsia" w:ascii="Times New Roman" w:hAnsi="Times New Roman" w:eastAsia="方正仿宋_GBK"/>
                <w:sz w:val="24"/>
                <w:szCs w:val="24"/>
                <w:lang w:val="en-US" w:eastAsia="zh-CN"/>
              </w:rPr>
            </w:pPr>
            <w:r>
              <w:rPr>
                <w:rFonts w:hint="default"/>
                <w:sz w:val="24"/>
                <w:szCs w:val="24"/>
                <w:lang w:val="en-US" w:eastAsia="zh-CN"/>
              </w:rPr>
              <w:t>现状</w:t>
            </w:r>
            <w:r>
              <w:rPr>
                <w:rFonts w:hint="eastAsia"/>
                <w:sz w:val="24"/>
                <w:szCs w:val="24"/>
                <w:lang w:val="en-US" w:eastAsia="zh-CN"/>
              </w:rPr>
              <w:t>为居住、商业混杂区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5.6.1城市用地现状或近期规划已明确以商业金融、集市贸易为主要功能的区域；5.6.2在划定的0、1、3类声环境功能区以外居住、商业、工业混杂区域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w:t>
            </w:r>
            <w:r>
              <w:rPr>
                <w:rFonts w:hint="eastAsia" w:cs="Times New Roman"/>
                <w:sz w:val="24"/>
                <w:szCs w:val="24"/>
                <w:lang w:val="en-US" w:eastAsia="zh-CN"/>
              </w:rPr>
              <w:t>1、</w:t>
            </w:r>
            <w:r>
              <w:rPr>
                <w:rFonts w:hint="eastAsia" w:ascii="Times New Roman" w:hAnsi="Times New Roman" w:cs="Times New Roman"/>
                <w:sz w:val="24"/>
                <w:szCs w:val="24"/>
                <w:lang w:val="en-US" w:eastAsia="zh-CN"/>
              </w:rPr>
              <w:t>2类区</w:t>
            </w:r>
            <w:r>
              <w:rPr>
                <w:rFonts w:hint="eastAsia" w:cs="Times New Roman"/>
                <w:sz w:val="24"/>
                <w:szCs w:val="24"/>
                <w:lang w:val="en-US" w:eastAsia="zh-CN"/>
              </w:rPr>
              <w:t>。原1类区为南门社区、体育场、龙城云端、尚品国际、阳光丽都、兰亭别院、巴川国际中学、铜梁二中片区，规划为居住、商业、公共管理用地，现状已建成</w:t>
            </w:r>
            <w:r>
              <w:rPr>
                <w:rFonts w:hint="eastAsia"/>
                <w:sz w:val="24"/>
                <w:szCs w:val="24"/>
                <w:lang w:val="en-US" w:eastAsia="zh-CN"/>
              </w:rPr>
              <w:t>带底商或带前排商业的商住混合区，其中巴川国际中学旁建有中央商业大街，铜梁二中附近在建商业，该片区交通密集、车流量较大，因此按照2类区进行管理较合理，该区调整为2类区</w:t>
            </w:r>
            <w:r>
              <w:rPr>
                <w:rFonts w:hint="default" w:ascii="Times New Roman" w:hAnsi="Times New Roman" w:cs="Times New Roman"/>
                <w:sz w:val="24"/>
                <w:szCs w:val="24"/>
                <w:lang w:val="en-US" w:eastAsia="zh-CN"/>
              </w:rPr>
              <w:t>。</w:t>
            </w:r>
            <w:r>
              <w:rPr>
                <w:rFonts w:hint="eastAsia" w:cs="Times New Roman"/>
                <w:sz w:val="24"/>
                <w:szCs w:val="24"/>
                <w:lang w:val="en-US" w:eastAsia="zh-CN"/>
              </w:rPr>
              <w:t>原2类区规划为居住、商业、公共管理用地，现状为商业、居住混杂用地，</w:t>
            </w:r>
            <w:r>
              <w:rPr>
                <w:rFonts w:hint="eastAsia"/>
                <w:sz w:val="24"/>
                <w:szCs w:val="24"/>
                <w:lang w:val="en-US" w:eastAsia="zh-CN"/>
              </w:rPr>
              <w:t>调整后该片区保持为2类区</w:t>
            </w:r>
            <w:r>
              <w:rPr>
                <w:rFonts w:hint="eastAsia" w:ascii="Times New Roman" w:hAnsi="Times New Roman"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5001512L003</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南城街道聚星村、梯子村等片区、庆隆镇同康村片区</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eastAsia="仿宋"/>
                <w:sz w:val="24"/>
                <w:szCs w:val="24"/>
                <w:lang w:val="en-US"/>
              </w:rPr>
            </w:pPr>
            <w:r>
              <w:rPr>
                <w:rFonts w:hint="default"/>
                <w:sz w:val="24"/>
                <w:szCs w:val="24"/>
                <w:lang w:val="en-US" w:eastAsia="zh-CN"/>
              </w:rPr>
              <w:t>现状</w:t>
            </w:r>
            <w:r>
              <w:rPr>
                <w:rFonts w:hint="eastAsia"/>
                <w:sz w:val="24"/>
                <w:szCs w:val="24"/>
                <w:lang w:val="en-US" w:eastAsia="zh-CN"/>
              </w:rPr>
              <w:t>为居住、商业混杂区</w:t>
            </w:r>
            <w:r>
              <w:rPr>
                <w:rFonts w:hint="default"/>
                <w:sz w:val="24"/>
                <w:szCs w:val="24"/>
                <w:lang w:val="en-US" w:eastAsia="zh-CN"/>
              </w:rPr>
              <w:t>，符合《重庆市声环境功能区划分技术规范实施细则（试行）》条款</w:t>
            </w:r>
            <w:r>
              <w:rPr>
                <w:rFonts w:hint="eastAsia"/>
                <w:sz w:val="24"/>
                <w:szCs w:val="24"/>
                <w:lang w:val="en-US" w:eastAsia="zh-CN"/>
              </w:rPr>
              <w:t>5.6.2在划定的0、1、3类声环境功能区以外居住、商业、工业混杂区域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为2类区</w:t>
            </w:r>
            <w:r>
              <w:rPr>
                <w:rFonts w:hint="eastAsia" w:cs="Times New Roman"/>
                <w:sz w:val="24"/>
                <w:szCs w:val="24"/>
                <w:lang w:val="en-US" w:eastAsia="zh-CN"/>
              </w:rPr>
              <w:t>，部分为新纳入规划区。原2类区为等片区，规划为居住、商业、公共管理用地，现状为暂未建设，</w:t>
            </w:r>
            <w:r>
              <w:rPr>
                <w:rFonts w:hint="eastAsia"/>
                <w:sz w:val="24"/>
                <w:szCs w:val="24"/>
                <w:lang w:val="en-US" w:eastAsia="zh-CN"/>
              </w:rPr>
              <w:t>调整后该片区保持为2类区，将周围新规划区域合并纳入2类区，之后根据建设情况进行调整</w:t>
            </w:r>
            <w:r>
              <w:rPr>
                <w:rFonts w:hint="eastAsia" w:ascii="Times New Roman" w:hAnsi="Times New Roman"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5001512L004</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东城街道梁祝村片区</w:t>
            </w:r>
          </w:p>
        </w:tc>
        <w:tc>
          <w:tcPr>
            <w:tcW w:w="3333" w:type="pct"/>
            <w:noWrap w:val="0"/>
            <w:vAlign w:val="center"/>
          </w:tcPr>
          <w:p>
            <w:pPr>
              <w:adjustRightInd w:val="0"/>
              <w:spacing w:line="300" w:lineRule="exact"/>
              <w:ind w:firstLine="0" w:firstLineChars="0"/>
              <w:jc w:val="center"/>
              <w:rPr>
                <w:rFonts w:hint="eastAsia" w:ascii="Times New Roman" w:hAnsi="Times New Roman" w:eastAsia="仿宋"/>
                <w:sz w:val="24"/>
                <w:szCs w:val="24"/>
              </w:rPr>
            </w:pPr>
            <w:r>
              <w:rPr>
                <w:rFonts w:hint="default"/>
                <w:sz w:val="24"/>
                <w:szCs w:val="24"/>
                <w:lang w:val="en-US" w:eastAsia="zh-CN"/>
              </w:rPr>
              <w:t>现状</w:t>
            </w:r>
            <w:r>
              <w:rPr>
                <w:rFonts w:hint="eastAsia"/>
                <w:sz w:val="24"/>
                <w:szCs w:val="24"/>
                <w:lang w:val="en-US" w:eastAsia="zh-CN"/>
              </w:rPr>
              <w:t>为居住、商业、工业混杂区</w:t>
            </w:r>
            <w:r>
              <w:rPr>
                <w:rFonts w:hint="default"/>
                <w:sz w:val="24"/>
                <w:szCs w:val="24"/>
                <w:lang w:val="en-US" w:eastAsia="zh-CN"/>
              </w:rPr>
              <w:t>，符合《重庆市声环境功能区划分技术规范实施细则（试行）》条款</w:t>
            </w:r>
            <w:r>
              <w:rPr>
                <w:rFonts w:hint="eastAsia"/>
                <w:sz w:val="24"/>
                <w:szCs w:val="24"/>
                <w:lang w:val="en-US" w:eastAsia="zh-CN"/>
              </w:rPr>
              <w:t>5.6.2在划定的0、1、3类声环境功能区以外居住、商业、工业混杂区域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为2类区</w:t>
            </w:r>
            <w:r>
              <w:rPr>
                <w:rFonts w:hint="eastAsia" w:cs="Times New Roman"/>
                <w:sz w:val="24"/>
                <w:szCs w:val="24"/>
                <w:lang w:val="en-US" w:eastAsia="zh-CN"/>
              </w:rPr>
              <w:t>，规划为商业、居住用地，</w:t>
            </w:r>
            <w:r>
              <w:rPr>
                <w:rFonts w:hint="eastAsia"/>
                <w:sz w:val="24"/>
                <w:szCs w:val="24"/>
                <w:lang w:val="en-US" w:eastAsia="zh-CN"/>
              </w:rPr>
              <w:t>调整后该片区保持为2类区，之后根据建设情况进行调整</w:t>
            </w:r>
            <w:r>
              <w:rPr>
                <w:rFonts w:hint="eastAsia" w:ascii="Times New Roman" w:hAnsi="Times New Roman"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5001512L005</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蒲吕街道蒲吕安置房、龙山小区、龙山名居、天泰.龙山上院、蒲吕公寓等片区</w:t>
            </w:r>
          </w:p>
        </w:tc>
        <w:tc>
          <w:tcPr>
            <w:tcW w:w="3333" w:type="pct"/>
            <w:noWrap w:val="0"/>
            <w:vAlign w:val="center"/>
          </w:tcPr>
          <w:p>
            <w:pPr>
              <w:adjustRightInd w:val="0"/>
              <w:spacing w:line="300" w:lineRule="exact"/>
              <w:ind w:firstLine="0" w:firstLineChars="0"/>
              <w:jc w:val="center"/>
              <w:rPr>
                <w:rFonts w:hint="eastAsia" w:ascii="Times New Roman" w:hAnsi="Times New Roman" w:eastAsia="仿宋"/>
                <w:sz w:val="24"/>
                <w:szCs w:val="24"/>
              </w:rPr>
            </w:pPr>
            <w:r>
              <w:rPr>
                <w:rFonts w:hint="default"/>
                <w:sz w:val="24"/>
                <w:szCs w:val="24"/>
                <w:lang w:val="en-US" w:eastAsia="zh-CN"/>
              </w:rPr>
              <w:t>现状</w:t>
            </w:r>
            <w:r>
              <w:rPr>
                <w:rFonts w:hint="eastAsia"/>
                <w:sz w:val="24"/>
                <w:szCs w:val="24"/>
                <w:lang w:val="en-US" w:eastAsia="zh-CN"/>
              </w:rPr>
              <w:t>为居住、商业混杂区</w:t>
            </w:r>
            <w:r>
              <w:rPr>
                <w:rFonts w:hint="default"/>
                <w:sz w:val="24"/>
                <w:szCs w:val="24"/>
                <w:lang w:val="en-US" w:eastAsia="zh-CN"/>
              </w:rPr>
              <w:t>，符合《重庆市声环境功能区划分技术规范实施细则（试行）》条款</w:t>
            </w:r>
            <w:r>
              <w:rPr>
                <w:rFonts w:hint="eastAsia"/>
                <w:sz w:val="24"/>
                <w:szCs w:val="24"/>
                <w:lang w:val="en-US" w:eastAsia="zh-CN"/>
              </w:rPr>
              <w:t>5.6.2在划定的0、1、3类声环境功能区以外居住、商业、工业混杂区域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为2类区</w:t>
            </w:r>
            <w:r>
              <w:rPr>
                <w:rFonts w:hint="eastAsia" w:cs="Times New Roman"/>
                <w:sz w:val="24"/>
                <w:szCs w:val="24"/>
                <w:lang w:val="en-US" w:eastAsia="zh-CN"/>
              </w:rPr>
              <w:t>。原2类区规划为居住、商业、公共管理用地，部分区域已建设，部分区域暂未建设，</w:t>
            </w:r>
            <w:r>
              <w:rPr>
                <w:rFonts w:hint="eastAsia"/>
                <w:sz w:val="24"/>
                <w:szCs w:val="24"/>
                <w:lang w:val="en-US" w:eastAsia="zh-CN"/>
              </w:rPr>
              <w:t>调整后该片区保持为2类区</w:t>
            </w:r>
            <w:r>
              <w:rPr>
                <w:rFonts w:hint="eastAsia" w:ascii="Times New Roman" w:hAnsi="Times New Roman"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5001512L006</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796"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旧县街道街道办事处、旧县中学、旧县中心卫生院等片区</w:t>
            </w:r>
          </w:p>
        </w:tc>
        <w:tc>
          <w:tcPr>
            <w:tcW w:w="3333" w:type="pct"/>
            <w:noWrap w:val="0"/>
            <w:vAlign w:val="center"/>
          </w:tcPr>
          <w:p>
            <w:pPr>
              <w:adjustRightInd w:val="0"/>
              <w:snapToGrid w:val="0"/>
              <w:spacing w:line="360" w:lineRule="exact"/>
              <w:ind w:left="0" w:leftChars="0" w:firstLine="0" w:firstLineChars="0"/>
              <w:jc w:val="both"/>
              <w:rPr>
                <w:rFonts w:hint="eastAsia" w:ascii="Times New Roman" w:hAnsi="Times New Roman" w:eastAsia="仿宋"/>
                <w:sz w:val="24"/>
                <w:szCs w:val="24"/>
              </w:rPr>
            </w:pPr>
            <w:r>
              <w:rPr>
                <w:rFonts w:hint="eastAsia"/>
                <w:sz w:val="24"/>
                <w:szCs w:val="24"/>
                <w:lang w:val="en-US" w:eastAsia="zh-CN"/>
              </w:rPr>
              <w:t>区域为旧县街道场镇区域，</w:t>
            </w:r>
            <w:r>
              <w:rPr>
                <w:rFonts w:hint="default"/>
                <w:sz w:val="24"/>
                <w:szCs w:val="24"/>
                <w:lang w:val="en-US" w:eastAsia="zh-CN"/>
              </w:rPr>
              <w:t>现状</w:t>
            </w:r>
            <w:r>
              <w:rPr>
                <w:rFonts w:hint="eastAsia"/>
                <w:sz w:val="24"/>
                <w:szCs w:val="24"/>
                <w:lang w:val="en-US" w:eastAsia="zh-CN"/>
              </w:rPr>
              <w:t>为居住、商住、工业混合区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w:t>
            </w:r>
            <w:r>
              <w:rPr>
                <w:rFonts w:hint="eastAsia" w:ascii="Times New Roman" w:hAnsi="Times New Roman" w:cs="Times New Roman"/>
                <w:sz w:val="24"/>
                <w:szCs w:val="24"/>
                <w:lang w:val="en-US" w:eastAsia="zh-CN"/>
              </w:rPr>
              <w:t>为2类区</w:t>
            </w:r>
            <w:r>
              <w:rPr>
                <w:rFonts w:hint="eastAsia" w:cs="Times New Roman"/>
                <w:sz w:val="24"/>
                <w:szCs w:val="24"/>
                <w:lang w:val="en-US" w:eastAsia="zh-CN"/>
              </w:rPr>
              <w:t>，规划为居住、公共管理用地，但现状为</w:t>
            </w:r>
            <w:r>
              <w:rPr>
                <w:rFonts w:hint="eastAsia"/>
                <w:sz w:val="24"/>
                <w:szCs w:val="24"/>
                <w:lang w:val="en-US" w:eastAsia="zh-CN"/>
              </w:rPr>
              <w:t>居住、商住、工业混合区</w:t>
            </w:r>
            <w:r>
              <w:rPr>
                <w:rFonts w:hint="eastAsia" w:cs="Times New Roman"/>
                <w:sz w:val="24"/>
                <w:szCs w:val="24"/>
                <w:lang w:val="en-US" w:eastAsia="zh-CN"/>
              </w:rPr>
              <w:t>，</w:t>
            </w:r>
            <w:r>
              <w:rPr>
                <w:rFonts w:hint="eastAsia"/>
                <w:sz w:val="24"/>
                <w:szCs w:val="24"/>
                <w:lang w:val="en-US" w:eastAsia="zh-CN"/>
              </w:rPr>
              <w:t>调整后保持为2类区，之后根据建设情况进行调整</w:t>
            </w:r>
            <w:r>
              <w:rPr>
                <w:rFonts w:hint="eastAsia" w:ascii="Times New Roman" w:hAnsi="Times New Roman"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5001512L007</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庆隆镇场镇</w:t>
            </w:r>
          </w:p>
        </w:tc>
        <w:tc>
          <w:tcPr>
            <w:tcW w:w="3333" w:type="pct"/>
            <w:noWrap w:val="0"/>
            <w:vAlign w:val="center"/>
          </w:tcPr>
          <w:p>
            <w:pPr>
              <w:adjustRightInd w:val="0"/>
              <w:snapToGrid w:val="0"/>
              <w:spacing w:line="360" w:lineRule="exact"/>
              <w:ind w:left="0" w:leftChars="0" w:firstLine="0" w:firstLineChars="0"/>
              <w:jc w:val="both"/>
              <w:rPr>
                <w:rFonts w:hint="default"/>
                <w:sz w:val="24"/>
                <w:szCs w:val="24"/>
                <w:lang w:val="en-US" w:eastAsia="zh-CN"/>
              </w:rPr>
            </w:pPr>
            <w:r>
              <w:rPr>
                <w:rFonts w:hint="default"/>
                <w:sz w:val="24"/>
                <w:szCs w:val="24"/>
                <w:lang w:val="en-US" w:eastAsia="zh-CN"/>
              </w:rPr>
              <w:t>现状</w:t>
            </w:r>
            <w:r>
              <w:rPr>
                <w:rFonts w:hint="eastAsia"/>
                <w:sz w:val="24"/>
                <w:szCs w:val="24"/>
                <w:lang w:val="en-US" w:eastAsia="zh-CN"/>
              </w:rPr>
              <w:t>为居住、商住混合区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。该区域调整前为2类区，现状为居住、商住混合区</w:t>
            </w:r>
            <w:r>
              <w:rPr>
                <w:rFonts w:hint="default"/>
                <w:sz w:val="24"/>
                <w:szCs w:val="24"/>
                <w:lang w:val="en-US" w:eastAsia="zh-CN"/>
              </w:rPr>
              <w:t>。</w:t>
            </w:r>
            <w:r>
              <w:rPr>
                <w:rFonts w:hint="eastAsia"/>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5001512L008</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石鱼镇场镇</w:t>
            </w:r>
          </w:p>
        </w:tc>
        <w:tc>
          <w:tcPr>
            <w:tcW w:w="3333" w:type="pct"/>
            <w:noWrap w:val="0"/>
            <w:vAlign w:val="center"/>
          </w:tcPr>
          <w:p>
            <w:pPr>
              <w:adjustRightInd w:val="0"/>
              <w:snapToGrid w:val="0"/>
              <w:spacing w:line="360" w:lineRule="exact"/>
              <w:ind w:left="0" w:leftChars="0" w:firstLine="0" w:firstLineChars="0"/>
              <w:jc w:val="both"/>
              <w:rPr>
                <w:rFonts w:hint="eastAsia"/>
                <w:sz w:val="24"/>
                <w:szCs w:val="24"/>
                <w:lang w:val="en-US" w:eastAsia="zh-CN"/>
              </w:rPr>
            </w:pPr>
            <w:r>
              <w:rPr>
                <w:rFonts w:hint="default"/>
                <w:sz w:val="24"/>
                <w:szCs w:val="24"/>
                <w:lang w:val="en-US" w:eastAsia="zh-CN"/>
              </w:rPr>
              <w:t>现状</w:t>
            </w:r>
            <w:r>
              <w:rPr>
                <w:rFonts w:hint="eastAsia"/>
                <w:sz w:val="24"/>
                <w:szCs w:val="24"/>
                <w:lang w:val="en-US" w:eastAsia="zh-CN"/>
              </w:rPr>
              <w:t>为居住、商住混合区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。该区域调整前为2类区，现状为居住、商住混合区</w:t>
            </w:r>
            <w:r>
              <w:rPr>
                <w:rFonts w:hint="default"/>
                <w:sz w:val="24"/>
                <w:szCs w:val="24"/>
                <w:lang w:val="en-US" w:eastAsia="zh-CN"/>
              </w:rPr>
              <w:t>。</w:t>
            </w:r>
            <w:r>
              <w:rPr>
                <w:rFonts w:hint="eastAsia"/>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5001512L009</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二坪镇场镇</w:t>
            </w:r>
          </w:p>
        </w:tc>
        <w:tc>
          <w:tcPr>
            <w:tcW w:w="3333" w:type="pct"/>
            <w:noWrap w:val="0"/>
            <w:vAlign w:val="center"/>
          </w:tcPr>
          <w:p>
            <w:pPr>
              <w:adjustRightInd w:val="0"/>
              <w:snapToGrid w:val="0"/>
              <w:spacing w:line="360" w:lineRule="exact"/>
              <w:ind w:left="0" w:leftChars="0" w:firstLine="0" w:firstLineChars="0"/>
              <w:jc w:val="both"/>
              <w:rPr>
                <w:rFonts w:hint="eastAsia"/>
                <w:sz w:val="24"/>
                <w:szCs w:val="24"/>
                <w:lang w:val="en-US" w:eastAsia="zh-CN"/>
              </w:rPr>
            </w:pPr>
            <w:r>
              <w:rPr>
                <w:rFonts w:hint="default"/>
                <w:sz w:val="24"/>
                <w:szCs w:val="24"/>
                <w:lang w:val="en-US" w:eastAsia="zh-CN"/>
              </w:rPr>
              <w:t>现状</w:t>
            </w:r>
            <w:r>
              <w:rPr>
                <w:rFonts w:hint="eastAsia"/>
                <w:sz w:val="24"/>
                <w:szCs w:val="24"/>
                <w:lang w:val="en-US" w:eastAsia="zh-CN"/>
              </w:rPr>
              <w:t>为居住、商住混合区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。该区域调整前为2类区，现状为居住、商住混合区</w:t>
            </w:r>
            <w:r>
              <w:rPr>
                <w:rFonts w:hint="default"/>
                <w:sz w:val="24"/>
                <w:szCs w:val="24"/>
                <w:lang w:val="en-US" w:eastAsia="zh-CN"/>
              </w:rPr>
              <w:t>。</w:t>
            </w:r>
            <w:r>
              <w:rPr>
                <w:rFonts w:hint="eastAsia"/>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5001512L010</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水口镇场镇</w:t>
            </w:r>
          </w:p>
        </w:tc>
        <w:tc>
          <w:tcPr>
            <w:tcW w:w="3333" w:type="pct"/>
            <w:noWrap w:val="0"/>
            <w:vAlign w:val="center"/>
          </w:tcPr>
          <w:p>
            <w:pPr>
              <w:adjustRightInd w:val="0"/>
              <w:snapToGrid w:val="0"/>
              <w:spacing w:line="360" w:lineRule="exact"/>
              <w:ind w:left="0" w:leftChars="0" w:firstLine="0" w:firstLineChars="0"/>
              <w:jc w:val="both"/>
              <w:rPr>
                <w:rFonts w:hint="eastAsia"/>
                <w:sz w:val="24"/>
                <w:szCs w:val="24"/>
                <w:lang w:val="en-US" w:eastAsia="zh-CN"/>
              </w:rPr>
            </w:pPr>
            <w:r>
              <w:rPr>
                <w:rFonts w:hint="default"/>
                <w:sz w:val="24"/>
                <w:szCs w:val="24"/>
                <w:lang w:val="en-US" w:eastAsia="zh-CN"/>
              </w:rPr>
              <w:t>现状</w:t>
            </w:r>
            <w:r>
              <w:rPr>
                <w:rFonts w:hint="eastAsia"/>
                <w:sz w:val="24"/>
                <w:szCs w:val="24"/>
                <w:lang w:val="en-US" w:eastAsia="zh-CN"/>
              </w:rPr>
              <w:t>为居住、商住混合区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。该区域调整前为2类区，现状为居住、商住混合区</w:t>
            </w:r>
            <w:r>
              <w:rPr>
                <w:rFonts w:hint="default"/>
                <w:sz w:val="24"/>
                <w:szCs w:val="24"/>
                <w:lang w:val="en-US" w:eastAsia="zh-CN"/>
              </w:rPr>
              <w:t>。</w:t>
            </w:r>
            <w:r>
              <w:rPr>
                <w:rFonts w:hint="eastAsia"/>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5001512L011</w:t>
            </w:r>
          </w:p>
        </w:tc>
        <w:tc>
          <w:tcPr>
            <w:tcW w:w="1217" w:type="dxa"/>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维新镇场镇</w:t>
            </w:r>
          </w:p>
        </w:tc>
        <w:tc>
          <w:tcPr>
            <w:tcW w:w="3333" w:type="pct"/>
            <w:noWrap w:val="0"/>
            <w:vAlign w:val="center"/>
          </w:tcPr>
          <w:p>
            <w:pPr>
              <w:adjustRightInd w:val="0"/>
              <w:snapToGrid w:val="0"/>
              <w:spacing w:line="360" w:lineRule="exact"/>
              <w:ind w:left="0" w:leftChars="0" w:firstLine="0" w:firstLineChars="0"/>
              <w:jc w:val="both"/>
              <w:rPr>
                <w:rFonts w:hint="eastAsia"/>
                <w:sz w:val="24"/>
                <w:szCs w:val="24"/>
                <w:lang w:val="en-US" w:eastAsia="zh-CN"/>
              </w:rPr>
            </w:pPr>
            <w:r>
              <w:rPr>
                <w:rFonts w:hint="default"/>
                <w:sz w:val="24"/>
                <w:szCs w:val="24"/>
                <w:lang w:val="en-US" w:eastAsia="zh-CN"/>
              </w:rPr>
              <w:t>现状</w:t>
            </w:r>
            <w:r>
              <w:rPr>
                <w:rFonts w:hint="eastAsia"/>
                <w:sz w:val="24"/>
                <w:szCs w:val="24"/>
                <w:lang w:val="en-US" w:eastAsia="zh-CN"/>
              </w:rPr>
              <w:t>为居住、商住混合区</w:t>
            </w:r>
            <w:r>
              <w:rPr>
                <w:rFonts w:hint="default"/>
                <w:sz w:val="24"/>
                <w:szCs w:val="24"/>
                <w:lang w:val="en-US" w:eastAsia="zh-CN"/>
              </w:rPr>
              <w:t>，符合《重庆市声环境功能区划分技术规范实施细则（试行）》条款</w:t>
            </w:r>
            <w:r>
              <w:rPr>
                <w:rFonts w:hint="eastAsia"/>
                <w:sz w:val="24"/>
                <w:szCs w:val="24"/>
                <w:lang w:val="en-US" w:eastAsia="zh-CN"/>
              </w:rPr>
              <w:t>5.6.1城市用地现状或近期规划已明确以商业金融、集市贸易为主要功能的区域</w:t>
            </w:r>
            <w:r>
              <w:rPr>
                <w:rFonts w:hint="default"/>
                <w:sz w:val="24"/>
                <w:szCs w:val="24"/>
                <w:lang w:val="en-US" w:eastAsia="zh-CN"/>
              </w:rPr>
              <w:t>，</w:t>
            </w:r>
            <w:r>
              <w:rPr>
                <w:rFonts w:hint="eastAsia"/>
                <w:sz w:val="24"/>
                <w:szCs w:val="24"/>
                <w:lang w:val="en-US" w:eastAsia="zh-CN"/>
              </w:rPr>
              <w:t>可划为2类声环境功能区</w:t>
            </w:r>
            <w:r>
              <w:rPr>
                <w:rFonts w:hint="default"/>
                <w:sz w:val="24"/>
                <w:szCs w:val="24"/>
                <w:lang w:val="en-US" w:eastAsia="zh-CN"/>
              </w:rPr>
              <w:t>的规定</w:t>
            </w:r>
            <w:r>
              <w:rPr>
                <w:rFonts w:hint="eastAsia"/>
                <w:sz w:val="24"/>
                <w:szCs w:val="24"/>
                <w:lang w:val="en-US" w:eastAsia="zh-CN"/>
              </w:rPr>
              <w:t>。该区域调整前为2类区，现状为居住、商住混合区</w:t>
            </w:r>
            <w:r>
              <w:rPr>
                <w:rFonts w:hint="default"/>
                <w:sz w:val="24"/>
                <w:szCs w:val="24"/>
                <w:lang w:val="en-US" w:eastAsia="zh-CN"/>
              </w:rPr>
              <w:t>。</w:t>
            </w:r>
            <w:r>
              <w:rPr>
                <w:rFonts w:hint="eastAsia"/>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5001512L012</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少云镇场镇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5001512L013</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高楼镇场镇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5001512L014</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安居镇场镇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5001512L015</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白羊镇场镇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5001512L016</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太平镇场镇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5001512L017</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侣俸镇场镇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5001512L018</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平滩镇场镇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5001512L019</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双山镇场镇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5001512L020</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小林镇场镇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5001512L021</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土桥镇场镇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5001512L022</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虎峰镇场镇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5001512L023</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福果镇场镇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5001512L024</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大庙镇场镇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5001512L025</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围龙镇场镇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5001512L026</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华兴镇场镇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5001512L027</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安溪镇场镇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5001512L028</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永嘉镇场镇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5001512L029</w:t>
            </w:r>
          </w:p>
        </w:tc>
        <w:tc>
          <w:tcPr>
            <w:tcW w:w="1217"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2L</w:t>
            </w:r>
          </w:p>
        </w:tc>
        <w:tc>
          <w:tcPr>
            <w:tcW w:w="2256" w:type="dxa"/>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西河镇场镇</w:t>
            </w:r>
          </w:p>
        </w:tc>
        <w:tc>
          <w:tcPr>
            <w:tcW w:w="3333" w:type="pct"/>
            <w:noWrap w:val="0"/>
            <w:vAlign w:val="center"/>
          </w:tcPr>
          <w:p>
            <w:pPr>
              <w:adjustRightInd w:val="0"/>
              <w:snapToGrid w:val="0"/>
              <w:spacing w:line="360" w:lineRule="exact"/>
              <w:ind w:left="0" w:leftChars="0" w:firstLine="0" w:firstLineChars="0"/>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现状</w:t>
            </w:r>
            <w:r>
              <w:rPr>
                <w:rFonts w:hint="eastAsia" w:ascii="Times New Roman" w:hAnsi="Times New Roman" w:cs="Times New Roman"/>
                <w:sz w:val="24"/>
                <w:szCs w:val="24"/>
                <w:lang w:val="en-US" w:eastAsia="zh-CN"/>
              </w:rPr>
              <w:t>为居住、商住混合区</w:t>
            </w:r>
            <w:r>
              <w:rPr>
                <w:rFonts w:hint="default" w:ascii="Times New Roman" w:hAnsi="Times New Roman" w:cs="Times New Roman"/>
                <w:sz w:val="24"/>
                <w:szCs w:val="24"/>
                <w:lang w:val="en-US" w:eastAsia="zh-CN"/>
              </w:rPr>
              <w:t>，符合《重庆市声环境功能区划分技术规范实施细则（试行）》条款</w:t>
            </w:r>
            <w:r>
              <w:rPr>
                <w:rFonts w:hint="eastAsia" w:ascii="Times New Roman" w:hAnsi="Times New Roman" w:cs="Times New Roman"/>
                <w:sz w:val="24"/>
                <w:szCs w:val="24"/>
                <w:lang w:val="en-US" w:eastAsia="zh-CN"/>
              </w:rPr>
              <w:t>5.6.1城市用地现状或近期规划已明确以商业金融、集市贸易为主要功能的区域</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可划为2类声环境功能区</w:t>
            </w:r>
            <w:r>
              <w:rPr>
                <w:rFonts w:hint="default" w:ascii="Times New Roman" w:hAnsi="Times New Roman" w:cs="Times New Roman"/>
                <w:sz w:val="24"/>
                <w:szCs w:val="24"/>
                <w:lang w:val="en-US" w:eastAsia="zh-CN"/>
              </w:rPr>
              <w:t>的规定</w:t>
            </w:r>
            <w:r>
              <w:rPr>
                <w:rFonts w:hint="eastAsia" w:ascii="Times New Roman" w:hAnsi="Times New Roman" w:cs="Times New Roman"/>
                <w:sz w:val="24"/>
                <w:szCs w:val="24"/>
                <w:lang w:val="en-US" w:eastAsia="zh-CN"/>
              </w:rPr>
              <w:t>。该区域调整前为2类区，现状为居住、商住混合区</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调整后原区域保持为2类区，根据城镇开发边界范围对该区域进行优化。</w:t>
            </w:r>
          </w:p>
        </w:tc>
      </w:tr>
    </w:tbl>
    <w:p>
      <w:pPr>
        <w:pStyle w:val="2"/>
        <w:rPr>
          <w:rFonts w:hint="eastAsia"/>
          <w:lang w:val="en-US" w:eastAsia="zh-CN"/>
        </w:rPr>
      </w:pPr>
    </w:p>
    <w:p>
      <w:pPr>
        <w:bidi w:val="0"/>
        <w:rPr>
          <w:rFonts w:hint="eastAsia"/>
          <w:lang w:val="en-US" w:eastAsia="zh-CN"/>
        </w:rPr>
      </w:pPr>
      <w:r>
        <w:rPr>
          <w:rFonts w:hint="eastAsia"/>
          <w:lang w:val="en-US" w:eastAsia="zh-CN"/>
        </w:rPr>
        <w:t>4、3类声环境功能区调整：结合原划定类型以及现状、规划情况，部分区域为规划区扩大新增区域，根据规划及在建现状划为3类声环境功能区。部分区域现状及规划为3类声环境功能区，该部分区域暂时保持不变。</w:t>
      </w:r>
    </w:p>
    <w:p>
      <w:pPr>
        <w:pStyle w:val="2"/>
        <w:jc w:val="both"/>
        <w:rPr>
          <w:rFonts w:hint="eastAsia"/>
          <w:lang w:val="en-US" w:eastAsia="zh-CN"/>
        </w:rPr>
      </w:pPr>
      <w:r>
        <w:rPr>
          <w:rFonts w:hint="eastAsia"/>
          <w:lang w:val="en-US" w:eastAsia="zh-CN"/>
        </w:rPr>
        <w:drawing>
          <wp:inline distT="0" distB="0" distL="114300" distR="114300">
            <wp:extent cx="4274820" cy="3780155"/>
            <wp:effectExtent l="0" t="0" r="11430" b="10795"/>
            <wp:docPr id="15" name="图片 15" descr="3类2018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类2018版"/>
                    <pic:cNvPicPr>
                      <a:picLocks noChangeAspect="1"/>
                    </pic:cNvPicPr>
                  </pic:nvPicPr>
                  <pic:blipFill>
                    <a:blip r:embed="rId12"/>
                    <a:srcRect r="19978"/>
                    <a:stretch>
                      <a:fillRect/>
                    </a:stretch>
                  </pic:blipFill>
                  <pic:spPr>
                    <a:xfrm>
                      <a:off x="0" y="0"/>
                      <a:ext cx="4274820" cy="3780155"/>
                    </a:xfrm>
                    <a:prstGeom prst="rect">
                      <a:avLst/>
                    </a:prstGeom>
                  </pic:spPr>
                </pic:pic>
              </a:graphicData>
            </a:graphic>
          </wp:inline>
        </w:drawing>
      </w:r>
      <w:r>
        <w:rPr>
          <w:rFonts w:hint="eastAsia"/>
          <w:lang w:val="en-US" w:eastAsia="zh-CN"/>
        </w:rPr>
        <w:drawing>
          <wp:inline distT="0" distB="0" distL="114300" distR="114300">
            <wp:extent cx="4472940" cy="3780155"/>
            <wp:effectExtent l="0" t="0" r="3810" b="10795"/>
            <wp:docPr id="14" name="图片 14" descr="3类调整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类调整后"/>
                    <pic:cNvPicPr>
                      <a:picLocks noChangeAspect="1"/>
                    </pic:cNvPicPr>
                  </pic:nvPicPr>
                  <pic:blipFill>
                    <a:blip r:embed="rId13"/>
                    <a:srcRect r="16264"/>
                    <a:stretch>
                      <a:fillRect/>
                    </a:stretch>
                  </pic:blipFill>
                  <pic:spPr>
                    <a:xfrm>
                      <a:off x="0" y="0"/>
                      <a:ext cx="4472940" cy="3780155"/>
                    </a:xfrm>
                    <a:prstGeom prst="rect">
                      <a:avLst/>
                    </a:prstGeom>
                  </pic:spPr>
                </pic:pic>
              </a:graphicData>
            </a:graphic>
          </wp:inline>
        </w:drawing>
      </w:r>
    </w:p>
    <w:p>
      <w:pPr>
        <w:adjustRightInd w:val="0"/>
        <w:ind w:firstLine="0" w:firstLineChars="0"/>
        <w:jc w:val="center"/>
        <w:outlineLvl w:val="0"/>
        <w:rPr>
          <w:rFonts w:hint="default" w:ascii="方正黑体_GBK" w:hAnsi="方正仿宋_GBK" w:eastAsia="方正黑体_GBK" w:cs="方正仿宋_GBK"/>
          <w:bCs/>
          <w:color w:val="000000"/>
          <w:sz w:val="24"/>
          <w:lang w:val="en-US" w:eastAsia="zh-CN"/>
        </w:rPr>
      </w:pPr>
      <w:r>
        <w:rPr>
          <w:rFonts w:hint="eastAsia" w:ascii="方正黑体_GBK" w:hAnsi="方正仿宋_GBK" w:eastAsia="方正黑体_GBK" w:cs="方正仿宋_GBK"/>
          <w:bCs/>
          <w:color w:val="000000"/>
          <w:sz w:val="24"/>
          <w:lang w:val="en-US" w:eastAsia="zh-CN"/>
        </w:rPr>
        <w:t>表3</w:t>
      </w:r>
      <w:r>
        <w:rPr>
          <w:rFonts w:hint="eastAsia" w:ascii="方正黑体_GBK" w:hAnsi="方正仿宋_GBK" w:eastAsia="方正黑体_GBK" w:cs="方正仿宋_GBK"/>
          <w:bCs/>
          <w:color w:val="000000"/>
          <w:sz w:val="24"/>
        </w:rPr>
        <w:t xml:space="preserve">  </w:t>
      </w:r>
      <w:r>
        <w:rPr>
          <w:rFonts w:hint="eastAsia" w:ascii="方正黑体_GBK" w:hAnsi="方正仿宋_GBK" w:eastAsia="方正黑体_GBK" w:cs="方正仿宋_GBK"/>
          <w:bCs/>
          <w:color w:val="000000"/>
          <w:sz w:val="24"/>
          <w:lang w:val="en-US" w:eastAsia="zh-CN"/>
        </w:rPr>
        <w:t>3类</w:t>
      </w:r>
      <w:r>
        <w:rPr>
          <w:rFonts w:ascii="方正黑体_GBK" w:hAnsi="方正仿宋_GBK" w:eastAsia="方正黑体_GBK" w:cs="方正仿宋_GBK"/>
          <w:bCs/>
          <w:color w:val="000000"/>
          <w:sz w:val="24"/>
        </w:rPr>
        <w:t>声</w:t>
      </w:r>
      <w:r>
        <w:rPr>
          <w:rFonts w:hint="eastAsia" w:ascii="方正黑体_GBK" w:hAnsi="方正仿宋_GBK" w:eastAsia="方正黑体_GBK" w:cs="方正仿宋_GBK"/>
          <w:bCs/>
          <w:color w:val="000000"/>
          <w:sz w:val="24"/>
        </w:rPr>
        <w:t>环境</w:t>
      </w:r>
      <w:r>
        <w:rPr>
          <w:rFonts w:ascii="方正黑体_GBK" w:hAnsi="方正仿宋_GBK" w:eastAsia="方正黑体_GBK" w:cs="方正仿宋_GBK"/>
          <w:bCs/>
          <w:color w:val="000000"/>
          <w:sz w:val="24"/>
        </w:rPr>
        <w:t>功能区划定</w:t>
      </w:r>
      <w:r>
        <w:rPr>
          <w:rFonts w:hint="eastAsia" w:ascii="方正黑体_GBK" w:hAnsi="方正仿宋_GBK" w:eastAsia="方正黑体_GBK" w:cs="方正仿宋_GBK"/>
          <w:bCs/>
          <w:color w:val="000000"/>
          <w:sz w:val="24"/>
          <w:lang w:val="en-US" w:eastAsia="zh-CN"/>
        </w:rPr>
        <w:t>调整说明</w:t>
      </w:r>
    </w:p>
    <w:tbl>
      <w:tblPr>
        <w:tblStyle w:val="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17"/>
        <w:gridCol w:w="2167"/>
        <w:gridCol w:w="9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0"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区划单元编码</w:t>
            </w:r>
          </w:p>
        </w:tc>
        <w:tc>
          <w:tcPr>
            <w:tcW w:w="429" w:type="pct"/>
            <w:noWrap w:val="0"/>
            <w:vAlign w:val="center"/>
          </w:tcPr>
          <w:p>
            <w:pPr>
              <w:adjustRightInd w:val="0"/>
              <w:spacing w:line="300" w:lineRule="exact"/>
              <w:ind w:firstLine="0" w:firstLineChars="0"/>
              <w:jc w:val="both"/>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声环境功能区类型</w:t>
            </w:r>
          </w:p>
        </w:tc>
        <w:tc>
          <w:tcPr>
            <w:tcW w:w="765"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区划单元范围描述</w:t>
            </w:r>
          </w:p>
        </w:tc>
        <w:tc>
          <w:tcPr>
            <w:tcW w:w="3365" w:type="pct"/>
            <w:noWrap w:val="0"/>
            <w:vAlign w:val="center"/>
          </w:tcPr>
          <w:p>
            <w:pPr>
              <w:adjustRightInd w:val="0"/>
              <w:spacing w:line="300" w:lineRule="exact"/>
              <w:ind w:firstLine="0" w:firstLineChars="0"/>
              <w:jc w:val="center"/>
              <w:rPr>
                <w:rFonts w:hint="eastAsia" w:ascii="方正黑体_GBK" w:hAnsi="方正黑体_GBK" w:eastAsia="方正黑体_GBK" w:cs="方正黑体_GBK"/>
                <w:sz w:val="24"/>
                <w:szCs w:val="24"/>
                <w:lang w:val="en-US" w:eastAsia="zh-CN"/>
              </w:rPr>
            </w:pPr>
            <w:r>
              <w:rPr>
                <w:rFonts w:hint="eastAsia" w:ascii="方正黑体_GBK" w:hAnsi="方正黑体_GBK" w:eastAsia="方正黑体_GBK" w:cs="方正黑体_GBK"/>
                <w:sz w:val="24"/>
                <w:szCs w:val="24"/>
                <w:lang w:val="en-US" w:eastAsia="zh-CN"/>
              </w:rPr>
              <w:t>调整说明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440"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5001513L001</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3L</w:t>
            </w:r>
          </w:p>
        </w:tc>
        <w:tc>
          <w:tcPr>
            <w:tcW w:w="765"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南城街道岳阳社区白土坝工业园区片区</w:t>
            </w:r>
          </w:p>
        </w:tc>
        <w:tc>
          <w:tcPr>
            <w:tcW w:w="3365" w:type="pct"/>
            <w:noWrap w:val="0"/>
            <w:vAlign w:val="center"/>
          </w:tcPr>
          <w:p>
            <w:pPr>
              <w:adjustRightInd w:val="0"/>
              <w:snapToGrid w:val="0"/>
              <w:spacing w:line="360" w:lineRule="exact"/>
              <w:ind w:left="0" w:leftChars="0" w:firstLine="0" w:firstLineChars="0"/>
              <w:jc w:val="center"/>
              <w:rPr>
                <w:rFonts w:hint="eastAsia"/>
                <w:sz w:val="24"/>
                <w:szCs w:val="24"/>
                <w:lang w:val="en-US" w:eastAsia="zh-CN"/>
              </w:rPr>
            </w:pPr>
            <w:r>
              <w:rPr>
                <w:rFonts w:hint="eastAsia"/>
                <w:sz w:val="24"/>
                <w:szCs w:val="24"/>
                <w:lang w:val="en-US" w:eastAsia="zh-CN"/>
              </w:rPr>
              <w:t>现状为工业区，符合</w:t>
            </w:r>
            <w:r>
              <w:rPr>
                <w:rFonts w:hint="default"/>
                <w:sz w:val="24"/>
                <w:szCs w:val="24"/>
                <w:lang w:val="en-US" w:eastAsia="zh-CN"/>
              </w:rPr>
              <w:t>《重庆市声环境功能区划分技术规范实施细则（试行）》</w:t>
            </w:r>
            <w:r>
              <w:rPr>
                <w:rFonts w:hint="eastAsia"/>
                <w:sz w:val="24"/>
                <w:szCs w:val="24"/>
                <w:lang w:val="en-US" w:eastAsia="zh-CN"/>
              </w:rPr>
              <w:t>条款5.5.1城市用地现状或近期规划已明确以工业生产、仓储物流为主要功能的区域，可划分为3类声环境功能区</w:t>
            </w:r>
            <w:r>
              <w:rPr>
                <w:rFonts w:hint="default"/>
                <w:sz w:val="24"/>
                <w:szCs w:val="24"/>
                <w:lang w:val="en-US" w:eastAsia="zh-CN"/>
              </w:rPr>
              <w:t>的规</w:t>
            </w:r>
            <w:r>
              <w:rPr>
                <w:rFonts w:hint="eastAsia"/>
                <w:sz w:val="24"/>
                <w:szCs w:val="24"/>
                <w:lang w:val="en-US" w:eastAsia="zh-CN"/>
              </w:rPr>
              <w:t>定。该区域原为3类区，规划为居住、公共管理、商业用地，现状为已建成工业，调整后保持3类区，</w:t>
            </w:r>
            <w:r>
              <w:rPr>
                <w:rFonts w:hint="eastAsia" w:ascii="Times New Roman" w:hAnsi="Times New Roman" w:eastAsia="仿宋"/>
                <w:sz w:val="24"/>
                <w:szCs w:val="24"/>
                <w:lang w:val="en-US" w:eastAsia="zh-CN"/>
              </w:rPr>
              <w:t>根据城镇开发边界范围对该区域进行优化</w:t>
            </w:r>
            <w:r>
              <w:rPr>
                <w:rFonts w:hint="eastAsia"/>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5001513L002</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3L</w:t>
            </w:r>
          </w:p>
        </w:tc>
        <w:tc>
          <w:tcPr>
            <w:tcW w:w="765"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东城街道金龙工业园、姜家岩工业园区、梁祝村、飞凤村片区，蒲吕街道蒲吕工业园、龙山村、石虎村、平安村片区</w:t>
            </w:r>
          </w:p>
        </w:tc>
        <w:tc>
          <w:tcPr>
            <w:tcW w:w="3365" w:type="pct"/>
            <w:noWrap w:val="0"/>
            <w:vAlign w:val="center"/>
          </w:tcPr>
          <w:p>
            <w:pPr>
              <w:adjustRightInd w:val="0"/>
              <w:snapToGrid w:val="0"/>
              <w:spacing w:line="360" w:lineRule="exact"/>
              <w:ind w:left="0" w:leftChars="0" w:firstLine="0" w:firstLineChars="0"/>
              <w:jc w:val="center"/>
              <w:rPr>
                <w:rFonts w:hint="default"/>
                <w:sz w:val="24"/>
                <w:szCs w:val="24"/>
                <w:lang w:val="en-US" w:eastAsia="zh-CN"/>
              </w:rPr>
            </w:pPr>
            <w:r>
              <w:rPr>
                <w:rFonts w:hint="eastAsia"/>
                <w:sz w:val="24"/>
                <w:szCs w:val="24"/>
                <w:lang w:val="en-US" w:eastAsia="zh-CN"/>
              </w:rPr>
              <w:t>现状为工业区，符合</w:t>
            </w:r>
            <w:r>
              <w:rPr>
                <w:rFonts w:hint="default"/>
                <w:sz w:val="24"/>
                <w:szCs w:val="24"/>
                <w:lang w:val="en-US" w:eastAsia="zh-CN"/>
              </w:rPr>
              <w:t>《重庆市声环境功能区划分技术规范实施细则（试行）》</w:t>
            </w:r>
            <w:r>
              <w:rPr>
                <w:rFonts w:hint="eastAsia"/>
                <w:sz w:val="24"/>
                <w:szCs w:val="24"/>
                <w:lang w:val="en-US" w:eastAsia="zh-CN"/>
              </w:rPr>
              <w:t>条款5.5.1城市用地现状或近期规划已明确以工业生产、仓储物流为主要功能的区域，可划分为3类声环境功能区</w:t>
            </w:r>
            <w:r>
              <w:rPr>
                <w:rFonts w:hint="default"/>
                <w:sz w:val="24"/>
                <w:szCs w:val="24"/>
                <w:lang w:val="en-US" w:eastAsia="zh-CN"/>
              </w:rPr>
              <w:t>的规</w:t>
            </w:r>
            <w:r>
              <w:rPr>
                <w:rFonts w:hint="eastAsia"/>
                <w:sz w:val="24"/>
                <w:szCs w:val="24"/>
                <w:lang w:val="en-US" w:eastAsia="zh-CN"/>
              </w:rPr>
              <w:t>定。该区域原为3类区，部分区域为新增规划区，该片区规划为工业用地，调整后新纳入区域划分为3类区，与原3类区一起纳入3类区，</w:t>
            </w:r>
            <w:r>
              <w:rPr>
                <w:rFonts w:hint="eastAsia" w:ascii="Times New Roman" w:hAnsi="Times New Roman" w:eastAsia="仿宋"/>
                <w:sz w:val="24"/>
                <w:szCs w:val="24"/>
                <w:lang w:val="en-US" w:eastAsia="zh-CN"/>
              </w:rPr>
              <w:t>根据城镇开发边界范围对该区域进行优化</w:t>
            </w:r>
            <w:r>
              <w:rPr>
                <w:rFonts w:hint="eastAsia" w:eastAsia="仿宋"/>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5001513L003</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3L</w:t>
            </w:r>
          </w:p>
        </w:tc>
        <w:tc>
          <w:tcPr>
            <w:tcW w:w="765"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旧县街道永兴村片区</w:t>
            </w:r>
          </w:p>
        </w:tc>
        <w:tc>
          <w:tcPr>
            <w:tcW w:w="3365" w:type="pct"/>
            <w:noWrap w:val="0"/>
            <w:vAlign w:val="center"/>
          </w:tcPr>
          <w:p>
            <w:pPr>
              <w:adjustRightInd w:val="0"/>
              <w:snapToGrid w:val="0"/>
              <w:spacing w:line="360" w:lineRule="exact"/>
              <w:ind w:left="0" w:leftChars="0" w:firstLine="0" w:firstLineChars="0"/>
              <w:jc w:val="center"/>
              <w:rPr>
                <w:rFonts w:hint="default"/>
                <w:sz w:val="24"/>
                <w:szCs w:val="24"/>
                <w:lang w:val="en-US" w:eastAsia="zh-CN"/>
              </w:rPr>
            </w:pPr>
            <w:r>
              <w:rPr>
                <w:rFonts w:hint="eastAsia"/>
                <w:sz w:val="24"/>
                <w:szCs w:val="24"/>
                <w:lang w:val="en-US" w:eastAsia="zh-CN"/>
              </w:rPr>
              <w:t>现状为工业区，符合</w:t>
            </w:r>
            <w:r>
              <w:rPr>
                <w:rFonts w:hint="default"/>
                <w:sz w:val="24"/>
                <w:szCs w:val="24"/>
                <w:lang w:val="en-US" w:eastAsia="zh-CN"/>
              </w:rPr>
              <w:t>《重庆市声环境功能区划分技术规范实施细则（试行）》</w:t>
            </w:r>
            <w:r>
              <w:rPr>
                <w:rFonts w:hint="eastAsia"/>
                <w:sz w:val="24"/>
                <w:szCs w:val="24"/>
                <w:lang w:val="en-US" w:eastAsia="zh-CN"/>
              </w:rPr>
              <w:t>条款5.5.1城市用地现状或近期规划已明确以工业生产、仓储物流为主要功能的区域，可划分为3类声环境功能区</w:t>
            </w:r>
            <w:r>
              <w:rPr>
                <w:rFonts w:hint="default"/>
                <w:sz w:val="24"/>
                <w:szCs w:val="24"/>
                <w:lang w:val="en-US" w:eastAsia="zh-CN"/>
              </w:rPr>
              <w:t>的规</w:t>
            </w:r>
            <w:r>
              <w:rPr>
                <w:rFonts w:hint="eastAsia"/>
                <w:sz w:val="24"/>
                <w:szCs w:val="24"/>
                <w:lang w:val="en-US" w:eastAsia="zh-CN"/>
              </w:rPr>
              <w:t>定。该区域原为3类区，规划为工业用地，调整后保持3类区，</w:t>
            </w:r>
            <w:r>
              <w:rPr>
                <w:rFonts w:hint="eastAsia" w:ascii="Times New Roman" w:hAnsi="Times New Roman" w:eastAsia="仿宋"/>
                <w:sz w:val="24"/>
                <w:szCs w:val="24"/>
                <w:lang w:val="en-US" w:eastAsia="zh-CN"/>
              </w:rPr>
              <w:t>根据城镇开发边界范围对该区域进行优化</w:t>
            </w:r>
            <w:r>
              <w:rPr>
                <w:rFonts w:hint="eastAsia"/>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5001513L004</w:t>
            </w:r>
          </w:p>
        </w:tc>
        <w:tc>
          <w:tcPr>
            <w:tcW w:w="429" w:type="pct"/>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3L</w:t>
            </w:r>
          </w:p>
        </w:tc>
        <w:tc>
          <w:tcPr>
            <w:tcW w:w="765" w:type="pct"/>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大庙镇场镇</w:t>
            </w:r>
          </w:p>
        </w:tc>
        <w:tc>
          <w:tcPr>
            <w:tcW w:w="3365" w:type="pct"/>
            <w:noWrap w:val="0"/>
            <w:vAlign w:val="center"/>
          </w:tcPr>
          <w:p>
            <w:pPr>
              <w:adjustRightInd w:val="0"/>
              <w:snapToGrid w:val="0"/>
              <w:spacing w:line="360" w:lineRule="exact"/>
              <w:ind w:left="0" w:leftChars="0" w:firstLine="0" w:firstLineChars="0"/>
              <w:jc w:val="center"/>
              <w:rPr>
                <w:rFonts w:hint="eastAsia"/>
                <w:sz w:val="24"/>
                <w:szCs w:val="24"/>
                <w:lang w:val="en-US" w:eastAsia="zh-CN"/>
              </w:rPr>
            </w:pPr>
            <w:r>
              <w:rPr>
                <w:rFonts w:hint="eastAsia"/>
                <w:sz w:val="24"/>
                <w:szCs w:val="24"/>
                <w:lang w:val="en-US" w:eastAsia="zh-CN"/>
              </w:rPr>
              <w:t>现状为工业区，符合</w:t>
            </w:r>
            <w:r>
              <w:rPr>
                <w:rFonts w:hint="default"/>
                <w:sz w:val="24"/>
                <w:szCs w:val="24"/>
                <w:lang w:val="en-US" w:eastAsia="zh-CN"/>
              </w:rPr>
              <w:t>《重庆市声环境功能区划分技术规范实施细则（试行）》</w:t>
            </w:r>
            <w:r>
              <w:rPr>
                <w:rFonts w:hint="eastAsia"/>
                <w:sz w:val="24"/>
                <w:szCs w:val="24"/>
                <w:lang w:val="en-US" w:eastAsia="zh-CN"/>
              </w:rPr>
              <w:t>条款5.5.1城市用地现状或近期规划已明确以工业生产、仓储物流为主要功能的区域，可划分为3类声环境功能区</w:t>
            </w:r>
            <w:r>
              <w:rPr>
                <w:rFonts w:hint="default"/>
                <w:sz w:val="24"/>
                <w:szCs w:val="24"/>
                <w:lang w:val="en-US" w:eastAsia="zh-CN"/>
              </w:rPr>
              <w:t>的规</w:t>
            </w:r>
            <w:r>
              <w:rPr>
                <w:rFonts w:hint="eastAsia"/>
                <w:sz w:val="24"/>
                <w:szCs w:val="24"/>
                <w:lang w:val="en-US" w:eastAsia="zh-CN"/>
              </w:rPr>
              <w:t>定。该区域原为3类区，规划为工业用地，调整后保持3类区，</w:t>
            </w:r>
            <w:r>
              <w:rPr>
                <w:rFonts w:hint="eastAsia" w:ascii="Times New Roman" w:hAnsi="Times New Roman" w:eastAsia="仿宋"/>
                <w:sz w:val="24"/>
                <w:szCs w:val="24"/>
                <w:lang w:val="en-US" w:eastAsia="zh-CN"/>
              </w:rPr>
              <w:t>根据城镇开发边界范围对该区域进行优化</w:t>
            </w:r>
            <w:r>
              <w:rPr>
                <w:rFonts w:hint="eastAsia"/>
                <w:sz w:val="24"/>
                <w:szCs w:val="24"/>
                <w:lang w:val="en-US" w:eastAsia="zh-CN"/>
              </w:rPr>
              <w:t>。</w:t>
            </w:r>
          </w:p>
        </w:tc>
      </w:tr>
    </w:tbl>
    <w:p>
      <w:pPr>
        <w:bidi w:val="0"/>
        <w:rPr>
          <w:rFonts w:hint="eastAsia"/>
          <w:lang w:val="en-US" w:eastAsia="zh-CN"/>
        </w:rPr>
      </w:pPr>
    </w:p>
    <w:p>
      <w:pPr>
        <w:bidi w:val="0"/>
        <w:rPr>
          <w:rFonts w:hint="default"/>
          <w:lang w:val="en-US" w:eastAsia="zh-CN"/>
        </w:rPr>
      </w:pPr>
      <w:r>
        <w:rPr>
          <w:rFonts w:hint="eastAsia"/>
          <w:lang w:val="en-US" w:eastAsia="zh-CN"/>
        </w:rPr>
        <w:t>5、4类声环境功能区调整：结合原划定类型以及现状、规划情况，将璧铜线、淮远路等根据新调整范围</w:t>
      </w:r>
      <w:r>
        <w:rPr>
          <w:rFonts w:hint="eastAsia" w:cs="Times New Roman"/>
          <w:bCs w:val="0"/>
          <w:kern w:val="2"/>
          <w:sz w:val="32"/>
          <w:szCs w:val="24"/>
          <w:lang w:val="en-US" w:eastAsia="zh-CN" w:bidi="ar-SA"/>
        </w:rPr>
        <w:t>纳入</w:t>
      </w:r>
      <w:r>
        <w:rPr>
          <w:rFonts w:hint="eastAsia"/>
          <w:lang w:val="en-US" w:eastAsia="zh-CN"/>
        </w:rPr>
        <w:t>4a类声环境功能区划范围，其余道路根据声环境调整后成果进行调整。</w:t>
      </w:r>
    </w:p>
    <w:p>
      <w:pPr>
        <w:pStyle w:val="2"/>
        <w:jc w:val="center"/>
        <w:rPr>
          <w:rFonts w:hint="default"/>
          <w:lang w:val="en-US" w:eastAsia="zh-CN"/>
        </w:rPr>
      </w:pPr>
      <w:r>
        <w:rPr>
          <w:rFonts w:hint="default"/>
          <w:lang w:val="en-US" w:eastAsia="zh-CN"/>
        </w:rPr>
        <w:drawing>
          <wp:inline distT="0" distB="0" distL="114300" distR="114300">
            <wp:extent cx="4274820" cy="3780155"/>
            <wp:effectExtent l="0" t="0" r="11430" b="10795"/>
            <wp:docPr id="16" name="图片 16" descr="4类2018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类2018版"/>
                    <pic:cNvPicPr>
                      <a:picLocks noChangeAspect="1"/>
                    </pic:cNvPicPr>
                  </pic:nvPicPr>
                  <pic:blipFill>
                    <a:blip r:embed="rId14"/>
                    <a:srcRect r="19978"/>
                    <a:stretch>
                      <a:fillRect/>
                    </a:stretch>
                  </pic:blipFill>
                  <pic:spPr>
                    <a:xfrm>
                      <a:off x="0" y="0"/>
                      <a:ext cx="4274820" cy="3780155"/>
                    </a:xfrm>
                    <a:prstGeom prst="rect">
                      <a:avLst/>
                    </a:prstGeom>
                  </pic:spPr>
                </pic:pic>
              </a:graphicData>
            </a:graphic>
          </wp:inline>
        </w:drawing>
      </w:r>
      <w:r>
        <w:rPr>
          <w:rFonts w:hint="default"/>
          <w:lang w:val="en-US" w:eastAsia="zh-CN"/>
        </w:rPr>
        <w:drawing>
          <wp:inline distT="0" distB="0" distL="114300" distR="114300">
            <wp:extent cx="4253865" cy="3780155"/>
            <wp:effectExtent l="0" t="0" r="13335" b="10795"/>
            <wp:docPr id="17" name="图片 17" descr="4类调整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类调整后"/>
                    <pic:cNvPicPr>
                      <a:picLocks noChangeAspect="1"/>
                    </pic:cNvPicPr>
                  </pic:nvPicPr>
                  <pic:blipFill>
                    <a:blip r:embed="rId15"/>
                    <a:srcRect r="20362"/>
                    <a:stretch>
                      <a:fillRect/>
                    </a:stretch>
                  </pic:blipFill>
                  <pic:spPr>
                    <a:xfrm>
                      <a:off x="0" y="0"/>
                      <a:ext cx="4253865" cy="3780155"/>
                    </a:xfrm>
                    <a:prstGeom prst="rect">
                      <a:avLst/>
                    </a:prstGeom>
                  </pic:spPr>
                </pic:pic>
              </a:graphicData>
            </a:graphic>
          </wp:inline>
        </w:drawing>
      </w:r>
    </w:p>
    <w:p>
      <w:pPr>
        <w:adjustRightInd w:val="0"/>
        <w:ind w:firstLine="0" w:firstLineChars="0"/>
        <w:jc w:val="center"/>
        <w:outlineLvl w:val="0"/>
        <w:rPr>
          <w:rFonts w:hint="eastAsia" w:ascii="方正黑体_GBK" w:hAnsi="方正仿宋_GBK" w:eastAsia="方正黑体_GBK" w:cs="方正仿宋_GBK"/>
          <w:bCs/>
          <w:color w:val="000000"/>
          <w:sz w:val="24"/>
          <w:lang w:val="en-US" w:eastAsia="zh-CN"/>
        </w:rPr>
      </w:pPr>
    </w:p>
    <w:p>
      <w:pPr>
        <w:adjustRightInd w:val="0"/>
        <w:ind w:firstLine="0" w:firstLineChars="0"/>
        <w:jc w:val="center"/>
        <w:outlineLvl w:val="0"/>
        <w:rPr>
          <w:rFonts w:hint="eastAsia" w:ascii="方正黑体_GBK" w:hAnsi="方正仿宋_GBK" w:eastAsia="方正黑体_GBK" w:cs="方正仿宋_GBK"/>
          <w:bCs/>
          <w:color w:val="000000"/>
          <w:sz w:val="24"/>
          <w:lang w:val="en-US" w:eastAsia="zh-CN"/>
        </w:rPr>
      </w:pPr>
    </w:p>
    <w:p>
      <w:pPr>
        <w:adjustRightInd w:val="0"/>
        <w:ind w:firstLine="0" w:firstLineChars="0"/>
        <w:jc w:val="center"/>
        <w:outlineLvl w:val="0"/>
        <w:rPr>
          <w:rFonts w:hint="eastAsia" w:ascii="方正黑体_GBK" w:hAnsi="方正仿宋_GBK" w:eastAsia="方正黑体_GBK" w:cs="方正仿宋_GBK"/>
          <w:bCs/>
          <w:color w:val="000000"/>
          <w:sz w:val="24"/>
          <w:lang w:val="en-US" w:eastAsia="zh-CN"/>
        </w:rPr>
      </w:pPr>
      <w:r>
        <w:rPr>
          <w:rFonts w:hint="eastAsia" w:ascii="方正黑体_GBK" w:hAnsi="方正仿宋_GBK" w:eastAsia="方正黑体_GBK" w:cs="方正仿宋_GBK"/>
          <w:bCs/>
          <w:color w:val="000000"/>
          <w:sz w:val="24"/>
          <w:lang w:val="en-US" w:eastAsia="zh-CN"/>
        </w:rPr>
        <w:t>表4</w:t>
      </w:r>
      <w:r>
        <w:rPr>
          <w:rFonts w:hint="eastAsia" w:ascii="方正黑体_GBK" w:hAnsi="方正仿宋_GBK" w:eastAsia="方正黑体_GBK" w:cs="方正仿宋_GBK"/>
          <w:bCs/>
          <w:color w:val="000000"/>
          <w:sz w:val="24"/>
        </w:rPr>
        <w:t xml:space="preserve">  </w:t>
      </w:r>
      <w:r>
        <w:rPr>
          <w:rFonts w:hint="eastAsia" w:ascii="方正黑体_GBK" w:hAnsi="方正仿宋_GBK" w:eastAsia="方正黑体_GBK" w:cs="方正仿宋_GBK"/>
          <w:bCs/>
          <w:color w:val="000000"/>
          <w:sz w:val="24"/>
          <w:lang w:val="en-US" w:eastAsia="zh-CN"/>
        </w:rPr>
        <w:t>4类</w:t>
      </w:r>
      <w:r>
        <w:rPr>
          <w:rFonts w:ascii="方正黑体_GBK" w:hAnsi="方正仿宋_GBK" w:eastAsia="方正黑体_GBK" w:cs="方正仿宋_GBK"/>
          <w:bCs/>
          <w:color w:val="000000"/>
          <w:sz w:val="24"/>
        </w:rPr>
        <w:t>声</w:t>
      </w:r>
      <w:r>
        <w:rPr>
          <w:rFonts w:hint="eastAsia" w:ascii="方正黑体_GBK" w:hAnsi="方正仿宋_GBK" w:eastAsia="方正黑体_GBK" w:cs="方正仿宋_GBK"/>
          <w:bCs/>
          <w:color w:val="000000"/>
          <w:sz w:val="24"/>
        </w:rPr>
        <w:t>环境</w:t>
      </w:r>
      <w:r>
        <w:rPr>
          <w:rFonts w:ascii="方正黑体_GBK" w:hAnsi="方正仿宋_GBK" w:eastAsia="方正黑体_GBK" w:cs="方正仿宋_GBK"/>
          <w:bCs/>
          <w:color w:val="000000"/>
          <w:sz w:val="24"/>
        </w:rPr>
        <w:t>功能区划定</w:t>
      </w:r>
      <w:r>
        <w:rPr>
          <w:rFonts w:hint="eastAsia" w:ascii="方正黑体_GBK" w:hAnsi="方正仿宋_GBK" w:eastAsia="方正黑体_GBK" w:cs="方正仿宋_GBK"/>
          <w:bCs/>
          <w:color w:val="000000"/>
          <w:sz w:val="24"/>
          <w:lang w:val="en-US" w:eastAsia="zh-CN"/>
        </w:rPr>
        <w:t>调整说明</w:t>
      </w:r>
    </w:p>
    <w:tbl>
      <w:tblPr>
        <w:tblStyle w:val="7"/>
        <w:tblW w:w="386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7"/>
        <w:gridCol w:w="1940"/>
        <w:gridCol w:w="2063"/>
        <w:gridCol w:w="2734"/>
        <w:gridCol w:w="27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280" w:lineRule="exact"/>
              <w:ind w:left="0" w:leftChars="0" w:right="0" w:rightChars="0" w:firstLine="0" w:firstLineChars="0"/>
              <w:jc w:val="center"/>
              <w:textAlignment w:val="auto"/>
              <w:outlineLvl w:val="9"/>
              <w:rPr>
                <w:rFonts w:hint="eastAsia" w:ascii="Times New Roman" w:hAnsi="Times New Roman" w:eastAsia="方正黑体_GBK"/>
                <w:bCs/>
                <w:color w:val="000000"/>
                <w:kern w:val="0"/>
                <w:sz w:val="21"/>
                <w:szCs w:val="21"/>
              </w:rPr>
            </w:pPr>
            <w:r>
              <w:rPr>
                <w:rFonts w:hint="eastAsia" w:ascii="Times New Roman" w:hAnsi="Times New Roman" w:eastAsia="方正黑体_GBK"/>
                <w:bCs/>
                <w:color w:val="000000"/>
                <w:kern w:val="0"/>
                <w:sz w:val="21"/>
                <w:szCs w:val="21"/>
              </w:rPr>
              <w:t>道路编号</w:t>
            </w:r>
          </w:p>
        </w:tc>
        <w:tc>
          <w:tcPr>
            <w:tcW w:w="88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280" w:lineRule="exact"/>
              <w:ind w:left="0" w:leftChars="0" w:right="0" w:rightChars="0" w:firstLine="0" w:firstLineChars="0"/>
              <w:jc w:val="center"/>
              <w:textAlignment w:val="auto"/>
              <w:outlineLvl w:val="9"/>
              <w:rPr>
                <w:rFonts w:ascii="Times New Roman" w:hAnsi="Times New Roman" w:eastAsia="方正黑体_GBK"/>
                <w:bCs/>
                <w:color w:val="000000"/>
                <w:kern w:val="0"/>
                <w:sz w:val="21"/>
                <w:szCs w:val="21"/>
              </w:rPr>
            </w:pPr>
            <w:r>
              <w:rPr>
                <w:rFonts w:hint="eastAsia" w:ascii="Times New Roman" w:hAnsi="Times New Roman" w:eastAsia="方正黑体_GBK"/>
                <w:bCs/>
                <w:color w:val="000000"/>
                <w:kern w:val="0"/>
                <w:sz w:val="21"/>
                <w:szCs w:val="21"/>
              </w:rPr>
              <w:t>交通类型</w:t>
            </w:r>
          </w:p>
        </w:tc>
        <w:tc>
          <w:tcPr>
            <w:tcW w:w="940"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280" w:lineRule="exact"/>
              <w:ind w:left="0" w:leftChars="0" w:right="0" w:rightChars="0" w:firstLine="0" w:firstLineChars="0"/>
              <w:jc w:val="center"/>
              <w:textAlignment w:val="auto"/>
              <w:outlineLvl w:val="9"/>
              <w:rPr>
                <w:rFonts w:ascii="Times New Roman" w:hAnsi="Times New Roman" w:eastAsia="方正黑体_GBK"/>
                <w:bCs/>
                <w:color w:val="000000"/>
                <w:kern w:val="0"/>
                <w:sz w:val="21"/>
                <w:szCs w:val="21"/>
              </w:rPr>
            </w:pPr>
            <w:r>
              <w:rPr>
                <w:rFonts w:hint="eastAsia" w:ascii="Times New Roman" w:hAnsi="Times New Roman" w:eastAsia="方正黑体_GBK"/>
                <w:bCs/>
                <w:color w:val="000000"/>
                <w:kern w:val="0"/>
                <w:sz w:val="21"/>
                <w:szCs w:val="21"/>
              </w:rPr>
              <w:t>名称</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280" w:lineRule="exact"/>
              <w:ind w:left="0" w:leftChars="0" w:right="0" w:rightChars="0" w:firstLine="0" w:firstLineChars="0"/>
              <w:jc w:val="center"/>
              <w:textAlignment w:val="auto"/>
              <w:outlineLvl w:val="9"/>
              <w:rPr>
                <w:rFonts w:ascii="Times New Roman" w:hAnsi="Times New Roman" w:eastAsia="方正黑体_GBK"/>
                <w:bCs/>
                <w:color w:val="000000"/>
                <w:kern w:val="0"/>
                <w:sz w:val="21"/>
                <w:szCs w:val="21"/>
              </w:rPr>
            </w:pPr>
            <w:r>
              <w:rPr>
                <w:rFonts w:hint="eastAsia" w:ascii="Times New Roman" w:hAnsi="Times New Roman" w:eastAsia="方正黑体_GBK"/>
                <w:bCs/>
                <w:color w:val="000000"/>
                <w:kern w:val="0"/>
                <w:sz w:val="21"/>
                <w:szCs w:val="21"/>
              </w:rPr>
              <w:t>声功能区类型</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280" w:lineRule="exact"/>
              <w:ind w:left="0" w:leftChars="0" w:right="0" w:rightChars="0" w:firstLine="0" w:firstLineChars="0"/>
              <w:jc w:val="center"/>
              <w:textAlignment w:val="auto"/>
              <w:outlineLvl w:val="9"/>
              <w:rPr>
                <w:rFonts w:hint="default" w:ascii="Times New Roman" w:hAnsi="Times New Roman" w:eastAsia="方正黑体_GBK"/>
                <w:bCs/>
                <w:color w:val="000000"/>
                <w:kern w:val="0"/>
                <w:sz w:val="21"/>
                <w:szCs w:val="21"/>
                <w:lang w:val="en-US" w:eastAsia="zh-CN"/>
              </w:rPr>
            </w:pPr>
            <w:r>
              <w:rPr>
                <w:rFonts w:hint="eastAsia" w:eastAsia="方正黑体_GBK"/>
                <w:bCs/>
                <w:color w:val="000000"/>
                <w:kern w:val="0"/>
                <w:sz w:val="21"/>
                <w:szCs w:val="21"/>
                <w:lang w:val="en-US" w:eastAsia="zh-CN"/>
              </w:rPr>
              <w:t>调整说明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轨道交通</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璧铜线</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新增道路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高速路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三环高速</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高速路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成渝环线高速</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铜合大道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中南路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金山大道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龙安大道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金川大道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迎宾东路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龙腾大道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北环路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bookmarkStart w:id="5" w:name="csdw"/>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厦成线</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西环路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厦成线</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中兴路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迎宾路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白龙大道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学府大道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19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龙城大道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金龙大道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中兴东路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壁铜路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金龙一路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龙兴大道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新华路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龙山大道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龙云路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龙塘路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29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产业大道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主干路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少云大道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姜家岩路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沿井路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S207</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北环路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八一路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36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大北街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马家湾街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上北街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39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建设路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40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龙都路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41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龙门街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42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龙门一支路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43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龙门西街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原乡大道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城北路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东莘路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金砂路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金砂支路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金砂南路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金砂东路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铜龙路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香滨路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亚龙路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迎春街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凤平路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广龙路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半月路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塔山东路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59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晏滨路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法建东路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法建路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白龙二路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宴渡二路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岳阳路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飞龙路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淮远二支路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农民新街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盛园路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69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中龙路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玉龙路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凤翔路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塔山西街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铁佛路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龙飞路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玉泉路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银饰路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云安路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龙江路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79</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穆莲街</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80</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云峰路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81</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S207</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82</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淮远路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新增道路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83</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渝遂路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84</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合水路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85</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金桂大道</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86</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次干路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金柿路</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87</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default"/>
                <w:sz w:val="24"/>
                <w:szCs w:val="24"/>
                <w:lang w:val="en-US" w:eastAsia="zh-CN"/>
              </w:rPr>
            </w:pPr>
            <w:r>
              <w:rPr>
                <w:rFonts w:hint="eastAsia"/>
                <w:sz w:val="24"/>
                <w:szCs w:val="24"/>
                <w:lang w:val="en-US" w:eastAsia="zh-CN"/>
              </w:rPr>
              <w:t>交通服务设施</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铜梁汽车客运北站</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2"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88</w:t>
            </w:r>
          </w:p>
        </w:tc>
        <w:tc>
          <w:tcPr>
            <w:tcW w:w="884"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4aL</w:t>
            </w:r>
          </w:p>
        </w:tc>
        <w:tc>
          <w:tcPr>
            <w:tcW w:w="940"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交通服务设施</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sz w:val="24"/>
                <w:szCs w:val="24"/>
                <w:lang w:val="en-US" w:eastAsia="zh-CN"/>
              </w:rPr>
            </w:pPr>
            <w:r>
              <w:rPr>
                <w:rFonts w:hint="eastAsia"/>
                <w:sz w:val="24"/>
                <w:szCs w:val="24"/>
                <w:lang w:val="en-US" w:eastAsia="zh-CN"/>
              </w:rPr>
              <w:t>铜梁汽车南站</w:t>
            </w:r>
          </w:p>
        </w:tc>
        <w:tc>
          <w:tcPr>
            <w:tcW w:w="1246" w:type="pct"/>
            <w:tcBorders>
              <w:top w:val="single" w:color="auto" w:sz="4" w:space="0"/>
              <w:left w:val="single" w:color="auto" w:sz="4" w:space="0"/>
              <w:bottom w:val="single" w:color="auto" w:sz="4" w:space="0"/>
              <w:right w:val="single" w:color="auto" w:sz="4" w:space="0"/>
            </w:tcBorders>
            <w:noWrap w:val="0"/>
            <w:vAlign w:val="center"/>
          </w:tcPr>
          <w:p>
            <w:pPr>
              <w:adjustRightInd w:val="0"/>
              <w:spacing w:line="300" w:lineRule="exact"/>
              <w:ind w:firstLine="0" w:firstLine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保留原道路</w:t>
            </w:r>
          </w:p>
        </w:tc>
      </w:tr>
      <w:bookmarkEnd w:id="5"/>
    </w:tbl>
    <w:p>
      <w:pPr>
        <w:pStyle w:val="2"/>
        <w:rPr>
          <w:rFonts w:hint="default"/>
          <w:lang w:val="en-US" w:eastAsia="zh-CN"/>
        </w:rPr>
      </w:pPr>
    </w:p>
    <w:p>
      <w:pPr>
        <w:pStyle w:val="2"/>
        <w:rPr>
          <w:rFonts w:hint="default"/>
          <w:lang w:val="en-US" w:eastAsia="zh-CN"/>
        </w:rPr>
        <w:sectPr>
          <w:footerReference r:id="rId6" w:type="default"/>
          <w:pgSz w:w="16838" w:h="11906" w:orient="landscape"/>
          <w:pgMar w:top="1803" w:right="1440" w:bottom="1803" w:left="1440" w:header="851" w:footer="992" w:gutter="0"/>
          <w:cols w:space="0" w:num="1"/>
          <w:rtlGutter w:val="0"/>
          <w:docGrid w:type="lines" w:linePitch="436" w:charSpace="0"/>
        </w:sectPr>
      </w:pPr>
    </w:p>
    <w:p>
      <w:pPr>
        <w:ind w:left="0" w:leftChars="0" w:firstLine="0" w:firstLineChars="0"/>
      </w:pPr>
    </w:p>
    <w:sectPr>
      <w:pgSz w:w="11906" w:h="16838"/>
      <w:pgMar w:top="1440" w:right="1803" w:bottom="1440" w:left="1803" w:header="851" w:footer="992" w:gutter="0"/>
      <w:cols w:space="0" w:num="1"/>
      <w:rtlGutter w:val="0"/>
      <w:docGrid w:type="lines" w:linePitch="4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方正仿宋_GBK">
    <w:panose1 w:val="03000509000000000000"/>
    <w:charset w:val="86"/>
    <w:family w:val="script"/>
    <w:pitch w:val="default"/>
    <w:sig w:usb0="00000001" w:usb1="080E0000" w:usb2="00000000" w:usb3="00000000" w:csb0="00040000" w:csb1="00000000"/>
  </w:font>
  <w:font w:name="方正楷体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0002AFF" w:usb1="C0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方正黑体_GBK">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pPr>
        <w:spacing w:line="240" w:lineRule="auto"/>
        <w:ind w:firstLine="640"/>
      </w:pPr>
      <w:r>
        <w:separator/>
      </w:r>
    </w:p>
  </w:footnote>
  <w:footnote w:type="continuationSeparator" w:id="5">
    <w:p>
      <w:pPr>
        <w:spacing w:line="240" w:lineRule="auto"/>
        <w:ind w:firstLine="640"/>
      </w:pPr>
      <w:r>
        <w:continuationSeparator/>
      </w:r>
    </w:p>
  </w:footnote>
  <w:footnote w:id="0">
    <w:p>
      <w:pPr>
        <w:pStyle w:val="6"/>
        <w:snapToGrid w:val="0"/>
      </w:pPr>
      <w:r>
        <w:rPr>
          <w:rStyle w:val="9"/>
        </w:rPr>
        <w:footnoteRef/>
      </w:r>
      <w:r>
        <w:t xml:space="preserve"> </w:t>
      </w:r>
      <w:r>
        <w:rPr>
          <w:rFonts w:hint="eastAsia"/>
        </w:rPr>
        <w:t>Ⅰ类用地包含居住用地（R类）、公园绿地（G1类）、行政办公用地（A1类）、文化设施用地（A2类）、教育科研用地（A3类）、医疗卫生用地（A5类）、社会福利设施用地（A6类）</w:t>
      </w:r>
    </w:p>
  </w:footnote>
  <w:footnote w:id="1">
    <w:p>
      <w:pPr>
        <w:pStyle w:val="6"/>
        <w:snapToGrid w:val="0"/>
      </w:pPr>
      <w:r>
        <w:rPr>
          <w:rStyle w:val="9"/>
        </w:rPr>
        <w:footnoteRef/>
      </w:r>
      <w:r>
        <w:t xml:space="preserve"> </w:t>
      </w:r>
      <w:r>
        <w:rPr>
          <w:rFonts w:ascii="Times New Roman" w:hAnsi="Times New Roman" w:eastAsia="方正仿宋_GBK"/>
          <w:color w:val="000000"/>
          <w:sz w:val="21"/>
          <w:szCs w:val="21"/>
        </w:rPr>
        <w:t>Ⅱ类用地</w:t>
      </w:r>
      <w:r>
        <w:rPr>
          <w:rFonts w:hint="eastAsia"/>
          <w:color w:val="000000"/>
          <w:sz w:val="21"/>
          <w:szCs w:val="21"/>
          <w:lang w:val="en-US" w:eastAsia="zh-CN"/>
        </w:rPr>
        <w:t>包含</w:t>
      </w:r>
      <w:r>
        <w:rPr>
          <w:rFonts w:ascii="Times New Roman" w:hAnsi="Times New Roman" w:eastAsia="方正仿宋_GBK"/>
          <w:color w:val="000000"/>
          <w:sz w:val="21"/>
          <w:szCs w:val="21"/>
        </w:rPr>
        <w:t>工业用地（M类）、物流仓储用地（W类）</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B9E916E"/>
    <w:multiLevelType w:val="singleLevel"/>
    <w:tmpl w:val="3B9E916E"/>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218"/>
  <w:displayHorizontalDrawingGridEvery w:val="1"/>
  <w:displayVerticalDrawingGridEvery w:val="2"/>
  <w:noPunctuationKerning w:val="1"/>
  <w:characterSpacingControl w:val="compressPunctuation"/>
  <w:footnotePr>
    <w:footnote w:id="4"/>
    <w:footnote w:id="5"/>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cxYTYxMzA5OTIzZWI3NGNmZDA0MmUzYWZhYTA4MTkifQ=="/>
  </w:docVars>
  <w:rsids>
    <w:rsidRoot w:val="4FC74504"/>
    <w:rsid w:val="080451BB"/>
    <w:rsid w:val="0F5E4554"/>
    <w:rsid w:val="1071474A"/>
    <w:rsid w:val="11467E1A"/>
    <w:rsid w:val="11912AE3"/>
    <w:rsid w:val="12615256"/>
    <w:rsid w:val="14116666"/>
    <w:rsid w:val="16ED21D8"/>
    <w:rsid w:val="2283099C"/>
    <w:rsid w:val="23754AB6"/>
    <w:rsid w:val="295011EF"/>
    <w:rsid w:val="2F0D14E0"/>
    <w:rsid w:val="2F3D41B8"/>
    <w:rsid w:val="30056374"/>
    <w:rsid w:val="35DC7DF4"/>
    <w:rsid w:val="37484FD4"/>
    <w:rsid w:val="3AEC46B7"/>
    <w:rsid w:val="3DA43714"/>
    <w:rsid w:val="3E1E1717"/>
    <w:rsid w:val="43E314F5"/>
    <w:rsid w:val="4EE33B78"/>
    <w:rsid w:val="4F3159C1"/>
    <w:rsid w:val="4FC74504"/>
    <w:rsid w:val="502A5AD8"/>
    <w:rsid w:val="50645F7A"/>
    <w:rsid w:val="51887D82"/>
    <w:rsid w:val="55E86226"/>
    <w:rsid w:val="60DC544D"/>
    <w:rsid w:val="636D01E7"/>
    <w:rsid w:val="675E11AA"/>
    <w:rsid w:val="792C50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600" w:lineRule="exact"/>
      <w:ind w:firstLine="200" w:firstLineChars="200"/>
      <w:jc w:val="both"/>
    </w:pPr>
    <w:rPr>
      <w:rFonts w:ascii="Times New Roman" w:hAnsi="Times New Roman" w:eastAsia="方正仿宋_GBK" w:cs="Times New Roman"/>
      <w:kern w:val="2"/>
      <w:sz w:val="32"/>
      <w:szCs w:val="24"/>
      <w:lang w:val="en-US" w:eastAsia="zh-CN" w:bidi="ar-SA"/>
    </w:rPr>
  </w:style>
  <w:style w:type="paragraph" w:styleId="3">
    <w:name w:val="heading 2"/>
    <w:basedOn w:val="1"/>
    <w:next w:val="1"/>
    <w:qFormat/>
    <w:uiPriority w:val="9"/>
    <w:pPr>
      <w:keepNext/>
      <w:keepLines/>
      <w:adjustRightInd w:val="0"/>
      <w:snapToGrid w:val="0"/>
      <w:spacing w:beforeLines="50" w:line="240" w:lineRule="auto"/>
      <w:ind w:firstLine="0" w:firstLineChars="0"/>
      <w:outlineLvl w:val="1"/>
    </w:pPr>
    <w:rPr>
      <w:rFonts w:eastAsia="方正楷体_GBK"/>
      <w:bCs/>
      <w:sz w:val="28"/>
      <w:szCs w:val="32"/>
    </w:rPr>
  </w:style>
  <w:style w:type="paragraph" w:styleId="2">
    <w:name w:val="heading 4"/>
    <w:basedOn w:val="3"/>
    <w:next w:val="1"/>
    <w:unhideWhenUsed/>
    <w:qFormat/>
    <w:uiPriority w:val="9"/>
    <w:pPr>
      <w:keepNext/>
      <w:keepLines/>
      <w:ind w:firstLine="0" w:firstLineChars="0"/>
      <w:outlineLvl w:val="3"/>
    </w:pPr>
    <w:rPr>
      <w:rFonts w:ascii="Calibri Light" w:hAnsi="Calibri Light" w:eastAsia="宋体" w:cs="Times New Roman"/>
      <w:szCs w:val="28"/>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4">
    <w:name w:val="footer"/>
    <w:basedOn w:val="1"/>
    <w:unhideWhenUsed/>
    <w:qFormat/>
    <w:uiPriority w:val="99"/>
    <w:pPr>
      <w:tabs>
        <w:tab w:val="center" w:pos="4153"/>
        <w:tab w:val="right" w:pos="8306"/>
      </w:tabs>
      <w:snapToGrid w:val="0"/>
    </w:pPr>
    <w:rPr>
      <w:sz w:val="18"/>
      <w:szCs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footnote text"/>
    <w:basedOn w:val="1"/>
    <w:qFormat/>
    <w:uiPriority w:val="0"/>
    <w:pPr>
      <w:snapToGrid w:val="0"/>
      <w:jc w:val="left"/>
    </w:pPr>
    <w:rPr>
      <w:sz w:val="18"/>
    </w:rPr>
  </w:style>
  <w:style w:type="character" w:styleId="9">
    <w:name w:val="footnote reference"/>
    <w:basedOn w:val="8"/>
    <w:qFormat/>
    <w:uiPriority w:val="0"/>
    <w:rPr>
      <w:vertAlign w:val="superscript"/>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8612</Words>
  <Characters>9283</Characters>
  <Lines>0</Lines>
  <Paragraphs>0</Paragraphs>
  <TotalTime>3</TotalTime>
  <ScaleCrop>false</ScaleCrop>
  <LinksUpToDate>false</LinksUpToDate>
  <CharactersWithSpaces>9291</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2022-08-26T15:35:00Z</dcterms:created>
  <dc:creator>◌◌◌◌☆</dc:creator>
  <cp:lastModifiedBy>Administrator</cp:lastModifiedBy>
  <dcterms:modified xsi:type="dcterms:W3CDTF">2022-09-16T14:00:14Z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79B096910A1142C78C1FDD15F378926C</vt:lpwstr>
  </property>
</Properties>
</file>