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重庆市铜梁区农业农村委员会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关于铜梁区2024年扩种冬油菜及产油大县奖励资金项目核心示范片评审情况的公示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" w:cs="Times New Roman"/>
          <w:spacing w:val="2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spacing w:val="2"/>
          <w:sz w:val="31"/>
          <w:szCs w:val="31"/>
          <w:lang w:eastAsia="zh-CN"/>
        </w:rPr>
        <w:t>各相关镇（街道）产业发展服务中心、业主单位：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关于申报2024-2025年度油菜规模种植示范片的通知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铜农委〔2024〕111号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文件要求，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经业主申报镇（街道）初审推荐，共收到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重庆市铜梁区安居镇龙泉村股份经济合作联合社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等1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个镇街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个业主申报意向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2024年8月16日，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区农业农村委组织有关专家，根据项目申报要求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对申报实施项目的业主主体资格、技术模式、示范能力以及近年来各业主的实际示范效果等进行了综合评审，确定了1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个镇（街道）3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个业主在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油、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粱-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油、薯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油轮作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蔬两用模式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中建立新技术配套模式推广核心示范片种植面积10000亩，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 w:bidi="ar-SA"/>
        </w:rPr>
        <w:t>其中5个业主共建立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蔬两用种植模式500亩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（见附表）。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现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将铜梁区2024年扩种冬油菜及产油大县奖励资金项目核心示范片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评审情况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予以公示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。公示期限为2024年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日—2024年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日（5个工作日），如对公示情况有异议，请与区农技中心联系进行书面反馈。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蔡家军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，联系电话：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18996302835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textAlignment w:val="baseline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：铜梁区2024年扩种冬油菜及产油大县奖励资金项目核心示范片评审意见表</w:t>
      </w:r>
    </w:p>
    <w:p>
      <w:pPr>
        <w:pStyle w:val="2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重庆市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铜梁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4年8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numberInDash"/>
          <w:cols w:space="0" w:num="1"/>
          <w:rtlGutter w:val="0"/>
          <w:docGrid w:type="lines" w:linePitch="321" w:charSpace="0"/>
        </w:sectPr>
      </w:pPr>
    </w:p>
    <w:tbl>
      <w:tblPr>
        <w:tblStyle w:val="9"/>
        <w:tblW w:w="14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367"/>
        <w:gridCol w:w="886"/>
        <w:gridCol w:w="774"/>
        <w:gridCol w:w="687"/>
        <w:gridCol w:w="904"/>
        <w:gridCol w:w="793"/>
        <w:gridCol w:w="786"/>
        <w:gridCol w:w="880"/>
        <w:gridCol w:w="955"/>
        <w:gridCol w:w="1785"/>
        <w:gridCol w:w="2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铜梁区2024年扩种冬油菜及产油大县奖励资金项目核心示范片评审意见表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业主申报情况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评审结果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</w:t>
            </w:r>
            <w:r>
              <w:rPr>
                <w:rStyle w:val="16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油（亩）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</w:t>
            </w:r>
            <w:r>
              <w:rPr>
                <w:rStyle w:val="16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油（亩）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粱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油（亩）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油蔬两用（亩）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闲置地（亩）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其他（亩）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核心示范片（亩）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油蔬两用（亩）</w:t>
            </w: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重庆市铜梁区安居镇龙泉村股份经济合作联合社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朱孝华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安居龙泉村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铜梁区巴川街道八一路社区股份经济合作联合社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陈正会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八一路社区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11</w:t>
            </w:r>
            <w:r>
              <w:rPr>
                <w:rStyle w:val="1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重庆市铜梁区海子坝农副产品加工农民专业合作社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陈西北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白羊凤凰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重庆西科巴岳农庄现代农业有限公司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航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二坪狮子村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铜梁区福果镇团实村股份经济合作联合社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胡正芳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福果团实村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重庆耕禾农业科技有限责任公司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昆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福果西山村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铜梁区福果镇西山村股份经济合作联合社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琴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福果西山村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谭兴伟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谭兴伟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侣俸凤飞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重庆市铜梁区禾香园生态农业专业合作社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陆学才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侣俸凤飞等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重庆市铜梁区文良农机服务专业合作社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邢光伟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侣俸妙明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重庆西科巴岳农庄现代农业有限公司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航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侣俸妙明等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重庆市铜梁区张小兰家庭农场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张小兰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侣俸永乐等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重庆鑫粮源农业科技有限公司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饶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平滩插腊、洋海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喻祥国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喻祥国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平滩洪太玉龙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铜梁区平滩镇惠风村股份经济合作联合社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张光明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平滩惠风村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铜梁区杜流全家庭农场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144.25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杜流全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平滩金竹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重庆启贸农业科技有限公司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军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平滩立灯、红河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重庆市铜梁区骏兴水稻种植专业合作社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张定刚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平滩青杠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四川省天府粮仓农业服务有限公司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李雪剑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平滩团宝、玉龙、金竹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重庆祺嘉农业科技有限公司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军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平滩万桥高平等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重庆谷满挑粮食加工专业合作社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饶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平滩新华、华光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重庆市铜梁区康隆溪种养殖农民专业合作社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李忠淮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蒲吕人和村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重庆利哲农业专业合作社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余刚英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蒲吕人和村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重庆市铜梁区石虎农作物种植专业合作社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杨全忠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蒲吕石虎村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重庆金灿灿水稻种植专业合作社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饶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少云老君海棠等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重庆常顺旺农业有限公司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友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少云向阳村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重庆驰百农业科技有限公司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饶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少云镇少云七宝村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重庆市铜梁区犁泰水稻种植专业合作社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姚永国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石鱼三和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铜梁区中明家庭农场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张中明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双山群坊双泉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铜梁区年丰种植家庭农场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年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双山寿桥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重庆西科巴岳农庄现代农业有限公司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航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水口镇大滩村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铜梁区蔡仟福种养殖家庭农场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蔡仟福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太平凉水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重庆坪漆农业服务有限公司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文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太平坪漆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刘倩妮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刘倩妮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小林庆云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重庆市好味稻农业发展有限公司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李富威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小林庆云、华寿、鱼龙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铜梁区杜流德家庭农场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杜流德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小林庆云、平滩金竹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刘朝钧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刘朝钧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巴川接龙村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重庆朝洋蔬菜种植专业合作社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刘朝钧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旧县石砚村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铜梁区定福蔬菜种植家庭农场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刘绍东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小林鱼龙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铜梁区福果镇高山村股份经济合作联合社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14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7"/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 w:bidi="ar"/>
              </w:rPr>
              <w:t>伟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福果高山村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铜梁区福果镇林宇村股份经济合作联合社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高永秀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福果林宇村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17273.2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3465.5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1613.25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446" w:right="1984" w:bottom="1446" w:left="1644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NDQxN2NiNGU3MjQ2MmY0YWMzYjNjMDRiYzNhNjEifQ=="/>
    <w:docVar w:name="KSO_WPS_MARK_KEY" w:val="7267bbc1-ea72-4d98-b6da-59c1c49a237f"/>
  </w:docVars>
  <w:rsids>
    <w:rsidRoot w:val="13C22091"/>
    <w:rsid w:val="00165CF9"/>
    <w:rsid w:val="02027D6D"/>
    <w:rsid w:val="02750329"/>
    <w:rsid w:val="05414BB1"/>
    <w:rsid w:val="05B3691A"/>
    <w:rsid w:val="05ED6429"/>
    <w:rsid w:val="06297E5A"/>
    <w:rsid w:val="09744426"/>
    <w:rsid w:val="099B68C7"/>
    <w:rsid w:val="0B5678B6"/>
    <w:rsid w:val="11034D52"/>
    <w:rsid w:val="13C22091"/>
    <w:rsid w:val="13CB3E09"/>
    <w:rsid w:val="140205EC"/>
    <w:rsid w:val="1F9855E3"/>
    <w:rsid w:val="20CA1B55"/>
    <w:rsid w:val="223A4965"/>
    <w:rsid w:val="22E34E49"/>
    <w:rsid w:val="27C40760"/>
    <w:rsid w:val="28A37944"/>
    <w:rsid w:val="2B4D6E9E"/>
    <w:rsid w:val="2BAB69DA"/>
    <w:rsid w:val="2BC52ED8"/>
    <w:rsid w:val="340842AA"/>
    <w:rsid w:val="35CB5C2A"/>
    <w:rsid w:val="39E032BD"/>
    <w:rsid w:val="43D735EE"/>
    <w:rsid w:val="4A7A33B3"/>
    <w:rsid w:val="4DBE3EFF"/>
    <w:rsid w:val="4F040E6B"/>
    <w:rsid w:val="52CA34E6"/>
    <w:rsid w:val="563F54B2"/>
    <w:rsid w:val="56A92852"/>
    <w:rsid w:val="58DF33A5"/>
    <w:rsid w:val="595E6596"/>
    <w:rsid w:val="59B12B6A"/>
    <w:rsid w:val="5A8C56CF"/>
    <w:rsid w:val="5E474904"/>
    <w:rsid w:val="5FE9CCDD"/>
    <w:rsid w:val="61AC338F"/>
    <w:rsid w:val="62285A57"/>
    <w:rsid w:val="62630D05"/>
    <w:rsid w:val="65077AE2"/>
    <w:rsid w:val="6A902328"/>
    <w:rsid w:val="6CB65AD2"/>
    <w:rsid w:val="6D8866DA"/>
    <w:rsid w:val="6E3A4A84"/>
    <w:rsid w:val="6FF2313D"/>
    <w:rsid w:val="7634795A"/>
    <w:rsid w:val="76F0689B"/>
    <w:rsid w:val="772B396A"/>
    <w:rsid w:val="77C10067"/>
    <w:rsid w:val="77CD70C8"/>
    <w:rsid w:val="799E680F"/>
    <w:rsid w:val="7A89357E"/>
    <w:rsid w:val="7CF3250E"/>
    <w:rsid w:val="7D6B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character" w:styleId="11">
    <w:name w:val="page number"/>
    <w:basedOn w:val="10"/>
    <w:qFormat/>
    <w:uiPriority w:val="0"/>
  </w:style>
  <w:style w:type="character" w:customStyle="1" w:styleId="12">
    <w:name w:val="font71"/>
    <w:basedOn w:val="10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3">
    <w:name w:val="font41"/>
    <w:basedOn w:val="10"/>
    <w:qFormat/>
    <w:uiPriority w:val="0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14">
    <w:name w:val="font21"/>
    <w:basedOn w:val="10"/>
    <w:qFormat/>
    <w:uiPriority w:val="0"/>
    <w:rPr>
      <w:rFonts w:hint="eastAsia" w:ascii="方正大标宋_GBK" w:hAnsi="方正大标宋_GBK" w:eastAsia="方正大标宋_GBK" w:cs="方正大标宋_GBK"/>
      <w:color w:val="000000"/>
      <w:sz w:val="28"/>
      <w:szCs w:val="28"/>
      <w:u w:val="none"/>
    </w:rPr>
  </w:style>
  <w:style w:type="character" w:customStyle="1" w:styleId="15">
    <w:name w:val="font131"/>
    <w:basedOn w:val="10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6">
    <w:name w:val="font12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41"/>
    <w:basedOn w:val="10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9">
    <w:name w:val="font51"/>
    <w:basedOn w:val="10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20">
    <w:name w:val="font1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9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1644</Words>
  <Characters>1976</Characters>
  <Lines>0</Lines>
  <Paragraphs>0</Paragraphs>
  <TotalTime>1</TotalTime>
  <ScaleCrop>false</ScaleCrop>
  <LinksUpToDate>false</LinksUpToDate>
  <CharactersWithSpaces>2015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2024-06-25T22:09:00Z</dcterms:created>
  <dc:creator>Administrator</dc:creator>
  <cp:lastModifiedBy>Administrator</cp:lastModifiedBy>
  <dcterms:modified xsi:type="dcterms:W3CDTF">2024-08-20T06:39:15Z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EBBD3D8C582844FDA36F812CB86665AD_13</vt:lpwstr>
  </property>
</Properties>
</file>