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宋体" w:cs="Times New Roman"/>
        </w:rPr>
      </w:pPr>
      <w:r>
        <w:drawing>
          <wp:inline distT="0" distB="0" distL="114300" distR="114300">
            <wp:extent cx="5271135" cy="7300595"/>
            <wp:effectExtent l="0" t="0" r="5715" b="1460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6"/>
                    <a:stretch>
                      <a:fillRect/>
                    </a:stretch>
                  </pic:blipFill>
                  <pic:spPr>
                    <a:xfrm>
                      <a:off x="0" y="0"/>
                      <a:ext cx="5271135" cy="7300595"/>
                    </a:xfrm>
                    <a:prstGeom prst="rect">
                      <a:avLst/>
                    </a:prstGeom>
                    <a:noFill/>
                    <a:ln>
                      <a:noFill/>
                    </a:ln>
                  </pic:spPr>
                </pic:pic>
              </a:graphicData>
            </a:graphic>
          </wp:inline>
        </w:drawing>
      </w:r>
    </w:p>
    <w:p>
      <w:pPr>
        <w:rPr>
          <w:rFonts w:ascii="Times New Roman" w:hAnsi="Times New Roman" w:eastAsia="宋体"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outlineLvl w:val="0"/>
      </w:pPr>
      <w:r>
        <w:drawing>
          <wp:inline distT="0" distB="0" distL="114300" distR="114300">
            <wp:extent cx="5274310" cy="7467600"/>
            <wp:effectExtent l="0" t="0" r="254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7"/>
                    <a:stretch>
                      <a:fillRect/>
                    </a:stretch>
                  </pic:blipFill>
                  <pic:spPr>
                    <a:xfrm>
                      <a:off x="0" y="0"/>
                      <a:ext cx="5274310" cy="7467600"/>
                    </a:xfrm>
                    <a:prstGeom prst="rect">
                      <a:avLst/>
                    </a:prstGeom>
                    <a:noFill/>
                    <a:ln>
                      <a:noFill/>
                    </a:ln>
                  </pic:spPr>
                </pic:pic>
              </a:graphicData>
            </a:graphic>
          </wp:inline>
        </w:drawing>
      </w:r>
    </w:p>
    <w:p>
      <w:pPr>
        <w:jc w:val="center"/>
        <w:outlineLvl w:val="0"/>
      </w:pPr>
    </w:p>
    <w:p>
      <w:pPr>
        <w:jc w:val="center"/>
        <w:outlineLvl w:val="0"/>
      </w:pPr>
      <w:r>
        <w:drawing>
          <wp:inline distT="0" distB="0" distL="114300" distR="114300">
            <wp:extent cx="5272405" cy="7550785"/>
            <wp:effectExtent l="0" t="0" r="4445" b="1206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8"/>
                    <a:stretch>
                      <a:fillRect/>
                    </a:stretch>
                  </pic:blipFill>
                  <pic:spPr>
                    <a:xfrm>
                      <a:off x="0" y="0"/>
                      <a:ext cx="5272405" cy="7550785"/>
                    </a:xfrm>
                    <a:prstGeom prst="rect">
                      <a:avLst/>
                    </a:prstGeom>
                    <a:noFill/>
                    <a:ln>
                      <a:noFill/>
                    </a:ln>
                  </pic:spPr>
                </pic:pic>
              </a:graphicData>
            </a:graphic>
          </wp:inline>
        </w:drawing>
      </w:r>
      <w:r>
        <w:drawing>
          <wp:inline distT="0" distB="0" distL="114300" distR="114300">
            <wp:extent cx="5269865" cy="7458075"/>
            <wp:effectExtent l="0" t="0" r="6985" b="952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9"/>
                    <a:stretch>
                      <a:fillRect/>
                    </a:stretch>
                  </pic:blipFill>
                  <pic:spPr>
                    <a:xfrm>
                      <a:off x="0" y="0"/>
                      <a:ext cx="5269865" cy="7458075"/>
                    </a:xfrm>
                    <a:prstGeom prst="rect">
                      <a:avLst/>
                    </a:prstGeom>
                    <a:noFill/>
                    <a:ln>
                      <a:noFill/>
                    </a:ln>
                  </pic:spPr>
                </pic:pic>
              </a:graphicData>
            </a:graphic>
          </wp:inline>
        </w:drawing>
      </w:r>
    </w:p>
    <w:p>
      <w:pPr>
        <w:jc w:val="center"/>
        <w:outlineLvl w:val="0"/>
      </w:pPr>
      <w:r>
        <w:drawing>
          <wp:inline distT="0" distB="0" distL="114300" distR="114300">
            <wp:extent cx="5272405" cy="7802880"/>
            <wp:effectExtent l="0" t="0" r="4445" b="762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0"/>
                    <a:stretch>
                      <a:fillRect/>
                    </a:stretch>
                  </pic:blipFill>
                  <pic:spPr>
                    <a:xfrm>
                      <a:off x="0" y="0"/>
                      <a:ext cx="5272405" cy="7802880"/>
                    </a:xfrm>
                    <a:prstGeom prst="rect">
                      <a:avLst/>
                    </a:prstGeom>
                    <a:noFill/>
                    <a:ln>
                      <a:noFill/>
                    </a:ln>
                  </pic:spPr>
                </pic:pic>
              </a:graphicData>
            </a:graphic>
          </wp:inline>
        </w:drawing>
      </w:r>
    </w:p>
    <w:p>
      <w:pPr>
        <w:jc w:val="center"/>
        <w:outlineLvl w:val="0"/>
      </w:pPr>
      <w:r>
        <w:drawing>
          <wp:inline distT="0" distB="0" distL="114300" distR="114300">
            <wp:extent cx="5272405" cy="7360920"/>
            <wp:effectExtent l="0" t="0" r="4445" b="1143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1"/>
                    <a:stretch>
                      <a:fillRect/>
                    </a:stretch>
                  </pic:blipFill>
                  <pic:spPr>
                    <a:xfrm>
                      <a:off x="0" y="0"/>
                      <a:ext cx="5272405" cy="7360920"/>
                    </a:xfrm>
                    <a:prstGeom prst="rect">
                      <a:avLst/>
                    </a:prstGeom>
                    <a:noFill/>
                    <a:ln>
                      <a:noFill/>
                    </a:ln>
                  </pic:spPr>
                </pic:pic>
              </a:graphicData>
            </a:graphic>
          </wp:inline>
        </w:drawing>
      </w:r>
    </w:p>
    <w:p>
      <w:pPr>
        <w:jc w:val="center"/>
        <w:outlineLvl w:val="0"/>
      </w:pPr>
    </w:p>
    <w:p>
      <w:pPr>
        <w:jc w:val="center"/>
        <w:outlineLvl w:val="0"/>
      </w:pPr>
    </w:p>
    <w:p>
      <w:pPr>
        <w:jc w:val="both"/>
        <w:outlineLvl w:val="0"/>
      </w:pPr>
    </w:p>
    <w:p>
      <w:pPr>
        <w:jc w:val="center"/>
        <w:outlineLvl w:val="0"/>
        <w:rPr>
          <w:rFonts w:ascii="Times New Roman" w:hAnsi="Times New Roman" w:eastAsia="宋体" w:cs="Times New Roman"/>
          <w:b/>
          <w:bCs/>
          <w:sz w:val="30"/>
          <w:szCs w:val="30"/>
        </w:rPr>
      </w:pPr>
      <w:r>
        <w:rPr>
          <w:rFonts w:ascii="Times New Roman" w:hAnsi="Times New Roman" w:eastAsia="宋体" w:cs="Times New Roman"/>
          <w:b/>
          <w:bCs/>
          <w:sz w:val="30"/>
          <w:szCs w:val="30"/>
        </w:rPr>
        <w:t>一、建设项目基本情况</w:t>
      </w:r>
    </w:p>
    <w:tbl>
      <w:tblPr>
        <w:tblStyle w:val="20"/>
        <w:tblW w:w="92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85"/>
        <w:gridCol w:w="2647"/>
        <w:gridCol w:w="2105"/>
        <w:gridCol w:w="33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85"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建设项目名称</w:t>
            </w:r>
          </w:p>
        </w:tc>
        <w:tc>
          <w:tcPr>
            <w:tcW w:w="8073" w:type="dxa"/>
            <w:gridSpan w:val="3"/>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污泥处理厂效能提升项目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85"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项目代码</w:t>
            </w:r>
          </w:p>
        </w:tc>
        <w:tc>
          <w:tcPr>
            <w:tcW w:w="8073" w:type="dxa"/>
            <w:gridSpan w:val="3"/>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2204-500151-04-02-461839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85"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建设单位联系人</w:t>
            </w:r>
          </w:p>
        </w:tc>
        <w:tc>
          <w:tcPr>
            <w:tcW w:w="264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朱光林</w:t>
            </w:r>
          </w:p>
        </w:tc>
        <w:tc>
          <w:tcPr>
            <w:tcW w:w="210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联系方式</w:t>
            </w:r>
          </w:p>
        </w:tc>
        <w:tc>
          <w:tcPr>
            <w:tcW w:w="3321"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199</w:t>
            </w:r>
            <w:r>
              <w:rPr>
                <w:rFonts w:hint="eastAsia" w:ascii="Times New Roman" w:hAnsi="Times New Roman" w:eastAsia="宋体" w:cs="Times New Roman"/>
                <w:szCs w:val="21"/>
                <w:lang w:val="en-US" w:eastAsia="zh-CN"/>
              </w:rPr>
              <w:t>********</w:t>
            </w:r>
            <w:bookmarkStart w:id="9" w:name="_GoBack"/>
            <w:bookmarkEnd w:id="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85"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建设地点</w:t>
            </w:r>
          </w:p>
        </w:tc>
        <w:tc>
          <w:tcPr>
            <w:tcW w:w="8073" w:type="dxa"/>
            <w:gridSpan w:val="3"/>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重庆市铜梁区侣俸镇凤飞村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85"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地理坐标</w:t>
            </w:r>
          </w:p>
        </w:tc>
        <w:tc>
          <w:tcPr>
            <w:tcW w:w="8073" w:type="dxa"/>
            <w:gridSpan w:val="3"/>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（10</w:t>
            </w:r>
            <w:r>
              <w:rPr>
                <w:rFonts w:hint="eastAsia" w:ascii="Times New Roman" w:hAnsi="Times New Roman" w:eastAsia="宋体" w:cs="Times New Roman"/>
                <w:color w:val="auto"/>
                <w:szCs w:val="21"/>
                <w:lang w:val="en-US" w:eastAsia="zh-CN"/>
              </w:rPr>
              <w:t>5</w:t>
            </w:r>
            <w:r>
              <w:rPr>
                <w:rFonts w:ascii="Times New Roman" w:hAnsi="Times New Roman" w:eastAsia="宋体" w:cs="Times New Roman"/>
                <w:color w:val="auto"/>
                <w:szCs w:val="21"/>
              </w:rPr>
              <w:t>度</w:t>
            </w:r>
            <w:r>
              <w:rPr>
                <w:rFonts w:hint="eastAsia" w:ascii="Times New Roman" w:hAnsi="Times New Roman" w:eastAsia="宋体" w:cs="Times New Roman"/>
                <w:color w:val="auto"/>
                <w:szCs w:val="21"/>
                <w:lang w:val="en-US" w:eastAsia="zh-CN"/>
              </w:rPr>
              <w:t>56</w:t>
            </w:r>
            <w:r>
              <w:rPr>
                <w:rFonts w:ascii="Times New Roman" w:hAnsi="Times New Roman" w:eastAsia="宋体" w:cs="Times New Roman"/>
                <w:color w:val="auto"/>
                <w:szCs w:val="21"/>
              </w:rPr>
              <w:t>分</w:t>
            </w:r>
            <w:r>
              <w:rPr>
                <w:rFonts w:hint="eastAsia" w:ascii="Times New Roman" w:hAnsi="Times New Roman" w:eastAsia="宋体" w:cs="Times New Roman"/>
                <w:color w:val="auto"/>
                <w:szCs w:val="21"/>
                <w:lang w:val="en-US" w:eastAsia="zh-CN"/>
              </w:rPr>
              <w:t>33.996</w:t>
            </w:r>
            <w:r>
              <w:rPr>
                <w:rFonts w:ascii="Times New Roman" w:hAnsi="Times New Roman" w:eastAsia="宋体" w:cs="Times New Roman"/>
                <w:color w:val="auto"/>
                <w:szCs w:val="21"/>
              </w:rPr>
              <w:t>秒，2</w:t>
            </w:r>
            <w:r>
              <w:rPr>
                <w:rFonts w:hint="eastAsia" w:ascii="Times New Roman" w:hAnsi="Times New Roman" w:eastAsia="宋体" w:cs="Times New Roman"/>
                <w:color w:val="auto"/>
                <w:szCs w:val="21"/>
                <w:lang w:val="en-US" w:eastAsia="zh-CN"/>
              </w:rPr>
              <w:t>9</w:t>
            </w:r>
            <w:r>
              <w:rPr>
                <w:rFonts w:ascii="Times New Roman" w:hAnsi="Times New Roman" w:eastAsia="宋体" w:cs="Times New Roman"/>
                <w:color w:val="auto"/>
                <w:szCs w:val="21"/>
              </w:rPr>
              <w:t>度</w:t>
            </w:r>
            <w:r>
              <w:rPr>
                <w:rFonts w:hint="eastAsia" w:ascii="Times New Roman" w:hAnsi="Times New Roman" w:eastAsia="宋体" w:cs="Times New Roman"/>
                <w:color w:val="auto"/>
                <w:szCs w:val="21"/>
                <w:lang w:val="en-US" w:eastAsia="zh-CN"/>
              </w:rPr>
              <w:t>48</w:t>
            </w:r>
            <w:r>
              <w:rPr>
                <w:rFonts w:ascii="Times New Roman" w:hAnsi="Times New Roman" w:eastAsia="宋体" w:cs="Times New Roman"/>
                <w:color w:val="auto"/>
                <w:szCs w:val="21"/>
              </w:rPr>
              <w:t>分</w:t>
            </w:r>
            <w:r>
              <w:rPr>
                <w:rFonts w:hint="eastAsia" w:ascii="Times New Roman" w:hAnsi="Times New Roman" w:eastAsia="宋体" w:cs="Times New Roman"/>
                <w:color w:val="auto"/>
                <w:szCs w:val="21"/>
                <w:lang w:val="en-US" w:eastAsia="zh-CN"/>
              </w:rPr>
              <w:t>40.813</w:t>
            </w:r>
            <w:r>
              <w:rPr>
                <w:rFonts w:ascii="Times New Roman" w:hAnsi="Times New Roman" w:eastAsia="宋体" w:cs="Times New Roman"/>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85"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国民经济</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行业类别</w:t>
            </w:r>
          </w:p>
        </w:tc>
        <w:tc>
          <w:tcPr>
            <w:tcW w:w="2647" w:type="dxa"/>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N</w:t>
            </w:r>
            <w:r>
              <w:rPr>
                <w:rFonts w:hint="eastAsia" w:ascii="Times New Roman" w:hAnsi="Times New Roman" w:eastAsia="宋体" w:cs="Times New Roman"/>
                <w:color w:val="auto"/>
                <w:szCs w:val="21"/>
              </w:rPr>
              <w:t>78</w:t>
            </w:r>
            <w:r>
              <w:rPr>
                <w:rFonts w:hint="eastAsia" w:ascii="Times New Roman" w:hAnsi="Times New Roman" w:eastAsia="宋体" w:cs="Times New Roman"/>
                <w:color w:val="auto"/>
                <w:szCs w:val="21"/>
                <w:lang w:val="en-US" w:eastAsia="zh-CN"/>
              </w:rPr>
              <w:t>20环境卫生管理</w:t>
            </w:r>
          </w:p>
        </w:tc>
        <w:tc>
          <w:tcPr>
            <w:tcW w:w="2105" w:type="dxa"/>
            <w:vAlign w:val="center"/>
          </w:tcPr>
          <w:p>
            <w:pPr>
              <w:adjustRightInd w:val="0"/>
              <w:snapToGrid w:val="0"/>
              <w:jc w:val="center"/>
              <w:rPr>
                <w:rFonts w:ascii="Times New Roman" w:hAnsi="Times New Roman" w:eastAsia="宋体" w:cs="Times New Roman"/>
                <w:color w:val="auto"/>
                <w:szCs w:val="21"/>
              </w:rPr>
            </w:pPr>
            <w:bookmarkStart w:id="0" w:name="_Hlk49843745"/>
            <w:r>
              <w:rPr>
                <w:rFonts w:ascii="Times New Roman" w:hAnsi="Times New Roman" w:eastAsia="宋体" w:cs="Times New Roman"/>
                <w:color w:val="auto"/>
                <w:szCs w:val="21"/>
              </w:rPr>
              <w:t>建设项目</w:t>
            </w:r>
          </w:p>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行业类别</w:t>
            </w:r>
            <w:bookmarkEnd w:id="0"/>
            <w:r>
              <w:rPr>
                <w:rFonts w:ascii="Times New Roman" w:hAnsi="Times New Roman" w:eastAsia="宋体" w:cs="Times New Roman"/>
                <w:color w:val="auto"/>
                <w:szCs w:val="21"/>
              </w:rPr>
              <w:t xml:space="preserve"> </w:t>
            </w:r>
          </w:p>
        </w:tc>
        <w:tc>
          <w:tcPr>
            <w:tcW w:w="3321" w:type="dxa"/>
            <w:vAlign w:val="center"/>
          </w:tcPr>
          <w:p>
            <w:pPr>
              <w:adjustRightInd w:val="0"/>
              <w:snapToGrid w:val="0"/>
              <w:rPr>
                <w:rFonts w:ascii="Times New Roman" w:hAnsi="Times New Roman" w:eastAsia="宋体" w:cs="Times New Roman"/>
                <w:b/>
                <w:color w:val="auto"/>
                <w:szCs w:val="21"/>
              </w:rPr>
            </w:pPr>
            <w:r>
              <w:rPr>
                <w:rFonts w:ascii="Times New Roman" w:hAnsi="Times New Roman" w:eastAsia="宋体" w:cs="Times New Roman"/>
                <w:b/>
                <w:color w:val="auto"/>
                <w:szCs w:val="21"/>
              </w:rPr>
              <w:t>四十七、生态保护和环境治理业</w:t>
            </w:r>
          </w:p>
          <w:p>
            <w:pPr>
              <w:autoSpaceDE w:val="0"/>
              <w:autoSpaceDN w:val="0"/>
              <w:adjustRightInd w:val="0"/>
              <w:snapToGrid w:val="0"/>
              <w:jc w:val="left"/>
              <w:rPr>
                <w:rFonts w:ascii="Times New Roman" w:hAnsi="Times New Roman" w:eastAsia="宋体" w:cs="Times New Roman"/>
                <w:color w:val="auto"/>
                <w:kern w:val="0"/>
                <w:szCs w:val="21"/>
              </w:rPr>
            </w:pPr>
            <w:r>
              <w:rPr>
                <w:rFonts w:ascii="Times New Roman" w:hAnsi="Times New Roman" w:eastAsia="宋体" w:cs="Times New Roman"/>
                <w:color w:val="auto"/>
                <w:szCs w:val="21"/>
              </w:rPr>
              <w:t>103一般工业固体废物（含污水处理污泥）、建筑施工废弃物处置及综合利用</w:t>
            </w:r>
            <w:r>
              <w:rPr>
                <w:rFonts w:hint="eastAsia" w:ascii="Times New Roman" w:hAnsi="Times New Roman" w:eastAsia="宋体" w:cs="Times New Roman"/>
                <w:color w:val="auto"/>
                <w:szCs w:val="21"/>
                <w:lang w:val="en-US" w:eastAsia="zh-CN"/>
              </w:rPr>
              <w:t>中“</w:t>
            </w:r>
            <w:r>
              <w:rPr>
                <w:rFonts w:ascii="Times New Roman" w:hAnsi="Times New Roman" w:eastAsia="宋体" w:cs="Times New Roman"/>
                <w:color w:val="auto"/>
                <w:szCs w:val="21"/>
              </w:rPr>
              <w:t>其他</w:t>
            </w:r>
            <w:r>
              <w:rPr>
                <w:rFonts w:hint="eastAsia" w:ascii="Times New Roman" w:hAnsi="Times New Roman" w:eastAsia="宋体" w:cs="Times New Roman"/>
                <w:color w:val="auto"/>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85"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建设性质</w:t>
            </w:r>
          </w:p>
        </w:tc>
        <w:tc>
          <w:tcPr>
            <w:tcW w:w="2647"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sym w:font="Wingdings 2" w:char="00A3"/>
            </w:r>
            <w:r>
              <w:rPr>
                <w:rFonts w:ascii="Times New Roman" w:hAnsi="Times New Roman" w:eastAsia="宋体" w:cs="Times New Roman"/>
                <w:szCs w:val="21"/>
              </w:rPr>
              <w:t>新建（迁建）</w:t>
            </w:r>
          </w:p>
          <w:p>
            <w:pPr>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lang w:eastAsia="zh-CN"/>
              </w:rPr>
              <w:t>☑</w:t>
            </w:r>
            <w:r>
              <w:rPr>
                <w:rFonts w:ascii="Times New Roman" w:hAnsi="Times New Roman" w:eastAsia="宋体" w:cs="Times New Roman"/>
                <w:szCs w:val="21"/>
              </w:rPr>
              <w:t>改建</w:t>
            </w:r>
          </w:p>
          <w:p>
            <w:pPr>
              <w:adjustRightInd w:val="0"/>
              <w:snapToGrid w:val="0"/>
              <w:jc w:val="left"/>
              <w:rPr>
                <w:rFonts w:ascii="Times New Roman" w:hAnsi="Times New Roman" w:eastAsia="宋体" w:cs="Times New Roman"/>
                <w:szCs w:val="21"/>
              </w:rPr>
            </w:pPr>
            <w:r>
              <w:rPr>
                <w:rFonts w:hint="eastAsia" w:ascii="Times New Roman" w:hAnsi="Times New Roman" w:eastAsia="宋体" w:cs="Times New Roman"/>
                <w:szCs w:val="21"/>
                <w:lang w:eastAsia="zh-CN"/>
              </w:rPr>
              <w:t>☑</w:t>
            </w:r>
            <w:r>
              <w:rPr>
                <w:rFonts w:ascii="Times New Roman" w:hAnsi="Times New Roman" w:eastAsia="宋体" w:cs="Times New Roman"/>
                <w:szCs w:val="21"/>
              </w:rPr>
              <w:t>扩建</w:t>
            </w:r>
          </w:p>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sym w:font="Wingdings 2" w:char="00A3"/>
            </w:r>
            <w:r>
              <w:rPr>
                <w:rFonts w:ascii="Times New Roman" w:hAnsi="Times New Roman" w:eastAsia="宋体" w:cs="Times New Roman"/>
                <w:szCs w:val="21"/>
              </w:rPr>
              <w:t>技术改造</w:t>
            </w:r>
          </w:p>
        </w:tc>
        <w:tc>
          <w:tcPr>
            <w:tcW w:w="210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建设项目</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申报情形</w:t>
            </w:r>
          </w:p>
        </w:tc>
        <w:tc>
          <w:tcPr>
            <w:tcW w:w="3321" w:type="dxa"/>
            <w:vAlign w:val="center"/>
          </w:tcPr>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 xml:space="preserve">√首次申报项目             </w:t>
            </w:r>
          </w:p>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□不予批准后再次申报项目</w:t>
            </w:r>
          </w:p>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 xml:space="preserve">□超五年重新审核项目     </w:t>
            </w:r>
          </w:p>
          <w:p>
            <w:pPr>
              <w:adjustRightInd w:val="0"/>
              <w:snapToGrid w:val="0"/>
              <w:jc w:val="left"/>
              <w:rPr>
                <w:rFonts w:ascii="Times New Roman" w:hAnsi="Times New Roman" w:eastAsia="宋体" w:cs="Times New Roman"/>
                <w:szCs w:val="21"/>
              </w:rPr>
            </w:pPr>
            <w:r>
              <w:rPr>
                <w:rFonts w:ascii="Times New Roman" w:hAnsi="Times New Roman" w:eastAsia="宋体" w:cs="Times New Roman"/>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85"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项目审批（核准/</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备案）部门（选填）</w:t>
            </w:r>
          </w:p>
        </w:tc>
        <w:tc>
          <w:tcPr>
            <w:tcW w:w="2647" w:type="dxa"/>
            <w:vAlign w:val="center"/>
          </w:tcPr>
          <w:p>
            <w:pPr>
              <w:adjustRightInd w:val="0"/>
              <w:snapToGrid w:val="0"/>
              <w:jc w:val="center"/>
              <w:rPr>
                <w:rFonts w:ascii="Times New Roman" w:hAnsi="Times New Roman" w:eastAsia="宋体" w:cs="Times New Roman"/>
                <w:color w:val="auto"/>
                <w:szCs w:val="21"/>
              </w:rPr>
            </w:pPr>
            <w:bookmarkStart w:id="1" w:name="_Hlk92966076"/>
            <w:r>
              <w:rPr>
                <w:rFonts w:ascii="Times New Roman" w:hAnsi="Times New Roman" w:eastAsia="宋体" w:cs="Times New Roman"/>
                <w:color w:val="auto"/>
                <w:szCs w:val="21"/>
              </w:rPr>
              <w:t>重庆市</w:t>
            </w:r>
            <w:r>
              <w:rPr>
                <w:rFonts w:hint="eastAsia" w:ascii="Times New Roman" w:hAnsi="Times New Roman" w:eastAsia="宋体" w:cs="Times New Roman"/>
                <w:color w:val="auto"/>
                <w:szCs w:val="21"/>
                <w:lang w:eastAsia="zh-CN"/>
              </w:rPr>
              <w:t>铜梁区发展和改革</w:t>
            </w:r>
            <w:r>
              <w:rPr>
                <w:rFonts w:ascii="Times New Roman" w:hAnsi="Times New Roman" w:eastAsia="宋体" w:cs="Times New Roman"/>
                <w:color w:val="auto"/>
                <w:szCs w:val="21"/>
              </w:rPr>
              <w:t>委员会</w:t>
            </w:r>
            <w:bookmarkEnd w:id="1"/>
          </w:p>
        </w:tc>
        <w:tc>
          <w:tcPr>
            <w:tcW w:w="2105" w:type="dxa"/>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项目审批（核准/</w:t>
            </w:r>
          </w:p>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备案）文号（选填）</w:t>
            </w:r>
          </w:p>
        </w:tc>
        <w:tc>
          <w:tcPr>
            <w:tcW w:w="3321" w:type="dxa"/>
            <w:vAlign w:val="center"/>
          </w:tcPr>
          <w:p>
            <w:pPr>
              <w:autoSpaceDE w:val="0"/>
              <w:autoSpaceDN w:val="0"/>
              <w:adjustRightInd w:val="0"/>
              <w:snapToGrid w:val="0"/>
              <w:jc w:val="center"/>
              <w:rPr>
                <w:rFonts w:ascii="Times New Roman" w:hAnsi="Times New Roman" w:eastAsia="宋体" w:cs="Times New Roman"/>
                <w:color w:val="0000FF"/>
                <w:szCs w:val="21"/>
              </w:rPr>
            </w:pPr>
            <w:r>
              <w:rPr>
                <w:rFonts w:hint="eastAsia" w:ascii="Times New Roman" w:hAnsi="Times New Roman" w:eastAsia="宋体" w:cs="Times New Roman"/>
                <w:szCs w:val="21"/>
                <w:lang w:val="en-US" w:eastAsia="zh-CN"/>
              </w:rPr>
              <w:t>2204-500151-04-02-461839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85"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总投资（万元）</w:t>
            </w:r>
          </w:p>
        </w:tc>
        <w:tc>
          <w:tcPr>
            <w:tcW w:w="2647"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800</w:t>
            </w:r>
          </w:p>
        </w:tc>
        <w:tc>
          <w:tcPr>
            <w:tcW w:w="2105" w:type="dxa"/>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环保投资（万元）</w:t>
            </w:r>
          </w:p>
        </w:tc>
        <w:tc>
          <w:tcPr>
            <w:tcW w:w="3321"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85"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环保投资占比（%）</w:t>
            </w:r>
          </w:p>
        </w:tc>
        <w:tc>
          <w:tcPr>
            <w:tcW w:w="2647"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2105" w:type="dxa"/>
            <w:tcMar>
              <w:top w:w="16" w:type="dxa"/>
              <w:left w:w="16" w:type="dxa"/>
              <w:right w:w="16" w:type="dxa"/>
            </w:tcMar>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施工工期</w:t>
            </w:r>
          </w:p>
        </w:tc>
        <w:tc>
          <w:tcPr>
            <w:tcW w:w="332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85"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bookmarkStart w:id="2" w:name="_Hlk92966098"/>
            <w:r>
              <w:rPr>
                <w:rFonts w:ascii="Times New Roman" w:hAnsi="Times New Roman" w:eastAsia="宋体" w:cs="Times New Roman"/>
                <w:szCs w:val="21"/>
              </w:rPr>
              <w:t>是否开工建设</w:t>
            </w:r>
          </w:p>
        </w:tc>
        <w:tc>
          <w:tcPr>
            <w:tcW w:w="2647" w:type="dxa"/>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sym w:font="Wingdings 2" w:char="0052"/>
            </w:r>
            <w:r>
              <w:rPr>
                <w:rFonts w:ascii="Times New Roman" w:hAnsi="Times New Roman" w:eastAsia="宋体" w:cs="Times New Roman"/>
                <w:szCs w:val="21"/>
              </w:rPr>
              <w:t>否</w:t>
            </w:r>
          </w:p>
          <w:p>
            <w:pPr>
              <w:adjustRightInd w:val="0"/>
              <w:snapToGrid w:val="0"/>
              <w:rPr>
                <w:rFonts w:ascii="Times New Roman" w:hAnsi="Times New Roman" w:eastAsia="宋体" w:cs="Times New Roman"/>
                <w:szCs w:val="21"/>
              </w:rPr>
            </w:pPr>
            <w:r>
              <w:rPr>
                <w:rFonts w:ascii="Times New Roman" w:hAnsi="Times New Roman" w:eastAsia="宋体" w:cs="Times New Roman"/>
                <w:szCs w:val="21"/>
              </w:rPr>
              <w:sym w:font="Wingdings 2" w:char="00A3"/>
            </w:r>
            <w:r>
              <w:rPr>
                <w:rFonts w:ascii="Times New Roman" w:hAnsi="Times New Roman" w:eastAsia="宋体" w:cs="Times New Roman"/>
                <w:szCs w:val="21"/>
              </w:rPr>
              <w:t>是：</w:t>
            </w:r>
            <w:r>
              <w:rPr>
                <w:rFonts w:ascii="Times New Roman" w:hAnsi="Times New Roman" w:eastAsia="宋体" w:cs="Times New Roman"/>
                <w:szCs w:val="21"/>
                <w:u w:val="single"/>
              </w:rPr>
              <w:t xml:space="preserve">             </w:t>
            </w:r>
          </w:p>
        </w:tc>
        <w:tc>
          <w:tcPr>
            <w:tcW w:w="2105" w:type="dxa"/>
            <w:tcMar>
              <w:top w:w="16" w:type="dxa"/>
              <w:left w:w="16" w:type="dxa"/>
              <w:right w:w="16" w:type="dxa"/>
            </w:tcMar>
            <w:vAlign w:val="center"/>
          </w:tcPr>
          <w:p>
            <w:pPr>
              <w:adjustRightInd w:val="0"/>
              <w:snapToGrid w:val="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用地（用海）</w:t>
            </w:r>
          </w:p>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pacing w:val="-6"/>
                <w:szCs w:val="21"/>
              </w:rPr>
              <w:t>面积（m</w:t>
            </w:r>
            <w:r>
              <w:rPr>
                <w:rFonts w:ascii="Times New Roman" w:hAnsi="Times New Roman" w:eastAsia="宋体" w:cs="Times New Roman"/>
                <w:color w:val="auto"/>
                <w:spacing w:val="-6"/>
                <w:szCs w:val="21"/>
                <w:vertAlign w:val="superscript"/>
              </w:rPr>
              <w:t>2</w:t>
            </w:r>
            <w:r>
              <w:rPr>
                <w:rFonts w:ascii="Times New Roman" w:hAnsi="Times New Roman" w:eastAsia="宋体" w:cs="Times New Roman"/>
                <w:color w:val="auto"/>
                <w:spacing w:val="-6"/>
                <w:szCs w:val="21"/>
              </w:rPr>
              <w:t>）</w:t>
            </w:r>
          </w:p>
        </w:tc>
        <w:tc>
          <w:tcPr>
            <w:tcW w:w="3321" w:type="dxa"/>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484.3</w:t>
            </w:r>
            <w:r>
              <w:rPr>
                <w:rFonts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2</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eastAsia="zh-CN"/>
              </w:rPr>
              <w:t>利用</w:t>
            </w:r>
            <w:r>
              <w:rPr>
                <w:rFonts w:hint="eastAsia" w:ascii="Times New Roman" w:hAnsi="Times New Roman" w:eastAsia="宋体" w:cs="Times New Roman"/>
                <w:color w:val="auto"/>
                <w:szCs w:val="21"/>
                <w:lang w:val="en-US" w:eastAsia="zh-CN"/>
              </w:rPr>
              <w:t>现有辅料车间及空地，不新增占地</w:t>
            </w:r>
            <w:r>
              <w:rPr>
                <w:rFonts w:ascii="Times New Roman" w:hAnsi="Times New Roman" w:eastAsia="宋体" w:cs="Times New Roman"/>
                <w:color w:val="auto"/>
                <w:szCs w:val="21"/>
              </w:rPr>
              <w:t>）</w:t>
            </w:r>
          </w:p>
        </w:tc>
      </w:tr>
      <w:bookmarkEnd w:id="2"/>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1185" w:type="dxa"/>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专项评价设置情况</w:t>
            </w:r>
          </w:p>
        </w:tc>
        <w:tc>
          <w:tcPr>
            <w:tcW w:w="8073" w:type="dxa"/>
            <w:gridSpan w:val="3"/>
            <w:vAlign w:val="center"/>
          </w:tcPr>
          <w:p>
            <w:pPr>
              <w:pStyle w:val="77"/>
              <w:spacing w:line="440" w:lineRule="exact"/>
              <w:ind w:firstLine="480" w:firstLineChars="200"/>
              <w:jc w:val="both"/>
              <w:rPr>
                <w:rFonts w:ascii="Times New Roman" w:hAnsi="Times New Roman" w:eastAsia="宋体" w:cs="Times New Roman"/>
              </w:rPr>
            </w:pPr>
            <w:r>
              <w:rPr>
                <w:rFonts w:ascii="Times New Roman" w:hAnsi="Times New Roman" w:eastAsia="宋体" w:cs="Times New Roman"/>
                <w:lang w:eastAsia="zh-CN"/>
              </w:rPr>
              <w:t>本项目专项设置原则详见下表</w:t>
            </w:r>
            <w:r>
              <w:rPr>
                <w:rFonts w:hint="eastAsia" w:ascii="Times New Roman" w:hAnsi="Times New Roman" w:eastAsia="宋体" w:cs="Times New Roman"/>
                <w:lang w:eastAsia="zh-CN"/>
              </w:rPr>
              <w:t>：</w:t>
            </w:r>
          </w:p>
          <w:p>
            <w:pPr>
              <w:pStyle w:val="77"/>
              <w:spacing w:line="440" w:lineRule="exact"/>
              <w:rPr>
                <w:rFonts w:ascii="Times New Roman" w:hAnsi="Times New Roman" w:eastAsia="宋体" w:cs="Times New Roman"/>
                <w:b/>
                <w:bCs/>
                <w:sz w:val="21"/>
                <w:szCs w:val="21"/>
              </w:rPr>
            </w:pPr>
            <w:r>
              <w:rPr>
                <w:rFonts w:ascii="Times New Roman" w:hAnsi="Times New Roman" w:eastAsia="宋体" w:cs="Times New Roman"/>
                <w:b/>
                <w:bCs/>
                <w:sz w:val="21"/>
                <w:szCs w:val="21"/>
              </w:rPr>
              <w:t>表1-1   专项评价设置原则表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3307"/>
              <w:gridCol w:w="3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75"/>
                    <w:jc w:val="center"/>
                  </w:pPr>
                  <w:r>
                    <w:t>专项评价的类别</w:t>
                  </w:r>
                </w:p>
              </w:tc>
              <w:tc>
                <w:tcPr>
                  <w:tcW w:w="2107" w:type="pct"/>
                  <w:vAlign w:val="center"/>
                </w:tcPr>
                <w:p>
                  <w:pPr>
                    <w:pStyle w:val="75"/>
                  </w:pPr>
                  <w:r>
                    <w:t>设置原则</w:t>
                  </w:r>
                </w:p>
              </w:tc>
              <w:tc>
                <w:tcPr>
                  <w:tcW w:w="2177" w:type="pct"/>
                  <w:vAlign w:val="center"/>
                </w:tcPr>
                <w:p>
                  <w:pPr>
                    <w:pStyle w:val="75"/>
                  </w:pPr>
                  <w: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75"/>
                  </w:pPr>
                  <w:r>
                    <w:t>大气</w:t>
                  </w:r>
                </w:p>
              </w:tc>
              <w:tc>
                <w:tcPr>
                  <w:tcW w:w="2107" w:type="pct"/>
                  <w:vAlign w:val="center"/>
                </w:tcPr>
                <w:p>
                  <w:pPr>
                    <w:pStyle w:val="75"/>
                    <w:rPr>
                      <w:color w:val="auto"/>
                    </w:rPr>
                  </w:pPr>
                  <w:r>
                    <w:rPr>
                      <w:color w:val="auto"/>
                    </w:rPr>
                    <w:t>排放废气含有毒有害污染物</w:t>
                  </w:r>
                  <w:r>
                    <w:rPr>
                      <w:color w:val="auto"/>
                      <w:vertAlign w:val="superscript"/>
                    </w:rPr>
                    <w:t>1</w:t>
                  </w:r>
                  <w:r>
                    <w:rPr>
                      <w:color w:val="auto"/>
                    </w:rPr>
                    <w:t>、二噁英、苯并[a]芘、氰化物、氯气且厂界外500米范围内有环境空气保护目标</w:t>
                  </w:r>
                  <w:r>
                    <w:rPr>
                      <w:color w:val="auto"/>
                      <w:vertAlign w:val="superscript"/>
                    </w:rPr>
                    <w:t>2</w:t>
                  </w:r>
                  <w:r>
                    <w:rPr>
                      <w:color w:val="auto"/>
                    </w:rPr>
                    <w:t>的建设项目</w:t>
                  </w:r>
                </w:p>
              </w:tc>
              <w:tc>
                <w:tcPr>
                  <w:tcW w:w="2177" w:type="pct"/>
                  <w:vAlign w:val="center"/>
                </w:tcPr>
                <w:p>
                  <w:pPr>
                    <w:pStyle w:val="75"/>
                    <w:rPr>
                      <w:color w:val="auto"/>
                    </w:rPr>
                  </w:pPr>
                  <w:r>
                    <w:rPr>
                      <w:color w:val="auto"/>
                    </w:rPr>
                    <w:t>本项目营运期废气污染物因子主要为</w:t>
                  </w:r>
                  <w:r>
                    <w:rPr>
                      <w:rFonts w:hint="eastAsia"/>
                      <w:color w:val="auto"/>
                      <w:lang w:eastAsia="zh-CN"/>
                    </w:rPr>
                    <w:t>氨气、硫化氢、</w:t>
                  </w:r>
                  <w:r>
                    <w:rPr>
                      <w:rFonts w:hint="eastAsia"/>
                      <w:color w:val="auto"/>
                      <w:lang w:val="en-US" w:eastAsia="zh-CN"/>
                    </w:rPr>
                    <w:t>臭气浓度</w:t>
                  </w:r>
                  <w:r>
                    <w:rPr>
                      <w:color w:val="auto"/>
                    </w:rPr>
                    <w:t>，均不属于有毒有害污染物，故本项目</w:t>
                  </w:r>
                  <w:r>
                    <w:rPr>
                      <w:rFonts w:hint="eastAsia"/>
                      <w:color w:val="auto"/>
                      <w:lang w:eastAsia="zh-CN"/>
                    </w:rPr>
                    <w:t>不</w:t>
                  </w:r>
                  <w:r>
                    <w:rPr>
                      <w:color w:val="auto"/>
                    </w:rPr>
                    <w:t>需开展大气专项评价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75"/>
                  </w:pPr>
                  <w:r>
                    <w:t>地表水</w:t>
                  </w:r>
                </w:p>
              </w:tc>
              <w:tc>
                <w:tcPr>
                  <w:tcW w:w="2107" w:type="pct"/>
                  <w:vAlign w:val="center"/>
                </w:tcPr>
                <w:p>
                  <w:pPr>
                    <w:pStyle w:val="75"/>
                  </w:pPr>
                  <w:r>
                    <w:t>新增工业废水直排建设项目（槽罐车外送污水处理厂的除外）；新增废水直排的污水集中处理厂</w:t>
                  </w:r>
                </w:p>
              </w:tc>
              <w:tc>
                <w:tcPr>
                  <w:tcW w:w="2177" w:type="pct"/>
                  <w:vAlign w:val="center"/>
                </w:tcPr>
                <w:p>
                  <w:pPr>
                    <w:pStyle w:val="75"/>
                  </w:pPr>
                  <w:r>
                    <w:t>本项目营运期</w:t>
                  </w:r>
                  <w:r>
                    <w:rPr>
                      <w:rFonts w:hint="eastAsia"/>
                    </w:rPr>
                    <w:t>不涉及</w:t>
                  </w:r>
                  <w:r>
                    <w:rPr>
                      <w:rFonts w:hint="eastAsia"/>
                      <w:lang w:val="en-US" w:eastAsia="zh-CN"/>
                    </w:rPr>
                    <w:t>工业</w:t>
                  </w:r>
                  <w:r>
                    <w:rPr>
                      <w:rFonts w:hint="eastAsia"/>
                    </w:rPr>
                    <w:t>废水</w:t>
                  </w:r>
                  <w:r>
                    <w:rPr>
                      <w:rFonts w:hint="eastAsia"/>
                      <w:lang w:val="en-US" w:eastAsia="zh-CN"/>
                    </w:rPr>
                    <w:t>直接</w:t>
                  </w:r>
                  <w:r>
                    <w:rPr>
                      <w:rFonts w:hint="eastAsia"/>
                    </w:rPr>
                    <w:t>排放</w:t>
                  </w:r>
                  <w:r>
                    <w:t>，故本项目无需开展地表水专项评价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75"/>
                  </w:pPr>
                  <w:r>
                    <w:t>环境风险</w:t>
                  </w:r>
                </w:p>
              </w:tc>
              <w:tc>
                <w:tcPr>
                  <w:tcW w:w="2107" w:type="pct"/>
                  <w:vAlign w:val="center"/>
                </w:tcPr>
                <w:p>
                  <w:pPr>
                    <w:pStyle w:val="75"/>
                  </w:pPr>
                  <w:r>
                    <w:t>有毒有害和易燃易爆危险物质存储量超过临界量</w:t>
                  </w:r>
                  <w:r>
                    <w:rPr>
                      <w:vertAlign w:val="superscript"/>
                    </w:rPr>
                    <w:t>3</w:t>
                  </w:r>
                  <w:r>
                    <w:t>的建设项目</w:t>
                  </w:r>
                </w:p>
              </w:tc>
              <w:tc>
                <w:tcPr>
                  <w:tcW w:w="2177" w:type="pct"/>
                  <w:vAlign w:val="center"/>
                </w:tcPr>
                <w:p>
                  <w:pPr>
                    <w:pStyle w:val="75"/>
                  </w:pPr>
                  <w:r>
                    <w:t>本项目</w:t>
                  </w:r>
                  <w:r>
                    <w:rPr>
                      <w:rFonts w:hint="eastAsia"/>
                      <w:lang w:val="en-US" w:eastAsia="zh-CN"/>
                    </w:rPr>
                    <w:t>不涉及</w:t>
                  </w:r>
                  <w:r>
                    <w:t>有毒有害和易燃易爆危险物质，故本项目无需开展环境风险专项评价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75"/>
                  </w:pPr>
                  <w:r>
                    <w:t>生态</w:t>
                  </w:r>
                </w:p>
              </w:tc>
              <w:tc>
                <w:tcPr>
                  <w:tcW w:w="2107" w:type="pct"/>
                  <w:vAlign w:val="center"/>
                </w:tcPr>
                <w:p>
                  <w:pPr>
                    <w:pStyle w:val="75"/>
                  </w:pPr>
                  <w:r>
                    <w:t>取水口下游500米范围内有重要水生生物的自然产卵场、索饵场、越冬场和洄游通道的新增河道取水的污染类建设项目</w:t>
                  </w:r>
                </w:p>
              </w:tc>
              <w:tc>
                <w:tcPr>
                  <w:tcW w:w="2177" w:type="pct"/>
                  <w:vAlign w:val="center"/>
                </w:tcPr>
                <w:p>
                  <w:pPr>
                    <w:pStyle w:val="75"/>
                  </w:pPr>
                  <w:r>
                    <w:t>本项目不涉及取水，故本项目无需开展生态专项评价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75"/>
                  </w:pPr>
                  <w:r>
                    <w:t>海洋</w:t>
                  </w:r>
                </w:p>
              </w:tc>
              <w:tc>
                <w:tcPr>
                  <w:tcW w:w="2107" w:type="pct"/>
                  <w:vAlign w:val="center"/>
                </w:tcPr>
                <w:p>
                  <w:pPr>
                    <w:pStyle w:val="75"/>
                  </w:pPr>
                  <w:r>
                    <w:t>直接向海排放污染物的海洋工程建设项目</w:t>
                  </w:r>
                </w:p>
              </w:tc>
              <w:tc>
                <w:tcPr>
                  <w:tcW w:w="2177" w:type="pct"/>
                  <w:vAlign w:val="center"/>
                </w:tcPr>
                <w:p>
                  <w:pPr>
                    <w:pStyle w:val="75"/>
                  </w:pPr>
                  <w:r>
                    <w:t>本项目不属于海洋工程建设项目，故本项目无需开展海洋专项评价</w:t>
                  </w:r>
                </w:p>
              </w:tc>
            </w:tr>
          </w:tbl>
          <w:p>
            <w:pPr>
              <w:pStyle w:val="75"/>
              <w:ind w:firstLine="420" w:firstLineChars="200"/>
              <w:jc w:val="left"/>
            </w:pPr>
            <w:r>
              <w:t>注：1.废气中有毒有害污染物指纳入《有毒有害大气污染物名录》的污染物（不包括无排放标准的污染物）。</w:t>
            </w:r>
          </w:p>
          <w:p>
            <w:pPr>
              <w:pStyle w:val="75"/>
              <w:ind w:firstLine="420" w:firstLineChars="200"/>
              <w:jc w:val="left"/>
            </w:pPr>
            <w:r>
              <w:t>2.环境空气保护目标指自然保护区、风景名胜区、居住区、文化区和农村地区中人群较集中的区域。</w:t>
            </w:r>
          </w:p>
          <w:p>
            <w:pPr>
              <w:ind w:firstLine="420" w:firstLineChars="200"/>
              <w:rPr>
                <w:rFonts w:ascii="Times New Roman" w:hAnsi="Times New Roman" w:eastAsia="宋体" w:cs="Times New Roman"/>
              </w:rPr>
            </w:pPr>
            <w:r>
              <w:rPr>
                <w:rFonts w:ascii="Times New Roman" w:hAnsi="Times New Roman" w:eastAsia="宋体" w:cs="Times New Roman"/>
              </w:rPr>
              <w:t>3.临界量及其计算方法可参考《建设项目环境风险评价技术导则》（HJ 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85" w:type="dxa"/>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szCs w:val="21"/>
              </w:rPr>
              <w:t>规划情况</w:t>
            </w:r>
          </w:p>
        </w:tc>
        <w:tc>
          <w:tcPr>
            <w:tcW w:w="8073" w:type="dxa"/>
            <w:gridSpan w:val="3"/>
            <w:vAlign w:val="center"/>
          </w:tcPr>
          <w:p>
            <w:pPr>
              <w:autoSpaceDE w:val="0"/>
              <w:autoSpaceDN w:val="0"/>
              <w:adjustRightInd w:val="0"/>
              <w:snapToGrid w:val="0"/>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5"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szCs w:val="21"/>
              </w:rPr>
              <w:t>规划环境影响评价情况</w:t>
            </w:r>
          </w:p>
        </w:tc>
        <w:tc>
          <w:tcPr>
            <w:tcW w:w="8073" w:type="dxa"/>
            <w:gridSpan w:val="3"/>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185" w:type="dxa"/>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规划及规划环境影响评价符合性分析</w:t>
            </w:r>
          </w:p>
        </w:tc>
        <w:tc>
          <w:tcPr>
            <w:tcW w:w="8073" w:type="dxa"/>
            <w:gridSpan w:val="3"/>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185" w:type="dxa"/>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 w:val="22"/>
              </w:rPr>
              <w:t>其他符合性分析</w:t>
            </w:r>
          </w:p>
        </w:tc>
        <w:tc>
          <w:tcPr>
            <w:tcW w:w="8073" w:type="dxa"/>
            <w:gridSpan w:val="3"/>
            <w:vAlign w:val="center"/>
          </w:tcPr>
          <w:p>
            <w:pPr>
              <w:autoSpaceDE w:val="0"/>
              <w:autoSpaceDN w:val="0"/>
              <w:adjustRightInd w:val="0"/>
              <w:snapToGrid w:val="0"/>
              <w:spacing w:line="440" w:lineRule="exact"/>
              <w:rPr>
                <w:rFonts w:ascii="Times New Roman" w:hAnsi="Times New Roman" w:eastAsia="宋体" w:cs="Times New Roman"/>
                <w:b/>
                <w:kern w:val="0"/>
                <w:sz w:val="24"/>
              </w:rPr>
            </w:pPr>
            <w:r>
              <w:rPr>
                <w:rFonts w:ascii="Times New Roman" w:hAnsi="Times New Roman" w:eastAsia="宋体" w:cs="Times New Roman"/>
                <w:b/>
                <w:bCs/>
                <w:kern w:val="0"/>
                <w:sz w:val="24"/>
              </w:rPr>
              <w:t>1.</w:t>
            </w:r>
            <w:r>
              <w:rPr>
                <w:rFonts w:hint="eastAsia" w:ascii="Times New Roman" w:hAnsi="Times New Roman" w:eastAsia="宋体" w:cs="Times New Roman"/>
                <w:b/>
                <w:bCs/>
                <w:kern w:val="0"/>
                <w:sz w:val="24"/>
                <w:lang w:val="en-US" w:eastAsia="zh-CN"/>
              </w:rPr>
              <w:t>1</w:t>
            </w:r>
            <w:r>
              <w:rPr>
                <w:rFonts w:ascii="Times New Roman" w:hAnsi="Times New Roman" w:eastAsia="宋体" w:cs="Times New Roman"/>
                <w:b/>
                <w:bCs/>
                <w:kern w:val="0"/>
                <w:sz w:val="24"/>
              </w:rPr>
              <w:t xml:space="preserve"> </w:t>
            </w:r>
            <w:r>
              <w:rPr>
                <w:rFonts w:ascii="Times New Roman" w:hAnsi="Times New Roman" w:eastAsia="宋体" w:cs="Times New Roman"/>
                <w:b/>
                <w:kern w:val="0"/>
                <w:sz w:val="24"/>
              </w:rPr>
              <w:t>其他符合性分析</w:t>
            </w:r>
          </w:p>
          <w:p>
            <w:pPr>
              <w:autoSpaceDE w:val="0"/>
              <w:autoSpaceDN w:val="0"/>
              <w:adjustRightInd w:val="0"/>
              <w:snapToGrid w:val="0"/>
              <w:spacing w:line="440" w:lineRule="exact"/>
              <w:rPr>
                <w:rFonts w:ascii="Times New Roman" w:hAnsi="Times New Roman" w:eastAsia="宋体" w:cs="Times New Roman"/>
                <w:b/>
                <w:kern w:val="0"/>
                <w:sz w:val="24"/>
              </w:rPr>
            </w:pPr>
            <w:r>
              <w:rPr>
                <w:rFonts w:ascii="Times New Roman" w:hAnsi="Times New Roman" w:eastAsia="宋体" w:cs="Times New Roman"/>
                <w:b/>
                <w:bCs/>
                <w:kern w:val="0"/>
                <w:sz w:val="24"/>
              </w:rPr>
              <w:t>1.</w:t>
            </w:r>
            <w:r>
              <w:rPr>
                <w:rFonts w:hint="eastAsia" w:ascii="Times New Roman" w:hAnsi="Times New Roman" w:eastAsia="宋体" w:cs="Times New Roman"/>
                <w:b/>
                <w:bCs/>
                <w:kern w:val="0"/>
                <w:sz w:val="24"/>
                <w:lang w:val="en-US" w:eastAsia="zh-CN"/>
              </w:rPr>
              <w:t>1</w:t>
            </w:r>
            <w:r>
              <w:rPr>
                <w:rFonts w:ascii="Times New Roman" w:hAnsi="Times New Roman" w:eastAsia="宋体" w:cs="Times New Roman"/>
                <w:b/>
                <w:bCs/>
                <w:kern w:val="0"/>
                <w:sz w:val="24"/>
              </w:rPr>
              <w:t>.1 “</w:t>
            </w:r>
            <w:r>
              <w:rPr>
                <w:rFonts w:ascii="Times New Roman" w:hAnsi="Times New Roman" w:eastAsia="宋体" w:cs="Times New Roman"/>
                <w:b/>
                <w:kern w:val="0"/>
                <w:sz w:val="24"/>
              </w:rPr>
              <w:t>三线一单</w:t>
            </w:r>
            <w:r>
              <w:rPr>
                <w:rFonts w:ascii="Times New Roman" w:hAnsi="Times New Roman" w:eastAsia="宋体" w:cs="Times New Roman"/>
                <w:b/>
                <w:bCs/>
                <w:kern w:val="0"/>
                <w:sz w:val="24"/>
              </w:rPr>
              <w:t>”</w:t>
            </w:r>
            <w:r>
              <w:rPr>
                <w:rFonts w:ascii="Times New Roman" w:hAnsi="Times New Roman" w:eastAsia="宋体" w:cs="Times New Roman"/>
                <w:b/>
                <w:kern w:val="0"/>
                <w:sz w:val="24"/>
              </w:rPr>
              <w:t>符合性分析</w:t>
            </w:r>
          </w:p>
          <w:p>
            <w:pPr>
              <w:autoSpaceDE w:val="0"/>
              <w:autoSpaceDN w:val="0"/>
              <w:adjustRightInd w:val="0"/>
              <w:spacing w:line="440" w:lineRule="exact"/>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kern w:val="0"/>
                <w:sz w:val="24"/>
                <w:szCs w:val="24"/>
                <w:lang w:val="zh-CN" w:eastAsia="zh-CN"/>
              </w:rPr>
              <w:t>本项目</w:t>
            </w:r>
            <w:r>
              <w:rPr>
                <w:rFonts w:hint="default" w:ascii="Times New Roman" w:hAnsi="Times New Roman" w:eastAsia="宋体" w:cs="Times New Roman"/>
                <w:kern w:val="0"/>
                <w:sz w:val="24"/>
                <w:szCs w:val="24"/>
                <w:lang w:val="zh-CN"/>
              </w:rPr>
              <w:t>位于</w:t>
            </w:r>
            <w:r>
              <w:rPr>
                <w:rFonts w:hint="eastAsia" w:ascii="Times New Roman" w:hAnsi="Times New Roman" w:eastAsia="宋体" w:cs="Times New Roman"/>
                <w:kern w:val="0"/>
                <w:sz w:val="24"/>
                <w:szCs w:val="24"/>
                <w:lang w:val="zh-CN"/>
              </w:rPr>
              <w:t>重庆市铜梁区侣俸镇凤飞村</w:t>
            </w:r>
            <w:r>
              <w:rPr>
                <w:rFonts w:hint="default" w:ascii="Times New Roman" w:hAnsi="Times New Roman" w:eastAsia="宋体" w:cs="Times New Roman"/>
                <w:kern w:val="0"/>
                <w:sz w:val="24"/>
                <w:szCs w:val="24"/>
                <w:lang w:val="zh-CN"/>
              </w:rPr>
              <w:t>，通过与现有</w:t>
            </w:r>
            <w:r>
              <w:rPr>
                <w:rFonts w:hint="eastAsia" w:ascii="Times New Roman" w:hAnsi="Times New Roman" w:eastAsia="宋体" w:cs="Times New Roman"/>
                <w:kern w:val="0"/>
                <w:sz w:val="24"/>
                <w:szCs w:val="24"/>
                <w:lang w:val="zh-CN"/>
              </w:rPr>
              <w:t>铜梁区</w:t>
            </w:r>
            <w:r>
              <w:rPr>
                <w:rFonts w:hint="default" w:ascii="Times New Roman" w:hAnsi="Times New Roman" w:eastAsia="宋体" w:cs="Times New Roman"/>
                <w:kern w:val="0"/>
                <w:sz w:val="24"/>
                <w:szCs w:val="24"/>
                <w:lang w:val="zh-CN"/>
              </w:rPr>
              <w:t>生态保护红线</w:t>
            </w:r>
            <w:r>
              <w:rPr>
                <w:rFonts w:hint="default" w:ascii="Times New Roman" w:hAnsi="Times New Roman" w:eastAsia="宋体" w:cs="Times New Roman"/>
                <w:kern w:val="0"/>
                <w:sz w:val="24"/>
                <w:szCs w:val="24"/>
                <w:lang w:val="zh-CN" w:eastAsia="zh-CN"/>
              </w:rPr>
              <w:t>及</w:t>
            </w:r>
            <w:r>
              <w:rPr>
                <w:rFonts w:hint="default" w:ascii="Times New Roman" w:hAnsi="Times New Roman" w:eastAsia="宋体" w:cs="Times New Roman"/>
                <w:kern w:val="0"/>
                <w:sz w:val="24"/>
                <w:szCs w:val="24"/>
                <w:lang w:val="zh-CN"/>
              </w:rPr>
              <w:t>现有一般生态空间相对照，</w:t>
            </w:r>
            <w:r>
              <w:rPr>
                <w:rFonts w:hint="default" w:ascii="Times New Roman" w:hAnsi="Times New Roman" w:eastAsia="宋体" w:cs="Times New Roman"/>
                <w:kern w:val="0"/>
                <w:sz w:val="24"/>
                <w:szCs w:val="24"/>
                <w:lang w:val="zh-CN" w:eastAsia="zh-CN"/>
              </w:rPr>
              <w:t>不涉及生态保护红线及一般生态空</w:t>
            </w:r>
            <w:r>
              <w:rPr>
                <w:rFonts w:hint="default" w:ascii="Times New Roman" w:hAnsi="Times New Roman" w:eastAsia="宋体" w:cs="Times New Roman"/>
                <w:color w:val="auto"/>
                <w:kern w:val="0"/>
                <w:sz w:val="24"/>
                <w:szCs w:val="24"/>
                <w:lang w:val="zh-CN" w:eastAsia="zh-CN"/>
              </w:rPr>
              <w:t>间</w:t>
            </w:r>
            <w:r>
              <w:rPr>
                <w:rFonts w:hint="default" w:ascii="Times New Roman" w:hAnsi="Times New Roman" w:eastAsia="宋体" w:cs="Times New Roman"/>
                <w:color w:val="auto"/>
                <w:kern w:val="0"/>
                <w:sz w:val="24"/>
                <w:szCs w:val="24"/>
                <w:lang w:val="zh-CN"/>
              </w:rPr>
              <w:t>。</w:t>
            </w:r>
            <w:r>
              <w:rPr>
                <w:rFonts w:hint="default" w:ascii="Times New Roman" w:hAnsi="Times New Roman" w:eastAsia="宋体" w:cs="Times New Roman"/>
                <w:color w:val="auto"/>
                <w:kern w:val="0"/>
                <w:sz w:val="24"/>
                <w:szCs w:val="24"/>
                <w:lang w:val="zh-CN" w:eastAsia="zh-CN"/>
              </w:rPr>
              <w:t>本项目属于</w:t>
            </w:r>
            <w:r>
              <w:rPr>
                <w:rFonts w:hint="eastAsia" w:ascii="Times New Roman" w:hAnsi="Times New Roman" w:eastAsia="宋体" w:cs="Times New Roman"/>
                <w:kern w:val="0"/>
                <w:sz w:val="24"/>
                <w:szCs w:val="24"/>
                <w:lang w:val="zh-CN"/>
              </w:rPr>
              <w:t>铜梁区</w:t>
            </w:r>
            <w:r>
              <w:rPr>
                <w:rFonts w:hint="default" w:ascii="Times New Roman" w:hAnsi="Times New Roman" w:eastAsia="宋体" w:cs="Times New Roman"/>
                <w:b w:val="0"/>
                <w:color w:val="auto"/>
                <w:sz w:val="24"/>
                <w:szCs w:val="24"/>
                <w:lang w:val="zh-CN" w:eastAsia="zh-CN"/>
              </w:rPr>
              <w:t>“三线一单”一般管控单元中的铜梁区一般管控单元-琼江中和铜梁段（编码ZH50015130003）</w:t>
            </w:r>
            <w:r>
              <w:rPr>
                <w:rFonts w:hint="default" w:ascii="Times New Roman" w:hAnsi="Times New Roman" w:eastAsia="宋体" w:cs="Times New Roman"/>
                <w:b w:val="0"/>
                <w:color w:val="auto"/>
                <w:sz w:val="24"/>
                <w:szCs w:val="24"/>
                <w:lang w:val="zh-CN"/>
              </w:rPr>
              <w:t>，环境管控单元分类：</w:t>
            </w:r>
            <w:r>
              <w:rPr>
                <w:rFonts w:hint="default" w:ascii="Times New Roman" w:hAnsi="Times New Roman" w:eastAsia="宋体" w:cs="Times New Roman"/>
                <w:b w:val="0"/>
                <w:color w:val="auto"/>
                <w:sz w:val="24"/>
                <w:szCs w:val="24"/>
                <w:lang w:val="zh-CN" w:eastAsia="zh-CN"/>
              </w:rPr>
              <w:t>重点管控单元</w:t>
            </w:r>
            <w:r>
              <w:rPr>
                <w:rFonts w:hint="eastAsia" w:ascii="Times New Roman" w:hAnsi="Times New Roman" w:eastAsia="宋体" w:cs="Times New Roman"/>
                <w:b w:val="0"/>
                <w:color w:val="auto"/>
                <w:sz w:val="24"/>
                <w:szCs w:val="24"/>
                <w:lang w:val="en-US" w:eastAsia="zh-CN"/>
              </w:rPr>
              <w:t>3</w:t>
            </w:r>
            <w:r>
              <w:rPr>
                <w:rFonts w:hint="default" w:ascii="Times New Roman" w:hAnsi="Times New Roman" w:eastAsia="宋体" w:cs="Times New Roman"/>
                <w:color w:val="auto"/>
                <w:kern w:val="0"/>
                <w:sz w:val="24"/>
                <w:szCs w:val="24"/>
                <w:lang w:val="zh-CN"/>
              </w:rPr>
              <w:t>，</w:t>
            </w:r>
            <w:r>
              <w:rPr>
                <w:rFonts w:hint="eastAsia" w:ascii="Times New Roman" w:hAnsi="Times New Roman" w:eastAsia="宋体" w:cs="Times New Roman"/>
                <w:color w:val="auto"/>
                <w:kern w:val="0"/>
                <w:sz w:val="24"/>
                <w:szCs w:val="24"/>
                <w:lang w:val="zh-CN"/>
              </w:rPr>
              <w:t>本</w:t>
            </w:r>
            <w:r>
              <w:rPr>
                <w:rFonts w:hint="default" w:ascii="Times New Roman" w:hAnsi="Times New Roman" w:eastAsia="宋体" w:cs="Times New Roman"/>
                <w:color w:val="auto"/>
                <w:kern w:val="0"/>
                <w:sz w:val="24"/>
                <w:szCs w:val="24"/>
                <w:lang w:val="zh-CN" w:eastAsia="zh-CN"/>
              </w:rPr>
              <w:t>项目</w:t>
            </w:r>
            <w:r>
              <w:rPr>
                <w:rFonts w:hint="default" w:ascii="Times New Roman" w:hAnsi="Times New Roman" w:eastAsia="宋体" w:cs="Times New Roman"/>
                <w:color w:val="auto"/>
                <w:kern w:val="0"/>
                <w:sz w:val="24"/>
                <w:szCs w:val="24"/>
                <w:lang w:val="zh-CN"/>
              </w:rPr>
              <w:t>符合“三线一单”管控要求</w:t>
            </w:r>
            <w:r>
              <w:rPr>
                <w:rFonts w:hint="eastAsia" w:ascii="Times New Roman" w:hAnsi="Times New Roman" w:eastAsia="宋体" w:cs="Times New Roman"/>
                <w:color w:val="auto"/>
                <w:kern w:val="0"/>
                <w:sz w:val="24"/>
                <w:szCs w:val="24"/>
                <w:lang w:val="zh-CN"/>
              </w:rPr>
              <w:t>，项目</w:t>
            </w:r>
            <w:r>
              <w:rPr>
                <w:rFonts w:hint="default" w:ascii="Times New Roman" w:hAnsi="Times New Roman" w:eastAsia="宋体" w:cs="Times New Roman"/>
                <w:color w:val="auto"/>
                <w:kern w:val="0"/>
                <w:sz w:val="24"/>
                <w:szCs w:val="24"/>
                <w:lang w:val="zh-CN"/>
              </w:rPr>
              <w:t>与</w:t>
            </w:r>
            <w:r>
              <w:rPr>
                <w:rFonts w:hint="eastAsia" w:ascii="Times New Roman" w:hAnsi="Times New Roman" w:eastAsia="宋体" w:cs="Times New Roman"/>
                <w:color w:val="auto"/>
                <w:kern w:val="0"/>
                <w:sz w:val="24"/>
                <w:szCs w:val="24"/>
                <w:lang w:val="zh-CN" w:eastAsia="zh-CN"/>
              </w:rPr>
              <w:t>“</w:t>
            </w:r>
            <w:r>
              <w:rPr>
                <w:rFonts w:hint="default" w:ascii="Times New Roman" w:hAnsi="Times New Roman" w:eastAsia="宋体" w:cs="Times New Roman"/>
                <w:color w:val="auto"/>
                <w:kern w:val="0"/>
                <w:sz w:val="24"/>
                <w:szCs w:val="24"/>
                <w:lang w:val="zh-CN" w:eastAsia="zh-CN"/>
              </w:rPr>
              <w:t>三线一单</w:t>
            </w:r>
            <w:r>
              <w:rPr>
                <w:rFonts w:hint="eastAsia" w:ascii="Times New Roman" w:hAnsi="Times New Roman" w:eastAsia="宋体" w:cs="Times New Roman"/>
                <w:color w:val="auto"/>
                <w:kern w:val="0"/>
                <w:sz w:val="24"/>
                <w:szCs w:val="24"/>
                <w:lang w:val="zh-CN" w:eastAsia="zh-CN"/>
              </w:rPr>
              <w:t>”</w:t>
            </w:r>
            <w:r>
              <w:rPr>
                <w:rFonts w:hint="default" w:ascii="Times New Roman" w:hAnsi="Times New Roman" w:eastAsia="宋体" w:cs="Times New Roman"/>
                <w:color w:val="auto"/>
                <w:kern w:val="0"/>
                <w:sz w:val="24"/>
                <w:szCs w:val="24"/>
                <w:lang w:val="zh-CN"/>
              </w:rPr>
              <w:t>符合性见</w:t>
            </w:r>
            <w:r>
              <w:rPr>
                <w:rFonts w:hint="eastAsia" w:ascii="Times New Roman" w:hAnsi="Times New Roman" w:eastAsia="宋体" w:cs="Times New Roman"/>
                <w:color w:val="auto"/>
                <w:kern w:val="0"/>
                <w:sz w:val="24"/>
                <w:szCs w:val="24"/>
                <w:lang w:eastAsia="zh-CN"/>
              </w:rPr>
              <w:t>表</w:t>
            </w:r>
            <w:r>
              <w:rPr>
                <w:rFonts w:hint="eastAsia" w:ascii="Times New Roman" w:hAnsi="Times New Roman" w:eastAsia="宋体" w:cs="Times New Roman"/>
                <w:color w:val="auto"/>
                <w:kern w:val="0"/>
                <w:sz w:val="24"/>
                <w:szCs w:val="24"/>
                <w:lang w:val="en-US" w:eastAsia="zh-CN"/>
              </w:rPr>
              <w:t>1.1-1。</w:t>
            </w:r>
          </w:p>
          <w:p>
            <w:pPr>
              <w:autoSpaceDE w:val="0"/>
              <w:autoSpaceDN w:val="0"/>
              <w:adjustRightInd w:val="0"/>
              <w:spacing w:line="440" w:lineRule="exact"/>
              <w:ind w:firstLine="480" w:firstLineChars="200"/>
              <w:jc w:val="left"/>
              <w:rPr>
                <w:rFonts w:ascii="Times New Roman" w:hAnsi="Times New Roman" w:eastAsia="宋体" w:cs="Times New Roman"/>
                <w:color w:val="auto"/>
                <w:kern w:val="0"/>
                <w:sz w:val="24"/>
                <w:szCs w:val="24"/>
              </w:rPr>
            </w:pPr>
          </w:p>
          <w:p>
            <w:pPr>
              <w:autoSpaceDE w:val="0"/>
              <w:autoSpaceDN w:val="0"/>
              <w:adjustRightInd w:val="0"/>
              <w:snapToGrid w:val="0"/>
              <w:jc w:val="center"/>
              <w:rPr>
                <w:rFonts w:ascii="Times New Roman" w:hAnsi="Times New Roman" w:eastAsia="宋体" w:cs="Times New Roman"/>
                <w:kern w:val="0"/>
                <w:szCs w:val="21"/>
              </w:rPr>
            </w:pPr>
          </w:p>
        </w:tc>
      </w:tr>
    </w:tbl>
    <w:p>
      <w:pPr>
        <w:autoSpaceDE w:val="0"/>
        <w:autoSpaceDN w:val="0"/>
        <w:adjustRightInd w:val="0"/>
        <w:snapToGrid w:val="0"/>
        <w:jc w:val="center"/>
        <w:rPr>
          <w:rFonts w:ascii="Times New Roman" w:hAnsi="Times New Roman" w:eastAsia="宋体" w:cs="Times New Roman"/>
          <w:kern w:val="0"/>
          <w:sz w:val="22"/>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ascii="Times New Roman" w:hAnsi="Times New Roman" w:eastAsia="宋体" w:cs="Times New Roman"/>
          <w:kern w:val="0"/>
          <w:sz w:val="22"/>
        </w:rPr>
        <w:br w:type="page"/>
      </w:r>
    </w:p>
    <w:p>
      <w:pPr>
        <w:autoSpaceDE w:val="0"/>
        <w:autoSpaceDN w:val="0"/>
        <w:adjustRightInd w:val="0"/>
        <w:snapToGrid w:val="0"/>
        <w:jc w:val="center"/>
        <w:rPr>
          <w:rFonts w:hint="default" w:ascii="Times New Roman" w:hAnsi="Times New Roman" w:eastAsia="宋体" w:cs="Times New Roman"/>
          <w:kern w:val="0"/>
          <w:sz w:val="22"/>
          <w:lang w:eastAsia="zh-CN"/>
        </w:rPr>
      </w:pPr>
      <w:r>
        <w:rPr>
          <w:rFonts w:hint="default" w:ascii="Times New Roman" w:hAnsi="Times New Roman" w:eastAsia="宋体" w:cs="Times New Roman"/>
          <w:b/>
          <w:bCs/>
          <w:sz w:val="24"/>
          <w:szCs w:val="24"/>
          <w:lang w:eastAsia="zh-CN"/>
        </w:rPr>
        <w:t>表</w:t>
      </w:r>
      <w:r>
        <w:rPr>
          <w:rFonts w:hint="default"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en-US" w:eastAsia="zh-CN"/>
        </w:rPr>
        <w:t xml:space="preserve">-1   </w:t>
      </w:r>
      <w:r>
        <w:rPr>
          <w:rFonts w:hint="default" w:ascii="Times New Roman" w:hAnsi="Times New Roman" w:eastAsia="宋体" w:cs="Times New Roman"/>
          <w:b/>
          <w:bCs/>
          <w:sz w:val="24"/>
          <w:szCs w:val="24"/>
          <w:lang w:eastAsia="zh-CN"/>
        </w:rPr>
        <w:t>建设项目与“三线一单”管控要求的符合性分析表</w:t>
      </w:r>
    </w:p>
    <w:tbl>
      <w:tblPr>
        <w:tblStyle w:val="20"/>
        <w:tblW w:w="4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311"/>
        <w:gridCol w:w="8138"/>
        <w:gridCol w:w="2197"/>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9" w:type="dxa"/>
            <w:gridSpan w:val="2"/>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环境管控单元编码</w:t>
            </w:r>
          </w:p>
        </w:tc>
        <w:tc>
          <w:tcPr>
            <w:tcW w:w="8138"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环境管控单元名称</w:t>
            </w:r>
          </w:p>
        </w:tc>
        <w:tc>
          <w:tcPr>
            <w:tcW w:w="3317" w:type="dxa"/>
            <w:gridSpan w:val="2"/>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9" w:type="dxa"/>
            <w:gridSpan w:val="2"/>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val="zh-CN" w:eastAsia="zh-CN"/>
              </w:rPr>
              <w:t>ZH50015130003</w:t>
            </w:r>
          </w:p>
        </w:tc>
        <w:tc>
          <w:tcPr>
            <w:tcW w:w="8138"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铜梁区一般管控单元-琼江中和铜梁段</w:t>
            </w:r>
          </w:p>
        </w:tc>
        <w:tc>
          <w:tcPr>
            <w:tcW w:w="3317" w:type="dxa"/>
            <w:gridSpan w:val="2"/>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一般管控单元</w:t>
            </w:r>
            <w:r>
              <w:rPr>
                <w:rFonts w:hint="eastAsia" w:ascii="Times New Roman" w:hAnsi="Times New Roman" w:cs="Times New Roman"/>
                <w:b w:val="0"/>
                <w:bCs w:val="0"/>
                <w:kern w:val="0"/>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108"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管控要求层级</w:t>
            </w:r>
          </w:p>
        </w:tc>
        <w:tc>
          <w:tcPr>
            <w:tcW w:w="1311"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管控类型</w:t>
            </w:r>
          </w:p>
        </w:tc>
        <w:tc>
          <w:tcPr>
            <w:tcW w:w="8138"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管控要求</w:t>
            </w:r>
          </w:p>
        </w:tc>
        <w:tc>
          <w:tcPr>
            <w:tcW w:w="2197"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建设项目相关情况</w:t>
            </w:r>
          </w:p>
        </w:tc>
        <w:tc>
          <w:tcPr>
            <w:tcW w:w="1120"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符合性分析结论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8" w:type="dxa"/>
            <w:vMerge w:val="restart"/>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全市总体管控要求</w:t>
            </w:r>
          </w:p>
        </w:tc>
        <w:tc>
          <w:tcPr>
            <w:tcW w:w="1311" w:type="dxa"/>
            <w:noWrap w:val="0"/>
            <w:vAlign w:val="center"/>
          </w:tcPr>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空间布局约束</w:t>
            </w:r>
          </w:p>
        </w:tc>
        <w:tc>
          <w:tcPr>
            <w:tcW w:w="8138" w:type="dxa"/>
            <w:noWrap w:val="0"/>
            <w:vAlign w:val="center"/>
          </w:tcPr>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 严格执行《产业结构调整指导目录》、《重庆市产业投资准入工作手册》、《重庆市工业项目环境准入规定》、《重庆市长江经济带发展负面清单指南实施细则（试行）》等文件要求，优化重点区域、流域、产业的空间布局。对不符合准入要求的既有项目，依法依规实施整改、退出等分类治理方案。</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2. 禁止在长江干流及主要支流岸线1公里范围内新建重化工、纺织、造纸等存在污染风险的工业项目，禁止在长江干支流1公里范围内新建、扩建化工园区和化工项目。5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扩建）项目</w:t>
            </w:r>
            <w:r>
              <w:rPr>
                <w:rFonts w:hint="default" w:ascii="Times New Roman" w:hAnsi="Times New Roman" w:eastAsia="宋体" w:cs="Times New Roman"/>
                <w:b w:val="0"/>
                <w:bCs w:val="0"/>
                <w:color w:val="auto"/>
                <w:sz w:val="21"/>
                <w:szCs w:val="21"/>
                <w:lang w:eastAsia="zh-CN"/>
              </w:rPr>
              <w:t>。</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3. 在长江鱼嘴以上江段及其一级支流汇入口上游20 公里、嘉陵江及其一级支流汇入口上游20 公里、集中式饮用水水源取水口上游20 公里范围内的沿岸地区（江河50 年一遇洪水位向陆域一侧1 公里范围内），禁止新建、扩建排放重点重金属（铬、镉、汞、砷、铅等五类重金属）、剧毒物质和持久性有机污染物的工业项目</w:t>
            </w:r>
            <w:r>
              <w:rPr>
                <w:rFonts w:hint="default" w:ascii="Times New Roman" w:hAnsi="Times New Roman" w:eastAsia="宋体" w:cs="Times New Roman"/>
                <w:b w:val="0"/>
                <w:bCs w:val="0"/>
                <w:color w:val="auto"/>
                <w:sz w:val="21"/>
                <w:szCs w:val="21"/>
                <w:lang w:eastAsia="zh-CN"/>
              </w:rPr>
              <w:t>。</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4. 严格执行相关行业企业布局选址要求，优化环境防护距离设置，按要求设置生态隔离带，防范工业园区（工业集聚区）涉生态环境“邻避”问题，将环境防护距离优化控制在园区边界或用地红线以内</w:t>
            </w:r>
            <w:r>
              <w:rPr>
                <w:rFonts w:hint="default" w:ascii="Times New Roman" w:hAnsi="Times New Roman" w:eastAsia="宋体" w:cs="Times New Roman"/>
                <w:b w:val="0"/>
                <w:bCs w:val="0"/>
                <w:color w:val="auto"/>
                <w:sz w:val="21"/>
                <w:szCs w:val="21"/>
                <w:lang w:eastAsia="zh-CN"/>
              </w:rPr>
              <w:t>。</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5. 加快布局分散的企业向园区集中，鼓励现有工业项目、化工项目分别搬入工业集聚区、化工产业集聚区</w:t>
            </w:r>
            <w:r>
              <w:rPr>
                <w:rFonts w:hint="default" w:ascii="Times New Roman" w:hAnsi="Times New Roman" w:eastAsia="宋体" w:cs="Times New Roman"/>
                <w:b w:val="0"/>
                <w:bCs w:val="0"/>
                <w:color w:val="auto"/>
                <w:sz w:val="21"/>
                <w:szCs w:val="21"/>
                <w:lang w:eastAsia="zh-CN"/>
              </w:rPr>
              <w:t>。</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6. 优化城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p>
        </w:tc>
        <w:tc>
          <w:tcPr>
            <w:tcW w:w="2197" w:type="dxa"/>
            <w:noWrap w:val="0"/>
            <w:vAlign w:val="center"/>
          </w:tcPr>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项目位于</w:t>
            </w:r>
            <w:r>
              <w:rPr>
                <w:rFonts w:hint="eastAsia" w:ascii="Times New Roman" w:hAnsi="Times New Roman" w:eastAsia="宋体" w:cs="Times New Roman"/>
                <w:sz w:val="21"/>
                <w:szCs w:val="21"/>
                <w:lang w:eastAsia="zh-CN"/>
              </w:rPr>
              <w:t>重庆市铜梁区侣俸镇凤飞村</w:t>
            </w:r>
            <w:r>
              <w:rPr>
                <w:rFonts w:hint="default" w:ascii="Times New Roman" w:hAnsi="Times New Roman" w:eastAsia="宋体" w:cs="Times New Roman"/>
                <w:sz w:val="21"/>
                <w:szCs w:val="21"/>
              </w:rPr>
              <w:t>，不在长江干流及主要支流岸线1公里范围内</w:t>
            </w:r>
            <w:r>
              <w:rPr>
                <w:rFonts w:hint="default" w:ascii="Times New Roman" w:hAnsi="Times New Roman" w:eastAsia="宋体" w:cs="Times New Roman"/>
                <w:b w:val="0"/>
                <w:bCs w:val="0"/>
                <w:color w:val="auto"/>
                <w:sz w:val="21"/>
                <w:szCs w:val="21"/>
              </w:rPr>
              <w:t>，项目满足产业政策要求，不属于《产业结构调整指导目录》、《重庆市产业投资准入工作手册》、《重庆市工业项目环境准入规定》等文件限制和禁止产业</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vertAlign w:val="baseline"/>
                <w:lang w:val="en-US" w:eastAsia="zh-CN"/>
              </w:rPr>
              <w:t>项目不属于</w:t>
            </w:r>
            <w:r>
              <w:rPr>
                <w:rFonts w:hint="default" w:ascii="Times New Roman" w:hAnsi="Times New Roman" w:eastAsia="宋体" w:cs="Times New Roman"/>
                <w:b w:val="0"/>
                <w:bCs w:val="0"/>
                <w:color w:val="auto"/>
                <w:sz w:val="21"/>
                <w:szCs w:val="21"/>
              </w:rPr>
              <w:t>重化工、纺织、造纸等</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vertAlign w:val="baseline"/>
                <w:lang w:val="en-US" w:eastAsia="zh-CN"/>
              </w:rPr>
              <w:t>项目</w:t>
            </w:r>
            <w:r>
              <w:rPr>
                <w:rFonts w:hint="default" w:ascii="Times New Roman" w:hAnsi="Times New Roman" w:eastAsia="宋体" w:cs="Times New Roman"/>
                <w:b w:val="0"/>
                <w:bCs w:val="0"/>
                <w:color w:val="auto"/>
                <w:sz w:val="21"/>
                <w:szCs w:val="21"/>
              </w:rPr>
              <w:t>不在嘉陵江及其一级支流汇入口上游20 公里范围内。</w:t>
            </w:r>
            <w:r>
              <w:rPr>
                <w:rFonts w:hint="default" w:ascii="Times New Roman" w:hAnsi="Times New Roman" w:eastAsia="宋体" w:cs="Times New Roman"/>
                <w:sz w:val="21"/>
                <w:szCs w:val="21"/>
              </w:rPr>
              <w:t>项目不涉及</w:t>
            </w:r>
            <w:r>
              <w:rPr>
                <w:rFonts w:hint="default" w:ascii="Times New Roman" w:hAnsi="Times New Roman" w:eastAsia="宋体" w:cs="Times New Roman"/>
                <w:sz w:val="21"/>
                <w:szCs w:val="21"/>
                <w:lang w:eastAsia="zh-CN"/>
              </w:rPr>
              <w:t>排放</w:t>
            </w:r>
            <w:r>
              <w:rPr>
                <w:rFonts w:hint="default" w:ascii="Times New Roman" w:hAnsi="Times New Roman" w:eastAsia="宋体" w:cs="Times New Roman"/>
                <w:sz w:val="21"/>
                <w:szCs w:val="21"/>
              </w:rPr>
              <w:t>五类重金属</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剧毒物质和持久性有机污染物</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根据项目污染情况无需设置环境防护距离</w:t>
            </w:r>
          </w:p>
        </w:tc>
        <w:tc>
          <w:tcPr>
            <w:tcW w:w="1120"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1108" w:type="dxa"/>
            <w:vMerge w:val="continue"/>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p>
        </w:tc>
        <w:tc>
          <w:tcPr>
            <w:tcW w:w="1311" w:type="dxa"/>
            <w:noWrap w:val="0"/>
            <w:vAlign w:val="center"/>
          </w:tcPr>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污染物排放管控</w:t>
            </w:r>
          </w:p>
        </w:tc>
        <w:tc>
          <w:tcPr>
            <w:tcW w:w="8138" w:type="dxa"/>
            <w:noWrap w:val="0"/>
            <w:vAlign w:val="center"/>
          </w:tcPr>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 未达到国家环境质量标准的重点区域、流域的有关地方人民政府，应当制定限期达标规划，并采取措施按期达标。</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8. 巩固“十一小”（不符合国家产业政策的小型造纸、制革、印染、染料、炼焦、炼硫、炼砷、炼油、电镀、农药、涉磷生产和使用等企业）取缔成果，防止死灰复燃。巩固“十一大”（造纸、焦化、氮肥、有色金属、印染、农副产品及食品加工、原料药制造(生化制药)、制革、农药、电镀以及涉磷产品等）企业污染整治成果。</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9. 主城区及</w:t>
            </w:r>
            <w:r>
              <w:rPr>
                <w:rFonts w:hint="eastAsia" w:ascii="Times New Roman" w:hAnsi="Times New Roman" w:eastAsia="宋体" w:cs="Times New Roman"/>
                <w:b w:val="0"/>
                <w:bCs w:val="0"/>
                <w:color w:val="auto"/>
                <w:sz w:val="21"/>
                <w:szCs w:val="21"/>
                <w:lang w:eastAsia="zh-CN"/>
              </w:rPr>
              <w:t>江津区</w:t>
            </w:r>
            <w:r>
              <w:rPr>
                <w:rFonts w:hint="default" w:ascii="Times New Roman" w:hAnsi="Times New Roman" w:eastAsia="宋体" w:cs="Times New Roman"/>
                <w:b w:val="0"/>
                <w:bCs w:val="0"/>
                <w:color w:val="auto"/>
                <w:sz w:val="21"/>
                <w:szCs w:val="21"/>
              </w:rPr>
              <w:t>、合川区、璧山区、铜梁区二氧化硫、氮氧化物、颗粒物、挥发性有机物严格执行大气污染物特别排放限值，并逐步将执行范围扩大到重点控制区重点行业。</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10. 新建、改建、扩建涉VOCs排放的项目，加强源头控制，使用低（无）VOC</w:t>
            </w:r>
            <w:r>
              <w:rPr>
                <w:rFonts w:hint="eastAsia" w:ascii="Times New Roman" w:hAnsi="Times New Roman" w:eastAsia="宋体" w:cs="Times New Roman"/>
                <w:b w:val="0"/>
                <w:bCs w:val="0"/>
                <w:color w:val="auto"/>
                <w:sz w:val="21"/>
                <w:szCs w:val="21"/>
                <w:vertAlign w:val="subscript"/>
                <w:lang w:val="en-US" w:eastAsia="zh-CN"/>
              </w:rPr>
              <w:t>S</w:t>
            </w:r>
            <w:r>
              <w:rPr>
                <w:rFonts w:hint="default" w:ascii="Times New Roman" w:hAnsi="Times New Roman" w:eastAsia="宋体" w:cs="Times New Roman"/>
                <w:b w:val="0"/>
                <w:bCs w:val="0"/>
                <w:color w:val="auto"/>
                <w:sz w:val="21"/>
                <w:szCs w:val="21"/>
              </w:rPr>
              <w:t>含量的原辅料，加强废气收集，安装高效治理设施。有条件的工业集聚区建设集中喷涂中心，配备高效治污设施，替代企业独立喷涂工序。</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 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2197" w:type="dxa"/>
            <w:noWrap w:val="0"/>
            <w:vAlign w:val="center"/>
          </w:tcPr>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本项目位于</w:t>
            </w:r>
            <w:r>
              <w:rPr>
                <w:rFonts w:hint="eastAsia" w:ascii="Times New Roman" w:hAnsi="Times New Roman" w:eastAsia="宋体" w:cs="Times New Roman"/>
                <w:b w:val="0"/>
                <w:bCs w:val="0"/>
                <w:color w:val="auto"/>
                <w:sz w:val="21"/>
                <w:szCs w:val="21"/>
                <w:lang w:eastAsia="zh-CN"/>
              </w:rPr>
              <w:t>铜梁区，</w:t>
            </w:r>
            <w:r>
              <w:rPr>
                <w:rFonts w:hint="default" w:ascii="Times New Roman" w:hAnsi="Times New Roman" w:eastAsia="宋体" w:cs="Times New Roman"/>
                <w:b w:val="0"/>
                <w:bCs w:val="0"/>
                <w:color w:val="auto"/>
                <w:sz w:val="21"/>
                <w:szCs w:val="21"/>
                <w:lang w:eastAsia="zh-CN"/>
              </w:rPr>
              <w:t>不涉及</w:t>
            </w:r>
            <w:r>
              <w:rPr>
                <w:rFonts w:hint="default" w:ascii="Times New Roman" w:hAnsi="Times New Roman" w:eastAsia="宋体" w:cs="Times New Roman"/>
                <w:b w:val="0"/>
                <w:bCs w:val="0"/>
                <w:color w:val="auto"/>
                <w:sz w:val="21"/>
                <w:szCs w:val="21"/>
              </w:rPr>
              <w:t>二氧化硫、氮氧化物、颗粒物、挥发性有机物</w:t>
            </w:r>
            <w:r>
              <w:rPr>
                <w:rFonts w:hint="default" w:ascii="Times New Roman" w:hAnsi="Times New Roman" w:eastAsia="宋体" w:cs="Times New Roman"/>
                <w:b w:val="0"/>
                <w:bCs w:val="0"/>
                <w:color w:val="auto"/>
                <w:sz w:val="21"/>
                <w:szCs w:val="21"/>
                <w:lang w:eastAsia="zh-CN"/>
              </w:rPr>
              <w:t>排放</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color w:val="auto"/>
                <w:kern w:val="0"/>
                <w:sz w:val="21"/>
                <w:szCs w:val="21"/>
                <w:lang w:eastAsia="zh-CN"/>
              </w:rPr>
              <w:t>项目污泥压滤废水</w:t>
            </w:r>
            <w:r>
              <w:rPr>
                <w:rFonts w:hint="eastAsia" w:ascii="Times New Roman" w:hAnsi="Times New Roman" w:eastAsia="宋体" w:cs="Times New Roman"/>
                <w:color w:val="auto"/>
                <w:kern w:val="0"/>
                <w:sz w:val="21"/>
                <w:szCs w:val="21"/>
                <w:lang w:val="en-US" w:eastAsia="zh-CN"/>
              </w:rPr>
              <w:t>经2个污水池收集后通过专用罐车运至重庆铜梁城区污水处理厂处理</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szCs w:val="21"/>
                <w:lang w:val="en-US" w:eastAsia="zh-CN"/>
              </w:rPr>
              <w:t>设备清洗废水</w:t>
            </w:r>
            <w:r>
              <w:rPr>
                <w:rFonts w:hint="eastAsia" w:ascii="Times New Roman" w:hAnsi="Times New Roman" w:eastAsia="宋体" w:cs="Times New Roman"/>
                <w:color w:val="auto"/>
                <w:kern w:val="2"/>
                <w:sz w:val="21"/>
                <w:szCs w:val="21"/>
                <w:lang w:val="en-US" w:eastAsia="zh-CN" w:bidi="ar-SA"/>
              </w:rPr>
              <w:t>依托现有生化池收集处理后用于厂区绿化或作农肥，不外排</w:t>
            </w:r>
          </w:p>
        </w:tc>
        <w:tc>
          <w:tcPr>
            <w:tcW w:w="1120"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108" w:type="dxa"/>
            <w:vMerge w:val="continue"/>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p>
        </w:tc>
        <w:tc>
          <w:tcPr>
            <w:tcW w:w="1311" w:type="dxa"/>
            <w:noWrap w:val="0"/>
            <w:vAlign w:val="center"/>
          </w:tcPr>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环境风险防控</w:t>
            </w:r>
          </w:p>
        </w:tc>
        <w:tc>
          <w:tcPr>
            <w:tcW w:w="8138" w:type="dxa"/>
            <w:noWrap w:val="0"/>
            <w:vAlign w:val="center"/>
          </w:tcPr>
          <w:p>
            <w:pPr>
              <w:keepNext w:val="0"/>
              <w:keepLines/>
              <w:pageBreakBefore w:val="0"/>
              <w:widowControl w:val="0"/>
              <w:numPr>
                <w:ilvl w:val="2"/>
                <w:numId w:val="0"/>
              </w:numPr>
              <w:tabs>
                <w:tab w:val="left" w:pos="764"/>
              </w:tabs>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 健全风险防范体系，制定环境风险防范协调联动工作机制。开展涉及化工生产的工业园区突发环境事件风险评估。长江三峡库区干流流域、城市集中式饮用水源、涉及化工生产的化工园区等按要求开展突发环境事件风险评估。</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13. 禁止建设存在重大环境安全隐患的工业项目。严禁工艺技术落后、环境风险高的化工企业向我市转移。</w:t>
            </w:r>
          </w:p>
        </w:tc>
        <w:tc>
          <w:tcPr>
            <w:tcW w:w="2197" w:type="dxa"/>
            <w:noWrap w:val="0"/>
            <w:vAlign w:val="center"/>
          </w:tcPr>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本项目</w:t>
            </w:r>
            <w:r>
              <w:rPr>
                <w:rFonts w:hint="eastAsia" w:ascii="Times New Roman" w:hAnsi="Times New Roman" w:eastAsia="宋体" w:cs="Times New Roman"/>
                <w:b w:val="0"/>
                <w:bCs w:val="0"/>
                <w:color w:val="auto"/>
                <w:kern w:val="2"/>
                <w:sz w:val="21"/>
                <w:szCs w:val="21"/>
                <w:lang w:val="en-US" w:eastAsia="zh-CN" w:bidi="ar-SA"/>
              </w:rPr>
              <w:t>主要是对污泥进行压滤脱水处置后送华新盐井水泥综合利用，在华新盐井水泥停窑期间，脱水后污泥依托现有绿化营养土发酵生产线生产营养土，</w:t>
            </w:r>
            <w:r>
              <w:rPr>
                <w:rFonts w:hint="default" w:ascii="Times New Roman" w:hAnsi="Times New Roman" w:eastAsia="宋体" w:cs="Times New Roman"/>
                <w:b w:val="0"/>
                <w:bCs w:val="0"/>
                <w:color w:val="auto"/>
                <w:kern w:val="2"/>
                <w:sz w:val="21"/>
                <w:szCs w:val="21"/>
                <w:lang w:val="en-US" w:eastAsia="zh-CN" w:bidi="ar-SA"/>
              </w:rPr>
              <w:t>不属于存在</w:t>
            </w:r>
            <w:r>
              <w:rPr>
                <w:rFonts w:hint="default" w:ascii="Times New Roman" w:hAnsi="Times New Roman" w:eastAsia="宋体" w:cs="Times New Roman"/>
                <w:b w:val="0"/>
                <w:bCs w:val="0"/>
                <w:color w:val="auto"/>
                <w:sz w:val="21"/>
                <w:szCs w:val="21"/>
              </w:rPr>
              <w:t>重大环境安全隐患</w:t>
            </w:r>
            <w:r>
              <w:rPr>
                <w:rFonts w:hint="default" w:ascii="Times New Roman" w:hAnsi="Times New Roman" w:eastAsia="宋体" w:cs="Times New Roman"/>
                <w:b w:val="0"/>
                <w:bCs w:val="0"/>
                <w:color w:val="auto"/>
                <w:sz w:val="21"/>
                <w:szCs w:val="21"/>
                <w:lang w:eastAsia="zh-CN"/>
              </w:rPr>
              <w:t>及化工</w:t>
            </w:r>
            <w:r>
              <w:rPr>
                <w:rFonts w:hint="default" w:ascii="Times New Roman" w:hAnsi="Times New Roman" w:eastAsia="宋体" w:cs="Times New Roman"/>
                <w:b w:val="0"/>
                <w:bCs w:val="0"/>
                <w:color w:val="auto"/>
                <w:sz w:val="21"/>
                <w:szCs w:val="21"/>
              </w:rPr>
              <w:t>项目</w:t>
            </w:r>
          </w:p>
        </w:tc>
        <w:tc>
          <w:tcPr>
            <w:tcW w:w="1120"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108" w:type="dxa"/>
            <w:vMerge w:val="continue"/>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p>
        </w:tc>
        <w:tc>
          <w:tcPr>
            <w:tcW w:w="1311" w:type="dxa"/>
            <w:noWrap w:val="0"/>
            <w:vAlign w:val="center"/>
          </w:tcPr>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资源利用效率</w:t>
            </w:r>
          </w:p>
        </w:tc>
        <w:tc>
          <w:tcPr>
            <w:tcW w:w="8138" w:type="dxa"/>
            <w:noWrap w:val="0"/>
            <w:vAlign w:val="center"/>
          </w:tcPr>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 加强资源节约集约利用。实行能源、水资源、建设用地总量和强度双控行动，推进节能、节水、节地、节材等节约自然资源行动，从源头减少污染物排放。</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15. 在禁燃区内，禁止销售、燃用高污染燃料，禁止新建、改建、扩建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w:t>
            </w:r>
            <w:r>
              <w:rPr>
                <w:rFonts w:hint="default" w:ascii="Times New Roman" w:hAnsi="Times New Roman" w:eastAsia="宋体" w:cs="Times New Roman"/>
                <w:b w:val="0"/>
                <w:bCs w:val="0"/>
                <w:color w:val="auto"/>
                <w:sz w:val="21"/>
                <w:szCs w:val="21"/>
                <w:lang w:eastAsia="zh-CN"/>
              </w:rPr>
              <w:t>。</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16. 电力、钢铁、纺织、造纸、石油石化、化工、食品发酵等高耗水行业达到先进定额标准。</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17. 重点控制区域新建高耗能项目单位产品（产值）能耗要达到国际先进水平</w:t>
            </w:r>
            <w:r>
              <w:rPr>
                <w:rFonts w:hint="default" w:ascii="Times New Roman" w:hAnsi="Times New Roman" w:eastAsia="宋体" w:cs="Times New Roman"/>
                <w:b w:val="0"/>
                <w:bCs w:val="0"/>
                <w:color w:val="auto"/>
                <w:sz w:val="21"/>
                <w:szCs w:val="21"/>
                <w:lang w:eastAsia="zh-CN"/>
              </w:rPr>
              <w:t>。</w:t>
            </w:r>
          </w:p>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18. 水利水电工程应保证合理的生态流量，具备条件的都应实施生态流量监测监控。</w:t>
            </w:r>
          </w:p>
        </w:tc>
        <w:tc>
          <w:tcPr>
            <w:tcW w:w="2197" w:type="dxa"/>
            <w:noWrap w:val="0"/>
            <w:vAlign w:val="center"/>
          </w:tcPr>
          <w:p>
            <w:pPr>
              <w:keepNext w:val="0"/>
              <w:keepLines/>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项目实行了能源</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水资源节约措施</w:t>
            </w:r>
            <w:r>
              <w:rPr>
                <w:rFonts w:hint="default" w:ascii="Times New Roman" w:hAnsi="Times New Roman" w:eastAsia="宋体" w:cs="Times New Roman"/>
                <w:b w:val="0"/>
                <w:bCs w:val="0"/>
                <w:color w:val="auto"/>
                <w:sz w:val="21"/>
                <w:szCs w:val="21"/>
                <w:lang w:eastAsia="zh-CN"/>
              </w:rPr>
              <w:t>，不涉及</w:t>
            </w:r>
            <w:r>
              <w:rPr>
                <w:rFonts w:hint="default" w:ascii="Times New Roman" w:hAnsi="Times New Roman" w:eastAsia="宋体" w:cs="Times New Roman"/>
                <w:b w:val="0"/>
                <w:bCs w:val="0"/>
                <w:color w:val="auto"/>
                <w:sz w:val="21"/>
                <w:szCs w:val="21"/>
              </w:rPr>
              <w:t>销售、燃用高污染燃料</w:t>
            </w:r>
            <w:r>
              <w:rPr>
                <w:rFonts w:hint="default" w:ascii="Times New Roman" w:hAnsi="Times New Roman" w:eastAsia="宋体" w:cs="Times New Roman"/>
                <w:b w:val="0"/>
                <w:bCs w:val="0"/>
                <w:color w:val="auto"/>
                <w:sz w:val="21"/>
                <w:szCs w:val="21"/>
                <w:lang w:eastAsia="zh-CN"/>
              </w:rPr>
              <w:t>，不属于高耗能项目</w:t>
            </w:r>
          </w:p>
        </w:tc>
        <w:tc>
          <w:tcPr>
            <w:tcW w:w="1120"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8" w:type="dxa"/>
            <w:vMerge w:val="restart"/>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sz w:val="21"/>
                <w:szCs w:val="21"/>
                <w:lang w:eastAsia="zh-CN"/>
              </w:rPr>
              <w:t>铜梁区</w:t>
            </w:r>
            <w:r>
              <w:rPr>
                <w:rFonts w:hint="default" w:ascii="Times New Roman" w:hAnsi="Times New Roman" w:eastAsia="宋体" w:cs="Times New Roman"/>
                <w:b w:val="0"/>
                <w:bCs w:val="0"/>
                <w:sz w:val="21"/>
                <w:szCs w:val="21"/>
              </w:rPr>
              <w:t>总体管控要求</w:t>
            </w:r>
          </w:p>
        </w:tc>
        <w:tc>
          <w:tcPr>
            <w:tcW w:w="1311" w:type="dxa"/>
            <w:noWrap w:val="0"/>
            <w:vAlign w:val="center"/>
          </w:tcPr>
          <w:p>
            <w:pPr>
              <w:keepNext w:val="0"/>
              <w:keepLines w:val="0"/>
              <w:pageBreakBefore w:val="0"/>
              <w:numPr>
                <w:ilvl w:val="2"/>
                <w:numId w:val="0"/>
              </w:numPr>
              <w:kinsoku/>
              <w:wordWrap/>
              <w:overflowPunct/>
              <w:topLinePunct w:val="0"/>
              <w:autoSpaceDE/>
              <w:autoSpaceDN/>
              <w:bidi w:val="0"/>
              <w:snapToGrid w:val="0"/>
              <w:spacing w:line="240" w:lineRule="auto"/>
              <w:ind w:left="0" w:leftChars="0" w:firstLine="0" w:firstLineChars="0"/>
              <w:jc w:val="both"/>
              <w:textAlignment w:val="auto"/>
              <w:outlineLvl w:val="2"/>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空间布局约束</w:t>
            </w:r>
          </w:p>
        </w:tc>
        <w:tc>
          <w:tcPr>
            <w:tcW w:w="8138" w:type="dxa"/>
            <w:noWrap w:val="0"/>
            <w:vAlign w:val="center"/>
          </w:tcPr>
          <w:p>
            <w:pPr>
              <w:keepNext w:val="0"/>
              <w:pageBreakBefore w:val="0"/>
              <w:numPr>
                <w:ilvl w:val="0"/>
                <w:numId w:val="0"/>
              </w:numPr>
              <w:kinsoku/>
              <w:wordWrap/>
              <w:overflowPunct/>
              <w:topLinePunct w:val="0"/>
              <w:autoSpaceDE/>
              <w:autoSpaceDN/>
              <w:bidi w:val="0"/>
              <w:spacing w:line="240" w:lineRule="auto"/>
              <w:jc w:val="left"/>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第一条  保护好巴岳山、毓青山等自然生态环境，形成以生态功能区为支撑，国家禁止开发区域为重要组成部分的生态空间体系。小企业基地规划范围不得侵占生态空间</w:t>
            </w:r>
            <w:r>
              <w:rPr>
                <w:rFonts w:hint="eastAsia" w:ascii="Times New Roman" w:hAnsi="Times New Roman" w:eastAsia="宋体" w:cs="Times New Roman"/>
                <w:b w:val="0"/>
                <w:bCs w:val="0"/>
                <w:kern w:val="2"/>
                <w:sz w:val="21"/>
                <w:szCs w:val="21"/>
                <w:lang w:val="en-US" w:eastAsia="zh-CN" w:bidi="ar-SA"/>
              </w:rPr>
              <w:t>。</w:t>
            </w:r>
          </w:p>
          <w:p>
            <w:pPr>
              <w:keepNext w:val="0"/>
              <w:pageBreakBefore w:val="0"/>
              <w:numPr>
                <w:ilvl w:val="0"/>
                <w:numId w:val="0"/>
              </w:numPr>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第二条  铜梁高新区白土坝片区采取“腾笼换鸟”的方式，推动现有产业提档升级，发展环境影响小、风险可控的产业。</w:t>
            </w:r>
          </w:p>
        </w:tc>
        <w:tc>
          <w:tcPr>
            <w:tcW w:w="2197" w:type="dxa"/>
            <w:noWrap w:val="0"/>
            <w:vAlign w:val="center"/>
          </w:tcPr>
          <w:p>
            <w:pPr>
              <w:keepNext w:val="0"/>
              <w:keepLines w:val="0"/>
              <w:pageBreakBefore w:val="0"/>
              <w:numPr>
                <w:ilvl w:val="2"/>
                <w:numId w:val="0"/>
              </w:numPr>
              <w:kinsoku/>
              <w:wordWrap/>
              <w:overflowPunct/>
              <w:topLinePunct w:val="0"/>
              <w:autoSpaceDE/>
              <w:autoSpaceDN/>
              <w:bidi w:val="0"/>
              <w:snapToGrid w:val="0"/>
              <w:spacing w:line="240" w:lineRule="auto"/>
              <w:ind w:left="0" w:leftChars="0" w:firstLine="0" w:firstLineChars="0"/>
              <w:jc w:val="left"/>
              <w:textAlignment w:val="auto"/>
              <w:outlineLvl w:val="2"/>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eastAsia="zh-CN"/>
              </w:rPr>
              <w:t>拟建项目</w:t>
            </w:r>
            <w:r>
              <w:rPr>
                <w:rFonts w:hint="default" w:ascii="Times New Roman" w:hAnsi="Times New Roman" w:eastAsia="宋体" w:cs="Times New Roman"/>
                <w:b w:val="0"/>
                <w:bCs w:val="0"/>
                <w:color w:val="auto"/>
                <w:sz w:val="21"/>
                <w:szCs w:val="21"/>
                <w:lang w:eastAsia="zh-CN"/>
              </w:rPr>
              <w:t>位于</w:t>
            </w:r>
            <w:r>
              <w:rPr>
                <w:rFonts w:hint="eastAsia" w:ascii="Times New Roman" w:hAnsi="Times New Roman" w:eastAsia="宋体" w:cs="Times New Roman"/>
                <w:sz w:val="21"/>
                <w:szCs w:val="21"/>
                <w:lang w:eastAsia="zh-CN"/>
              </w:rPr>
              <w:t>重庆市铜梁区侣俸镇凤飞村</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vertAlign w:val="baseline"/>
                <w:lang w:val="en-US" w:eastAsia="zh-CN"/>
              </w:rPr>
              <w:t>不属于</w:t>
            </w:r>
            <w:r>
              <w:rPr>
                <w:rFonts w:hint="eastAsia" w:ascii="Times New Roman" w:hAnsi="Times New Roman" w:eastAsia="宋体" w:cs="Times New Roman"/>
                <w:b w:val="0"/>
                <w:bCs w:val="0"/>
                <w:sz w:val="21"/>
                <w:szCs w:val="21"/>
                <w:lang w:eastAsia="zh-CN"/>
              </w:rPr>
              <w:t>以上限制区域</w:t>
            </w:r>
          </w:p>
        </w:tc>
        <w:tc>
          <w:tcPr>
            <w:tcW w:w="1120"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1108" w:type="dxa"/>
            <w:vMerge w:val="continue"/>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p>
        </w:tc>
        <w:tc>
          <w:tcPr>
            <w:tcW w:w="1311" w:type="dxa"/>
            <w:noWrap w:val="0"/>
            <w:vAlign w:val="center"/>
          </w:tcPr>
          <w:p>
            <w:pPr>
              <w:keepNext w:val="0"/>
              <w:keepLines w:val="0"/>
              <w:pageBreakBefore w:val="0"/>
              <w:numPr>
                <w:ilvl w:val="2"/>
                <w:numId w:val="0"/>
              </w:numPr>
              <w:kinsoku/>
              <w:wordWrap/>
              <w:overflowPunct/>
              <w:topLinePunct w:val="0"/>
              <w:autoSpaceDE/>
              <w:autoSpaceDN/>
              <w:bidi w:val="0"/>
              <w:snapToGrid w:val="0"/>
              <w:spacing w:line="240" w:lineRule="auto"/>
              <w:ind w:left="0" w:leftChars="0" w:firstLine="0" w:firstLineChars="0"/>
              <w:jc w:val="both"/>
              <w:textAlignment w:val="auto"/>
              <w:outlineLvl w:val="2"/>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污染物排放管控</w:t>
            </w:r>
          </w:p>
        </w:tc>
        <w:tc>
          <w:tcPr>
            <w:tcW w:w="8138" w:type="dxa"/>
            <w:noWrap w:val="0"/>
            <w:vAlign w:val="center"/>
          </w:tcPr>
          <w:p>
            <w:pPr>
              <w:keepNext w:val="0"/>
              <w:pageBreakBefore w:val="0"/>
              <w:numPr>
                <w:ilvl w:val="0"/>
                <w:numId w:val="1"/>
              </w:numPr>
              <w:kinsoku/>
              <w:wordWrap/>
              <w:overflowPunct/>
              <w:topLinePunct w:val="0"/>
              <w:autoSpaceDE/>
              <w:autoSpaceDN/>
              <w:bidi w:val="0"/>
              <w:spacing w:line="240" w:lineRule="auto"/>
              <w:jc w:val="left"/>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 城市生活污水处理厂全面达到《城镇污水处理厂污染物排放标准》（GB18919-2002）一级A排放标准，生活污水处理厂污泥无害化处置率达到85%</w:t>
            </w:r>
            <w:r>
              <w:rPr>
                <w:rFonts w:hint="eastAsia" w:ascii="Times New Roman" w:hAnsi="Times New Roman" w:eastAsia="宋体" w:cs="Times New Roman"/>
                <w:b w:val="0"/>
                <w:bCs w:val="0"/>
                <w:kern w:val="2"/>
                <w:sz w:val="21"/>
                <w:szCs w:val="21"/>
                <w:lang w:val="en-US" w:eastAsia="zh-CN" w:bidi="ar-SA"/>
              </w:rPr>
              <w:t>。</w:t>
            </w:r>
          </w:p>
          <w:p>
            <w:pPr>
              <w:keepNext w:val="0"/>
              <w:pageBreakBefore w:val="0"/>
              <w:numPr>
                <w:ilvl w:val="0"/>
                <w:numId w:val="1"/>
              </w:numPr>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持续推进企业大气污染防治。二氧化硫、氮氧化物、颗粒物、VOCs严格执行大气污染物特别排放限值，鼓励辖区内水泥、烧结砖瓦窑企业错峰生产。</w:t>
            </w:r>
          </w:p>
          <w:p>
            <w:pPr>
              <w:keepNext w:val="0"/>
              <w:pageBreakBefore w:val="0"/>
              <w:numPr>
                <w:ilvl w:val="0"/>
                <w:numId w:val="1"/>
              </w:numPr>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新建、改建、扩建涉VOCs的项目，要加强源头控制，使用低（无）VOCs含量的原辅料，加强废气收集，安装高效治理设施。</w:t>
            </w:r>
          </w:p>
          <w:p>
            <w:pPr>
              <w:keepNext w:val="0"/>
              <w:pageBreakBefore w:val="0"/>
              <w:numPr>
                <w:ilvl w:val="0"/>
                <w:numId w:val="1"/>
              </w:numPr>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持续推进小安溪综合整治，加强农业面源污染防治；加快农村分散污水有效处理，推进农村生活垃圾进行集中收集并转运统一处置。</w:t>
            </w:r>
          </w:p>
          <w:p>
            <w:pPr>
              <w:keepNext w:val="0"/>
              <w:pageBreakBefore w:val="0"/>
              <w:numPr>
                <w:ilvl w:val="0"/>
                <w:numId w:val="1"/>
              </w:numPr>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严格落实畜禽养殖规划，取缔或搬迁小安溪流域禁养区畜禽养殖场。</w:t>
            </w:r>
          </w:p>
        </w:tc>
        <w:tc>
          <w:tcPr>
            <w:tcW w:w="2197" w:type="dxa"/>
            <w:noWrap w:val="0"/>
            <w:vAlign w:val="center"/>
          </w:tcPr>
          <w:p>
            <w:pPr>
              <w:keepNext w:val="0"/>
              <w:keepLines w:val="0"/>
              <w:pageBreakBefore w:val="0"/>
              <w:numPr>
                <w:ilvl w:val="2"/>
                <w:numId w:val="0"/>
              </w:numPr>
              <w:kinsoku/>
              <w:wordWrap/>
              <w:overflowPunct/>
              <w:topLinePunct w:val="0"/>
              <w:autoSpaceDE/>
              <w:autoSpaceDN/>
              <w:bidi w:val="0"/>
              <w:snapToGrid w:val="0"/>
              <w:spacing w:line="240" w:lineRule="auto"/>
              <w:ind w:left="0" w:leftChars="0" w:firstLine="0" w:firstLineChars="0"/>
              <w:jc w:val="left"/>
              <w:textAlignment w:val="auto"/>
              <w:outlineLvl w:val="2"/>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eastAsia="zh-CN"/>
              </w:rPr>
              <w:t>拟建项目</w:t>
            </w:r>
            <w:r>
              <w:rPr>
                <w:rFonts w:hint="default" w:ascii="Times New Roman" w:hAnsi="Times New Roman" w:eastAsia="宋体" w:cs="Times New Roman"/>
                <w:b w:val="0"/>
                <w:bCs w:val="0"/>
                <w:color w:val="auto"/>
                <w:sz w:val="21"/>
                <w:szCs w:val="21"/>
                <w:lang w:eastAsia="zh-CN"/>
              </w:rPr>
              <w:t>不涉及</w:t>
            </w:r>
            <w:r>
              <w:rPr>
                <w:rFonts w:hint="default" w:ascii="Times New Roman" w:hAnsi="Times New Roman" w:eastAsia="宋体" w:cs="Times New Roman"/>
                <w:b w:val="0"/>
                <w:bCs w:val="0"/>
                <w:kern w:val="2"/>
                <w:sz w:val="21"/>
                <w:szCs w:val="21"/>
                <w:lang w:val="en-US" w:eastAsia="zh-CN" w:bidi="ar-SA"/>
              </w:rPr>
              <w:t>二氧化硫、氮氧化物、颗粒物、VOCs</w:t>
            </w:r>
            <w:r>
              <w:rPr>
                <w:rFonts w:hint="eastAsia" w:ascii="Times New Roman" w:hAnsi="Times New Roman" w:eastAsia="宋体" w:cs="Times New Roman"/>
                <w:b w:val="0"/>
                <w:bCs w:val="0"/>
                <w:kern w:val="2"/>
                <w:sz w:val="21"/>
                <w:szCs w:val="21"/>
                <w:lang w:val="en-US" w:eastAsia="zh-CN" w:bidi="ar-SA"/>
              </w:rPr>
              <w:t>等排放</w:t>
            </w:r>
            <w:r>
              <w:rPr>
                <w:rFonts w:hint="default" w:ascii="Times New Roman" w:hAnsi="Times New Roman" w:eastAsia="宋体" w:cs="Times New Roman"/>
                <w:b w:val="0"/>
                <w:bCs w:val="0"/>
                <w:color w:val="auto"/>
                <w:sz w:val="21"/>
                <w:szCs w:val="21"/>
                <w:lang w:eastAsia="zh-CN"/>
              </w:rPr>
              <w:t>，废气均能达标排放</w:t>
            </w:r>
          </w:p>
        </w:tc>
        <w:tc>
          <w:tcPr>
            <w:tcW w:w="1120"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108" w:type="dxa"/>
            <w:vMerge w:val="continue"/>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p>
        </w:tc>
        <w:tc>
          <w:tcPr>
            <w:tcW w:w="1311" w:type="dxa"/>
            <w:noWrap w:val="0"/>
            <w:vAlign w:val="center"/>
          </w:tcPr>
          <w:p>
            <w:pPr>
              <w:keepNext w:val="0"/>
              <w:keepLines w:val="0"/>
              <w:pageBreakBefore w:val="0"/>
              <w:numPr>
                <w:ilvl w:val="2"/>
                <w:numId w:val="0"/>
              </w:numPr>
              <w:kinsoku/>
              <w:wordWrap/>
              <w:overflowPunct/>
              <w:topLinePunct w:val="0"/>
              <w:autoSpaceDE/>
              <w:autoSpaceDN/>
              <w:bidi w:val="0"/>
              <w:snapToGrid w:val="0"/>
              <w:spacing w:line="240" w:lineRule="auto"/>
              <w:ind w:left="0" w:leftChars="0" w:firstLine="0" w:firstLineChars="0"/>
              <w:jc w:val="both"/>
              <w:textAlignment w:val="auto"/>
              <w:outlineLvl w:val="2"/>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环境风险防控</w:t>
            </w:r>
          </w:p>
        </w:tc>
        <w:tc>
          <w:tcPr>
            <w:tcW w:w="8138" w:type="dxa"/>
            <w:noWrap w:val="0"/>
            <w:vAlign w:val="center"/>
          </w:tcPr>
          <w:p>
            <w:pPr>
              <w:keepNext w:val="0"/>
              <w:pageBreakBefore w:val="0"/>
              <w:numPr>
                <w:ilvl w:val="0"/>
                <w:numId w:val="0"/>
              </w:numPr>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第八条</w:t>
            </w:r>
            <w:r>
              <w:rPr>
                <w:rFonts w:hint="eastAsia" w:ascii="Times New Roman" w:hAnsi="Times New Roman" w:eastAsia="宋体" w:cs="Times New Roman"/>
                <w:b w:val="0"/>
                <w:bCs w:val="0"/>
                <w:kern w:val="2"/>
                <w:sz w:val="21"/>
                <w:szCs w:val="21"/>
                <w:lang w:val="en-US" w:eastAsia="zh-CN" w:bidi="ar-SA"/>
              </w:rPr>
              <w:t xml:space="preserve"> </w:t>
            </w:r>
            <w:r>
              <w:rPr>
                <w:rFonts w:hint="default" w:ascii="Times New Roman" w:hAnsi="Times New Roman" w:eastAsia="宋体" w:cs="Times New Roman"/>
                <w:b w:val="0"/>
                <w:bCs w:val="0"/>
                <w:kern w:val="2"/>
                <w:sz w:val="21"/>
                <w:szCs w:val="21"/>
                <w:lang w:val="en-US" w:eastAsia="zh-CN" w:bidi="ar-SA"/>
              </w:rPr>
              <w:t>生产、存储危险化学品及产生大量废水的企业，应配套有效措施，防止因渗漏污染地下水、土壤，以及因事故废水直排污染地表水体</w:t>
            </w:r>
          </w:p>
        </w:tc>
        <w:tc>
          <w:tcPr>
            <w:tcW w:w="2197" w:type="dxa"/>
            <w:noWrap w:val="0"/>
            <w:vAlign w:val="center"/>
          </w:tcPr>
          <w:p>
            <w:pPr>
              <w:keepNext w:val="0"/>
              <w:keepLines w:val="0"/>
              <w:pageBreakBefore w:val="0"/>
              <w:numPr>
                <w:ilvl w:val="2"/>
                <w:numId w:val="0"/>
              </w:numPr>
              <w:kinsoku/>
              <w:wordWrap/>
              <w:overflowPunct/>
              <w:topLinePunct w:val="0"/>
              <w:autoSpaceDE/>
              <w:autoSpaceDN/>
              <w:bidi w:val="0"/>
              <w:snapToGrid w:val="0"/>
              <w:spacing w:line="240" w:lineRule="auto"/>
              <w:ind w:left="0" w:leftChars="0" w:firstLine="0" w:firstLineChars="0"/>
              <w:jc w:val="left"/>
              <w:textAlignment w:val="auto"/>
              <w:outlineLvl w:val="2"/>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sz w:val="21"/>
                <w:szCs w:val="21"/>
                <w:lang w:eastAsia="zh-CN"/>
              </w:rPr>
              <w:t>拟建项目</w:t>
            </w:r>
            <w:r>
              <w:rPr>
                <w:rFonts w:hint="default" w:ascii="Times New Roman" w:hAnsi="Times New Roman" w:eastAsia="宋体" w:cs="Times New Roman"/>
                <w:b w:val="0"/>
                <w:bCs w:val="0"/>
                <w:color w:val="auto"/>
                <w:sz w:val="21"/>
                <w:szCs w:val="21"/>
                <w:lang w:eastAsia="zh-CN"/>
              </w:rPr>
              <w:t>位于</w:t>
            </w:r>
            <w:r>
              <w:rPr>
                <w:rFonts w:hint="eastAsia" w:ascii="Times New Roman" w:hAnsi="Times New Roman" w:eastAsia="宋体" w:cs="Times New Roman"/>
                <w:sz w:val="21"/>
                <w:szCs w:val="21"/>
                <w:lang w:eastAsia="zh-CN"/>
              </w:rPr>
              <w:t>重庆市铜梁区侣俸镇凤飞村</w:t>
            </w:r>
            <w:r>
              <w:rPr>
                <w:rFonts w:hint="eastAsia" w:ascii="Times New Roman" w:hAnsi="Times New Roman" w:eastAsia="宋体" w:cs="Times New Roman"/>
                <w:b w:val="0"/>
                <w:bCs w:val="0"/>
                <w:color w:val="auto"/>
                <w:sz w:val="21"/>
                <w:szCs w:val="21"/>
                <w:lang w:eastAsia="zh-CN"/>
              </w:rPr>
              <w:t>，属于环境卫生管理，</w:t>
            </w:r>
            <w:r>
              <w:rPr>
                <w:rFonts w:hint="eastAsia" w:ascii="Times New Roman" w:hAnsi="Times New Roman" w:eastAsia="宋体" w:cs="Times New Roman"/>
                <w:b w:val="0"/>
                <w:bCs w:val="0"/>
                <w:sz w:val="21"/>
                <w:szCs w:val="21"/>
                <w:lang w:eastAsia="zh-CN"/>
              </w:rPr>
              <w:t>不涉及生产、储存</w:t>
            </w:r>
            <w:r>
              <w:rPr>
                <w:rFonts w:hint="default" w:ascii="Times New Roman" w:hAnsi="Times New Roman" w:eastAsia="宋体" w:cs="Times New Roman"/>
                <w:b w:val="0"/>
                <w:bCs w:val="0"/>
                <w:kern w:val="2"/>
                <w:sz w:val="21"/>
                <w:szCs w:val="21"/>
                <w:lang w:val="en-US" w:eastAsia="zh-CN" w:bidi="ar-SA"/>
              </w:rPr>
              <w:t>危险化学品及产生大量废水的企业</w:t>
            </w:r>
            <w:r>
              <w:rPr>
                <w:rFonts w:hint="eastAsia" w:ascii="Times New Roman" w:hAnsi="Times New Roman" w:eastAsia="宋体" w:cs="Times New Roman"/>
                <w:b w:val="0"/>
                <w:bCs w:val="0"/>
                <w:kern w:val="2"/>
                <w:sz w:val="21"/>
                <w:szCs w:val="21"/>
                <w:lang w:val="en-US" w:eastAsia="zh-CN" w:bidi="ar-SA"/>
              </w:rPr>
              <w:t>，且已采取相应防渗措施</w:t>
            </w:r>
          </w:p>
        </w:tc>
        <w:tc>
          <w:tcPr>
            <w:tcW w:w="1120"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108" w:type="dxa"/>
            <w:vMerge w:val="continue"/>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rPr>
            </w:pPr>
          </w:p>
        </w:tc>
        <w:tc>
          <w:tcPr>
            <w:tcW w:w="1311" w:type="dxa"/>
            <w:noWrap w:val="0"/>
            <w:vAlign w:val="center"/>
          </w:tcPr>
          <w:p>
            <w:pPr>
              <w:keepNext w:val="0"/>
              <w:keepLines w:val="0"/>
              <w:pageBreakBefore w:val="0"/>
              <w:numPr>
                <w:ilvl w:val="2"/>
                <w:numId w:val="0"/>
              </w:numPr>
              <w:kinsoku/>
              <w:wordWrap/>
              <w:overflowPunct/>
              <w:topLinePunct w:val="0"/>
              <w:autoSpaceDE/>
              <w:autoSpaceDN/>
              <w:bidi w:val="0"/>
              <w:snapToGrid w:val="0"/>
              <w:spacing w:line="240" w:lineRule="auto"/>
              <w:ind w:left="0" w:leftChars="0" w:firstLine="0" w:firstLineChars="0"/>
              <w:jc w:val="both"/>
              <w:textAlignment w:val="auto"/>
              <w:outlineLvl w:val="2"/>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资源利用效率</w:t>
            </w:r>
          </w:p>
        </w:tc>
        <w:tc>
          <w:tcPr>
            <w:tcW w:w="8138" w:type="dxa"/>
            <w:noWrap w:val="0"/>
            <w:vAlign w:val="center"/>
          </w:tcPr>
          <w:p>
            <w:pPr>
              <w:keepNext w:val="0"/>
              <w:pageBreakBefore w:val="0"/>
              <w:numPr>
                <w:ilvl w:val="0"/>
                <w:numId w:val="0"/>
              </w:numPr>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第九条  推行节水措施和中水回用提高水资源回用率，鼓励工业企业提高中水回用率</w:t>
            </w:r>
          </w:p>
        </w:tc>
        <w:tc>
          <w:tcPr>
            <w:tcW w:w="2197" w:type="dxa"/>
            <w:noWrap w:val="0"/>
            <w:vAlign w:val="center"/>
          </w:tcPr>
          <w:p>
            <w:pPr>
              <w:keepNext w:val="0"/>
              <w:pageBreakBefore w:val="0"/>
              <w:numPr>
                <w:ilvl w:val="0"/>
                <w:numId w:val="0"/>
              </w:numPr>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eastAsia="zh-CN"/>
              </w:rPr>
              <w:t>拟建项目不新增用水</w:t>
            </w:r>
          </w:p>
        </w:tc>
        <w:tc>
          <w:tcPr>
            <w:tcW w:w="1120"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108" w:type="dxa"/>
            <w:vMerge w:val="restart"/>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铜梁区一般管控单</w:t>
            </w: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sz w:val="21"/>
                <w:szCs w:val="21"/>
                <w:lang w:eastAsia="zh-CN"/>
              </w:rPr>
              <w:t>元-琼江中和铜梁段（ZH50015130003）</w:t>
            </w:r>
          </w:p>
        </w:tc>
        <w:tc>
          <w:tcPr>
            <w:tcW w:w="1311" w:type="dxa"/>
            <w:noWrap w:val="0"/>
            <w:vAlign w:val="center"/>
          </w:tcPr>
          <w:p>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污染物排放管控</w:t>
            </w:r>
          </w:p>
        </w:tc>
        <w:tc>
          <w:tcPr>
            <w:tcW w:w="8138" w:type="dxa"/>
            <w:noWrap w:val="0"/>
            <w:vAlign w:val="center"/>
          </w:tcPr>
          <w:p>
            <w:pPr>
              <w:keepNext w:val="0"/>
              <w:pageBreakBefore w:val="0"/>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完善污水管网建设，提高污水收集处理率</w:t>
            </w:r>
          </w:p>
        </w:tc>
        <w:tc>
          <w:tcPr>
            <w:tcW w:w="2197" w:type="dxa"/>
            <w:noWrap w:val="0"/>
            <w:vAlign w:val="center"/>
          </w:tcPr>
          <w:p>
            <w:pPr>
              <w:keepNext w:val="0"/>
              <w:pageBreakBefore w:val="0"/>
              <w:numPr>
                <w:ilvl w:val="0"/>
                <w:numId w:val="0"/>
              </w:numPr>
              <w:kinsoku/>
              <w:wordWrap/>
              <w:overflowPunct/>
              <w:topLinePunct w:val="0"/>
              <w:autoSpaceDE/>
              <w:autoSpaceDN/>
              <w:bidi w:val="0"/>
              <w:spacing w:line="240" w:lineRule="auto"/>
              <w:jc w:val="left"/>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auto"/>
                <w:kern w:val="0"/>
                <w:sz w:val="21"/>
                <w:szCs w:val="21"/>
                <w:lang w:eastAsia="zh-CN"/>
              </w:rPr>
              <w:t>拟建项目</w:t>
            </w:r>
            <w:r>
              <w:rPr>
                <w:rFonts w:hint="default" w:ascii="Times New Roman" w:hAnsi="Times New Roman" w:eastAsia="宋体" w:cs="Times New Roman"/>
                <w:b w:val="0"/>
                <w:bCs w:val="0"/>
                <w:color w:val="auto"/>
                <w:kern w:val="0"/>
                <w:sz w:val="21"/>
                <w:szCs w:val="21"/>
                <w:lang w:eastAsia="zh-CN"/>
              </w:rPr>
              <w:t>不涉及</w:t>
            </w:r>
          </w:p>
        </w:tc>
        <w:tc>
          <w:tcPr>
            <w:tcW w:w="1120"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108" w:type="dxa"/>
            <w:vMerge w:val="continue"/>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color w:val="auto"/>
                <w:sz w:val="21"/>
                <w:szCs w:val="21"/>
              </w:rPr>
            </w:pPr>
          </w:p>
        </w:tc>
        <w:tc>
          <w:tcPr>
            <w:tcW w:w="1311" w:type="dxa"/>
            <w:noWrap w:val="0"/>
            <w:vAlign w:val="center"/>
          </w:tcPr>
          <w:p>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资源开发效率要求</w:t>
            </w:r>
          </w:p>
        </w:tc>
        <w:tc>
          <w:tcPr>
            <w:tcW w:w="8138" w:type="dxa"/>
            <w:noWrap w:val="0"/>
            <w:vAlign w:val="center"/>
          </w:tcPr>
          <w:p>
            <w:pPr>
              <w:keepNext w:val="0"/>
              <w:pageBreakBefore w:val="0"/>
              <w:kinsoku/>
              <w:wordWrap/>
              <w:overflowPunct/>
              <w:topLinePunct w:val="0"/>
              <w:autoSpaceDE/>
              <w:autoSpaceDN/>
              <w:bidi w:val="0"/>
              <w:spacing w:line="240" w:lineRule="auto"/>
              <w:ind w:firstLine="0" w:firstLineChars="0"/>
              <w:jc w:val="left"/>
              <w:textAlignment w:val="auto"/>
              <w:rPr>
                <w:rFonts w:hint="eastAsia"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rPr>
              <w:t>推行节水措施和中水回用提高水资源回用率</w:t>
            </w:r>
          </w:p>
        </w:tc>
        <w:tc>
          <w:tcPr>
            <w:tcW w:w="2197" w:type="dxa"/>
            <w:noWrap w:val="0"/>
            <w:vAlign w:val="center"/>
          </w:tcPr>
          <w:p>
            <w:pPr>
              <w:keepNext w:val="0"/>
              <w:pageBreakBefore w:val="0"/>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eastAsia="zh-CN"/>
              </w:rPr>
              <w:t>拟建项目</w:t>
            </w:r>
            <w:r>
              <w:rPr>
                <w:rFonts w:hint="default" w:ascii="Times New Roman" w:hAnsi="Times New Roman" w:eastAsia="宋体" w:cs="Times New Roman"/>
                <w:b w:val="0"/>
                <w:bCs w:val="0"/>
                <w:color w:val="auto"/>
                <w:kern w:val="0"/>
                <w:sz w:val="21"/>
                <w:szCs w:val="21"/>
                <w:lang w:eastAsia="zh-CN"/>
              </w:rPr>
              <w:t>不涉及</w:t>
            </w:r>
          </w:p>
        </w:tc>
        <w:tc>
          <w:tcPr>
            <w:tcW w:w="1120" w:type="dxa"/>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r>
    </w:tbl>
    <w:p>
      <w:pPr>
        <w:autoSpaceDE w:val="0"/>
        <w:autoSpaceDN w:val="0"/>
        <w:adjustRightInd w:val="0"/>
        <w:snapToGrid w:val="0"/>
        <w:jc w:val="center"/>
        <w:rPr>
          <w:rFonts w:hint="eastAsia" w:ascii="Times New Roman" w:hAnsi="Times New Roman" w:eastAsia="宋体" w:cs="Times New Roman"/>
          <w:kern w:val="0"/>
          <w:sz w:val="22"/>
          <w:lang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19" w:charSpace="0"/>
        </w:sectPr>
      </w:pPr>
    </w:p>
    <w:tbl>
      <w:tblPr>
        <w:tblStyle w:val="20"/>
        <w:tblW w:w="9258"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561"/>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41" w:hRule="atLeast"/>
          <w:jc w:val="center"/>
        </w:trPr>
        <w:tc>
          <w:tcPr>
            <w:tcW w:w="697" w:type="dxa"/>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 w:val="22"/>
              </w:rPr>
              <w:t>其他符合性分析</w:t>
            </w:r>
          </w:p>
        </w:tc>
        <w:tc>
          <w:tcPr>
            <w:tcW w:w="8561" w:type="dxa"/>
            <w:vAlign w:val="center"/>
          </w:tcPr>
          <w:p>
            <w:pPr>
              <w:autoSpaceDE w:val="0"/>
              <w:autoSpaceDN w:val="0"/>
              <w:adjustRightInd w:val="0"/>
              <w:snapToGrid w:val="0"/>
              <w:spacing w:line="440" w:lineRule="exact"/>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w:t>
            </w:r>
            <w:r>
              <w:rPr>
                <w:rFonts w:hint="eastAsia" w:ascii="Times New Roman" w:hAnsi="Times New Roman" w:eastAsia="宋体" w:cs="Times New Roman"/>
                <w:b/>
                <w:bCs/>
                <w:kern w:val="0"/>
                <w:sz w:val="24"/>
                <w:szCs w:val="24"/>
                <w:lang w:val="en-US" w:eastAsia="zh-CN"/>
              </w:rPr>
              <w:t>1.2</w:t>
            </w:r>
            <w:r>
              <w:rPr>
                <w:rFonts w:ascii="Times New Roman" w:hAnsi="Times New Roman" w:eastAsia="宋体" w:cs="Times New Roman"/>
                <w:b/>
                <w:bCs/>
                <w:kern w:val="0"/>
                <w:sz w:val="24"/>
                <w:szCs w:val="24"/>
              </w:rPr>
              <w:t xml:space="preserve"> 产业政策符合性分析</w:t>
            </w:r>
          </w:p>
          <w:p>
            <w:pPr>
              <w:autoSpaceDE w:val="0"/>
              <w:autoSpaceDN w:val="0"/>
              <w:adjustRightInd w:val="0"/>
              <w:snapToGrid w:val="0"/>
              <w:spacing w:line="440" w:lineRule="exact"/>
              <w:ind w:firstLine="480" w:firstLineChars="200"/>
              <w:jc w:val="left"/>
              <w:rPr>
                <w:rFonts w:hint="eastAsia" w:ascii="Times New Roman" w:hAnsi="Times New Roman" w:eastAsia="宋体" w:cs="Times New Roman"/>
                <w:kern w:val="0"/>
                <w:sz w:val="24"/>
                <w:szCs w:val="24"/>
                <w:lang w:eastAsia="zh-CN"/>
              </w:rPr>
            </w:pPr>
            <w:bookmarkStart w:id="3" w:name="_Hlk92966283"/>
            <w:r>
              <w:rPr>
                <w:rFonts w:hint="eastAsia" w:ascii="Times New Roman" w:hAnsi="Times New Roman" w:eastAsia="宋体" w:cs="Times New Roman"/>
                <w:kern w:val="0"/>
                <w:sz w:val="24"/>
                <w:szCs w:val="24"/>
                <w:lang w:eastAsia="zh-CN"/>
              </w:rPr>
              <w:t>对照</w:t>
            </w:r>
            <w:r>
              <w:rPr>
                <w:rFonts w:hint="eastAsia" w:ascii="Times New Roman" w:hAnsi="Times New Roman" w:eastAsia="宋体" w:cs="Times New Roman"/>
                <w:kern w:val="0"/>
                <w:sz w:val="24"/>
                <w:szCs w:val="24"/>
              </w:rPr>
              <w:t>《产业结构调整指导</w:t>
            </w:r>
            <w:r>
              <w:rPr>
                <w:rFonts w:hint="eastAsia" w:ascii="Times New Roman" w:hAnsi="Times New Roman" w:eastAsia="宋体" w:cs="Times New Roman"/>
                <w:color w:val="auto"/>
                <w:kern w:val="0"/>
                <w:sz w:val="24"/>
                <w:szCs w:val="24"/>
              </w:rPr>
              <w:t>目录》（201</w:t>
            </w:r>
            <w:r>
              <w:rPr>
                <w:rFonts w:hint="eastAsia" w:ascii="Times New Roman" w:hAnsi="Times New Roman" w:eastAsia="宋体" w:cs="Times New Roman"/>
                <w:color w:val="auto"/>
                <w:kern w:val="0"/>
                <w:sz w:val="24"/>
                <w:szCs w:val="24"/>
                <w:lang w:val="en-US" w:eastAsia="zh-CN"/>
              </w:rPr>
              <w:t>9</w:t>
            </w:r>
            <w:r>
              <w:rPr>
                <w:rFonts w:hint="eastAsia" w:ascii="Times New Roman" w:hAnsi="Times New Roman" w:eastAsia="宋体" w:cs="Times New Roman"/>
                <w:color w:val="auto"/>
                <w:kern w:val="0"/>
                <w:sz w:val="24"/>
                <w:szCs w:val="24"/>
              </w:rPr>
              <w:t>年本）</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本项目</w:t>
            </w:r>
            <w:r>
              <w:rPr>
                <w:rFonts w:hint="eastAsia" w:ascii="Times New Roman" w:hAnsi="Times New Roman" w:eastAsia="宋体" w:cs="Times New Roman"/>
                <w:color w:val="auto"/>
                <w:kern w:val="0"/>
                <w:sz w:val="24"/>
                <w:szCs w:val="24"/>
                <w:lang w:val="en-US" w:eastAsia="zh-CN"/>
              </w:rPr>
              <w:t>不</w:t>
            </w:r>
            <w:r>
              <w:rPr>
                <w:rFonts w:hint="eastAsia" w:ascii="Times New Roman" w:hAnsi="Times New Roman" w:eastAsia="宋体" w:cs="Times New Roman"/>
                <w:color w:val="auto"/>
                <w:kern w:val="0"/>
                <w:sz w:val="24"/>
                <w:szCs w:val="24"/>
                <w:lang w:eastAsia="zh-CN"/>
              </w:rPr>
              <w:t>属于鼓励类、</w:t>
            </w:r>
            <w:r>
              <w:rPr>
                <w:rFonts w:hint="eastAsia" w:ascii="Times New Roman" w:hAnsi="Times New Roman" w:eastAsia="宋体" w:cs="Times New Roman"/>
                <w:color w:val="auto"/>
                <w:kern w:val="0"/>
                <w:sz w:val="24"/>
                <w:szCs w:val="24"/>
                <w:lang w:val="en-US" w:eastAsia="zh-CN"/>
              </w:rPr>
              <w:t>限制类、淘汰类，属于允许类，因此</w:t>
            </w:r>
            <w:r>
              <w:rPr>
                <w:rFonts w:hint="eastAsia" w:ascii="Times New Roman" w:hAnsi="Times New Roman" w:eastAsia="宋体" w:cs="Times New Roman"/>
                <w:color w:val="auto"/>
                <w:kern w:val="0"/>
                <w:sz w:val="24"/>
                <w:szCs w:val="24"/>
                <w:lang w:eastAsia="zh-CN"/>
              </w:rPr>
              <w:t>，项</w:t>
            </w:r>
            <w:r>
              <w:rPr>
                <w:rFonts w:hint="eastAsia" w:ascii="Times New Roman" w:hAnsi="Times New Roman" w:eastAsia="宋体" w:cs="Times New Roman"/>
                <w:kern w:val="0"/>
                <w:sz w:val="24"/>
                <w:szCs w:val="24"/>
                <w:lang w:eastAsia="zh-CN"/>
              </w:rPr>
              <w:t>目</w:t>
            </w:r>
            <w:r>
              <w:rPr>
                <w:rFonts w:hint="eastAsia" w:ascii="Times New Roman" w:hAnsi="Times New Roman" w:eastAsia="宋体" w:cs="Times New Roman"/>
                <w:kern w:val="0"/>
                <w:sz w:val="24"/>
                <w:szCs w:val="24"/>
              </w:rPr>
              <w:t>符合国家产业政策</w:t>
            </w:r>
            <w:r>
              <w:rPr>
                <w:rFonts w:hint="eastAsia" w:ascii="Times New Roman" w:hAnsi="Times New Roman" w:eastAsia="宋体" w:cs="Times New Roman"/>
                <w:kern w:val="0"/>
                <w:sz w:val="24"/>
                <w:szCs w:val="24"/>
                <w:lang w:eastAsia="zh-CN"/>
              </w:rPr>
              <w:t>。</w:t>
            </w:r>
          </w:p>
          <w:p>
            <w:pPr>
              <w:autoSpaceDE w:val="0"/>
              <w:autoSpaceDN w:val="0"/>
              <w:adjustRightInd w:val="0"/>
              <w:snapToGrid w:val="0"/>
              <w:spacing w:line="440" w:lineRule="exact"/>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2021年3月29日，重庆市铜梁区规划和自然资源局出具项目用地性质说明文件，地块为“工业用地”，</w:t>
            </w:r>
            <w:r>
              <w:rPr>
                <w:rFonts w:ascii="Times New Roman" w:hAnsi="Times New Roman" w:eastAsia="宋体" w:cs="Times New Roman"/>
                <w:color w:val="auto"/>
                <w:kern w:val="0"/>
                <w:sz w:val="24"/>
                <w:szCs w:val="24"/>
              </w:rPr>
              <w:t>同时，重庆市</w:t>
            </w:r>
            <w:r>
              <w:rPr>
                <w:rFonts w:hint="eastAsia" w:ascii="Times New Roman" w:hAnsi="Times New Roman" w:eastAsia="宋体" w:cs="Times New Roman"/>
                <w:color w:val="auto"/>
                <w:kern w:val="0"/>
                <w:sz w:val="24"/>
                <w:szCs w:val="24"/>
                <w:lang w:val="en-US" w:eastAsia="zh-CN"/>
              </w:rPr>
              <w:t>铜梁区</w:t>
            </w:r>
            <w:r>
              <w:rPr>
                <w:rFonts w:hint="eastAsia" w:ascii="Times New Roman" w:hAnsi="Times New Roman" w:eastAsia="宋体" w:cs="Times New Roman"/>
                <w:color w:val="auto"/>
                <w:kern w:val="0"/>
                <w:sz w:val="24"/>
                <w:szCs w:val="24"/>
                <w:lang w:eastAsia="zh-CN"/>
              </w:rPr>
              <w:t>发展和改革委员会</w:t>
            </w:r>
            <w:r>
              <w:rPr>
                <w:rFonts w:ascii="Times New Roman" w:hAnsi="Times New Roman" w:eastAsia="宋体" w:cs="Times New Roman"/>
                <w:color w:val="auto"/>
                <w:kern w:val="0"/>
                <w:sz w:val="24"/>
                <w:szCs w:val="24"/>
              </w:rPr>
              <w:t>以颁发《重庆市企业投资项目备案证》（项目备案编码：</w:t>
            </w:r>
            <w:r>
              <w:rPr>
                <w:rFonts w:hint="eastAsia" w:ascii="Times New Roman" w:hAnsi="Times New Roman" w:eastAsia="宋体" w:cs="Times New Roman"/>
                <w:szCs w:val="21"/>
                <w:lang w:val="en-US" w:eastAsia="zh-CN"/>
              </w:rPr>
              <w:t>2204-500151-04-02-461839</w:t>
            </w:r>
            <w:r>
              <w:rPr>
                <w:rFonts w:ascii="Times New Roman" w:hAnsi="Times New Roman" w:eastAsia="宋体" w:cs="Times New Roman"/>
                <w:color w:val="auto"/>
                <w:kern w:val="0"/>
                <w:sz w:val="24"/>
                <w:szCs w:val="24"/>
              </w:rPr>
              <w:t>）的形式同意该项目备案建设。</w:t>
            </w:r>
          </w:p>
          <w:bookmarkEnd w:id="3"/>
          <w:p>
            <w:pPr>
              <w:autoSpaceDE w:val="0"/>
              <w:autoSpaceDN w:val="0"/>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综上所述</w:t>
            </w:r>
            <w:r>
              <w:rPr>
                <w:rFonts w:ascii="Times New Roman" w:hAnsi="Times New Roman" w:eastAsia="宋体" w:cs="Times New Roman"/>
                <w:kern w:val="0"/>
                <w:sz w:val="24"/>
                <w:szCs w:val="24"/>
              </w:rPr>
              <w:t>，本项目的建设符合国家和重庆市的产业政策要求。</w:t>
            </w:r>
          </w:p>
          <w:p>
            <w:pPr>
              <w:autoSpaceDE w:val="0"/>
              <w:autoSpaceDN w:val="0"/>
              <w:adjustRightInd w:val="0"/>
              <w:snapToGrid w:val="0"/>
              <w:spacing w:line="440" w:lineRule="exact"/>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w:t>
            </w:r>
            <w:r>
              <w:rPr>
                <w:rFonts w:hint="eastAsia" w:ascii="Times New Roman" w:hAnsi="Times New Roman" w:eastAsia="宋体" w:cs="Times New Roman"/>
                <w:b/>
                <w:bCs/>
                <w:kern w:val="0"/>
                <w:sz w:val="24"/>
                <w:szCs w:val="24"/>
                <w:lang w:val="en-US" w:eastAsia="zh-CN"/>
              </w:rPr>
              <w:t>1.3</w:t>
            </w:r>
            <w:r>
              <w:rPr>
                <w:rFonts w:ascii="Times New Roman" w:hAnsi="Times New Roman" w:eastAsia="宋体" w:cs="Times New Roman"/>
                <w:b/>
                <w:bCs/>
                <w:kern w:val="0"/>
                <w:sz w:val="24"/>
                <w:szCs w:val="24"/>
              </w:rPr>
              <w:t xml:space="preserve"> 与</w:t>
            </w:r>
            <w:r>
              <w:rPr>
                <w:rFonts w:hint="eastAsia" w:ascii="Times New Roman" w:hAnsi="Times New Roman" w:eastAsia="宋体" w:cs="Times New Roman"/>
                <w:b/>
                <w:bCs/>
                <w:kern w:val="0"/>
                <w:sz w:val="24"/>
                <w:szCs w:val="24"/>
                <w:lang w:eastAsia="zh-CN"/>
              </w:rPr>
              <w:t>《</w:t>
            </w:r>
            <w:r>
              <w:rPr>
                <w:rFonts w:hint="default" w:ascii="Times New Roman" w:hAnsi="Times New Roman" w:eastAsia="宋体" w:cs="Times New Roman"/>
                <w:b/>
                <w:bCs/>
                <w:kern w:val="0"/>
                <w:sz w:val="24"/>
                <w:szCs w:val="24"/>
              </w:rPr>
              <w:t>重庆市发展和改革委员会关于印发重庆市产业投资准入工作手册的通知</w:t>
            </w:r>
            <w:r>
              <w:rPr>
                <w:rFonts w:hint="eastAsia" w:ascii="Times New Roman" w:hAnsi="Times New Roman" w:eastAsia="宋体" w:cs="Times New Roman"/>
                <w:b/>
                <w:bCs/>
                <w:kern w:val="0"/>
                <w:sz w:val="24"/>
                <w:szCs w:val="24"/>
                <w:lang w:eastAsia="zh-CN"/>
              </w:rPr>
              <w:t>》（</w:t>
            </w:r>
            <w:r>
              <w:rPr>
                <w:rFonts w:ascii="Times New Roman" w:hAnsi="Times New Roman" w:eastAsia="宋体" w:cs="Times New Roman"/>
                <w:b/>
                <w:bCs/>
                <w:kern w:val="0"/>
                <w:sz w:val="24"/>
                <w:szCs w:val="24"/>
              </w:rPr>
              <w:t>渝发改投资〔2022〕1436号</w:t>
            </w:r>
            <w:r>
              <w:rPr>
                <w:rFonts w:hint="eastAsia" w:ascii="Times New Roman" w:hAnsi="Times New Roman" w:eastAsia="宋体" w:cs="Times New Roman"/>
                <w:b/>
                <w:bCs/>
                <w:kern w:val="0"/>
                <w:sz w:val="24"/>
                <w:szCs w:val="24"/>
                <w:lang w:eastAsia="zh-CN"/>
              </w:rPr>
              <w:t>）</w:t>
            </w:r>
            <w:r>
              <w:rPr>
                <w:rFonts w:ascii="Times New Roman" w:hAnsi="Times New Roman" w:eastAsia="宋体" w:cs="Times New Roman"/>
                <w:b/>
                <w:bCs/>
                <w:kern w:val="0"/>
                <w:sz w:val="24"/>
                <w:szCs w:val="24"/>
              </w:rPr>
              <w:t>符合性分析</w:t>
            </w:r>
          </w:p>
          <w:p>
            <w:pPr>
              <w:autoSpaceDE w:val="0"/>
              <w:autoSpaceDN w:val="0"/>
              <w:adjustRightInd w:val="0"/>
              <w:snapToGrid w:val="0"/>
              <w:spacing w:line="440" w:lineRule="atLeast"/>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表1</w:t>
            </w:r>
            <w:r>
              <w:rPr>
                <w:rFonts w:hint="eastAsia" w:ascii="Times New Roman" w:hAnsi="Times New Roman" w:eastAsia="宋体" w:cs="Times New Roman"/>
                <w:b/>
                <w:bCs/>
                <w:color w:val="auto"/>
                <w:kern w:val="0"/>
                <w:sz w:val="24"/>
                <w:szCs w:val="24"/>
                <w:lang w:val="en-US" w:eastAsia="zh-CN"/>
              </w:rPr>
              <w:t>.1</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 xml:space="preserve">2  </w:t>
            </w:r>
            <w:r>
              <w:rPr>
                <w:rFonts w:ascii="Times New Roman" w:hAnsi="Times New Roman" w:eastAsia="宋体" w:cs="Times New Roman"/>
                <w:b/>
                <w:bCs/>
                <w:color w:val="auto"/>
                <w:kern w:val="0"/>
                <w:sz w:val="24"/>
                <w:szCs w:val="24"/>
              </w:rPr>
              <w:t>重庆市产业投资准入工作手册符合性分析</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4729"/>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4" w:type="pct"/>
                  <w:shd w:val="clear" w:color="auto" w:fill="auto"/>
                  <w:vAlign w:val="center"/>
                </w:tcPr>
                <w:p>
                  <w:pPr>
                    <w:pStyle w:val="41"/>
                    <w:autoSpaceDE w:val="0"/>
                    <w:autoSpaceDN w:val="0"/>
                    <w:spacing w:line="240" w:lineRule="auto"/>
                    <w:ind w:firstLine="0" w:firstLineChars="0"/>
                    <w:textAlignment w:val="bottom"/>
                    <w:rPr>
                      <w:color w:val="auto"/>
                    </w:rPr>
                  </w:pPr>
                  <w:r>
                    <w:rPr>
                      <w:color w:val="auto"/>
                    </w:rPr>
                    <w:t>编号</w:t>
                  </w:r>
                </w:p>
              </w:tc>
              <w:tc>
                <w:tcPr>
                  <w:tcW w:w="2836" w:type="pct"/>
                  <w:shd w:val="clear" w:color="auto" w:fill="auto"/>
                  <w:vAlign w:val="center"/>
                </w:tcPr>
                <w:p>
                  <w:pPr>
                    <w:pStyle w:val="41"/>
                    <w:autoSpaceDE w:val="0"/>
                    <w:autoSpaceDN w:val="0"/>
                    <w:spacing w:line="240" w:lineRule="auto"/>
                    <w:ind w:firstLine="0" w:firstLineChars="0"/>
                    <w:jc w:val="both"/>
                    <w:textAlignment w:val="bottom"/>
                    <w:rPr>
                      <w:color w:val="auto"/>
                    </w:rPr>
                  </w:pPr>
                  <w:r>
                    <w:rPr>
                      <w:color w:val="auto"/>
                    </w:rPr>
                    <w:t>准入规定</w:t>
                  </w:r>
                </w:p>
              </w:tc>
              <w:tc>
                <w:tcPr>
                  <w:tcW w:w="1649" w:type="pct"/>
                  <w:shd w:val="clear" w:color="auto" w:fill="auto"/>
                  <w:vAlign w:val="center"/>
                </w:tcPr>
                <w:p>
                  <w:pPr>
                    <w:pStyle w:val="41"/>
                    <w:autoSpaceDE w:val="0"/>
                    <w:autoSpaceDN w:val="0"/>
                    <w:spacing w:line="240" w:lineRule="auto"/>
                    <w:ind w:firstLine="0" w:firstLineChars="0"/>
                    <w:jc w:val="both"/>
                    <w:textAlignment w:val="bottom"/>
                    <w:rPr>
                      <w:color w:val="auto"/>
                    </w:rPr>
                  </w:pPr>
                  <w:r>
                    <w:rPr>
                      <w:color w:val="auto"/>
                    </w:rPr>
                    <w:t>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41"/>
                    <w:autoSpaceDE w:val="0"/>
                    <w:autoSpaceDN w:val="0"/>
                    <w:spacing w:line="240" w:lineRule="auto"/>
                    <w:ind w:firstLine="0" w:firstLineChars="0"/>
                    <w:textAlignment w:val="bottom"/>
                    <w:rPr>
                      <w:color w:val="auto"/>
                    </w:rPr>
                  </w:pPr>
                  <w:r>
                    <w:rPr>
                      <w:color w:val="auto"/>
                    </w:rPr>
                    <w:t>二</w:t>
                  </w:r>
                </w:p>
              </w:tc>
              <w:tc>
                <w:tcPr>
                  <w:tcW w:w="4485" w:type="pct"/>
                  <w:gridSpan w:val="2"/>
                  <w:vAlign w:val="center"/>
                </w:tcPr>
                <w:p>
                  <w:pPr>
                    <w:pStyle w:val="41"/>
                    <w:autoSpaceDE w:val="0"/>
                    <w:autoSpaceDN w:val="0"/>
                    <w:spacing w:line="240" w:lineRule="auto"/>
                    <w:ind w:firstLine="0" w:firstLineChars="0"/>
                    <w:jc w:val="both"/>
                    <w:textAlignment w:val="bottom"/>
                    <w:rPr>
                      <w:color w:val="auto"/>
                    </w:rPr>
                  </w:pPr>
                  <w:r>
                    <w:rPr>
                      <w:color w:val="auto"/>
                    </w:rPr>
                    <w:t>不予准入类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41"/>
                    <w:autoSpaceDE w:val="0"/>
                    <w:autoSpaceDN w:val="0"/>
                    <w:spacing w:line="240" w:lineRule="auto"/>
                    <w:ind w:firstLine="0" w:firstLineChars="0"/>
                    <w:textAlignment w:val="bottom"/>
                    <w:rPr>
                      <w:color w:val="auto"/>
                    </w:rPr>
                  </w:pPr>
                  <w:r>
                    <w:rPr>
                      <w:color w:val="auto"/>
                    </w:rPr>
                    <w:t>（一）</w:t>
                  </w:r>
                </w:p>
              </w:tc>
              <w:tc>
                <w:tcPr>
                  <w:tcW w:w="4485" w:type="pct"/>
                  <w:gridSpan w:val="2"/>
                  <w:vAlign w:val="center"/>
                </w:tcPr>
                <w:p>
                  <w:pPr>
                    <w:pStyle w:val="41"/>
                    <w:autoSpaceDE w:val="0"/>
                    <w:autoSpaceDN w:val="0"/>
                    <w:spacing w:line="240" w:lineRule="auto"/>
                    <w:ind w:firstLine="0" w:firstLineChars="0"/>
                    <w:jc w:val="both"/>
                    <w:textAlignment w:val="bottom"/>
                    <w:rPr>
                      <w:color w:val="auto"/>
                    </w:rPr>
                  </w:pPr>
                  <w:r>
                    <w:rPr>
                      <w:color w:val="auto"/>
                    </w:rPr>
                    <w:t>全市范围内不予准入的产业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41"/>
                    <w:autoSpaceDE w:val="0"/>
                    <w:autoSpaceDN w:val="0"/>
                    <w:spacing w:line="240" w:lineRule="auto"/>
                    <w:ind w:firstLine="0" w:firstLineChars="0"/>
                    <w:textAlignment w:val="bottom"/>
                    <w:rPr>
                      <w:color w:val="auto"/>
                    </w:rPr>
                  </w:pPr>
                  <w:r>
                    <w:rPr>
                      <w:color w:val="auto"/>
                    </w:rPr>
                    <w:t>1</w:t>
                  </w:r>
                </w:p>
              </w:tc>
              <w:tc>
                <w:tcPr>
                  <w:tcW w:w="2836" w:type="pct"/>
                  <w:vAlign w:val="center"/>
                </w:tcPr>
                <w:p>
                  <w:pPr>
                    <w:pStyle w:val="41"/>
                    <w:autoSpaceDE w:val="0"/>
                    <w:autoSpaceDN w:val="0"/>
                    <w:spacing w:line="240" w:lineRule="auto"/>
                    <w:ind w:firstLine="0" w:firstLineChars="0"/>
                    <w:jc w:val="both"/>
                    <w:textAlignment w:val="bottom"/>
                    <w:rPr>
                      <w:color w:val="auto"/>
                    </w:rPr>
                  </w:pPr>
                  <w:r>
                    <w:rPr>
                      <w:rFonts w:hint="default"/>
                      <w:color w:val="auto"/>
                    </w:rPr>
                    <w:t>国家产业结构调整指导目录中的淘汰类项目</w:t>
                  </w:r>
                </w:p>
              </w:tc>
              <w:tc>
                <w:tcPr>
                  <w:tcW w:w="1649" w:type="pct"/>
                  <w:vAlign w:val="center"/>
                </w:tcPr>
                <w:p>
                  <w:pPr>
                    <w:pStyle w:val="41"/>
                    <w:autoSpaceDE w:val="0"/>
                    <w:autoSpaceDN w:val="0"/>
                    <w:spacing w:line="240" w:lineRule="auto"/>
                    <w:ind w:firstLine="0" w:firstLineChars="0"/>
                    <w:jc w:val="both"/>
                    <w:textAlignment w:val="bottom"/>
                    <w:rPr>
                      <w:rFonts w:hint="eastAsia" w:eastAsia="宋体"/>
                      <w:color w:val="auto"/>
                      <w:lang w:eastAsia="zh-CN"/>
                    </w:rPr>
                  </w:pPr>
                  <w:r>
                    <w:rPr>
                      <w:rFonts w:hint="eastAsia"/>
                      <w:color w:val="auto"/>
                    </w:rPr>
                    <w:t>符合，本项目</w:t>
                  </w:r>
                  <w:r>
                    <w:rPr>
                      <w:color w:val="auto"/>
                    </w:rPr>
                    <w:t>为</w:t>
                  </w:r>
                  <w:r>
                    <w:rPr>
                      <w:rFonts w:hint="eastAsia"/>
                      <w:color w:val="auto"/>
                      <w:lang w:eastAsia="zh-CN"/>
                    </w:rPr>
                    <w:t>允许</w:t>
                  </w:r>
                  <w:r>
                    <w:rPr>
                      <w:bCs/>
                      <w:color w:val="auto"/>
                      <w:kern w:val="0"/>
                    </w:rPr>
                    <w:t>类项目</w:t>
                  </w:r>
                  <w:r>
                    <w:rPr>
                      <w:rFonts w:hint="eastAsia"/>
                      <w:bCs/>
                      <w:color w:val="auto"/>
                      <w:kern w:val="0"/>
                      <w:lang w:eastAsia="zh-CN"/>
                    </w:rPr>
                    <w:t>，不属于淘汰类项目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41"/>
                    <w:autoSpaceDE w:val="0"/>
                    <w:autoSpaceDN w:val="0"/>
                    <w:spacing w:line="240" w:lineRule="auto"/>
                    <w:ind w:firstLine="0" w:firstLineChars="0"/>
                    <w:textAlignment w:val="bottom"/>
                    <w:rPr>
                      <w:color w:val="auto"/>
                    </w:rPr>
                  </w:pPr>
                  <w:r>
                    <w:rPr>
                      <w:rFonts w:hint="eastAsia"/>
                      <w:color w:val="auto"/>
                    </w:rPr>
                    <w:t>2</w:t>
                  </w:r>
                </w:p>
              </w:tc>
              <w:tc>
                <w:tcPr>
                  <w:tcW w:w="2836" w:type="pct"/>
                  <w:vAlign w:val="center"/>
                </w:tcPr>
                <w:p>
                  <w:pPr>
                    <w:pStyle w:val="41"/>
                    <w:autoSpaceDE w:val="0"/>
                    <w:autoSpaceDN w:val="0"/>
                    <w:spacing w:line="240" w:lineRule="auto"/>
                    <w:ind w:firstLine="0" w:firstLineChars="0"/>
                    <w:jc w:val="both"/>
                    <w:textAlignment w:val="bottom"/>
                    <w:rPr>
                      <w:rFonts w:hint="default" w:ascii="Times New Roman" w:hAnsi="Times New Roman" w:eastAsia="宋体" w:cs="Times New Roman"/>
                      <w:color w:val="auto"/>
                      <w:kern w:val="2"/>
                      <w:sz w:val="21"/>
                      <w:szCs w:val="21"/>
                      <w:lang w:val="en-US" w:eastAsia="zh-CN" w:bidi="ar-SA"/>
                    </w:rPr>
                  </w:pPr>
                  <w:r>
                    <w:rPr>
                      <w:rFonts w:hint="default"/>
                      <w:color w:val="auto"/>
                    </w:rPr>
                    <w:t>法律法规和相关政策明令不予准入的其他项目</w:t>
                  </w:r>
                </w:p>
              </w:tc>
              <w:tc>
                <w:tcPr>
                  <w:tcW w:w="1649" w:type="pct"/>
                  <w:vAlign w:val="center"/>
                </w:tcPr>
                <w:p>
                  <w:pPr>
                    <w:pStyle w:val="41"/>
                    <w:autoSpaceDE w:val="0"/>
                    <w:autoSpaceDN w:val="0"/>
                    <w:spacing w:line="240" w:lineRule="auto"/>
                    <w:ind w:firstLine="0" w:firstLineChars="0"/>
                    <w:jc w:val="both"/>
                    <w:textAlignment w:val="bottom"/>
                    <w:rPr>
                      <w:rFonts w:hint="eastAsia" w:ascii="Times New Roman" w:hAnsi="Times New Roman" w:eastAsia="宋体" w:cs="Times New Roman"/>
                      <w:color w:val="auto"/>
                      <w:kern w:val="2"/>
                      <w:sz w:val="21"/>
                      <w:szCs w:val="21"/>
                      <w:lang w:val="en-US" w:eastAsia="zh-CN" w:bidi="ar-SA"/>
                    </w:rPr>
                  </w:pPr>
                  <w:r>
                    <w:rPr>
                      <w:rFonts w:hint="eastAsia"/>
                      <w:color w:val="auto"/>
                    </w:rPr>
                    <w:t>符合，</w:t>
                  </w:r>
                  <w:r>
                    <w:rPr>
                      <w:color w:val="auto"/>
                      <w:kern w:val="0"/>
                    </w:rPr>
                    <w:t>项目</w:t>
                  </w:r>
                  <w:r>
                    <w:rPr>
                      <w:rFonts w:hint="eastAsia"/>
                      <w:color w:val="auto"/>
                      <w:kern w:val="0"/>
                      <w:lang w:eastAsia="zh-CN"/>
                    </w:rPr>
                    <w:t>符合相关法律法规及政策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41"/>
                    <w:autoSpaceDE w:val="0"/>
                    <w:autoSpaceDN w:val="0"/>
                    <w:spacing w:line="240" w:lineRule="auto"/>
                    <w:ind w:firstLine="0" w:firstLineChars="0"/>
                    <w:textAlignment w:val="bottom"/>
                    <w:rPr>
                      <w:color w:val="auto"/>
                    </w:rPr>
                  </w:pPr>
                  <w:r>
                    <w:rPr>
                      <w:color w:val="auto"/>
                    </w:rPr>
                    <w:t>（二）</w:t>
                  </w:r>
                </w:p>
              </w:tc>
              <w:tc>
                <w:tcPr>
                  <w:tcW w:w="4485" w:type="pct"/>
                  <w:gridSpan w:val="2"/>
                  <w:vAlign w:val="center"/>
                </w:tcPr>
                <w:p>
                  <w:pPr>
                    <w:pStyle w:val="41"/>
                    <w:autoSpaceDE w:val="0"/>
                    <w:autoSpaceDN w:val="0"/>
                    <w:spacing w:line="240" w:lineRule="auto"/>
                    <w:ind w:firstLine="0" w:firstLineChars="0"/>
                    <w:jc w:val="both"/>
                    <w:textAlignment w:val="bottom"/>
                    <w:rPr>
                      <w:color w:val="auto"/>
                    </w:rPr>
                  </w:pPr>
                  <w:r>
                    <w:rPr>
                      <w:color w:val="auto"/>
                    </w:rPr>
                    <w:t>重点区域不予准入的产业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41"/>
                    <w:autoSpaceDE w:val="0"/>
                    <w:autoSpaceDN w:val="0"/>
                    <w:spacing w:line="240" w:lineRule="auto"/>
                    <w:ind w:firstLine="0" w:firstLineChars="0"/>
                    <w:textAlignment w:val="bottom"/>
                    <w:rPr>
                      <w:color w:val="auto"/>
                    </w:rPr>
                  </w:pPr>
                  <w:r>
                    <w:rPr>
                      <w:rFonts w:hint="eastAsia"/>
                      <w:color w:val="auto"/>
                    </w:rPr>
                    <w:t>1</w:t>
                  </w:r>
                </w:p>
              </w:tc>
              <w:tc>
                <w:tcPr>
                  <w:tcW w:w="2836" w:type="pct"/>
                  <w:vAlign w:val="center"/>
                </w:tcPr>
                <w:p>
                  <w:pPr>
                    <w:pStyle w:val="41"/>
                    <w:autoSpaceDE w:val="0"/>
                    <w:autoSpaceDN w:val="0"/>
                    <w:spacing w:line="240" w:lineRule="auto"/>
                    <w:ind w:firstLine="0" w:firstLineChars="0"/>
                    <w:jc w:val="both"/>
                    <w:textAlignment w:val="bottom"/>
                    <w:rPr>
                      <w:rFonts w:ascii="Times New Roman" w:hAnsi="Times New Roman" w:eastAsia="宋体" w:cs="Times New Roman"/>
                      <w:color w:val="auto"/>
                      <w:kern w:val="2"/>
                      <w:sz w:val="21"/>
                      <w:szCs w:val="21"/>
                      <w:lang w:val="en-US" w:eastAsia="zh-CN" w:bidi="ar-SA"/>
                    </w:rPr>
                  </w:pPr>
                  <w:r>
                    <w:rPr>
                      <w:rFonts w:hint="default"/>
                      <w:color w:val="auto"/>
                    </w:rPr>
                    <w:t>在自然保护区核心区、缓冲区的岸线和河段范围内投资建设旅游和生产经营项目</w:t>
                  </w:r>
                </w:p>
              </w:tc>
              <w:tc>
                <w:tcPr>
                  <w:tcW w:w="1649" w:type="pct"/>
                  <w:vAlign w:val="center"/>
                </w:tcPr>
                <w:p>
                  <w:pPr>
                    <w:pStyle w:val="41"/>
                    <w:autoSpaceDE w:val="0"/>
                    <w:autoSpaceDN w:val="0"/>
                    <w:spacing w:line="240" w:lineRule="auto"/>
                    <w:ind w:firstLine="0" w:firstLineChars="0"/>
                    <w:jc w:val="both"/>
                    <w:textAlignment w:val="bottom"/>
                    <w:rPr>
                      <w:rFonts w:hint="eastAsia" w:eastAsia="宋体"/>
                      <w:color w:val="auto"/>
                      <w:lang w:eastAsia="zh-CN"/>
                    </w:rPr>
                  </w:pPr>
                  <w:r>
                    <w:rPr>
                      <w:rFonts w:hint="eastAsia"/>
                      <w:color w:val="auto"/>
                    </w:rPr>
                    <w:t>符合，</w:t>
                  </w:r>
                  <w:r>
                    <w:rPr>
                      <w:rFonts w:hint="eastAsia"/>
                      <w:bCs/>
                      <w:color w:val="auto"/>
                    </w:rPr>
                    <w:t>本项目位于</w:t>
                  </w:r>
                  <w:r>
                    <w:rPr>
                      <w:rFonts w:hint="eastAsia" w:cs="Times New Roman"/>
                      <w:color w:val="auto"/>
                      <w:szCs w:val="21"/>
                      <w:lang w:val="en-US" w:eastAsia="zh-CN"/>
                    </w:rPr>
                    <w:t>重庆市铜梁区侣俸镇凤飞村</w:t>
                  </w:r>
                  <w:r>
                    <w:rPr>
                      <w:rFonts w:hint="eastAsia"/>
                      <w:color w:val="auto"/>
                    </w:rPr>
                    <w:t>，</w:t>
                  </w:r>
                  <w:r>
                    <w:rPr>
                      <w:rFonts w:hint="eastAsia"/>
                      <w:bCs/>
                      <w:color w:val="auto"/>
                    </w:rPr>
                    <w:t>不</w:t>
                  </w:r>
                  <w:r>
                    <w:rPr>
                      <w:rFonts w:hint="eastAsia"/>
                      <w:bCs/>
                      <w:color w:val="auto"/>
                      <w:lang w:eastAsia="zh-CN"/>
                    </w:rPr>
                    <w:t>涉及</w:t>
                  </w:r>
                  <w:r>
                    <w:rPr>
                      <w:rFonts w:hint="default"/>
                      <w:color w:val="auto"/>
                    </w:rPr>
                    <w:t>自然保护区核心区、缓冲区的岸线和河段范围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41"/>
                    <w:autoSpaceDE w:val="0"/>
                    <w:autoSpaceDN w:val="0"/>
                    <w:spacing w:line="240" w:lineRule="auto"/>
                    <w:ind w:firstLine="0" w:firstLineChars="0"/>
                    <w:textAlignment w:val="bottom"/>
                    <w:rPr>
                      <w:color w:val="auto"/>
                    </w:rPr>
                  </w:pPr>
                  <w:r>
                    <w:rPr>
                      <w:color w:val="auto"/>
                    </w:rPr>
                    <w:t>三</w:t>
                  </w:r>
                </w:p>
              </w:tc>
              <w:tc>
                <w:tcPr>
                  <w:tcW w:w="4485" w:type="pct"/>
                  <w:gridSpan w:val="2"/>
                  <w:vAlign w:val="center"/>
                </w:tcPr>
                <w:p>
                  <w:pPr>
                    <w:pStyle w:val="41"/>
                    <w:autoSpaceDE w:val="0"/>
                    <w:autoSpaceDN w:val="0"/>
                    <w:spacing w:line="240" w:lineRule="auto"/>
                    <w:ind w:firstLine="0" w:firstLineChars="0"/>
                    <w:jc w:val="both"/>
                    <w:textAlignment w:val="bottom"/>
                    <w:rPr>
                      <w:color w:val="auto"/>
                    </w:rPr>
                  </w:pPr>
                  <w:r>
                    <w:rPr>
                      <w:color w:val="auto"/>
                    </w:rPr>
                    <w:t>限制准入类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14" w:type="pct"/>
                  <w:vAlign w:val="center"/>
                </w:tcPr>
                <w:p>
                  <w:pPr>
                    <w:pStyle w:val="41"/>
                    <w:autoSpaceDE w:val="0"/>
                    <w:autoSpaceDN w:val="0"/>
                    <w:spacing w:line="240" w:lineRule="auto"/>
                    <w:ind w:firstLine="0" w:firstLineChars="0"/>
                    <w:textAlignment w:val="bottom"/>
                    <w:rPr>
                      <w:color w:val="auto"/>
                    </w:rPr>
                  </w:pPr>
                  <w:r>
                    <w:rPr>
                      <w:rFonts w:hint="default"/>
                      <w:color w:val="auto"/>
                    </w:rPr>
                    <w:t>（一）</w:t>
                  </w:r>
                </w:p>
              </w:tc>
              <w:tc>
                <w:tcPr>
                  <w:tcW w:w="4485" w:type="pct"/>
                  <w:gridSpan w:val="2"/>
                  <w:vAlign w:val="center"/>
                </w:tcPr>
                <w:p>
                  <w:pPr>
                    <w:pStyle w:val="41"/>
                    <w:autoSpaceDE w:val="0"/>
                    <w:autoSpaceDN w:val="0"/>
                    <w:spacing w:line="240" w:lineRule="auto"/>
                    <w:ind w:firstLine="0" w:firstLineChars="0"/>
                    <w:jc w:val="both"/>
                    <w:textAlignment w:val="bottom"/>
                    <w:rPr>
                      <w:color w:val="auto"/>
                    </w:rPr>
                  </w:pPr>
                  <w:r>
                    <w:rPr>
                      <w:rFonts w:hint="default"/>
                      <w:color w:val="auto"/>
                    </w:rPr>
                    <w:t>全市范围内限制准入的产业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41"/>
                    <w:autoSpaceDE w:val="0"/>
                    <w:autoSpaceDN w:val="0"/>
                    <w:spacing w:line="240" w:lineRule="auto"/>
                    <w:ind w:firstLine="0" w:firstLineChars="0"/>
                    <w:textAlignment w:val="bottom"/>
                    <w:rPr>
                      <w:color w:val="auto"/>
                    </w:rPr>
                  </w:pPr>
                  <w:r>
                    <w:rPr>
                      <w:color w:val="auto"/>
                    </w:rPr>
                    <w:t>1</w:t>
                  </w:r>
                </w:p>
              </w:tc>
              <w:tc>
                <w:tcPr>
                  <w:tcW w:w="2836" w:type="pct"/>
                  <w:vAlign w:val="center"/>
                </w:tcPr>
                <w:p>
                  <w:pPr>
                    <w:pStyle w:val="41"/>
                    <w:autoSpaceDE w:val="0"/>
                    <w:autoSpaceDN w:val="0"/>
                    <w:spacing w:line="240" w:lineRule="auto"/>
                    <w:ind w:firstLine="0" w:firstLineChars="0"/>
                    <w:jc w:val="both"/>
                    <w:textAlignment w:val="bottom"/>
                    <w:rPr>
                      <w:color w:val="auto"/>
                    </w:rPr>
                  </w:pPr>
                  <w:r>
                    <w:rPr>
                      <w:rFonts w:hint="default"/>
                      <w:color w:val="auto"/>
                    </w:rPr>
                    <w:t>新建、扩建不符合国家产能置换要求的严重过剩产能行业的项目。新建、扩建不符合要求的高耗能高排放项目</w:t>
                  </w:r>
                </w:p>
              </w:tc>
              <w:tc>
                <w:tcPr>
                  <w:tcW w:w="1649" w:type="pct"/>
                  <w:vMerge w:val="restart"/>
                  <w:vAlign w:val="center"/>
                </w:tcPr>
                <w:p>
                  <w:pPr>
                    <w:pStyle w:val="41"/>
                    <w:autoSpaceDE w:val="0"/>
                    <w:autoSpaceDN w:val="0"/>
                    <w:spacing w:line="240" w:lineRule="auto"/>
                    <w:ind w:firstLine="0" w:firstLineChars="0"/>
                    <w:jc w:val="both"/>
                    <w:textAlignment w:val="bottom"/>
                    <w:rPr>
                      <w:rFonts w:hint="eastAsia" w:eastAsia="宋体"/>
                      <w:color w:val="auto"/>
                      <w:lang w:eastAsia="zh-CN"/>
                    </w:rPr>
                  </w:pPr>
                  <w:r>
                    <w:rPr>
                      <w:rFonts w:hint="eastAsia"/>
                      <w:color w:val="auto"/>
                    </w:rPr>
                    <w:t>符合，本项目属于</w:t>
                  </w:r>
                  <w:r>
                    <w:rPr>
                      <w:rFonts w:hint="eastAsia"/>
                      <w:color w:val="auto"/>
                      <w:lang w:eastAsia="zh-CN"/>
                    </w:rPr>
                    <w:t>N78</w:t>
                  </w:r>
                  <w:r>
                    <w:rPr>
                      <w:rFonts w:hint="eastAsia"/>
                      <w:color w:val="auto"/>
                      <w:lang w:val="en-US" w:eastAsia="zh-CN"/>
                    </w:rPr>
                    <w:t>2</w:t>
                  </w:r>
                  <w:r>
                    <w:rPr>
                      <w:rFonts w:hint="eastAsia"/>
                      <w:color w:val="auto"/>
                      <w:lang w:eastAsia="zh-CN"/>
                    </w:rPr>
                    <w:t>0环境卫生管理</w:t>
                  </w:r>
                  <w:r>
                    <w:rPr>
                      <w:rFonts w:hint="eastAsia"/>
                      <w:color w:val="auto"/>
                    </w:rPr>
                    <w:t>行业，</w:t>
                  </w:r>
                  <w:r>
                    <w:rPr>
                      <w:rFonts w:hint="eastAsia"/>
                      <w:color w:val="auto"/>
                      <w:lang w:eastAsia="zh-CN"/>
                    </w:rPr>
                    <w:t>项目用地性质为工业用地，不属于</w:t>
                  </w:r>
                  <w:r>
                    <w:rPr>
                      <w:rFonts w:hint="default"/>
                      <w:color w:val="auto"/>
                    </w:rPr>
                    <w:t>严重过剩产能行业</w:t>
                  </w:r>
                  <w:r>
                    <w:rPr>
                      <w:rFonts w:hint="eastAsia"/>
                      <w:color w:val="auto"/>
                      <w:lang w:eastAsia="zh-CN"/>
                    </w:rPr>
                    <w:t>及</w:t>
                  </w:r>
                  <w:r>
                    <w:rPr>
                      <w:rFonts w:hint="default"/>
                      <w:color w:val="auto"/>
                    </w:rPr>
                    <w:t>高耗能高排放项目</w:t>
                  </w:r>
                  <w:r>
                    <w:rPr>
                      <w:rFonts w:hint="eastAsia"/>
                      <w:color w:val="auto"/>
                      <w:lang w:eastAsia="zh-CN"/>
                    </w:rPr>
                    <w:t>，不属于</w:t>
                  </w:r>
                  <w:r>
                    <w:rPr>
                      <w:rFonts w:hint="default"/>
                      <w:color w:val="auto"/>
                    </w:rPr>
                    <w:t>钢铁、石化、化工、焦化、建材、有色、制浆造纸等高污染项目</w:t>
                  </w:r>
                  <w:r>
                    <w:rPr>
                      <w:rFonts w:hint="eastAsia"/>
                      <w:color w:val="auto"/>
                      <w:lang w:eastAsia="zh-CN"/>
                    </w:rPr>
                    <w:t>，因此，项目不需要进入工业园区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41"/>
                    <w:autoSpaceDE w:val="0"/>
                    <w:autoSpaceDN w:val="0"/>
                    <w:spacing w:line="240" w:lineRule="auto"/>
                    <w:ind w:firstLine="0" w:firstLineChars="0"/>
                    <w:textAlignment w:val="bottom"/>
                    <w:rPr>
                      <w:color w:val="auto"/>
                    </w:rPr>
                  </w:pPr>
                  <w:r>
                    <w:rPr>
                      <w:color w:val="auto"/>
                    </w:rPr>
                    <w:t>2</w:t>
                  </w:r>
                </w:p>
              </w:tc>
              <w:tc>
                <w:tcPr>
                  <w:tcW w:w="2836" w:type="pct"/>
                  <w:vAlign w:val="center"/>
                </w:tcPr>
                <w:p>
                  <w:pPr>
                    <w:pStyle w:val="41"/>
                    <w:autoSpaceDE w:val="0"/>
                    <w:autoSpaceDN w:val="0"/>
                    <w:spacing w:line="240" w:lineRule="auto"/>
                    <w:ind w:firstLine="0" w:firstLineChars="0"/>
                    <w:jc w:val="both"/>
                    <w:textAlignment w:val="bottom"/>
                    <w:rPr>
                      <w:color w:val="auto"/>
                    </w:rPr>
                  </w:pPr>
                  <w:r>
                    <w:rPr>
                      <w:rFonts w:hint="default"/>
                      <w:color w:val="auto"/>
                    </w:rPr>
                    <w:t>在合规园区外新建、扩建钢铁、石化、化工、焦化、建材、有色、制浆造纸等高污染项目</w:t>
                  </w:r>
                </w:p>
              </w:tc>
              <w:tc>
                <w:tcPr>
                  <w:tcW w:w="1649" w:type="pct"/>
                  <w:vMerge w:val="continue"/>
                  <w:vAlign w:val="center"/>
                </w:tcPr>
                <w:p>
                  <w:pPr>
                    <w:pStyle w:val="41"/>
                    <w:autoSpaceDE w:val="0"/>
                    <w:autoSpaceDN w:val="0"/>
                    <w:spacing w:line="240" w:lineRule="auto"/>
                    <w:ind w:firstLine="0" w:firstLineChars="0"/>
                    <w:jc w:val="both"/>
                    <w:textAlignment w:val="bottom"/>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41"/>
                    <w:autoSpaceDE w:val="0"/>
                    <w:autoSpaceDN w:val="0"/>
                    <w:spacing w:line="240" w:lineRule="auto"/>
                    <w:ind w:firstLine="0" w:firstLineChars="0"/>
                    <w:textAlignment w:val="bottom"/>
                    <w:rPr>
                      <w:color w:val="auto"/>
                    </w:rPr>
                  </w:pPr>
                  <w:r>
                    <w:rPr>
                      <w:rFonts w:hint="default"/>
                      <w:color w:val="auto"/>
                    </w:rPr>
                    <w:t>（二）</w:t>
                  </w:r>
                </w:p>
              </w:tc>
              <w:tc>
                <w:tcPr>
                  <w:tcW w:w="4485" w:type="pct"/>
                  <w:gridSpan w:val="2"/>
                  <w:vAlign w:val="center"/>
                </w:tcPr>
                <w:p>
                  <w:pPr>
                    <w:pStyle w:val="41"/>
                    <w:autoSpaceDE w:val="0"/>
                    <w:autoSpaceDN w:val="0"/>
                    <w:spacing w:line="240" w:lineRule="auto"/>
                    <w:ind w:firstLine="0" w:firstLineChars="0"/>
                    <w:jc w:val="both"/>
                    <w:textAlignment w:val="bottom"/>
                    <w:rPr>
                      <w:color w:val="auto"/>
                    </w:rPr>
                  </w:pPr>
                  <w:r>
                    <w:rPr>
                      <w:rFonts w:hint="default"/>
                      <w:color w:val="auto"/>
                    </w:rPr>
                    <w:t>重点区域范围内限制准入的产业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41"/>
                    <w:autoSpaceDE w:val="0"/>
                    <w:autoSpaceDN w:val="0"/>
                    <w:spacing w:line="240" w:lineRule="auto"/>
                    <w:ind w:firstLine="0" w:firstLineChars="0"/>
                    <w:textAlignment w:val="bottom"/>
                    <w:rPr>
                      <w:rFonts w:hint="default" w:ascii="Times New Roman" w:hAnsi="Times New Roman" w:eastAsia="宋体" w:cs="Times New Roman"/>
                      <w:color w:val="auto"/>
                      <w:kern w:val="2"/>
                      <w:sz w:val="21"/>
                      <w:szCs w:val="21"/>
                      <w:lang w:val="en-US" w:eastAsia="zh-CN" w:bidi="ar-SA"/>
                    </w:rPr>
                  </w:pPr>
                  <w:r>
                    <w:rPr>
                      <w:color w:val="auto"/>
                    </w:rPr>
                    <w:t>1</w:t>
                  </w:r>
                </w:p>
              </w:tc>
              <w:tc>
                <w:tcPr>
                  <w:tcW w:w="2836" w:type="pct"/>
                  <w:vAlign w:val="center"/>
                </w:tcPr>
                <w:p>
                  <w:pPr>
                    <w:pStyle w:val="41"/>
                    <w:autoSpaceDE w:val="0"/>
                    <w:autoSpaceDN w:val="0"/>
                    <w:spacing w:line="240" w:lineRule="auto"/>
                    <w:ind w:firstLine="0" w:firstLineChars="0"/>
                    <w:jc w:val="both"/>
                    <w:textAlignment w:val="bottom"/>
                    <w:rPr>
                      <w:rFonts w:hint="default"/>
                      <w:color w:val="auto"/>
                    </w:rPr>
                  </w:pPr>
                  <w:r>
                    <w:rPr>
                      <w:rFonts w:hint="default"/>
                      <w:color w:val="auto"/>
                    </w:rPr>
                    <w:t>长江干支流、重要湖泊岸线1公里范围内新建、扩建化工园区和化工项目，长江、嘉陵江、乌江岸线1公里范围内布局新建纸浆制造、印染等存在环境风险的项目</w:t>
                  </w:r>
                </w:p>
              </w:tc>
              <w:tc>
                <w:tcPr>
                  <w:tcW w:w="1649" w:type="pct"/>
                  <w:vAlign w:val="center"/>
                </w:tcPr>
                <w:p>
                  <w:pPr>
                    <w:pStyle w:val="41"/>
                    <w:autoSpaceDE w:val="0"/>
                    <w:autoSpaceDN w:val="0"/>
                    <w:spacing w:line="240" w:lineRule="auto"/>
                    <w:ind w:firstLine="0" w:firstLineChars="0"/>
                    <w:jc w:val="both"/>
                    <w:textAlignment w:val="bottom"/>
                    <w:rPr>
                      <w:rFonts w:hint="eastAsia" w:eastAsia="宋体"/>
                      <w:color w:val="auto"/>
                      <w:lang w:eastAsia="zh-CN"/>
                    </w:rPr>
                  </w:pPr>
                  <w:r>
                    <w:rPr>
                      <w:rFonts w:hint="eastAsia"/>
                      <w:color w:val="auto"/>
                    </w:rPr>
                    <w:t>符合，</w:t>
                  </w:r>
                  <w:r>
                    <w:rPr>
                      <w:rFonts w:hint="eastAsia"/>
                      <w:bCs/>
                      <w:color w:val="auto"/>
                    </w:rPr>
                    <w:t>本项目</w:t>
                  </w:r>
                  <w:r>
                    <w:rPr>
                      <w:rFonts w:hint="eastAsia"/>
                      <w:color w:val="auto"/>
                    </w:rPr>
                    <w:t>属于</w:t>
                  </w:r>
                  <w:r>
                    <w:rPr>
                      <w:rFonts w:hint="eastAsia"/>
                      <w:color w:val="auto"/>
                      <w:lang w:eastAsia="zh-CN"/>
                    </w:rPr>
                    <w:t>N78</w:t>
                  </w:r>
                  <w:r>
                    <w:rPr>
                      <w:rFonts w:hint="eastAsia"/>
                      <w:color w:val="auto"/>
                      <w:lang w:val="en-US" w:eastAsia="zh-CN"/>
                    </w:rPr>
                    <w:t>2</w:t>
                  </w:r>
                  <w:r>
                    <w:rPr>
                      <w:rFonts w:hint="eastAsia"/>
                      <w:color w:val="auto"/>
                      <w:lang w:eastAsia="zh-CN"/>
                    </w:rPr>
                    <w:t>0环境卫生管理</w:t>
                  </w:r>
                  <w:r>
                    <w:rPr>
                      <w:rFonts w:hint="eastAsia"/>
                      <w:color w:val="auto"/>
                    </w:rPr>
                    <w:t>行业，</w:t>
                  </w:r>
                  <w:r>
                    <w:rPr>
                      <w:rFonts w:hint="eastAsia"/>
                      <w:bCs/>
                      <w:color w:val="auto"/>
                    </w:rPr>
                    <w:t>不属于</w:t>
                  </w:r>
                  <w:r>
                    <w:rPr>
                      <w:rFonts w:hint="eastAsia"/>
                      <w:bCs/>
                      <w:color w:val="auto"/>
                      <w:lang w:eastAsia="zh-CN"/>
                    </w:rPr>
                    <w:t>以上限制准入产业</w:t>
                  </w:r>
                </w:p>
              </w:tc>
            </w:tr>
          </w:tbl>
          <w:p>
            <w:pPr>
              <w:autoSpaceDE w:val="0"/>
              <w:autoSpaceDN w:val="0"/>
              <w:adjustRightInd w:val="0"/>
              <w:snapToGri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由上表可知，项目的建设符合</w:t>
            </w:r>
            <w:r>
              <w:rPr>
                <w:rFonts w:hint="eastAsia" w:ascii="Times New Roman" w:hAnsi="Times New Roman" w:eastAsia="宋体" w:cs="Times New Roman"/>
                <w:b w:val="0"/>
                <w:bCs w:val="0"/>
                <w:kern w:val="0"/>
                <w:sz w:val="24"/>
                <w:szCs w:val="24"/>
                <w:lang w:eastAsia="zh-CN"/>
              </w:rPr>
              <w:t>《</w:t>
            </w:r>
            <w:r>
              <w:rPr>
                <w:rFonts w:hint="default" w:ascii="Times New Roman" w:hAnsi="Times New Roman" w:eastAsia="宋体" w:cs="Times New Roman"/>
                <w:b w:val="0"/>
                <w:bCs w:val="0"/>
                <w:kern w:val="0"/>
                <w:sz w:val="24"/>
                <w:szCs w:val="24"/>
              </w:rPr>
              <w:t>重庆市发展和改革委员会关于印发重庆市产业投资准入工作手册的通知</w:t>
            </w:r>
            <w:r>
              <w:rPr>
                <w:rFonts w:hint="eastAsia" w:ascii="Times New Roman" w:hAnsi="Times New Roman" w:eastAsia="宋体" w:cs="Times New Roman"/>
                <w:b w:val="0"/>
                <w:bCs w:val="0"/>
                <w:kern w:val="0"/>
                <w:sz w:val="24"/>
                <w:szCs w:val="24"/>
                <w:lang w:eastAsia="zh-CN"/>
              </w:rPr>
              <w:t>》（</w:t>
            </w:r>
            <w:r>
              <w:rPr>
                <w:rFonts w:ascii="Times New Roman" w:hAnsi="Times New Roman" w:eastAsia="宋体" w:cs="Times New Roman"/>
                <w:b w:val="0"/>
                <w:bCs w:val="0"/>
                <w:kern w:val="0"/>
                <w:sz w:val="24"/>
                <w:szCs w:val="24"/>
              </w:rPr>
              <w:t>渝发改投资〔2022〕1436号</w:t>
            </w:r>
            <w:r>
              <w:rPr>
                <w:rFonts w:hint="eastAsia" w:ascii="Times New Roman" w:hAnsi="Times New Roman" w:eastAsia="宋体" w:cs="Times New Roman"/>
                <w:b w:val="0"/>
                <w:bCs w:val="0"/>
                <w:kern w:val="0"/>
                <w:sz w:val="24"/>
                <w:szCs w:val="24"/>
                <w:lang w:eastAsia="zh-CN"/>
              </w:rPr>
              <w:t>）</w:t>
            </w:r>
            <w:r>
              <w:rPr>
                <w:rFonts w:ascii="Times New Roman" w:hAnsi="Times New Roman" w:eastAsia="宋体" w:cs="Times New Roman"/>
                <w:kern w:val="0"/>
                <w:sz w:val="24"/>
                <w:szCs w:val="24"/>
              </w:rPr>
              <w:t>要求。</w:t>
            </w:r>
          </w:p>
          <w:p>
            <w:pPr>
              <w:autoSpaceDE w:val="0"/>
              <w:autoSpaceDN w:val="0"/>
              <w:adjustRightInd w:val="0"/>
              <w:snapToGrid w:val="0"/>
              <w:spacing w:line="440" w:lineRule="exact"/>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w:t>
            </w:r>
            <w:r>
              <w:rPr>
                <w:rFonts w:hint="eastAsia" w:ascii="Times New Roman" w:hAnsi="Times New Roman" w:eastAsia="宋体" w:cs="Times New Roman"/>
                <w:b/>
                <w:bCs/>
                <w:kern w:val="0"/>
                <w:sz w:val="24"/>
                <w:szCs w:val="24"/>
                <w:lang w:val="en-US" w:eastAsia="zh-CN"/>
              </w:rPr>
              <w:t>1</w:t>
            </w:r>
            <w:r>
              <w:rPr>
                <w:rFonts w:ascii="Times New Roman" w:hAnsi="Times New Roman" w:eastAsia="宋体" w:cs="Times New Roman"/>
                <w:b/>
                <w:bCs/>
                <w:kern w:val="0"/>
                <w:sz w:val="24"/>
                <w:szCs w:val="24"/>
              </w:rPr>
              <w:t>.</w:t>
            </w:r>
            <w:r>
              <w:rPr>
                <w:rFonts w:hint="eastAsia" w:ascii="Times New Roman" w:hAnsi="Times New Roman" w:eastAsia="宋体" w:cs="Times New Roman"/>
                <w:b/>
                <w:bCs/>
                <w:kern w:val="0"/>
                <w:sz w:val="24"/>
                <w:szCs w:val="24"/>
                <w:lang w:val="en-US" w:eastAsia="zh-CN"/>
              </w:rPr>
              <w:t>4</w:t>
            </w:r>
            <w:r>
              <w:rPr>
                <w:rFonts w:ascii="Times New Roman" w:hAnsi="Times New Roman" w:eastAsia="宋体" w:cs="Times New Roman"/>
                <w:b/>
                <w:bCs/>
                <w:kern w:val="0"/>
                <w:sz w:val="24"/>
                <w:szCs w:val="24"/>
              </w:rPr>
              <w:t xml:space="preserve"> 与《重庆市大气污染防治条例》中相关要求符合性</w:t>
            </w:r>
          </w:p>
          <w:p>
            <w:pPr>
              <w:autoSpaceDE w:val="0"/>
              <w:autoSpaceDN w:val="0"/>
              <w:adjustRightInd w:val="0"/>
              <w:snapToGrid w:val="0"/>
              <w:spacing w:line="440" w:lineRule="exact"/>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表1</w:t>
            </w:r>
            <w:r>
              <w:rPr>
                <w:rFonts w:hint="eastAsia" w:ascii="Times New Roman" w:hAnsi="Times New Roman" w:eastAsia="宋体" w:cs="Times New Roman"/>
                <w:b/>
                <w:bCs/>
                <w:kern w:val="0"/>
                <w:sz w:val="24"/>
                <w:szCs w:val="24"/>
                <w:lang w:val="en-US" w:eastAsia="zh-CN"/>
              </w:rPr>
              <w:t>.1</w:t>
            </w:r>
            <w:r>
              <w:rPr>
                <w:rFonts w:ascii="Times New Roman" w:hAnsi="Times New Roman" w:eastAsia="宋体" w:cs="Times New Roman"/>
                <w:b/>
                <w:bCs/>
                <w:kern w:val="0"/>
                <w:sz w:val="24"/>
                <w:szCs w:val="24"/>
              </w:rPr>
              <w:t>-</w:t>
            </w:r>
            <w:r>
              <w:rPr>
                <w:rFonts w:hint="eastAsia" w:ascii="Times New Roman" w:hAnsi="Times New Roman" w:eastAsia="宋体" w:cs="Times New Roman"/>
                <w:b/>
                <w:bCs/>
                <w:kern w:val="0"/>
                <w:sz w:val="24"/>
                <w:szCs w:val="24"/>
                <w:lang w:val="en-US" w:eastAsia="zh-CN"/>
              </w:rPr>
              <w:t>3</w:t>
            </w:r>
            <w:r>
              <w:rPr>
                <w:rFonts w:ascii="Times New Roman" w:hAnsi="Times New Roman" w:eastAsia="宋体" w:cs="Times New Roman"/>
                <w:b/>
                <w:bCs/>
                <w:kern w:val="0"/>
                <w:sz w:val="24"/>
                <w:szCs w:val="24"/>
              </w:rPr>
              <w:t xml:space="preserve"> 与《重庆市大气污染防治条例》符合性分析</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3679"/>
              <w:gridCol w:w="3009"/>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8" w:type="pct"/>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207" w:type="pct"/>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准入条件要求</w:t>
                  </w:r>
                </w:p>
              </w:tc>
              <w:tc>
                <w:tcPr>
                  <w:tcW w:w="1805" w:type="pct"/>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实际情况</w:t>
                  </w:r>
                </w:p>
              </w:tc>
              <w:tc>
                <w:tcPr>
                  <w:tcW w:w="457" w:type="pct"/>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8" w:type="pct"/>
                  <w:vMerge w:val="restart"/>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《重庆市大气污染防治条例》</w:t>
                  </w:r>
                </w:p>
              </w:tc>
              <w:tc>
                <w:tcPr>
                  <w:tcW w:w="2207" w:type="pct"/>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市人民政府发布产业禁投清单，控制高污染、高耗能行业新增产能，压缩过剩产能，淘汰落后产能。新建排放大气污染物的工业项目，除必须单独布局以外，应当按照相关规定进入相应工业园区。</w:t>
                  </w:r>
                </w:p>
              </w:tc>
              <w:tc>
                <w:tcPr>
                  <w:tcW w:w="1805" w:type="pct"/>
                  <w:vAlign w:val="center"/>
                </w:tcPr>
                <w:p>
                  <w:pPr>
                    <w:pStyle w:val="79"/>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rPr>
                    <w:t>本项目属于</w:t>
                  </w:r>
                  <w:r>
                    <w:rPr>
                      <w:rFonts w:hint="eastAsia" w:ascii="Times New Roman" w:hAnsi="Times New Roman" w:eastAsia="宋体" w:cs="Times New Roman"/>
                      <w:color w:val="auto"/>
                      <w:sz w:val="21"/>
                      <w:szCs w:val="21"/>
                      <w:lang w:eastAsia="zh-CN"/>
                    </w:rPr>
                    <w:t>N78</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eastAsia="zh-CN"/>
                    </w:rPr>
                    <w:t>0</w:t>
                  </w:r>
                  <w:r>
                    <w:rPr>
                      <w:rFonts w:hint="eastAsia" w:cs="Times New Roman"/>
                      <w:color w:val="auto"/>
                      <w:sz w:val="21"/>
                      <w:szCs w:val="21"/>
                      <w:lang w:eastAsia="zh-CN"/>
                    </w:rPr>
                    <w:t>环境卫生管理</w:t>
                  </w:r>
                  <w:r>
                    <w:rPr>
                      <w:rFonts w:hint="eastAsia" w:ascii="Times New Roman" w:hAnsi="Times New Roman" w:eastAsia="宋体" w:cs="Times New Roman"/>
                      <w:color w:val="auto"/>
                      <w:sz w:val="21"/>
                      <w:szCs w:val="21"/>
                    </w:rPr>
                    <w:t>行业，</w:t>
                  </w:r>
                  <w:r>
                    <w:rPr>
                      <w:rFonts w:hint="eastAsia" w:ascii="Times New Roman" w:hAnsi="Times New Roman" w:eastAsia="宋体" w:cs="Times New Roman"/>
                      <w:color w:val="auto"/>
                      <w:sz w:val="21"/>
                      <w:szCs w:val="21"/>
                      <w:lang w:eastAsia="zh-CN"/>
                    </w:rPr>
                    <w:t>项目用地性质为工业用地，属于条例中需要单独布局项目，因此，本项目不需要进入工业园区，项目不属于</w:t>
                  </w:r>
                  <w:r>
                    <w:rPr>
                      <w:rFonts w:hint="default" w:ascii="Times New Roman" w:hAnsi="Times New Roman" w:eastAsia="宋体" w:cs="Times New Roman"/>
                      <w:color w:val="auto"/>
                      <w:sz w:val="21"/>
                      <w:szCs w:val="21"/>
                    </w:rPr>
                    <w:t>严重过剩产能行业</w:t>
                  </w:r>
                  <w:r>
                    <w:rPr>
                      <w:rFonts w:hint="eastAsia" w:ascii="Times New Roman" w:hAnsi="Times New Roman" w:eastAsia="宋体" w:cs="Times New Roman"/>
                      <w:color w:val="auto"/>
                      <w:sz w:val="21"/>
                      <w:szCs w:val="21"/>
                      <w:lang w:eastAsia="zh-CN"/>
                    </w:rPr>
                    <w:t>及</w:t>
                  </w:r>
                  <w:r>
                    <w:rPr>
                      <w:rFonts w:hint="default" w:ascii="Times New Roman" w:hAnsi="Times New Roman" w:eastAsia="宋体" w:cs="Times New Roman"/>
                      <w:color w:val="auto"/>
                      <w:sz w:val="21"/>
                      <w:szCs w:val="21"/>
                    </w:rPr>
                    <w:t>高耗能高排</w:t>
                  </w:r>
                  <w:r>
                    <w:rPr>
                      <w:rFonts w:hint="default"/>
                      <w:color w:val="auto"/>
                    </w:rPr>
                    <w:t>放项目</w:t>
                  </w:r>
                  <w:r>
                    <w:rPr>
                      <w:rFonts w:hint="eastAsia"/>
                      <w:color w:val="auto"/>
                      <w:lang w:eastAsia="zh-CN"/>
                    </w:rPr>
                    <w:t>，</w:t>
                  </w:r>
                  <w:r>
                    <w:rPr>
                      <w:rFonts w:hint="default" w:ascii="Times New Roman" w:hAnsi="Times New Roman" w:eastAsia="宋体" w:cs="Times New Roman"/>
                      <w:color w:val="auto"/>
                      <w:sz w:val="21"/>
                      <w:szCs w:val="21"/>
                    </w:rPr>
                    <w:t>不属于产业禁投清单，不属于“两高”行业、过剩产能，落后产能</w:t>
                  </w:r>
                </w:p>
              </w:tc>
              <w:tc>
                <w:tcPr>
                  <w:tcW w:w="457" w:type="pct"/>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8" w:type="pct"/>
                  <w:vMerge w:val="continue"/>
                  <w:vAlign w:val="center"/>
                </w:tcPr>
                <w:p>
                  <w:pPr>
                    <w:pStyle w:val="79"/>
                    <w:rPr>
                      <w:rFonts w:hint="default" w:ascii="Times New Roman" w:hAnsi="Times New Roman" w:eastAsia="宋体" w:cs="Times New Roman"/>
                      <w:color w:val="auto"/>
                      <w:sz w:val="21"/>
                      <w:szCs w:val="21"/>
                    </w:rPr>
                  </w:pPr>
                </w:p>
              </w:tc>
              <w:tc>
                <w:tcPr>
                  <w:tcW w:w="2207" w:type="pct"/>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市人民政府划定大气污染防治重点控制区域和一般控制区域。在重点控制区域内禁止新建和扩建燃煤火电、化工、水泥、采（碎）石场、烧结砖瓦窑以及燃煤锅炉等项目；在一般控制区域限制投资建设大气污染严重的项目。</w:t>
                  </w:r>
                </w:p>
              </w:tc>
              <w:tc>
                <w:tcPr>
                  <w:tcW w:w="1805" w:type="pct"/>
                  <w:vAlign w:val="center"/>
                </w:tcPr>
                <w:p>
                  <w:pPr>
                    <w:pStyle w:val="7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w:t>
                  </w:r>
                  <w:r>
                    <w:rPr>
                      <w:rFonts w:hint="eastAsia" w:eastAsia="宋体" w:cs="Times New Roman"/>
                      <w:color w:val="auto"/>
                      <w:sz w:val="21"/>
                      <w:szCs w:val="21"/>
                      <w:lang w:eastAsia="zh-CN"/>
                    </w:rPr>
                    <w:t>不属于禁止类项目</w:t>
                  </w:r>
                </w:p>
              </w:tc>
              <w:tc>
                <w:tcPr>
                  <w:tcW w:w="457" w:type="pct"/>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8" w:type="pct"/>
                  <w:vMerge w:val="continue"/>
                  <w:vAlign w:val="center"/>
                </w:tcPr>
                <w:p>
                  <w:pPr>
                    <w:pStyle w:val="79"/>
                    <w:rPr>
                      <w:rFonts w:hint="default" w:ascii="Times New Roman" w:hAnsi="Times New Roman" w:eastAsia="宋体" w:cs="Times New Roman"/>
                      <w:color w:val="auto"/>
                      <w:sz w:val="21"/>
                      <w:szCs w:val="21"/>
                    </w:rPr>
                  </w:pPr>
                </w:p>
              </w:tc>
              <w:tc>
                <w:tcPr>
                  <w:tcW w:w="2207" w:type="pct"/>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化工、制药、电子设备制造、包装印刷、家具制造等产生含挥发性有机物废气的生产和服务活动，应当在密闭空间或者设备中进行，并按照规定安装、使用污染防治设施，保持正常运行；无法密闭的，应当采取措施减少污染物排放；</w:t>
                  </w:r>
                </w:p>
              </w:tc>
              <w:tc>
                <w:tcPr>
                  <w:tcW w:w="1805" w:type="pct"/>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eastAsia="宋体" w:cs="Times New Roman"/>
                      <w:color w:val="auto"/>
                      <w:sz w:val="21"/>
                      <w:szCs w:val="21"/>
                      <w:lang w:eastAsia="zh-CN"/>
                    </w:rPr>
                    <w:t>不涉及有机废气产生</w:t>
                  </w:r>
                </w:p>
              </w:tc>
              <w:tc>
                <w:tcPr>
                  <w:tcW w:w="457" w:type="pct"/>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autoSpaceDE w:val="0"/>
              <w:autoSpaceDN w:val="0"/>
              <w:adjustRightInd w:val="0"/>
              <w:snapToGrid w:val="0"/>
              <w:spacing w:line="440" w:lineRule="exact"/>
              <w:ind w:firstLine="480" w:firstLineChars="200"/>
              <w:jc w:val="left"/>
              <w:rPr>
                <w:rFonts w:hint="eastAsia" w:ascii="Times New Roman" w:hAnsi="Times New Roman" w:eastAsia="宋体" w:cs="Times New Roman"/>
                <w:kern w:val="0"/>
                <w:sz w:val="24"/>
                <w:szCs w:val="24"/>
              </w:rPr>
            </w:pPr>
            <w:r>
              <w:rPr>
                <w:rFonts w:ascii="Times New Roman" w:hAnsi="Times New Roman" w:eastAsia="宋体" w:cs="Times New Roman"/>
                <w:kern w:val="0"/>
                <w:sz w:val="24"/>
                <w:szCs w:val="24"/>
              </w:rPr>
              <w:t>由上表可知，项目的建设符合《重庆市大气污染防治条例》中的相关要求</w:t>
            </w:r>
          </w:p>
          <w:p>
            <w:pPr>
              <w:autoSpaceDE w:val="0"/>
              <w:autoSpaceDN w:val="0"/>
              <w:adjustRightInd w:val="0"/>
              <w:snapToGrid w:val="0"/>
              <w:spacing w:line="440" w:lineRule="exact"/>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lang w:val="en-US" w:eastAsia="zh-CN"/>
              </w:rPr>
              <w:t xml:space="preserve">1.1.5 </w:t>
            </w:r>
            <w:r>
              <w:rPr>
                <w:rFonts w:ascii="Times New Roman" w:hAnsi="Times New Roman" w:eastAsia="宋体" w:cs="Times New Roman"/>
                <w:b/>
                <w:bCs/>
                <w:kern w:val="0"/>
                <w:sz w:val="24"/>
                <w:szCs w:val="24"/>
              </w:rPr>
              <w:t>与《长江经济带发展负面清单</w:t>
            </w:r>
            <w:r>
              <w:rPr>
                <w:rFonts w:hint="eastAsia" w:ascii="Times New Roman" w:hAnsi="Times New Roman" w:eastAsia="宋体" w:cs="Times New Roman"/>
                <w:b/>
                <w:bCs/>
                <w:kern w:val="0"/>
                <w:sz w:val="24"/>
                <w:szCs w:val="24"/>
                <w:lang w:val="en-US" w:eastAsia="zh-CN"/>
              </w:rPr>
              <w:t>指南</w:t>
            </w:r>
            <w:r>
              <w:rPr>
                <w:rFonts w:ascii="Times New Roman" w:hAnsi="Times New Roman" w:eastAsia="宋体" w:cs="Times New Roman"/>
                <w:b/>
                <w:bCs/>
                <w:kern w:val="0"/>
                <w:sz w:val="24"/>
                <w:szCs w:val="24"/>
              </w:rPr>
              <w:t>（试行</w:t>
            </w:r>
            <w:r>
              <w:rPr>
                <w:rFonts w:hint="eastAsia" w:ascii="Times New Roman" w:hAnsi="Times New Roman" w:eastAsia="宋体" w:cs="Times New Roman"/>
                <w:b/>
                <w:bCs/>
                <w:kern w:val="0"/>
                <w:sz w:val="24"/>
                <w:szCs w:val="24"/>
                <w:lang w:eastAsia="zh-CN"/>
              </w:rPr>
              <w:t>，</w:t>
            </w:r>
            <w:r>
              <w:rPr>
                <w:rFonts w:hint="eastAsia" w:ascii="Times New Roman" w:hAnsi="Times New Roman" w:eastAsia="宋体" w:cs="Times New Roman"/>
                <w:b/>
                <w:bCs/>
                <w:kern w:val="0"/>
                <w:sz w:val="24"/>
                <w:szCs w:val="24"/>
                <w:lang w:val="en-US" w:eastAsia="zh-CN"/>
              </w:rPr>
              <w:t>2022年版</w:t>
            </w:r>
            <w:r>
              <w:rPr>
                <w:rFonts w:ascii="Times New Roman" w:hAnsi="Times New Roman" w:eastAsia="宋体" w:cs="Times New Roman"/>
                <w:b/>
                <w:bCs/>
                <w:kern w:val="0"/>
                <w:sz w:val="24"/>
                <w:szCs w:val="24"/>
              </w:rPr>
              <w:t>）》</w:t>
            </w:r>
            <w:r>
              <w:rPr>
                <w:rFonts w:hint="eastAsia" w:ascii="Times New Roman" w:hAnsi="Times New Roman" w:eastAsia="宋体" w:cs="Times New Roman"/>
                <w:b/>
                <w:bCs/>
                <w:kern w:val="0"/>
                <w:sz w:val="24"/>
                <w:szCs w:val="24"/>
                <w:lang w:eastAsia="zh-CN"/>
              </w:rPr>
              <w:t>、</w:t>
            </w:r>
            <w:r>
              <w:rPr>
                <w:rFonts w:ascii="Times New Roman" w:hAnsi="Times New Roman" w:eastAsia="宋体" w:cs="Times New Roman"/>
                <w:b/>
                <w:bCs/>
                <w:kern w:val="0"/>
                <w:sz w:val="24"/>
                <w:szCs w:val="24"/>
              </w:rPr>
              <w:t>关于印发《</w:t>
            </w:r>
            <w:r>
              <w:rPr>
                <w:rFonts w:hint="eastAsia" w:ascii="Times New Roman" w:hAnsi="Times New Roman" w:eastAsia="宋体" w:cs="Times New Roman"/>
                <w:b/>
                <w:bCs/>
                <w:kern w:val="0"/>
                <w:sz w:val="24"/>
                <w:szCs w:val="24"/>
                <w:lang w:eastAsia="zh-CN"/>
              </w:rPr>
              <w:t>四川省、</w:t>
            </w:r>
            <w:r>
              <w:rPr>
                <w:rFonts w:ascii="Times New Roman" w:hAnsi="Times New Roman" w:eastAsia="宋体" w:cs="Times New Roman"/>
                <w:b/>
                <w:bCs/>
                <w:kern w:val="0"/>
                <w:sz w:val="24"/>
                <w:szCs w:val="24"/>
              </w:rPr>
              <w:t>重庆市长江经济带发展负面清单实施细则（试行</w:t>
            </w:r>
            <w:r>
              <w:rPr>
                <w:rFonts w:hint="eastAsia" w:ascii="Times New Roman" w:hAnsi="Times New Roman" w:eastAsia="宋体" w:cs="Times New Roman"/>
                <w:b/>
                <w:bCs/>
                <w:kern w:val="0"/>
                <w:sz w:val="24"/>
                <w:szCs w:val="24"/>
                <w:lang w:eastAsia="zh-CN"/>
              </w:rPr>
              <w:t>，</w:t>
            </w:r>
            <w:r>
              <w:rPr>
                <w:rFonts w:hint="eastAsia" w:ascii="Times New Roman" w:hAnsi="Times New Roman" w:eastAsia="宋体" w:cs="Times New Roman"/>
                <w:b/>
                <w:bCs/>
                <w:kern w:val="0"/>
                <w:sz w:val="24"/>
                <w:szCs w:val="24"/>
                <w:lang w:val="en-US" w:eastAsia="zh-CN"/>
              </w:rPr>
              <w:t>2022年版</w:t>
            </w:r>
            <w:r>
              <w:rPr>
                <w:rFonts w:ascii="Times New Roman" w:hAnsi="Times New Roman" w:eastAsia="宋体" w:cs="Times New Roman"/>
                <w:b/>
                <w:bCs/>
                <w:kern w:val="0"/>
                <w:sz w:val="24"/>
                <w:szCs w:val="24"/>
              </w:rPr>
              <w:t>）》的通知（</w:t>
            </w:r>
            <w:r>
              <w:rPr>
                <w:rFonts w:hint="eastAsia" w:ascii="Times New Roman" w:hAnsi="Times New Roman" w:eastAsia="宋体" w:cs="Times New Roman"/>
                <w:b/>
                <w:bCs/>
                <w:kern w:val="0"/>
                <w:sz w:val="24"/>
                <w:szCs w:val="24"/>
                <w:lang w:eastAsia="zh-CN"/>
              </w:rPr>
              <w:t>川长江办</w:t>
            </w:r>
            <w:r>
              <w:rPr>
                <w:rFonts w:ascii="Times New Roman" w:hAnsi="Times New Roman" w:eastAsia="宋体" w:cs="Times New Roman"/>
                <w:b/>
                <w:bCs/>
                <w:kern w:val="0"/>
                <w:sz w:val="24"/>
                <w:szCs w:val="24"/>
              </w:rPr>
              <w:t>〔20</w:t>
            </w:r>
            <w:r>
              <w:rPr>
                <w:rFonts w:hint="eastAsia" w:ascii="Times New Roman" w:hAnsi="Times New Roman" w:eastAsia="宋体" w:cs="Times New Roman"/>
                <w:b/>
                <w:bCs/>
                <w:kern w:val="0"/>
                <w:sz w:val="24"/>
                <w:szCs w:val="24"/>
                <w:lang w:val="en-US" w:eastAsia="zh-CN"/>
              </w:rPr>
              <w:t>22</w:t>
            </w:r>
            <w:r>
              <w:rPr>
                <w:rFonts w:ascii="Times New Roman" w:hAnsi="Times New Roman" w:eastAsia="宋体" w:cs="Times New Roman"/>
                <w:b/>
                <w:bCs/>
                <w:kern w:val="0"/>
                <w:sz w:val="24"/>
                <w:szCs w:val="24"/>
              </w:rPr>
              <w:t>〕</w:t>
            </w:r>
            <w:r>
              <w:rPr>
                <w:rFonts w:hint="eastAsia" w:ascii="Times New Roman" w:hAnsi="Times New Roman" w:eastAsia="宋体" w:cs="Times New Roman"/>
                <w:b/>
                <w:bCs/>
                <w:kern w:val="0"/>
                <w:sz w:val="24"/>
                <w:szCs w:val="24"/>
                <w:lang w:val="en-US" w:eastAsia="zh-CN"/>
              </w:rPr>
              <w:t>17</w:t>
            </w:r>
            <w:r>
              <w:rPr>
                <w:rFonts w:ascii="Times New Roman" w:hAnsi="Times New Roman" w:eastAsia="宋体" w:cs="Times New Roman"/>
                <w:b/>
                <w:bCs/>
                <w:kern w:val="0"/>
                <w:sz w:val="24"/>
                <w:szCs w:val="24"/>
              </w:rPr>
              <w:t>号）符合性分析</w:t>
            </w:r>
          </w:p>
          <w:p>
            <w:pPr>
              <w:autoSpaceDE w:val="0"/>
              <w:autoSpaceDN w:val="0"/>
              <w:adjustRightInd w:val="0"/>
              <w:snapToGrid w:val="0"/>
              <w:spacing w:line="440" w:lineRule="exact"/>
              <w:ind w:firstLine="480" w:firstLineChars="200"/>
              <w:jc w:val="both"/>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b w:val="0"/>
                <w:bCs w:val="0"/>
                <w:kern w:val="0"/>
                <w:sz w:val="24"/>
                <w:szCs w:val="24"/>
                <w:lang w:eastAsia="zh-CN"/>
              </w:rPr>
              <w:t>本项目</w:t>
            </w:r>
            <w:r>
              <w:rPr>
                <w:rFonts w:hint="eastAsia" w:ascii="Times New Roman" w:hAnsi="Times New Roman" w:eastAsia="宋体" w:cs="Times New Roman"/>
                <w:b w:val="0"/>
                <w:bCs w:val="0"/>
                <w:kern w:val="0"/>
                <w:sz w:val="24"/>
                <w:szCs w:val="24"/>
                <w:lang w:val="en-US" w:eastAsia="zh-CN"/>
              </w:rPr>
              <w:t>不新增占地，项目用地性质为工业用地</w:t>
            </w:r>
            <w:r>
              <w:rPr>
                <w:rFonts w:hint="eastAsia" w:ascii="Times New Roman" w:hAnsi="Times New Roman" w:eastAsia="宋体" w:cs="Times New Roman"/>
                <w:b w:val="0"/>
                <w:bCs w:val="0"/>
                <w:kern w:val="0"/>
                <w:sz w:val="24"/>
                <w:szCs w:val="24"/>
                <w:lang w:eastAsia="zh-CN"/>
              </w:rPr>
              <w:t>。项目不涉及自然保护区、风景名胜区、饮用水源保护区、</w:t>
            </w:r>
            <w:r>
              <w:rPr>
                <w:rFonts w:hint="eastAsia" w:ascii="Times New Roman" w:hAnsi="Times New Roman" w:eastAsia="宋体" w:cs="Times New Roman"/>
                <w:b w:val="0"/>
                <w:bCs w:val="0"/>
                <w:kern w:val="0"/>
                <w:sz w:val="24"/>
                <w:szCs w:val="24"/>
                <w:lang w:val="zh-CN" w:eastAsia="zh-CN"/>
              </w:rPr>
              <w:t>水产种质资源保护区、国家湿地公园等需要特别保护的区域</w:t>
            </w:r>
            <w:r>
              <w:rPr>
                <w:rFonts w:hint="eastAsia" w:ascii="Times New Roman" w:hAnsi="Times New Roman" w:eastAsia="宋体" w:cs="Times New Roman"/>
                <w:b w:val="0"/>
                <w:bCs w:val="0"/>
                <w:kern w:val="0"/>
                <w:sz w:val="24"/>
                <w:szCs w:val="24"/>
                <w:lang w:eastAsia="zh-CN"/>
              </w:rPr>
              <w:t>，</w:t>
            </w:r>
            <w:r>
              <w:rPr>
                <w:rFonts w:hint="eastAsia" w:ascii="Times New Roman" w:hAnsi="Times New Roman" w:eastAsia="宋体" w:cs="Times New Roman"/>
                <w:b w:val="0"/>
                <w:bCs w:val="0"/>
                <w:spacing w:val="-2"/>
                <w:kern w:val="0"/>
                <w:sz w:val="24"/>
                <w:szCs w:val="24"/>
                <w:lang w:val="en-US" w:eastAsia="zh-CN"/>
              </w:rPr>
              <w:t>对照</w:t>
            </w:r>
            <w:r>
              <w:rPr>
                <w:rFonts w:ascii="Times New Roman" w:hAnsi="Times New Roman" w:eastAsia="宋体" w:cs="Times New Roman"/>
                <w:kern w:val="0"/>
                <w:sz w:val="24"/>
                <w:szCs w:val="24"/>
              </w:rPr>
              <w:t>《长江经济带发展负面清单</w:t>
            </w:r>
            <w:r>
              <w:rPr>
                <w:rFonts w:hint="eastAsia" w:ascii="Times New Roman" w:hAnsi="Times New Roman" w:eastAsia="宋体" w:cs="Times New Roman"/>
                <w:kern w:val="0"/>
                <w:sz w:val="24"/>
                <w:szCs w:val="24"/>
                <w:lang w:val="en-US" w:eastAsia="zh-CN"/>
              </w:rPr>
              <w:t>指南</w:t>
            </w:r>
            <w:r>
              <w:rPr>
                <w:rFonts w:ascii="Times New Roman" w:hAnsi="Times New Roman" w:eastAsia="宋体" w:cs="Times New Roman"/>
                <w:kern w:val="0"/>
                <w:sz w:val="24"/>
                <w:szCs w:val="24"/>
              </w:rPr>
              <w:t>（试行</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2022年版</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CN"/>
              </w:rPr>
              <w:t>、</w:t>
            </w:r>
            <w:r>
              <w:rPr>
                <w:rFonts w:ascii="Times New Roman" w:hAnsi="Times New Roman" w:eastAsia="宋体" w:cs="Times New Roman"/>
                <w:b w:val="0"/>
                <w:bCs w:val="0"/>
                <w:kern w:val="0"/>
                <w:sz w:val="24"/>
                <w:szCs w:val="24"/>
              </w:rPr>
              <w:t>《</w:t>
            </w:r>
            <w:r>
              <w:rPr>
                <w:rFonts w:hint="eastAsia" w:ascii="Times New Roman" w:hAnsi="Times New Roman" w:eastAsia="宋体" w:cs="Times New Roman"/>
                <w:b w:val="0"/>
                <w:bCs w:val="0"/>
                <w:kern w:val="0"/>
                <w:sz w:val="24"/>
                <w:szCs w:val="24"/>
                <w:lang w:eastAsia="zh-CN"/>
              </w:rPr>
              <w:t>四川省、</w:t>
            </w:r>
            <w:r>
              <w:rPr>
                <w:rFonts w:ascii="Times New Roman" w:hAnsi="Times New Roman" w:eastAsia="宋体" w:cs="Times New Roman"/>
                <w:b w:val="0"/>
                <w:bCs w:val="0"/>
                <w:kern w:val="0"/>
                <w:sz w:val="24"/>
                <w:szCs w:val="24"/>
              </w:rPr>
              <w:t>重庆市长江经济带发展负面清单实施细则（试行</w:t>
            </w:r>
            <w:r>
              <w:rPr>
                <w:rFonts w:hint="eastAsia" w:ascii="Times New Roman" w:hAnsi="Times New Roman" w:eastAsia="宋体" w:cs="Times New Roman"/>
                <w:b w:val="0"/>
                <w:bCs w:val="0"/>
                <w:kern w:val="0"/>
                <w:sz w:val="24"/>
                <w:szCs w:val="24"/>
                <w:lang w:eastAsia="zh-CN"/>
              </w:rPr>
              <w:t>，</w:t>
            </w:r>
            <w:r>
              <w:rPr>
                <w:rFonts w:hint="eastAsia" w:ascii="Times New Roman" w:hAnsi="Times New Roman" w:eastAsia="宋体" w:cs="Times New Roman"/>
                <w:b w:val="0"/>
                <w:bCs w:val="0"/>
                <w:kern w:val="0"/>
                <w:sz w:val="24"/>
                <w:szCs w:val="24"/>
                <w:lang w:val="en-US" w:eastAsia="zh-CN"/>
              </w:rPr>
              <w:t>2022年版</w:t>
            </w:r>
            <w:r>
              <w:rPr>
                <w:rFonts w:ascii="Times New Roman" w:hAnsi="Times New Roman" w:eastAsia="宋体" w:cs="Times New Roman"/>
                <w:b w:val="0"/>
                <w:bCs w:val="0"/>
                <w:kern w:val="0"/>
                <w:sz w:val="24"/>
                <w:szCs w:val="24"/>
              </w:rPr>
              <w:t>）》的通知（</w:t>
            </w:r>
            <w:r>
              <w:rPr>
                <w:rFonts w:hint="eastAsia" w:ascii="Times New Roman" w:hAnsi="Times New Roman" w:eastAsia="宋体" w:cs="Times New Roman"/>
                <w:b w:val="0"/>
                <w:bCs w:val="0"/>
                <w:kern w:val="0"/>
                <w:sz w:val="24"/>
                <w:szCs w:val="24"/>
                <w:lang w:eastAsia="zh-CN"/>
              </w:rPr>
              <w:t>川长江办</w:t>
            </w:r>
            <w:r>
              <w:rPr>
                <w:rFonts w:ascii="Times New Roman" w:hAnsi="Times New Roman" w:eastAsia="宋体" w:cs="Times New Roman"/>
                <w:b w:val="0"/>
                <w:bCs w:val="0"/>
                <w:kern w:val="0"/>
                <w:sz w:val="24"/>
                <w:szCs w:val="24"/>
              </w:rPr>
              <w:t>〔20</w:t>
            </w:r>
            <w:r>
              <w:rPr>
                <w:rFonts w:hint="eastAsia" w:ascii="Times New Roman" w:hAnsi="Times New Roman" w:eastAsia="宋体" w:cs="Times New Roman"/>
                <w:b w:val="0"/>
                <w:bCs w:val="0"/>
                <w:kern w:val="0"/>
                <w:sz w:val="24"/>
                <w:szCs w:val="24"/>
                <w:lang w:val="en-US" w:eastAsia="zh-CN"/>
              </w:rPr>
              <w:t>22</w:t>
            </w:r>
            <w:r>
              <w:rPr>
                <w:rFonts w:ascii="Times New Roman" w:hAnsi="Times New Roman" w:eastAsia="宋体" w:cs="Times New Roman"/>
                <w:b w:val="0"/>
                <w:bCs w:val="0"/>
                <w:kern w:val="0"/>
                <w:sz w:val="24"/>
                <w:szCs w:val="24"/>
              </w:rPr>
              <w:t>〕</w:t>
            </w:r>
            <w:r>
              <w:rPr>
                <w:rFonts w:hint="eastAsia" w:ascii="Times New Roman" w:hAnsi="Times New Roman" w:eastAsia="宋体" w:cs="Times New Roman"/>
                <w:b w:val="0"/>
                <w:bCs w:val="0"/>
                <w:kern w:val="0"/>
                <w:sz w:val="24"/>
                <w:szCs w:val="24"/>
                <w:lang w:val="en-US" w:eastAsia="zh-CN"/>
              </w:rPr>
              <w:t>17</w:t>
            </w:r>
            <w:r>
              <w:rPr>
                <w:rFonts w:ascii="Times New Roman" w:hAnsi="Times New Roman" w:eastAsia="宋体" w:cs="Times New Roman"/>
                <w:b w:val="0"/>
                <w:bCs w:val="0"/>
                <w:kern w:val="0"/>
                <w:sz w:val="24"/>
                <w:szCs w:val="24"/>
              </w:rPr>
              <w:t>号）</w:t>
            </w:r>
            <w:r>
              <w:rPr>
                <w:rFonts w:hint="eastAsia" w:ascii="Times New Roman" w:hAnsi="Times New Roman" w:eastAsia="宋体" w:cs="Times New Roman"/>
                <w:b w:val="0"/>
                <w:bCs w:val="0"/>
                <w:kern w:val="0"/>
                <w:sz w:val="24"/>
                <w:szCs w:val="24"/>
                <w:lang w:eastAsia="zh-CN"/>
              </w:rPr>
              <w:t>，本项目</w:t>
            </w:r>
            <w:r>
              <w:rPr>
                <w:rFonts w:ascii="Times New Roman" w:hAnsi="Times New Roman" w:eastAsia="宋体" w:cs="Times New Roman"/>
                <w:kern w:val="0"/>
                <w:sz w:val="24"/>
                <w:szCs w:val="24"/>
              </w:rPr>
              <w:t>的建设符合《长江经济带发展负面清单</w:t>
            </w:r>
            <w:r>
              <w:rPr>
                <w:rFonts w:hint="eastAsia" w:ascii="Times New Roman" w:hAnsi="Times New Roman" w:eastAsia="宋体" w:cs="Times New Roman"/>
                <w:kern w:val="0"/>
                <w:sz w:val="24"/>
                <w:szCs w:val="24"/>
                <w:lang w:val="en-US" w:eastAsia="zh-CN"/>
              </w:rPr>
              <w:t>指南</w:t>
            </w:r>
            <w:r>
              <w:rPr>
                <w:rFonts w:ascii="Times New Roman" w:hAnsi="Times New Roman" w:eastAsia="宋体" w:cs="Times New Roman"/>
                <w:kern w:val="0"/>
                <w:sz w:val="24"/>
                <w:szCs w:val="24"/>
              </w:rPr>
              <w:t>（试行</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2022年版</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CN"/>
              </w:rPr>
              <w:t>、《四川省、</w:t>
            </w:r>
            <w:r>
              <w:rPr>
                <w:rFonts w:ascii="Times New Roman" w:hAnsi="Times New Roman" w:eastAsia="宋体" w:cs="Times New Roman"/>
                <w:kern w:val="0"/>
                <w:sz w:val="24"/>
                <w:szCs w:val="24"/>
              </w:rPr>
              <w:t>重庆市长江经济带发展负面清单实施细则（试行</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2022年版</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CN"/>
              </w:rPr>
              <w:t>》相关</w:t>
            </w:r>
            <w:r>
              <w:rPr>
                <w:rFonts w:ascii="Times New Roman" w:hAnsi="Times New Roman" w:eastAsia="宋体" w:cs="Times New Roman"/>
                <w:kern w:val="0"/>
                <w:sz w:val="24"/>
                <w:szCs w:val="24"/>
              </w:rPr>
              <w:t>要求</w:t>
            </w:r>
            <w:r>
              <w:rPr>
                <w:rFonts w:hint="eastAsia" w:ascii="Times New Roman" w:hAnsi="Times New Roman" w:eastAsia="宋体" w:cs="Times New Roman"/>
                <w:kern w:val="0"/>
                <w:sz w:val="24"/>
                <w:szCs w:val="24"/>
                <w:lang w:eastAsia="zh-CN"/>
              </w:rPr>
              <w:t>。</w:t>
            </w:r>
          </w:p>
          <w:p>
            <w:pPr>
              <w:autoSpaceDE w:val="0"/>
              <w:autoSpaceDN w:val="0"/>
              <w:adjustRightInd w:val="0"/>
              <w:snapToGrid w:val="0"/>
              <w:spacing w:line="440" w:lineRule="exact"/>
              <w:jc w:val="left"/>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lang w:val="en-US" w:eastAsia="zh-CN"/>
              </w:rPr>
              <w:t>1.1.6 与《中华人民共和国长江保护法》（2021年3月1日起施行）符合性分析</w:t>
            </w:r>
          </w:p>
          <w:p>
            <w:pPr>
              <w:autoSpaceDE w:val="0"/>
              <w:autoSpaceDN w:val="0"/>
              <w:adjustRightInd w:val="0"/>
              <w:snapToGrid w:val="0"/>
              <w:spacing w:line="440" w:lineRule="exact"/>
              <w:ind w:firstLine="480" w:firstLineChars="200"/>
              <w:jc w:val="left"/>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对照《国民经济行业分类》（GB/T 4754-2017）以及《2017年国民经济行业分类注释》，本项目行业类别属于“N78</w:t>
            </w:r>
            <w:r>
              <w:rPr>
                <w:rFonts w:hint="eastAsia" w:ascii="Times New Roman" w:hAnsi="Times New Roman" w:eastAsia="宋体" w:cs="Times New Roman"/>
                <w:color w:val="auto"/>
                <w:kern w:val="0"/>
                <w:sz w:val="24"/>
                <w:szCs w:val="24"/>
                <w:lang w:val="en-US" w:eastAsia="zh-CN"/>
              </w:rPr>
              <w:t>2</w:t>
            </w:r>
            <w:r>
              <w:rPr>
                <w:rFonts w:hint="eastAsia" w:ascii="Times New Roman" w:hAnsi="Times New Roman" w:eastAsia="宋体" w:cs="Times New Roman"/>
                <w:color w:val="auto"/>
                <w:kern w:val="0"/>
                <w:sz w:val="24"/>
                <w:szCs w:val="24"/>
                <w:lang w:eastAsia="zh-CN"/>
              </w:rPr>
              <w:t>0环境卫生管理”，不属于化工项目。项目与中华人民共和国长江保护法的符合性分析见表1.</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4</w:t>
            </w:r>
            <w:r>
              <w:rPr>
                <w:rFonts w:hint="eastAsia" w:ascii="Times New Roman" w:hAnsi="Times New Roman" w:eastAsia="宋体" w:cs="Times New Roman"/>
                <w:color w:val="auto"/>
                <w:kern w:val="0"/>
                <w:sz w:val="24"/>
                <w:szCs w:val="24"/>
                <w:lang w:eastAsia="zh-CN"/>
              </w:rPr>
              <w:t>。</w:t>
            </w:r>
          </w:p>
          <w:p>
            <w:pPr>
              <w:autoSpaceDE w:val="0"/>
              <w:autoSpaceDN w:val="0"/>
              <w:adjustRightInd w:val="0"/>
              <w:snapToGrid w:val="0"/>
              <w:spacing w:line="440" w:lineRule="exact"/>
              <w:ind w:firstLine="482" w:firstLineChars="200"/>
              <w:jc w:val="center"/>
              <w:rPr>
                <w:rFonts w:hint="eastAsia" w:ascii="Times New Roman" w:hAnsi="Times New Roman" w:eastAsia="宋体" w:cs="Times New Roman"/>
                <w:b/>
                <w:bCs/>
                <w:color w:val="auto"/>
                <w:kern w:val="0"/>
                <w:sz w:val="24"/>
                <w:szCs w:val="24"/>
                <w:lang w:eastAsia="zh-CN"/>
              </w:rPr>
            </w:pPr>
            <w:r>
              <w:rPr>
                <w:rFonts w:hint="eastAsia" w:ascii="Times New Roman" w:hAnsi="Times New Roman" w:eastAsia="宋体" w:cs="Times New Roman"/>
                <w:b/>
                <w:bCs/>
                <w:color w:val="auto"/>
                <w:kern w:val="0"/>
                <w:sz w:val="24"/>
                <w:szCs w:val="24"/>
                <w:lang w:eastAsia="zh-CN"/>
              </w:rPr>
              <w:t>表1.</w:t>
            </w:r>
            <w:r>
              <w:rPr>
                <w:rFonts w:hint="eastAsia" w:ascii="Times New Roman" w:hAnsi="Times New Roman" w:eastAsia="宋体" w:cs="Times New Roman"/>
                <w:b/>
                <w:bCs/>
                <w:color w:val="auto"/>
                <w:kern w:val="0"/>
                <w:sz w:val="24"/>
                <w:szCs w:val="24"/>
                <w:lang w:val="en-US" w:eastAsia="zh-CN"/>
              </w:rPr>
              <w:t>1</w:t>
            </w:r>
            <w:r>
              <w:rPr>
                <w:rFonts w:hint="eastAsia" w:ascii="Times New Roman" w:hAnsi="Times New Roman" w:eastAsia="宋体" w:cs="Times New Roman"/>
                <w:b/>
                <w:bCs/>
                <w:color w:val="auto"/>
                <w:kern w:val="0"/>
                <w:sz w:val="24"/>
                <w:szCs w:val="24"/>
                <w:lang w:eastAsia="zh-CN"/>
              </w:rPr>
              <w:t>-</w:t>
            </w:r>
            <w:r>
              <w:rPr>
                <w:rFonts w:hint="eastAsia" w:ascii="Times New Roman" w:hAnsi="Times New Roman" w:eastAsia="宋体" w:cs="Times New Roman"/>
                <w:b/>
                <w:bCs/>
                <w:color w:val="auto"/>
                <w:kern w:val="0"/>
                <w:sz w:val="24"/>
                <w:szCs w:val="24"/>
                <w:lang w:val="en-US" w:eastAsia="zh-CN"/>
              </w:rPr>
              <w:t>4</w:t>
            </w:r>
            <w:r>
              <w:rPr>
                <w:rFonts w:hint="eastAsia" w:ascii="Times New Roman" w:hAnsi="Times New Roman" w:eastAsia="宋体" w:cs="Times New Roman"/>
                <w:b/>
                <w:bCs/>
                <w:color w:val="auto"/>
                <w:kern w:val="0"/>
                <w:sz w:val="24"/>
                <w:szCs w:val="24"/>
                <w:lang w:eastAsia="zh-CN"/>
              </w:rPr>
              <w:t xml:space="preserve">  与《中华人民共和国长江保护法》符合性分析</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5388"/>
              <w:gridCol w:w="1592"/>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4"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序号</w:t>
                  </w:r>
                </w:p>
              </w:tc>
              <w:tc>
                <w:tcPr>
                  <w:tcW w:w="3231"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相关规定</w:t>
                  </w:r>
                </w:p>
              </w:tc>
              <w:tc>
                <w:tcPr>
                  <w:tcW w:w="955"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本项目情况</w:t>
                  </w:r>
                </w:p>
              </w:tc>
              <w:tc>
                <w:tcPr>
                  <w:tcW w:w="528"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4"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1</w:t>
                  </w:r>
                </w:p>
              </w:tc>
              <w:tc>
                <w:tcPr>
                  <w:tcW w:w="3231"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第二十六条 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955"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本项目属于N78</w:t>
                  </w:r>
                  <w:r>
                    <w:rPr>
                      <w:rFonts w:hint="eastAsia" w:ascii="Times New Roman" w:hAnsi="Times New Roman" w:eastAsia="宋体" w:cs="Times New Roman"/>
                      <w:color w:val="auto"/>
                      <w:kern w:val="0"/>
                      <w:sz w:val="21"/>
                      <w:szCs w:val="21"/>
                      <w:lang w:val="en-US" w:eastAsia="zh-CN"/>
                    </w:rPr>
                    <w:t>2</w:t>
                  </w:r>
                  <w:r>
                    <w:rPr>
                      <w:rFonts w:hint="eastAsia" w:ascii="Times New Roman" w:hAnsi="Times New Roman" w:eastAsia="宋体" w:cs="Times New Roman"/>
                      <w:color w:val="auto"/>
                      <w:kern w:val="0"/>
                      <w:sz w:val="21"/>
                      <w:szCs w:val="21"/>
                      <w:lang w:eastAsia="zh-CN"/>
                    </w:rPr>
                    <w:t>0环境卫生管理，不涉及上述禁止内容</w:t>
                  </w:r>
                </w:p>
              </w:tc>
              <w:tc>
                <w:tcPr>
                  <w:tcW w:w="528"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2</w:t>
                  </w:r>
                </w:p>
              </w:tc>
              <w:tc>
                <w:tcPr>
                  <w:tcW w:w="3231"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第四十七条 长江流域县级以上地方人民政府应当统筹长江流域城乡污水集中处理设施及配套管网建设，并保障其正常运行，提高城乡污水收集处理能力。长江流域县级以上地方人民政府应当组织对本行政区域的江河、湖泊排污口开展排查整治，明确责任主体，实施分类管理。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955"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本项目污泥压滤废水</w:t>
                  </w:r>
                  <w:r>
                    <w:rPr>
                      <w:rFonts w:hint="eastAsia" w:ascii="Times New Roman" w:hAnsi="Times New Roman" w:eastAsia="宋体" w:cs="Times New Roman"/>
                      <w:color w:val="auto"/>
                      <w:kern w:val="0"/>
                      <w:sz w:val="21"/>
                      <w:szCs w:val="21"/>
                      <w:lang w:val="en-US" w:eastAsia="zh-CN"/>
                    </w:rPr>
                    <w:t>经2个污水池收集后通过专用罐车运至重庆铜梁城区污水处理厂处理</w:t>
                  </w:r>
                  <w:r>
                    <w:rPr>
                      <w:rFonts w:hint="eastAsia" w:ascii="Times New Roman" w:hAnsi="Times New Roman" w:eastAsia="宋体" w:cs="Times New Roman"/>
                      <w:color w:val="auto"/>
                      <w:kern w:val="0"/>
                      <w:sz w:val="21"/>
                      <w:szCs w:val="21"/>
                      <w:lang w:eastAsia="zh-CN"/>
                    </w:rPr>
                    <w:t>，不设置直排排污口；</w:t>
                  </w:r>
                  <w:r>
                    <w:rPr>
                      <w:rFonts w:hint="eastAsia" w:ascii="Times New Roman" w:hAnsi="Times New Roman" w:eastAsia="宋体" w:cs="Times New Roman"/>
                      <w:color w:val="auto"/>
                      <w:szCs w:val="21"/>
                      <w:lang w:val="en-US" w:eastAsia="zh-CN"/>
                    </w:rPr>
                    <w:t>设备清洗废水</w:t>
                  </w:r>
                  <w:r>
                    <w:rPr>
                      <w:rFonts w:hint="eastAsia" w:ascii="Times New Roman" w:hAnsi="Times New Roman" w:eastAsia="宋体" w:cs="Times New Roman"/>
                      <w:color w:val="auto"/>
                      <w:kern w:val="2"/>
                      <w:sz w:val="21"/>
                      <w:szCs w:val="21"/>
                      <w:lang w:val="en-US" w:eastAsia="zh-CN" w:bidi="ar-SA"/>
                    </w:rPr>
                    <w:t>依托现有生化池收集处理后用于厂区绿化或作农肥，不外排</w:t>
                  </w:r>
                </w:p>
              </w:tc>
              <w:tc>
                <w:tcPr>
                  <w:tcW w:w="528"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3</w:t>
                  </w:r>
                </w:p>
              </w:tc>
              <w:tc>
                <w:tcPr>
                  <w:tcW w:w="3231"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禁止在长江流域水上运输剧毒化学品和国家规定禁止通过内河运输的其他危险化学品。</w:t>
                  </w:r>
                </w:p>
              </w:tc>
              <w:tc>
                <w:tcPr>
                  <w:tcW w:w="955"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本项目原辅料不涉及剧毒化学品，运输均为陆路运输</w:t>
                  </w:r>
                </w:p>
              </w:tc>
              <w:tc>
                <w:tcPr>
                  <w:tcW w:w="528"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符合</w:t>
                  </w:r>
                </w:p>
              </w:tc>
            </w:tr>
          </w:tbl>
          <w:p>
            <w:pPr>
              <w:autoSpaceDE w:val="0"/>
              <w:autoSpaceDN w:val="0"/>
              <w:adjustRightInd w:val="0"/>
              <w:snapToGrid w:val="0"/>
              <w:spacing w:line="440" w:lineRule="exact"/>
              <w:ind w:firstLine="480" w:firstLineChars="200"/>
              <w:jc w:val="left"/>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由上表可知，本项目符合《中华人民共和国长江保护法》。</w:t>
            </w:r>
          </w:p>
          <w:p>
            <w:pPr>
              <w:autoSpaceDE w:val="0"/>
              <w:autoSpaceDN w:val="0"/>
              <w:adjustRightInd w:val="0"/>
              <w:snapToGrid w:val="0"/>
              <w:spacing w:line="440" w:lineRule="exact"/>
              <w:jc w:val="left"/>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1.1.7 与《重庆市城镇生活污泥无害化处置“十四五”规划（2021-2025年）》符合性分析</w:t>
            </w:r>
          </w:p>
          <w:p>
            <w:pPr>
              <w:autoSpaceDE w:val="0"/>
              <w:autoSpaceDN w:val="0"/>
              <w:adjustRightInd w:val="0"/>
              <w:snapToGrid w:val="0"/>
              <w:spacing w:line="440" w:lineRule="exact"/>
              <w:ind w:firstLine="480" w:firstLineChars="200"/>
              <w:jc w:val="left"/>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本项目与《重庆市城镇生活污泥无害化处置“十四五”规划（2021-2025年）》的符合性分析见表1.</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5</w:t>
            </w:r>
            <w:r>
              <w:rPr>
                <w:rFonts w:hint="eastAsia" w:ascii="Times New Roman" w:hAnsi="Times New Roman" w:eastAsia="宋体" w:cs="Times New Roman"/>
                <w:color w:val="auto"/>
                <w:kern w:val="0"/>
                <w:sz w:val="24"/>
                <w:szCs w:val="24"/>
                <w:lang w:eastAsia="zh-CN"/>
              </w:rPr>
              <w:t>。</w:t>
            </w:r>
          </w:p>
          <w:p>
            <w:pPr>
              <w:autoSpaceDE w:val="0"/>
              <w:autoSpaceDN w:val="0"/>
              <w:adjustRightInd w:val="0"/>
              <w:snapToGrid w:val="0"/>
              <w:spacing w:line="440" w:lineRule="exact"/>
              <w:ind w:firstLine="482" w:firstLineChars="200"/>
              <w:jc w:val="center"/>
              <w:rPr>
                <w:rFonts w:hint="eastAsia" w:ascii="Times New Roman" w:hAnsi="Times New Roman" w:eastAsia="宋体" w:cs="Times New Roman"/>
                <w:b/>
                <w:bCs/>
                <w:color w:val="auto"/>
                <w:kern w:val="0"/>
                <w:sz w:val="24"/>
                <w:szCs w:val="24"/>
                <w:lang w:eastAsia="zh-CN"/>
              </w:rPr>
            </w:pPr>
          </w:p>
          <w:p>
            <w:pPr>
              <w:autoSpaceDE w:val="0"/>
              <w:autoSpaceDN w:val="0"/>
              <w:adjustRightInd w:val="0"/>
              <w:snapToGrid w:val="0"/>
              <w:spacing w:line="440" w:lineRule="exact"/>
              <w:ind w:firstLine="482" w:firstLineChars="200"/>
              <w:jc w:val="center"/>
              <w:rPr>
                <w:rFonts w:hint="eastAsia" w:ascii="Times New Roman" w:hAnsi="Times New Roman" w:eastAsia="宋体" w:cs="Times New Roman"/>
                <w:b/>
                <w:bCs/>
                <w:color w:val="auto"/>
                <w:kern w:val="0"/>
                <w:sz w:val="24"/>
                <w:szCs w:val="24"/>
                <w:lang w:eastAsia="zh-CN"/>
              </w:rPr>
            </w:pPr>
          </w:p>
          <w:p>
            <w:pPr>
              <w:autoSpaceDE w:val="0"/>
              <w:autoSpaceDN w:val="0"/>
              <w:adjustRightInd w:val="0"/>
              <w:snapToGrid w:val="0"/>
              <w:spacing w:line="440" w:lineRule="exact"/>
              <w:ind w:firstLine="482" w:firstLineChars="200"/>
              <w:jc w:val="center"/>
              <w:rPr>
                <w:rFonts w:hint="eastAsia" w:ascii="Times New Roman" w:hAnsi="Times New Roman" w:eastAsia="宋体" w:cs="Times New Roman"/>
                <w:b/>
                <w:bCs/>
                <w:color w:val="auto"/>
                <w:kern w:val="0"/>
                <w:sz w:val="24"/>
                <w:szCs w:val="24"/>
                <w:lang w:eastAsia="zh-CN"/>
              </w:rPr>
            </w:pPr>
          </w:p>
          <w:p>
            <w:pPr>
              <w:autoSpaceDE w:val="0"/>
              <w:autoSpaceDN w:val="0"/>
              <w:adjustRightInd w:val="0"/>
              <w:snapToGrid w:val="0"/>
              <w:spacing w:line="440" w:lineRule="exact"/>
              <w:ind w:firstLine="482" w:firstLineChars="200"/>
              <w:jc w:val="center"/>
              <w:rPr>
                <w:rFonts w:hint="eastAsia" w:ascii="Times New Roman" w:hAnsi="Times New Roman" w:eastAsia="宋体" w:cs="Times New Roman"/>
                <w:b/>
                <w:bCs/>
                <w:color w:val="auto"/>
                <w:kern w:val="0"/>
                <w:sz w:val="24"/>
                <w:szCs w:val="24"/>
                <w:lang w:eastAsia="zh-CN"/>
              </w:rPr>
            </w:pPr>
          </w:p>
          <w:p>
            <w:pPr>
              <w:autoSpaceDE w:val="0"/>
              <w:autoSpaceDN w:val="0"/>
              <w:adjustRightInd w:val="0"/>
              <w:snapToGrid w:val="0"/>
              <w:spacing w:line="440" w:lineRule="exact"/>
              <w:ind w:firstLine="482" w:firstLineChars="200"/>
              <w:jc w:val="center"/>
              <w:rPr>
                <w:rFonts w:hint="eastAsia" w:ascii="Times New Roman" w:hAnsi="Times New Roman" w:eastAsia="宋体" w:cs="Times New Roman"/>
                <w:b/>
                <w:bCs/>
                <w:color w:val="auto"/>
                <w:kern w:val="0"/>
                <w:sz w:val="24"/>
                <w:szCs w:val="24"/>
                <w:lang w:eastAsia="zh-CN"/>
              </w:rPr>
            </w:pPr>
          </w:p>
          <w:p>
            <w:pPr>
              <w:autoSpaceDE w:val="0"/>
              <w:autoSpaceDN w:val="0"/>
              <w:adjustRightInd w:val="0"/>
              <w:snapToGrid w:val="0"/>
              <w:spacing w:line="440" w:lineRule="exact"/>
              <w:ind w:firstLine="482" w:firstLineChars="200"/>
              <w:jc w:val="center"/>
              <w:rPr>
                <w:rFonts w:hint="eastAsia" w:ascii="Times New Roman" w:hAnsi="Times New Roman" w:eastAsia="宋体" w:cs="Times New Roman"/>
                <w:b/>
                <w:bCs/>
                <w:color w:val="auto"/>
                <w:kern w:val="0"/>
                <w:sz w:val="24"/>
                <w:szCs w:val="24"/>
                <w:lang w:eastAsia="zh-CN"/>
              </w:rPr>
            </w:pPr>
            <w:r>
              <w:rPr>
                <w:rFonts w:hint="eastAsia" w:ascii="Times New Roman" w:hAnsi="Times New Roman" w:eastAsia="宋体" w:cs="Times New Roman"/>
                <w:b/>
                <w:bCs/>
                <w:color w:val="auto"/>
                <w:kern w:val="0"/>
                <w:sz w:val="24"/>
                <w:szCs w:val="24"/>
                <w:lang w:eastAsia="zh-CN"/>
              </w:rPr>
              <w:t>表1.</w:t>
            </w:r>
            <w:r>
              <w:rPr>
                <w:rFonts w:hint="eastAsia" w:ascii="Times New Roman" w:hAnsi="Times New Roman" w:eastAsia="宋体" w:cs="Times New Roman"/>
                <w:b/>
                <w:bCs/>
                <w:color w:val="auto"/>
                <w:kern w:val="0"/>
                <w:sz w:val="24"/>
                <w:szCs w:val="24"/>
                <w:lang w:val="en-US" w:eastAsia="zh-CN"/>
              </w:rPr>
              <w:t>1</w:t>
            </w:r>
            <w:r>
              <w:rPr>
                <w:rFonts w:hint="eastAsia" w:ascii="Times New Roman" w:hAnsi="Times New Roman" w:eastAsia="宋体" w:cs="Times New Roman"/>
                <w:b/>
                <w:bCs/>
                <w:color w:val="auto"/>
                <w:kern w:val="0"/>
                <w:sz w:val="24"/>
                <w:szCs w:val="24"/>
                <w:lang w:eastAsia="zh-CN"/>
              </w:rPr>
              <w:t>-</w:t>
            </w:r>
            <w:r>
              <w:rPr>
                <w:rFonts w:hint="eastAsia" w:ascii="Times New Roman" w:hAnsi="Times New Roman" w:eastAsia="宋体" w:cs="Times New Roman"/>
                <w:b/>
                <w:bCs/>
                <w:color w:val="auto"/>
                <w:kern w:val="0"/>
                <w:sz w:val="24"/>
                <w:szCs w:val="24"/>
                <w:lang w:val="en-US" w:eastAsia="zh-CN"/>
              </w:rPr>
              <w:t>5</w:t>
            </w:r>
            <w:r>
              <w:rPr>
                <w:rFonts w:hint="eastAsia" w:ascii="Times New Roman" w:hAnsi="Times New Roman" w:eastAsia="宋体" w:cs="Times New Roman"/>
                <w:b/>
                <w:bCs/>
                <w:color w:val="auto"/>
                <w:kern w:val="0"/>
                <w:sz w:val="24"/>
                <w:szCs w:val="24"/>
                <w:lang w:eastAsia="zh-CN"/>
              </w:rPr>
              <w:t xml:space="preserve">  与《重庆市城镇生活污泥无害化处置“十四五”规划（2021-2025年）》符合性分析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5090"/>
              <w:gridCol w:w="2331"/>
              <w:gridCol w:w="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3054"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文件要求</w:t>
                  </w:r>
                </w:p>
              </w:tc>
              <w:tc>
                <w:tcPr>
                  <w:tcW w:w="1398"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项目情况</w:t>
                  </w:r>
                </w:p>
              </w:tc>
              <w:tc>
                <w:tcPr>
                  <w:tcW w:w="241"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3054" w:type="pct"/>
                  <w:vAlign w:val="center"/>
                </w:tcPr>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提升污泥无害化处理处置率。</w:t>
                  </w:r>
                </w:p>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坚持“专业为主、协同为辅”的原则，推动专业无害化污泥处理处置设施建设，提升污泥处置能力，满足2025年全市生活污泥无害化处理处置需求6710吨/天。全市城市生活污泥无害化处理处置率基本达到100%，乡镇生活污泥无害化处理处置率基本达到80%。</w:t>
                  </w:r>
                </w:p>
              </w:tc>
              <w:tc>
                <w:tcPr>
                  <w:tcW w:w="1398" w:type="pct"/>
                  <w:vAlign w:val="center"/>
                </w:tcPr>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r>
                    <w:rPr>
                      <w:rFonts w:hint="eastAsia" w:ascii="Times New Roman" w:hAnsi="Times New Roman" w:eastAsia="宋体" w:cs="Times New Roman"/>
                      <w:b w:val="0"/>
                      <w:bCs w:val="0"/>
                      <w:color w:val="auto"/>
                      <w:kern w:val="2"/>
                      <w:sz w:val="21"/>
                      <w:szCs w:val="21"/>
                      <w:lang w:val="en-US" w:eastAsia="zh-CN" w:bidi="ar-SA"/>
                    </w:rPr>
                    <w:t>主要是对污泥进行压滤脱水处置后送华新盐井水泥综合利用，在华新盐井水泥停窑期间，脱水后污泥依托现有绿化营养土发酵生产线生产营养土</w:t>
                  </w:r>
                  <w:r>
                    <w:rPr>
                      <w:rFonts w:hint="default" w:ascii="Times New Roman" w:hAnsi="Times New Roman" w:eastAsia="宋体" w:cs="Times New Roman"/>
                      <w:color w:val="auto"/>
                      <w:kern w:val="0"/>
                      <w:sz w:val="21"/>
                      <w:szCs w:val="21"/>
                    </w:rPr>
                    <w:t>，项目的建设有利于提升污泥无害化处置率</w:t>
                  </w:r>
                </w:p>
              </w:tc>
              <w:tc>
                <w:tcPr>
                  <w:tcW w:w="241"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4"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3054" w:type="pct"/>
                  <w:vAlign w:val="center"/>
                </w:tcPr>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优化污泥处理处置工艺结构。</w:t>
                  </w:r>
                </w:p>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优化污泥处理处置技术路线，丰富处理处置工艺，推广节能环保新技术，形成以热电联产、协同焚烧、好氧发酵、热干化、厌氧消化等处理处置技术协同发展的多元化工艺格局。</w:t>
                  </w:r>
                </w:p>
              </w:tc>
              <w:tc>
                <w:tcPr>
                  <w:tcW w:w="1398"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r>
                    <w:rPr>
                      <w:rFonts w:hint="eastAsia" w:ascii="Times New Roman" w:hAnsi="Times New Roman" w:eastAsia="宋体" w:cs="Times New Roman"/>
                      <w:color w:val="auto"/>
                      <w:kern w:val="0"/>
                      <w:sz w:val="21"/>
                      <w:szCs w:val="21"/>
                      <w:lang w:eastAsia="zh-CN"/>
                    </w:rPr>
                    <w:t>污泥脱水处理后主要送华新盐井水泥进行协调焚烧，</w:t>
                  </w:r>
                  <w:r>
                    <w:rPr>
                      <w:rFonts w:hint="eastAsia" w:ascii="Times New Roman" w:hAnsi="Times New Roman" w:eastAsia="宋体" w:cs="Times New Roman"/>
                      <w:b w:val="0"/>
                      <w:bCs w:val="0"/>
                      <w:color w:val="auto"/>
                      <w:kern w:val="2"/>
                      <w:sz w:val="21"/>
                      <w:szCs w:val="21"/>
                      <w:lang w:val="en-US" w:eastAsia="zh-CN" w:bidi="ar-SA"/>
                    </w:rPr>
                    <w:t>在华新盐井水泥停窑期间污泥用于</w:t>
                  </w:r>
                  <w:r>
                    <w:rPr>
                      <w:rFonts w:hint="default" w:ascii="Times New Roman" w:hAnsi="Times New Roman" w:eastAsia="宋体" w:cs="Times New Roman"/>
                      <w:color w:val="auto"/>
                      <w:kern w:val="0"/>
                      <w:sz w:val="21"/>
                      <w:szCs w:val="21"/>
                    </w:rPr>
                    <w:t>好氧发酵</w:t>
                  </w:r>
                </w:p>
              </w:tc>
              <w:tc>
                <w:tcPr>
                  <w:tcW w:w="241"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3054" w:type="pct"/>
                  <w:vAlign w:val="center"/>
                </w:tcPr>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构建污泥处理处置韧性系统。</w:t>
                  </w:r>
                </w:p>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构建源头减量、场区暂存、区域调度、应急保障的污泥处置韧性系统。设计处理能力大于10万吨/天的污水处理厂污泥含水率逐步降低至60%以下，新建城市污水处理厂同步建立污泥减量化处理设施。新、扩建污水处理厂因地制宜同步建设污泥暂存设施。建立污泥区域联动机制，推动区域污泥处置中心建设。建立污泥处置应急项目库，提升污泥处置应急能力。</w:t>
                  </w:r>
                </w:p>
              </w:tc>
              <w:tc>
                <w:tcPr>
                  <w:tcW w:w="1398"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项目的建设有利于提升</w:t>
                  </w:r>
                  <w:r>
                    <w:rPr>
                      <w:rFonts w:hint="eastAsia" w:ascii="Times New Roman" w:hAnsi="Times New Roman" w:eastAsia="宋体" w:cs="Times New Roman"/>
                      <w:color w:val="auto"/>
                      <w:kern w:val="0"/>
                      <w:sz w:val="21"/>
                      <w:szCs w:val="21"/>
                      <w:lang w:eastAsia="zh-CN"/>
                    </w:rPr>
                    <w:t>铜梁区</w:t>
                  </w:r>
                  <w:r>
                    <w:rPr>
                      <w:rFonts w:hint="default" w:ascii="Times New Roman" w:hAnsi="Times New Roman" w:eastAsia="宋体" w:cs="Times New Roman"/>
                      <w:color w:val="auto"/>
                      <w:kern w:val="0"/>
                      <w:sz w:val="21"/>
                      <w:szCs w:val="21"/>
                    </w:rPr>
                    <w:t>污泥处置能力，提升污泥处置应急能力</w:t>
                  </w:r>
                </w:p>
              </w:tc>
              <w:tc>
                <w:tcPr>
                  <w:tcW w:w="241"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4</w:t>
                  </w:r>
                </w:p>
              </w:tc>
              <w:tc>
                <w:tcPr>
                  <w:tcW w:w="3054" w:type="pct"/>
                  <w:vAlign w:val="center"/>
                </w:tcPr>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第三节 搭建多维保障体系，全面提升污泥处理处置系统韧性</w:t>
                  </w:r>
                  <w:r>
                    <w:rPr>
                      <w:rFonts w:hint="eastAsia" w:ascii="Times New Roman" w:hAnsi="Times New Roman" w:eastAsia="宋体" w:cs="Times New Roman"/>
                      <w:color w:val="auto"/>
                      <w:kern w:val="0"/>
                      <w:sz w:val="21"/>
                      <w:szCs w:val="21"/>
                      <w:lang w:eastAsia="zh-CN"/>
                    </w:rPr>
                    <w:t>。1、因地制宜推进污泥就地减量。按照“处置决定处理、厂内减量与后续处置相匹配”的原则，推进污水处理厂厂内减量设施建设，进一步降低污泥含水率。推动大中型污水处理厂污泥减量。设计处理能力大于1</w:t>
                  </w:r>
                  <w:r>
                    <w:rPr>
                      <w:rFonts w:hint="eastAsia"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eastAsia="zh-CN"/>
                    </w:rPr>
                    <w:t>万吨/天的污水处理设施污泥含水率要逐步降低至60%以下，新建污水处理设施要同步建设污泥减量化处理设施。采用减量化处理技术应与后续污泥处理处置技术相适应，不应影响污泥后续处理处置</w:t>
                  </w:r>
                </w:p>
              </w:tc>
              <w:tc>
                <w:tcPr>
                  <w:tcW w:w="1398" w:type="pct"/>
                  <w:vMerge w:val="restar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本项目</w:t>
                  </w:r>
                  <w:r>
                    <w:rPr>
                      <w:rFonts w:hint="eastAsia" w:ascii="Times New Roman" w:hAnsi="Times New Roman" w:eastAsia="宋体" w:cs="Times New Roman"/>
                      <w:b w:val="0"/>
                      <w:bCs w:val="0"/>
                      <w:color w:val="auto"/>
                      <w:kern w:val="2"/>
                      <w:sz w:val="21"/>
                      <w:szCs w:val="21"/>
                      <w:lang w:val="en-US" w:eastAsia="zh-CN" w:bidi="ar-SA"/>
                    </w:rPr>
                    <w:t>主要是对污泥进行压滤脱水减量化处置后送华新盐井水泥</w:t>
                  </w:r>
                  <w:r>
                    <w:rPr>
                      <w:rFonts w:hint="eastAsia" w:ascii="Times New Roman" w:hAnsi="Times New Roman" w:eastAsia="宋体" w:cs="Times New Roman"/>
                      <w:color w:val="auto"/>
                      <w:kern w:val="0"/>
                      <w:sz w:val="21"/>
                      <w:szCs w:val="21"/>
                      <w:lang w:eastAsia="zh-CN"/>
                    </w:rPr>
                    <w:t>进行协调焚烧</w:t>
                  </w:r>
                  <w:r>
                    <w:rPr>
                      <w:rFonts w:hint="eastAsia" w:ascii="Times New Roman" w:hAnsi="Times New Roman" w:eastAsia="宋体" w:cs="Times New Roman"/>
                      <w:b w:val="0"/>
                      <w:bCs w:val="0"/>
                      <w:color w:val="auto"/>
                      <w:kern w:val="2"/>
                      <w:sz w:val="21"/>
                      <w:szCs w:val="21"/>
                      <w:lang w:val="en-US" w:eastAsia="zh-CN" w:bidi="ar-SA"/>
                    </w:rPr>
                    <w:t>综合利用，在华新盐井水泥停窑期间，脱水后污泥依托现有绿化营养土发酵生产线生产营养土</w:t>
                  </w:r>
                </w:p>
              </w:tc>
              <w:tc>
                <w:tcPr>
                  <w:tcW w:w="241" w:type="pct"/>
                  <w:vMerge w:val="restar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5</w:t>
                  </w:r>
                </w:p>
              </w:tc>
              <w:tc>
                <w:tcPr>
                  <w:tcW w:w="3054" w:type="pct"/>
                  <w:vAlign w:val="center"/>
                </w:tcPr>
                <w:p>
                  <w:pPr>
                    <w:autoSpaceDE w:val="0"/>
                    <w:autoSpaceDN w:val="0"/>
                    <w:adjustRightInd w:val="0"/>
                    <w:snapToGrid w:val="0"/>
                    <w:spacing w:line="240" w:lineRule="auto"/>
                    <w:ind w:firstLine="0" w:firstLineChars="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完善污泥应急处置能力建设</w:t>
                  </w:r>
                  <w:r>
                    <w:rPr>
                      <w:rFonts w:hint="eastAsia" w:ascii="Times New Roman" w:hAnsi="Times New Roman" w:eastAsia="宋体" w:cs="Times New Roman"/>
                      <w:color w:val="auto"/>
                      <w:kern w:val="0"/>
                      <w:sz w:val="21"/>
                      <w:szCs w:val="21"/>
                      <w:lang w:eastAsia="zh-CN"/>
                    </w:rPr>
                    <w:t>。“十四五”期间，重庆市形成以专业无害化处置为主、水泥窑协同焚烧为辅，以填埋作为污泥应急处置的系统模式。结合现状填埋设施，建立应急处置项目库。如遇突发情况，需启动应急处置模式时，应由相关部门启动应急处置预案，从应急项目库中确定污泥处置点，保障污泥稳定处置</w:t>
                  </w:r>
                </w:p>
              </w:tc>
              <w:tc>
                <w:tcPr>
                  <w:tcW w:w="1398" w:type="pct"/>
                  <w:vMerge w:val="continue"/>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eastAsia="zh-CN"/>
                    </w:rPr>
                  </w:pPr>
                </w:p>
              </w:tc>
              <w:tc>
                <w:tcPr>
                  <w:tcW w:w="241" w:type="pct"/>
                  <w:vMerge w:val="continue"/>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4"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6</w:t>
                  </w:r>
                </w:p>
              </w:tc>
              <w:tc>
                <w:tcPr>
                  <w:tcW w:w="3054" w:type="pct"/>
                  <w:vAlign w:val="center"/>
                </w:tcPr>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 推动专业无害化设施建设。考虑污泥产量波动，在污泥预测产量的基础上按1.1-1.2倍韧性系数进行处置能力预控，满足峰值阶段下处置需求。按照“专业为主、协同为辅，查漏补缺、适度超前”的原则，加快推进专业无害化设施建设，“十四五”期间，新扩建 15 个处置项目、新增处置能力 3170 吨/天，全市无害化处置能力达 9007 吨/天，满足6710吨/天的污泥无害化处置能力需求。其中2025年江津区生活污泥预测产量为</w:t>
                  </w:r>
                  <w:r>
                    <w:rPr>
                      <w:rFonts w:hint="eastAsia" w:ascii="Times New Roman" w:hAnsi="Times New Roman" w:eastAsia="宋体" w:cs="Times New Roman"/>
                      <w:color w:val="auto"/>
                      <w:kern w:val="0"/>
                      <w:sz w:val="21"/>
                      <w:szCs w:val="21"/>
                      <w:lang w:val="en-US" w:eastAsia="zh-CN"/>
                    </w:rPr>
                    <w:t>95</w:t>
                  </w:r>
                  <w:r>
                    <w:rPr>
                      <w:rFonts w:hint="default" w:ascii="Times New Roman" w:hAnsi="Times New Roman" w:eastAsia="宋体" w:cs="Times New Roman"/>
                      <w:color w:val="auto"/>
                      <w:kern w:val="0"/>
                      <w:sz w:val="21"/>
                      <w:szCs w:val="21"/>
                    </w:rPr>
                    <w:t>t/d，污泥处理处置需求量为1</w:t>
                  </w:r>
                  <w:r>
                    <w:rPr>
                      <w:rFonts w:hint="eastAsia" w:ascii="Times New Roman" w:hAnsi="Times New Roman" w:eastAsia="宋体" w:cs="Times New Roman"/>
                      <w:color w:val="auto"/>
                      <w:kern w:val="0"/>
                      <w:sz w:val="21"/>
                      <w:szCs w:val="21"/>
                      <w:lang w:val="en-US" w:eastAsia="zh-CN"/>
                    </w:rPr>
                    <w:t>05</w:t>
                  </w:r>
                  <w:r>
                    <w:rPr>
                      <w:rFonts w:hint="default" w:ascii="Times New Roman" w:hAnsi="Times New Roman" w:eastAsia="宋体" w:cs="Times New Roman"/>
                      <w:color w:val="auto"/>
                      <w:kern w:val="0"/>
                      <w:sz w:val="21"/>
                      <w:szCs w:val="21"/>
                    </w:rPr>
                    <w:t>t/d。</w:t>
                  </w:r>
                </w:p>
              </w:tc>
              <w:tc>
                <w:tcPr>
                  <w:tcW w:w="1398"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项目污泥处置能力为</w:t>
                  </w:r>
                  <w:r>
                    <w:rPr>
                      <w:rFonts w:hint="eastAsia" w:ascii="Times New Roman" w:hAnsi="Times New Roman" w:eastAsia="宋体" w:cs="Times New Roman"/>
                      <w:color w:val="auto"/>
                      <w:kern w:val="0"/>
                      <w:sz w:val="21"/>
                      <w:szCs w:val="21"/>
                      <w:lang w:val="en-US" w:eastAsia="zh-CN"/>
                    </w:rPr>
                    <w:t>120</w:t>
                  </w:r>
                  <w:r>
                    <w:rPr>
                      <w:rFonts w:hint="default" w:ascii="Times New Roman" w:hAnsi="Times New Roman" w:eastAsia="宋体" w:cs="Times New Roman"/>
                      <w:color w:val="auto"/>
                      <w:kern w:val="0"/>
                      <w:sz w:val="21"/>
                      <w:szCs w:val="21"/>
                    </w:rPr>
                    <w:t>吨/天，可满足</w:t>
                  </w:r>
                  <w:r>
                    <w:rPr>
                      <w:rFonts w:hint="eastAsia" w:ascii="Times New Roman" w:hAnsi="Times New Roman" w:eastAsia="宋体" w:cs="Times New Roman"/>
                      <w:color w:val="auto"/>
                      <w:kern w:val="0"/>
                      <w:sz w:val="21"/>
                      <w:szCs w:val="21"/>
                      <w:lang w:eastAsia="zh-CN"/>
                    </w:rPr>
                    <w:t>铜梁区</w:t>
                  </w:r>
                  <w:r>
                    <w:rPr>
                      <w:rFonts w:hint="default" w:ascii="Times New Roman" w:hAnsi="Times New Roman" w:eastAsia="宋体" w:cs="Times New Roman"/>
                      <w:color w:val="auto"/>
                      <w:kern w:val="0"/>
                      <w:sz w:val="21"/>
                      <w:szCs w:val="21"/>
                    </w:rPr>
                    <w:t>污泥处置</w:t>
                  </w:r>
                  <w:r>
                    <w:rPr>
                      <w:rFonts w:hint="eastAsia" w:ascii="Times New Roman" w:hAnsi="Times New Roman" w:eastAsia="宋体" w:cs="Times New Roman"/>
                      <w:color w:val="auto"/>
                      <w:kern w:val="0"/>
                      <w:sz w:val="21"/>
                      <w:szCs w:val="21"/>
                      <w:lang w:val="en-US" w:eastAsia="zh-CN"/>
                    </w:rPr>
                    <w:t>105</w:t>
                  </w:r>
                  <w:r>
                    <w:rPr>
                      <w:rFonts w:hint="default" w:ascii="Times New Roman" w:hAnsi="Times New Roman" w:eastAsia="宋体" w:cs="Times New Roman"/>
                      <w:color w:val="auto"/>
                      <w:kern w:val="0"/>
                      <w:sz w:val="21"/>
                      <w:szCs w:val="21"/>
                    </w:rPr>
                    <w:t>/天</w:t>
                  </w:r>
                  <w:r>
                    <w:rPr>
                      <w:rFonts w:hint="eastAsia" w:ascii="Times New Roman" w:hAnsi="Times New Roman" w:eastAsia="宋体" w:cs="Times New Roman"/>
                      <w:color w:val="auto"/>
                      <w:kern w:val="0"/>
                      <w:sz w:val="21"/>
                      <w:szCs w:val="21"/>
                      <w:lang w:eastAsia="zh-CN"/>
                    </w:rPr>
                    <w:t>的</w:t>
                  </w:r>
                  <w:r>
                    <w:rPr>
                      <w:rFonts w:hint="default" w:ascii="Times New Roman" w:hAnsi="Times New Roman" w:eastAsia="宋体" w:cs="Times New Roman"/>
                      <w:color w:val="auto"/>
                      <w:kern w:val="0"/>
                      <w:sz w:val="21"/>
                      <w:szCs w:val="21"/>
                    </w:rPr>
                    <w:t>需求</w:t>
                  </w:r>
                </w:p>
              </w:tc>
              <w:tc>
                <w:tcPr>
                  <w:tcW w:w="241"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7</w:t>
                  </w:r>
                </w:p>
              </w:tc>
              <w:tc>
                <w:tcPr>
                  <w:tcW w:w="3054" w:type="pct"/>
                  <w:vAlign w:val="center"/>
                </w:tcPr>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推动高质量低碳环保处理技术发展。“十四五”期间，积极推动污泥处置行业从处置能力“增量建设”向“质量提升”转变，推广节能环保处理处置技术，促进污泥处置行业专业化、资源化发展。推动专业无害化处置技术发展，逐步减少水泥窑协同焚烧技术的使用，形成热电联产、协同焚烧、好氧发酵、热干化、厌氧消化等处理处置技术协同发展的多元化格局。鼓励污泥产品资源化利用，推动污泥通过热电联产、生活垃圾协同焚烧发电实现能源利用；推动污泥通过焚烧制陶、焚烧灰渣利用实现建材利用；逐步控制堆肥技术使用，适度拓展污泥土地利用，防止土地利用产能过剩。逐步探索将污泥产品用于矿山修复；探索中温碳化、低温干燥、热水解及湿式氧化等新技术，逐步由协同处理模式向专业处理模式转变；探索“生物质利用+焚烧”、“干化+土地利用”等优势互补的污泥处理处置模式应用</w:t>
                  </w:r>
                </w:p>
              </w:tc>
              <w:tc>
                <w:tcPr>
                  <w:tcW w:w="1398" w:type="pct"/>
                  <w:vMerge w:val="restar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项目位于</w:t>
                  </w:r>
                  <w:r>
                    <w:rPr>
                      <w:rFonts w:hint="eastAsia" w:ascii="Times New Roman" w:hAnsi="Times New Roman" w:eastAsia="宋体" w:cs="Times New Roman"/>
                      <w:color w:val="auto"/>
                      <w:kern w:val="0"/>
                      <w:sz w:val="21"/>
                      <w:szCs w:val="21"/>
                      <w:lang w:eastAsia="zh-CN"/>
                    </w:rPr>
                    <w:t>铜梁区</w:t>
                  </w:r>
                  <w:r>
                    <w:rPr>
                      <w:rFonts w:hint="default" w:ascii="Times New Roman" w:hAnsi="Times New Roman" w:eastAsia="宋体" w:cs="Times New Roman"/>
                      <w:color w:val="auto"/>
                      <w:kern w:val="0"/>
                      <w:sz w:val="21"/>
                      <w:szCs w:val="21"/>
                    </w:rPr>
                    <w:t>，属于</w:t>
                  </w:r>
                  <w:r>
                    <w:rPr>
                      <w:rFonts w:hint="eastAsia" w:ascii="Times New Roman" w:hAnsi="Times New Roman" w:eastAsia="宋体" w:cs="Times New Roman"/>
                      <w:color w:val="auto"/>
                      <w:kern w:val="0"/>
                      <w:sz w:val="21"/>
                      <w:szCs w:val="21"/>
                      <w:lang w:eastAsia="zh-CN"/>
                    </w:rPr>
                    <w:t>规划中的“铜梁区污泥无害化处置设施”</w:t>
                  </w:r>
                  <w:r>
                    <w:rPr>
                      <w:rFonts w:hint="default" w:ascii="Times New Roman" w:hAnsi="Times New Roman" w:eastAsia="宋体" w:cs="Times New Roman"/>
                      <w:color w:val="auto"/>
                      <w:kern w:val="0"/>
                      <w:sz w:val="21"/>
                      <w:szCs w:val="21"/>
                    </w:rPr>
                    <w:t>，采取好氧发酵工艺，</w:t>
                  </w:r>
                  <w:r>
                    <w:rPr>
                      <w:rFonts w:hint="eastAsia" w:ascii="Times New Roman" w:hAnsi="Times New Roman" w:eastAsia="宋体" w:cs="Times New Roman"/>
                      <w:color w:val="auto"/>
                      <w:kern w:val="0"/>
                      <w:sz w:val="21"/>
                      <w:szCs w:val="21"/>
                      <w:lang w:eastAsia="zh-CN"/>
                    </w:rPr>
                    <w:t>本次在这基础上增加污泥脱水工艺，脱水污泥主要去向变为</w:t>
                  </w:r>
                  <w:r>
                    <w:rPr>
                      <w:rFonts w:hint="eastAsia" w:ascii="Times New Roman" w:hAnsi="Times New Roman" w:eastAsia="宋体" w:cs="Times New Roman"/>
                      <w:b w:val="0"/>
                      <w:bCs w:val="0"/>
                      <w:color w:val="auto"/>
                      <w:kern w:val="2"/>
                      <w:sz w:val="21"/>
                      <w:szCs w:val="21"/>
                      <w:lang w:val="en-US" w:eastAsia="zh-CN" w:bidi="ar-SA"/>
                    </w:rPr>
                    <w:t>送华新盐井水泥</w:t>
                  </w:r>
                  <w:r>
                    <w:rPr>
                      <w:rFonts w:hint="eastAsia" w:ascii="Times New Roman" w:hAnsi="Times New Roman" w:eastAsia="宋体" w:cs="Times New Roman"/>
                      <w:color w:val="auto"/>
                      <w:kern w:val="0"/>
                      <w:sz w:val="21"/>
                      <w:szCs w:val="21"/>
                      <w:lang w:eastAsia="zh-CN"/>
                    </w:rPr>
                    <w:t>进行协调焚烧</w:t>
                  </w:r>
                  <w:r>
                    <w:rPr>
                      <w:rFonts w:hint="eastAsia" w:ascii="Times New Roman" w:hAnsi="Times New Roman" w:eastAsia="宋体" w:cs="Times New Roman"/>
                      <w:b w:val="0"/>
                      <w:bCs w:val="0"/>
                      <w:color w:val="auto"/>
                      <w:kern w:val="2"/>
                      <w:sz w:val="21"/>
                      <w:szCs w:val="21"/>
                      <w:lang w:val="en-US" w:eastAsia="zh-CN" w:bidi="ar-SA"/>
                    </w:rPr>
                    <w:t>综合利用，在华新盐井水泥停窑期间，脱水后污泥仍然依托现有发酵生产线生产营养土</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满足区域规划污泥处置工艺</w:t>
                  </w:r>
                </w:p>
              </w:tc>
              <w:tc>
                <w:tcPr>
                  <w:tcW w:w="241"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 w:type="pct"/>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8</w:t>
                  </w:r>
                </w:p>
              </w:tc>
              <w:tc>
                <w:tcPr>
                  <w:tcW w:w="3054" w:type="pct"/>
                  <w:vAlign w:val="center"/>
                </w:tcPr>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合理优化污泥处理处置工艺格局。中心城区以热电联产为主，热干化、协同焚烧、好氧发酵为辅。......主城新区以协同焚烧为主，好氧发酵、厌氧消化为辅。......渝东北、渝东南城镇群以好氧发酵、厌氧消化、协同焚烧等多元化技术协同发展......</w:t>
                  </w:r>
                </w:p>
              </w:tc>
              <w:tc>
                <w:tcPr>
                  <w:tcW w:w="1398" w:type="pct"/>
                  <w:vMerge w:val="continue"/>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p>
              </w:tc>
              <w:tc>
                <w:tcPr>
                  <w:tcW w:w="241"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9</w:t>
                  </w:r>
                </w:p>
              </w:tc>
              <w:tc>
                <w:tcPr>
                  <w:tcW w:w="3054" w:type="pct"/>
                  <w:vAlign w:val="center"/>
                </w:tcPr>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推动污泥处置设施系统升级。新建污泥处置设施需提高设计标准，满足不同含水率（60%-80%）的污泥处置要求。对于规划接收含水率60%的现状污泥处置设施，需进行技术改造，以满足接收不同含水率</w:t>
                  </w:r>
                </w:p>
                <w:p>
                  <w:pPr>
                    <w:autoSpaceDE w:val="0"/>
                    <w:autoSpaceDN w:val="0"/>
                    <w:adjustRightInd w:val="0"/>
                    <w:snapToGrid w:val="0"/>
                    <w:spacing w:line="240" w:lineRule="auto"/>
                    <w:ind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（60%-80%）的污泥，保障减量污泥得到稳定处理处置</w:t>
                  </w:r>
                </w:p>
              </w:tc>
              <w:tc>
                <w:tcPr>
                  <w:tcW w:w="1398"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项目能处理含水率为</w:t>
                  </w:r>
                  <w:r>
                    <w:rPr>
                      <w:rFonts w:hint="eastAsia" w:ascii="Times New Roman" w:hAnsi="Times New Roman" w:eastAsia="宋体" w:cs="Times New Roman"/>
                      <w:color w:val="auto"/>
                      <w:kern w:val="0"/>
                      <w:sz w:val="21"/>
                      <w:szCs w:val="21"/>
                      <w:lang w:val="en-US" w:eastAsia="zh-CN"/>
                    </w:rPr>
                    <w:t>60%~</w:t>
                  </w:r>
                  <w:r>
                    <w:rPr>
                      <w:rFonts w:hint="default" w:ascii="Times New Roman" w:hAnsi="Times New Roman" w:eastAsia="宋体" w:cs="Times New Roman"/>
                      <w:color w:val="auto"/>
                      <w:kern w:val="0"/>
                      <w:sz w:val="21"/>
                      <w:szCs w:val="21"/>
                    </w:rPr>
                    <w:t>80%的污泥</w:t>
                  </w:r>
                </w:p>
              </w:tc>
              <w:tc>
                <w:tcPr>
                  <w:tcW w:w="241" w:type="pct"/>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pPr>
              <w:autoSpaceDE w:val="0"/>
              <w:autoSpaceDN w:val="0"/>
              <w:adjustRightInd w:val="0"/>
              <w:snapToGrid w:val="0"/>
              <w:spacing w:line="440" w:lineRule="exact"/>
              <w:ind w:firstLine="480" w:firstLineChars="200"/>
              <w:jc w:val="left"/>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由上表可知，本项目属于规划中的“铜梁区污泥无害化处置设施”，符合《重庆市城镇生活污泥无害化处置“十四五”规划（2021-2025年）》相关要求。</w:t>
            </w:r>
          </w:p>
          <w:p>
            <w:pPr>
              <w:autoSpaceDE w:val="0"/>
              <w:autoSpaceDN w:val="0"/>
              <w:adjustRightInd w:val="0"/>
              <w:snapToGrid w:val="0"/>
              <w:spacing w:line="440" w:lineRule="exact"/>
              <w:jc w:val="left"/>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lang w:val="en-US" w:eastAsia="zh-CN"/>
              </w:rPr>
              <w:t>1.1.8 与</w:t>
            </w:r>
            <w:r>
              <w:rPr>
                <w:rFonts w:hint="default" w:ascii="Times New Roman" w:hAnsi="Times New Roman" w:eastAsia="宋体" w:cs="Times New Roman"/>
                <w:b/>
                <w:bCs/>
                <w:color w:val="auto"/>
                <w:kern w:val="0"/>
                <w:sz w:val="24"/>
                <w:szCs w:val="24"/>
                <w:lang w:val="en-US" w:eastAsia="zh-CN"/>
              </w:rPr>
              <w:t>《重庆市生态环境局关于印发重庆市大气环境保护“十四五”规划（2021—2025年）的通知》（渝环〔2022〕43号）</w:t>
            </w:r>
            <w:r>
              <w:rPr>
                <w:rFonts w:hint="eastAsia" w:ascii="Times New Roman" w:hAnsi="Times New Roman" w:eastAsia="宋体" w:cs="Times New Roman"/>
                <w:b/>
                <w:bCs/>
                <w:color w:val="auto"/>
                <w:kern w:val="0"/>
                <w:sz w:val="24"/>
                <w:szCs w:val="24"/>
                <w:lang w:val="en-US" w:eastAsia="zh-CN"/>
              </w:rPr>
              <w:t>符合性分析</w:t>
            </w:r>
          </w:p>
          <w:p>
            <w:pPr>
              <w:autoSpaceDE w:val="0"/>
              <w:autoSpaceDN w:val="0"/>
              <w:adjustRightInd w:val="0"/>
              <w:snapToGrid w:val="0"/>
              <w:spacing w:line="440" w:lineRule="exact"/>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eastAsia="zh-CN"/>
              </w:rPr>
              <w:t>根据《重庆市生态环境局关于印发重庆市大气环境保护“十四五”规划（2021—2025年）的通知》“（二）深化工业炉窑废气综合治理。在国家出台相关规定前，重点区域从严控制新增火电、水泥窑协同处置危险废物、污泥等项目，企业需确保稳定达到超低排放标准”。本项目位于铜梁区，</w:t>
            </w:r>
            <w:r>
              <w:rPr>
                <w:rFonts w:hint="default" w:ascii="Times New Roman" w:hAnsi="Times New Roman" w:eastAsia="宋体" w:cs="Times New Roman"/>
                <w:color w:val="auto"/>
                <w:kern w:val="0"/>
                <w:sz w:val="24"/>
                <w:szCs w:val="24"/>
              </w:rPr>
              <w:t>属于</w:t>
            </w:r>
            <w:r>
              <w:rPr>
                <w:rFonts w:hint="default" w:ascii="Times New Roman" w:hAnsi="Times New Roman" w:eastAsia="宋体" w:cs="Times New Roman"/>
                <w:color w:val="auto"/>
                <w:kern w:val="0"/>
                <w:sz w:val="24"/>
                <w:szCs w:val="24"/>
                <w:lang w:eastAsia="zh-CN"/>
              </w:rPr>
              <w:t>《重庆市城镇生活污泥无害化处置“十四五”规划（2021-2025年）》</w:t>
            </w:r>
            <w:r>
              <w:rPr>
                <w:rFonts w:hint="eastAsia" w:ascii="Times New Roman" w:hAnsi="Times New Roman" w:eastAsia="宋体" w:cs="Times New Roman"/>
                <w:color w:val="auto"/>
                <w:kern w:val="0"/>
                <w:sz w:val="24"/>
                <w:szCs w:val="24"/>
                <w:lang w:eastAsia="zh-CN"/>
              </w:rPr>
              <w:t>中的“铜梁区污泥无害化处置设施”</w:t>
            </w:r>
            <w:r>
              <w:rPr>
                <w:rFonts w:hint="default" w:ascii="Times New Roman" w:hAnsi="Times New Roman" w:eastAsia="宋体" w:cs="Times New Roman"/>
                <w:color w:val="auto"/>
                <w:kern w:val="0"/>
                <w:sz w:val="24"/>
                <w:szCs w:val="24"/>
              </w:rPr>
              <w:t>，采取好氧发酵工艺</w:t>
            </w:r>
            <w:r>
              <w:rPr>
                <w:rFonts w:hint="eastAsia" w:ascii="Times New Roman" w:hAnsi="Times New Roman" w:eastAsia="宋体" w:cs="Times New Roman"/>
                <w:color w:val="auto"/>
                <w:kern w:val="0"/>
                <w:sz w:val="24"/>
                <w:szCs w:val="24"/>
                <w:lang w:eastAsia="zh-CN"/>
              </w:rPr>
              <w:t>生产营养土，用于建设单位下属多家花卉苗圃基地、景区施肥；本次在这基础上增加污泥脱水工艺，脱水污泥主要去向由原来全部生产绿化营养土变为</w:t>
            </w:r>
            <w:r>
              <w:rPr>
                <w:rFonts w:hint="eastAsia" w:ascii="Times New Roman" w:hAnsi="Times New Roman" w:eastAsia="宋体" w:cs="Times New Roman"/>
                <w:b w:val="0"/>
                <w:bCs w:val="0"/>
                <w:color w:val="auto"/>
                <w:kern w:val="2"/>
                <w:sz w:val="24"/>
                <w:szCs w:val="24"/>
                <w:lang w:val="en-US" w:eastAsia="zh-CN" w:bidi="ar-SA"/>
              </w:rPr>
              <w:t>送华新盐井水泥</w:t>
            </w:r>
            <w:r>
              <w:rPr>
                <w:rFonts w:hint="eastAsia" w:ascii="Times New Roman" w:hAnsi="Times New Roman" w:eastAsia="宋体" w:cs="Times New Roman"/>
                <w:color w:val="auto"/>
                <w:kern w:val="0"/>
                <w:sz w:val="24"/>
                <w:szCs w:val="24"/>
                <w:lang w:eastAsia="zh-CN"/>
              </w:rPr>
              <w:t>进行协调焚烧</w:t>
            </w:r>
            <w:r>
              <w:rPr>
                <w:rFonts w:hint="eastAsia" w:ascii="Times New Roman" w:hAnsi="Times New Roman" w:eastAsia="宋体" w:cs="Times New Roman"/>
                <w:b w:val="0"/>
                <w:bCs w:val="0"/>
                <w:color w:val="auto"/>
                <w:kern w:val="2"/>
                <w:sz w:val="24"/>
                <w:szCs w:val="24"/>
                <w:lang w:val="en-US" w:eastAsia="zh-CN" w:bidi="ar-SA"/>
              </w:rPr>
              <w:t>综合利用，在华新盐井水泥停窑期间，脱水后污泥仍然依托现有发酵生产线生产营养土</w:t>
            </w:r>
            <w:r>
              <w:rPr>
                <w:rFonts w:hint="eastAsia" w:ascii="Times New Roman" w:hAnsi="Times New Roman" w:eastAsia="宋体" w:cs="Times New Roman"/>
                <w:color w:val="auto"/>
                <w:kern w:val="0"/>
                <w:sz w:val="24"/>
                <w:szCs w:val="24"/>
                <w:lang w:eastAsia="zh-CN"/>
              </w:rPr>
              <w:t>，并进行外售，不涉及处置危险废物，不属于火电、水泥行业，因此，项目与</w:t>
            </w:r>
            <w:r>
              <w:rPr>
                <w:rFonts w:hint="eastAsia" w:ascii="Times New Roman" w:hAnsi="Times New Roman" w:eastAsia="宋体" w:cs="Times New Roman"/>
                <w:color w:val="auto"/>
                <w:kern w:val="0"/>
                <w:sz w:val="24"/>
                <w:szCs w:val="24"/>
                <w:lang w:val="en-US" w:eastAsia="zh-CN"/>
              </w:rPr>
              <w:t>《重庆市生态环境局关于印发重庆市大气环境保护“十四五”规划（2021—2025年）的通知》（渝环〔2022〕43号）相关规划不冲突。</w:t>
            </w:r>
          </w:p>
          <w:p>
            <w:pPr>
              <w:autoSpaceDE w:val="0"/>
              <w:autoSpaceDN w:val="0"/>
              <w:adjustRightInd w:val="0"/>
              <w:snapToGrid w:val="0"/>
              <w:spacing w:line="440" w:lineRule="exact"/>
              <w:jc w:val="left"/>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1.1.9 与《重庆市人民政府关于印发重庆市生态环境保护“十四五”规划</w:t>
            </w:r>
          </w:p>
          <w:p>
            <w:pPr>
              <w:autoSpaceDE w:val="0"/>
              <w:autoSpaceDN w:val="0"/>
              <w:adjustRightInd w:val="0"/>
              <w:snapToGrid w:val="0"/>
              <w:spacing w:line="440" w:lineRule="exact"/>
              <w:jc w:val="left"/>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（2021—2025 年）的通知》（渝府发〔2022〕11 号）符合性分析</w:t>
            </w:r>
          </w:p>
          <w:p>
            <w:pPr>
              <w:autoSpaceDE w:val="0"/>
              <w:autoSpaceDN w:val="0"/>
              <w:adjustRightInd w:val="0"/>
              <w:snapToGrid w:val="0"/>
              <w:spacing w:line="440" w:lineRule="exact"/>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根据《重庆市人民政府关于印发重庆市生态环境保护“十四五”规划（2021—2025 年）的通知》（渝府发〔2022〕11 号）“第一节 改善水环境质量。......到2025年，全市城市生活污水集中处理率达到 98%以上，建成区城市污水基本实现全收集、全处理，建制镇污水处理实现全达标排放，城市生活污水厂污泥无害化处理处置率达到98%以上。......第三节 防范固体废物污染环境风险。推进一般工业固废和生活垃圾减量化、无害化、资源化处置。全面摸底调查和整治现有一般工业固体废物堆存场所，新建、扩建一批一般工业固体废物处置场。......鼓励水泥窑或生活垃圾焚烧厂协同处置污泥”。</w:t>
            </w:r>
          </w:p>
          <w:p>
            <w:pPr>
              <w:autoSpaceDE w:val="0"/>
              <w:autoSpaceDN w:val="0"/>
              <w:adjustRightInd w:val="0"/>
              <w:snapToGrid w:val="0"/>
              <w:spacing w:line="440" w:lineRule="exact"/>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本项目属于《重庆市城镇生活污泥无害化处置“十四五”规划（2021-2025年）》中的“铜梁区污泥无害化处置设施”，</w:t>
            </w:r>
            <w:r>
              <w:rPr>
                <w:rFonts w:hint="default" w:ascii="Times New Roman" w:hAnsi="Times New Roman" w:eastAsia="宋体" w:cs="Times New Roman"/>
                <w:color w:val="auto"/>
                <w:kern w:val="0"/>
                <w:sz w:val="24"/>
                <w:szCs w:val="24"/>
              </w:rPr>
              <w:t>采取好氧发酵工艺</w:t>
            </w:r>
            <w:r>
              <w:rPr>
                <w:rFonts w:hint="eastAsia" w:ascii="Times New Roman" w:hAnsi="Times New Roman" w:eastAsia="宋体" w:cs="Times New Roman"/>
                <w:color w:val="auto"/>
                <w:kern w:val="0"/>
                <w:sz w:val="24"/>
                <w:szCs w:val="24"/>
                <w:lang w:eastAsia="zh-CN"/>
              </w:rPr>
              <w:t>生产营养土，用于建设单位下属多家花卉苗圃基地、景区施肥；本次在这基础上增加污泥脱水工艺，脱水污泥主要去向由原来全部生产绿化营养土变为</w:t>
            </w:r>
            <w:r>
              <w:rPr>
                <w:rFonts w:hint="eastAsia" w:ascii="Times New Roman" w:hAnsi="Times New Roman" w:eastAsia="宋体" w:cs="Times New Roman"/>
                <w:b w:val="0"/>
                <w:bCs w:val="0"/>
                <w:color w:val="auto"/>
                <w:kern w:val="2"/>
                <w:sz w:val="24"/>
                <w:szCs w:val="24"/>
                <w:lang w:val="en-US" w:eastAsia="zh-CN" w:bidi="ar-SA"/>
              </w:rPr>
              <w:t>送华新盐井水泥</w:t>
            </w:r>
            <w:r>
              <w:rPr>
                <w:rFonts w:hint="eastAsia" w:ascii="Times New Roman" w:hAnsi="Times New Roman" w:eastAsia="宋体" w:cs="Times New Roman"/>
                <w:color w:val="auto"/>
                <w:kern w:val="0"/>
                <w:sz w:val="24"/>
                <w:szCs w:val="24"/>
                <w:lang w:eastAsia="zh-CN"/>
              </w:rPr>
              <w:t>进行协调焚烧</w:t>
            </w:r>
            <w:r>
              <w:rPr>
                <w:rFonts w:hint="eastAsia" w:ascii="Times New Roman" w:hAnsi="Times New Roman" w:eastAsia="宋体" w:cs="Times New Roman"/>
                <w:b w:val="0"/>
                <w:bCs w:val="0"/>
                <w:color w:val="auto"/>
                <w:kern w:val="2"/>
                <w:sz w:val="24"/>
                <w:szCs w:val="24"/>
                <w:lang w:val="en-US" w:eastAsia="zh-CN" w:bidi="ar-SA"/>
              </w:rPr>
              <w:t>综合利用，在华新盐井水泥停窑期间，脱水后污泥仍然依托现有发酵生产线生产营养土</w:t>
            </w:r>
            <w:r>
              <w:rPr>
                <w:rFonts w:hint="eastAsia" w:ascii="Times New Roman" w:hAnsi="Times New Roman" w:eastAsia="宋体" w:cs="Times New Roman"/>
                <w:color w:val="auto"/>
                <w:kern w:val="0"/>
                <w:sz w:val="24"/>
                <w:szCs w:val="24"/>
                <w:lang w:eastAsia="zh-CN"/>
              </w:rPr>
              <w:t>，并进行外售，</w:t>
            </w:r>
            <w:r>
              <w:rPr>
                <w:rFonts w:hint="eastAsia" w:ascii="Times New Roman" w:hAnsi="Times New Roman" w:eastAsia="宋体" w:cs="Times New Roman"/>
                <w:color w:val="auto"/>
                <w:kern w:val="0"/>
                <w:sz w:val="24"/>
                <w:szCs w:val="24"/>
                <w:lang w:val="en-US" w:eastAsia="zh-CN"/>
              </w:rPr>
              <w:t>属于通知中鼓励的推进一般工业固废和生活垃圾减量化、无害化、资源化处置，因此，本项目符合《重庆市人民政府关于印发重庆市生态环境保护“十四五”规划（2021—2025 年）的通知》（渝府发〔2022〕11 号）。</w:t>
            </w:r>
          </w:p>
          <w:p>
            <w:pPr>
              <w:autoSpaceDE w:val="0"/>
              <w:autoSpaceDN w:val="0"/>
              <w:adjustRightInd w:val="0"/>
              <w:snapToGrid w:val="0"/>
              <w:spacing w:line="440" w:lineRule="exact"/>
              <w:jc w:val="left"/>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1.1.10 《污泥无害化处理和资源化利用实施方案》（发改环资〔2022〕1453号）符合性分析</w:t>
            </w:r>
          </w:p>
          <w:p>
            <w:pPr>
              <w:autoSpaceDE w:val="0"/>
              <w:autoSpaceDN w:val="0"/>
              <w:adjustRightInd w:val="0"/>
              <w:snapToGrid w:val="0"/>
              <w:spacing w:line="440" w:lineRule="exact"/>
              <w:ind w:firstLine="482" w:firstLineChars="200"/>
              <w:jc w:val="center"/>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表1.1-6   与“发改环资[2022]1453号”符合性分析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5159"/>
              <w:gridCol w:w="1971"/>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序号</w:t>
                  </w:r>
                </w:p>
              </w:tc>
              <w:tc>
                <w:tcPr>
                  <w:tcW w:w="3095"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实施方案要求</w:t>
                  </w:r>
                </w:p>
              </w:tc>
              <w:tc>
                <w:tcPr>
                  <w:tcW w:w="1182"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项目情况</w:t>
                  </w:r>
                </w:p>
              </w:tc>
              <w:tc>
                <w:tcPr>
                  <w:tcW w:w="45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3095"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三）规范污泥处理方式。根据本地污泥来源、产量和泥质，综合考虑各地自然地理条件、用地条件、环境承载能力和经济发展水平等实际情况，因地制宜合理选择污泥处理路径和技术路线。鼓励采用厌氧消化、好氧发酵、干化焚烧、土地利用、建材利用等多元化组合方式处理污泥。除焚烧处理方式外，严禁将不符合泥质控制指标要求的工业污泥与城镇污水处理厂污泥混合处理</w:t>
                  </w:r>
                </w:p>
              </w:tc>
              <w:tc>
                <w:tcPr>
                  <w:tcW w:w="1182" w:type="pct"/>
                  <w:vMerge w:val="restar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项目属于《重庆市城镇生活污泥无害化处置“十四五”规划（2021-2025年）》中的“铜梁区污泥无害化处置设施”，</w:t>
                  </w:r>
                  <w:r>
                    <w:rPr>
                      <w:rFonts w:hint="default" w:ascii="Times New Roman" w:hAnsi="Times New Roman" w:eastAsia="宋体" w:cs="Times New Roman"/>
                      <w:color w:val="auto"/>
                      <w:kern w:val="0"/>
                      <w:sz w:val="21"/>
                      <w:szCs w:val="21"/>
                      <w:lang w:val="en-US" w:eastAsia="zh-CN"/>
                    </w:rPr>
                    <w:t>采取好氧发酵工艺</w:t>
                  </w:r>
                  <w:r>
                    <w:rPr>
                      <w:rFonts w:hint="eastAsia" w:ascii="Times New Roman" w:hAnsi="Times New Roman" w:eastAsia="宋体" w:cs="Times New Roman"/>
                      <w:color w:val="auto"/>
                      <w:kern w:val="0"/>
                      <w:sz w:val="21"/>
                      <w:szCs w:val="21"/>
                      <w:lang w:val="en-US" w:eastAsia="zh-CN"/>
                    </w:rPr>
                    <w:t>生产营养土，用于建设单位下属多家花卉苗圃基地、景区施肥；本次在这基础上增加污泥脱水工艺，脱水污泥主要去向由原来全部生产绿化营养土变为送华新盐井水泥进行协调焚烧综合利用，在华新盐井水泥停窑期间，脱水后污泥仍然依托现有发酵生产线生产营养土，并进行外售，属于实施方案中鼓励的处理方式</w:t>
                  </w:r>
                </w:p>
              </w:tc>
              <w:tc>
                <w:tcPr>
                  <w:tcW w:w="45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3095"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四）积极推广污泥土地利用。鼓励将城镇生活污水处理厂产生的污泥经厌氧消化或好氧发酵处理后，作为肥料或土壤改良剂，用于国土绿化、园林建设、废弃矿场以及非农用的盐碱地和沙化地。污泥作为肥料或土壤改良剂时，应严格执行相关国家、行业和地方标准。用于林地、草地、国土绿化时，应根据不同地域的土质和植物习性等，确定合理的施用范围、施用量、施用方法和施用时间。对于含有毒有害水污染物的工业废水和生活污水混合处理的污水处理厂产生的污泥，不能采用土地利用方式</w:t>
                  </w:r>
                </w:p>
              </w:tc>
              <w:tc>
                <w:tcPr>
                  <w:tcW w:w="1182" w:type="pct"/>
                  <w:vMerge w:val="continue"/>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45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3095"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七）推广能量和物质回收利用。遵循“安全环保、稳妥可靠”的要求，加大污泥能源资源回收利用。积极采用好氧发酵等堆肥工艺，回收利用污泥中氮磷等营养物质。鼓励将污泥焚烧灰渣建材化和资源化利用。推广污水源热泵技术、污泥沼气热电联产技术，实现厂区或周边区域供热供冷。推广“光伏+”模式，在厂区屋顶布置太阳能发电设施。积极推广建设能源资源高效循环利用的污水处理绿色低碳标杆厂，实现减污降碳协同增效。探索建立行业采信机制，畅通污泥资源化产品市场出路。</w:t>
                  </w:r>
                </w:p>
              </w:tc>
              <w:tc>
                <w:tcPr>
                  <w:tcW w:w="1182" w:type="pct"/>
                  <w:vMerge w:val="continue"/>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45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3095"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十一）强化运输储存管理。污泥运输应当采用管道、密闭车辆和密闭驳船等方式，运输过程中采用密封、防水、防渗漏和防遗撒等措施。推行污泥转运联单跟踪制度。需要设置污泥中转站和储存设施的，应充分考虑周边人群防护距离，采取恶臭污染防治措施，依法建设运行维护。严禁偷排、随意倾倒污泥，杜绝二次污染。</w:t>
                  </w:r>
                </w:p>
              </w:tc>
              <w:tc>
                <w:tcPr>
                  <w:tcW w:w="1182"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项目污泥运输采用密闭车辆，运输车辆设置有渗漏措施和喷洒除臭剂，满足实施方案要求</w:t>
                  </w:r>
                </w:p>
              </w:tc>
              <w:tc>
                <w:tcPr>
                  <w:tcW w:w="45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bl>
          <w:p>
            <w:pPr>
              <w:autoSpaceDE w:val="0"/>
              <w:autoSpaceDN w:val="0"/>
              <w:adjustRightInd w:val="0"/>
              <w:snapToGrid w:val="0"/>
              <w:spacing w:line="440" w:lineRule="exact"/>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根据上述分析，拟建项目符合《污泥无害化处理和资源化利用实施方案》（发改环资[2022]1453号）的相关要求。</w:t>
            </w:r>
          </w:p>
          <w:p>
            <w:pPr>
              <w:pStyle w:val="5"/>
              <w:rPr>
                <w:rFonts w:hint="eastAsia"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1.</w:t>
            </w:r>
            <w:r>
              <w:rPr>
                <w:rFonts w:hint="eastAsia" w:ascii="Times New Roman" w:hAnsi="Times New Roman" w:cs="Times New Roman"/>
                <w:b/>
                <w:bCs/>
                <w:color w:val="auto"/>
                <w:kern w:val="0"/>
                <w:sz w:val="24"/>
                <w:szCs w:val="24"/>
                <w:lang w:val="en-US" w:eastAsia="zh-CN" w:bidi="ar-SA"/>
              </w:rPr>
              <w:t>1</w:t>
            </w:r>
            <w:r>
              <w:rPr>
                <w:rFonts w:hint="eastAsia" w:ascii="Times New Roman" w:hAnsi="Times New Roman" w:eastAsia="宋体" w:cs="Times New Roman"/>
                <w:b/>
                <w:bCs/>
                <w:color w:val="auto"/>
                <w:kern w:val="0"/>
                <w:sz w:val="24"/>
                <w:szCs w:val="24"/>
                <w:lang w:val="en-US" w:eastAsia="zh-CN" w:bidi="ar-SA"/>
              </w:rPr>
              <w:t>.11与《城镇污水处理厂污泥处理产物园林利用指南》符合性分析</w:t>
            </w:r>
          </w:p>
          <w:p>
            <w:pPr>
              <w:pStyle w:val="71"/>
              <w:rPr>
                <w:rFonts w:hint="eastAsia"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表1.</w:t>
            </w:r>
            <w:r>
              <w:rPr>
                <w:rFonts w:hint="eastAsia" w:eastAsia="宋体" w:cs="Times New Roman"/>
                <w:b/>
                <w:bCs/>
                <w:color w:val="auto"/>
                <w:kern w:val="0"/>
                <w:sz w:val="24"/>
                <w:szCs w:val="24"/>
                <w:lang w:val="en-US" w:eastAsia="zh-CN" w:bidi="ar-SA"/>
              </w:rPr>
              <w:t>1</w:t>
            </w:r>
            <w:r>
              <w:rPr>
                <w:rFonts w:hint="eastAsia" w:ascii="Times New Roman" w:hAnsi="Times New Roman" w:eastAsia="宋体" w:cs="Times New Roman"/>
                <w:b/>
                <w:bCs/>
                <w:color w:val="auto"/>
                <w:kern w:val="0"/>
                <w:sz w:val="24"/>
                <w:szCs w:val="24"/>
                <w:lang w:val="en-US" w:eastAsia="zh-CN" w:bidi="ar-SA"/>
              </w:rPr>
              <w:t>-</w:t>
            </w:r>
            <w:r>
              <w:rPr>
                <w:rFonts w:hint="eastAsia" w:eastAsia="宋体" w:cs="Times New Roman"/>
                <w:b/>
                <w:bCs/>
                <w:color w:val="auto"/>
                <w:kern w:val="0"/>
                <w:sz w:val="24"/>
                <w:szCs w:val="24"/>
                <w:lang w:val="en-US" w:eastAsia="zh-CN" w:bidi="ar-SA"/>
              </w:rPr>
              <w:t>7</w:t>
            </w:r>
            <w:r>
              <w:rPr>
                <w:rFonts w:hint="eastAsia" w:ascii="Times New Roman" w:hAnsi="Times New Roman" w:eastAsia="宋体" w:cs="Times New Roman"/>
                <w:b/>
                <w:bCs/>
                <w:color w:val="auto"/>
                <w:kern w:val="0"/>
                <w:sz w:val="24"/>
                <w:szCs w:val="24"/>
                <w:lang w:val="en-US" w:eastAsia="zh-CN" w:bidi="ar-SA"/>
              </w:rPr>
              <w:t xml:space="preserve">  与《城镇污水处理厂污泥处理产物园林利用指南》符合性分析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4746"/>
              <w:gridCol w:w="2376"/>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序号</w:t>
                  </w:r>
                </w:p>
              </w:tc>
              <w:tc>
                <w:tcPr>
                  <w:tcW w:w="2848"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文件要求</w:t>
                  </w:r>
                </w:p>
              </w:tc>
              <w:tc>
                <w:tcPr>
                  <w:tcW w:w="1425"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项目情况</w:t>
                  </w:r>
                </w:p>
              </w:tc>
              <w:tc>
                <w:tcPr>
                  <w:tcW w:w="42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2848"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在选择园林利用为污泥最终处置方式前，应综合分析污泥的泥质，以及处理工艺对污泥处理产物质量的影响，以确保污泥处理产物满足标准要求。污泥的泥质分析可参考现行国家标准《城镇污水处理厂污泥处置园林绿化用泥质》（GB/T23486）中重金属、有机污染物和养分指标。处理工艺对污泥处理产物质量的影响需要结合处理产物的质量进行分析。</w:t>
                  </w:r>
                </w:p>
              </w:tc>
              <w:tc>
                <w:tcPr>
                  <w:tcW w:w="1425" w:type="pct"/>
                  <w:vMerge w:val="restar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属于《重庆市城镇生活污泥无害化处置“十四五”规划（2021-2025年）》中的“铜梁区污泥无害化处置设施”，采取好氧发酵工艺，本次在这基础上增加污泥脱水工艺，脱水污泥主要去向变为送华新盐井水泥进行协调焚烧综合利用。在华新盐井水泥停窑期间，脱水后污泥仍然依托现有发酵生产线生产营养土，项目营养土产品控制标准为《城镇污水处理厂污泥处置园林绿化用泥质》（GB/T23486）</w:t>
                  </w:r>
                </w:p>
              </w:tc>
              <w:tc>
                <w:tcPr>
                  <w:tcW w:w="42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2848"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选择园林利用处置方式的污泥处理产物质量须满足现行国家标准《城镇污水处理厂污泥处置园林绿化用泥质》（GB/T23486）的外观和嗅觉、理化指标和养分指标、生物学指标和污染物指标、种子发芽指数指标的要求。污泥处理产物的外观、理化指标和养分指标对污泥园林用产品的利用优势和利用价值的影响较大，污泥处理过程应保持或加强污泥中的养分优势和改良土壤结构等有益功能。现行国家标准《城镇污水处理厂污泥处置园林绿化用泥质》GB/T 23486中的稳定化要求主要针对处理工艺过程，可参考标准要求进行处理工艺控制，不作为质量判定依据。</w:t>
                  </w:r>
                </w:p>
              </w:tc>
              <w:tc>
                <w:tcPr>
                  <w:tcW w:w="1425" w:type="pct"/>
                  <w:vMerge w:val="continue"/>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420" w:type="pct"/>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bl>
          <w:p>
            <w:pPr>
              <w:autoSpaceDE w:val="0"/>
              <w:autoSpaceDN w:val="0"/>
              <w:adjustRightInd w:val="0"/>
              <w:snapToGrid w:val="0"/>
              <w:spacing w:line="440" w:lineRule="exact"/>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综上所述，拟建项目符合《城镇污水处理厂污泥处理产物园林利用指南》相关要求。</w:t>
            </w:r>
          </w:p>
          <w:p>
            <w:pPr>
              <w:autoSpaceDE w:val="0"/>
              <w:autoSpaceDN w:val="0"/>
              <w:adjustRightInd w:val="0"/>
              <w:snapToGrid w:val="0"/>
              <w:spacing w:line="440" w:lineRule="exact"/>
              <w:jc w:val="left"/>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1.1.12与《固体废物再生利用污染防治技术导则》符合性分析</w:t>
            </w:r>
          </w:p>
          <w:p>
            <w:pPr>
              <w:autoSpaceDE w:val="0"/>
              <w:autoSpaceDN w:val="0"/>
              <w:adjustRightInd w:val="0"/>
              <w:snapToGrid w:val="0"/>
              <w:spacing w:line="440" w:lineRule="exact"/>
              <w:ind w:firstLine="482" w:firstLineChars="200"/>
              <w:jc w:val="left"/>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表1.1-8  与《固体废物再生利用污染防治技术导则》符合性分析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3781"/>
              <w:gridCol w:w="3058"/>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458" w:type="dxa"/>
                  <w:gridSpan w:val="2"/>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文件要求</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本项目情况</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677" w:type="dxa"/>
                  <w:vMerge w:val="restart"/>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一般规定</w:t>
                  </w: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进行再生利用作业前，应明确固体废物的理化特性，并采取相应的安全防护措施，以防止固体废物在清洗、破碎、中和反应等过程中引起有毒有害物质的释放。具有物理化学危险特性的固体废物，应首先进行稳定化处理</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项目进场原料污泥应当满足《城镇污水处理厂污泥泥质》（GB24188-2009）标准</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677" w:type="dxa"/>
                  <w:vMerge w:val="continue"/>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应根据固体废物的特性设置必要的防扬撒、防渗漏、防腐蚀设施，配备废气处理、废水处理、噪声控制等污染防治设施，按要求对主要环境影响指标进行在线监测</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项目原辅料储存、卸料、脱水、发酵生产、产品堆放等均位于车间内，车间采取防腐防渗措施。配备废气处理、废水处理、噪声控制等污染防治设施，制定了自行监测计划</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677" w:type="dxa"/>
                  <w:vMerge w:val="continue"/>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产生粉尘和有毒有害气体的作业区应采取除尘和有毒有害气体收集措施。扬尘点应设置吸尘罩和收尘设备，有毒有害气体逸散区应设置吸附（吸收）转化装置，保证作业区粉尘、有害气体浓度满足GBZ2.1的要求</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项目产生的恶臭气体进入依托现有2套除臭系统处理</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677" w:type="dxa"/>
                  <w:vMerge w:val="continue"/>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应采取大气污染控制措施，大气污染物排放应满足特定行业排放（控制）标准的要求。没有特定行业污染排放（控制）标准的，应满足GB16297的要求，特征污染物排放（控制）应满足环境影响评价要求。应采取必要的措施防止恶臭物质扩散，周界恶臭污染物浓度应符合GB14554的要求</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废气经过收集处理后，各污染物执行《恶臭污染物排放标准》（GB14554-93）相关排放限值要求</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dxa"/>
                  <w:vMerge w:val="continue"/>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产生的冷凝液、浓缩液、渗滤液等废液应进行有效收集后集中处理。处理后产生的废水应优先考虑循环利用；排放时应满足特定行业排放（控制）标准的要求；没有特定行业污染排放（控制）标准的，应满足GB8978的要求，特征污染物排放（控制）应满足环境影响评价要求</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本项目不涉及产生冷凝液、渗滤液等</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677" w:type="dxa"/>
                  <w:vMerge w:val="continue"/>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应防止噪声污染。设备运转时厂界噪声应符合GB12348的要求，作业车间噪声应符合GBZ2.2的要求</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采取隔声、减振措施后，厂界噪声满足《工业企业厂界环境噪声排放标准》（GB12348-2008）中的2类区标准</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677" w:type="dxa"/>
                  <w:vMerge w:val="continue"/>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产生的污泥、底渣、废油类等固体废物应按照其管理属性分别处置。不能自行综合利用或处置的，应交给有相应资质和处理能力的企业进行综合利用或处置。</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本项目不涉及新增固体废物，</w:t>
                  </w:r>
                  <w:r>
                    <w:rPr>
                      <w:rFonts w:hint="eastAsia" w:ascii="Times New Roman" w:hAnsi="Times New Roman" w:eastAsia="宋体"/>
                      <w:color w:val="auto"/>
                      <w:sz w:val="21"/>
                      <w:szCs w:val="21"/>
                      <w:lang w:eastAsia="zh-CN"/>
                    </w:rPr>
                    <w:t>现有</w:t>
                  </w:r>
                  <w:r>
                    <w:rPr>
                      <w:rFonts w:hint="eastAsia" w:ascii="Times New Roman" w:hAnsi="Times New Roman" w:eastAsia="宋体" w:cs="Times New Roman"/>
                      <w:color w:val="auto"/>
                      <w:szCs w:val="21"/>
                      <w:lang w:val="en-US" w:eastAsia="zh-CN"/>
                    </w:rPr>
                    <w:t>生活垃圾交环卫部门处理，</w:t>
                  </w:r>
                  <w:r>
                    <w:rPr>
                      <w:rFonts w:hint="eastAsia" w:ascii="Times New Roman" w:hAnsi="Times New Roman" w:eastAsia="宋体"/>
                      <w:color w:val="auto"/>
                      <w:sz w:val="21"/>
                      <w:szCs w:val="21"/>
                      <w:lang w:eastAsia="zh-CN"/>
                    </w:rPr>
                    <w:t>现有</w:t>
                  </w:r>
                  <w:r>
                    <w:rPr>
                      <w:rFonts w:hint="eastAsia" w:ascii="Times New Roman" w:hAnsi="Times New Roman" w:eastAsia="宋体" w:cs="Times New Roman"/>
                      <w:color w:val="auto"/>
                      <w:szCs w:val="21"/>
                      <w:lang w:val="en-US" w:eastAsia="zh-CN"/>
                    </w:rPr>
                    <w:t>废包装物由供货商回收，</w:t>
                  </w:r>
                  <w:r>
                    <w:rPr>
                      <w:rFonts w:hint="eastAsia" w:ascii="Times New Roman" w:hAnsi="Times New Roman" w:eastAsia="宋体"/>
                      <w:color w:val="auto"/>
                      <w:sz w:val="21"/>
                      <w:szCs w:val="21"/>
                      <w:lang w:eastAsia="zh-CN"/>
                    </w:rPr>
                    <w:t>现有</w:t>
                  </w:r>
                  <w:r>
                    <w:rPr>
                      <w:rFonts w:hint="eastAsia" w:ascii="Times New Roman" w:hAnsi="Times New Roman" w:eastAsia="宋体" w:cs="Times New Roman"/>
                      <w:color w:val="auto"/>
                      <w:szCs w:val="21"/>
                    </w:rPr>
                    <w:t>废含油棉纱、手套</w:t>
                  </w:r>
                  <w:r>
                    <w:rPr>
                      <w:rFonts w:hint="eastAsia" w:ascii="Times New Roman" w:hAnsi="Times New Roman" w:eastAsia="宋体" w:cs="Times New Roman"/>
                      <w:color w:val="auto"/>
                      <w:szCs w:val="21"/>
                      <w:lang w:eastAsia="zh-CN"/>
                    </w:rPr>
                    <w:t>、废</w:t>
                  </w:r>
                  <w:r>
                    <w:rPr>
                      <w:rFonts w:hint="eastAsia" w:ascii="Times New Roman" w:hAnsi="Times New Roman" w:eastAsia="宋体" w:cs="Times New Roman"/>
                      <w:color w:val="auto"/>
                      <w:szCs w:val="21"/>
                      <w:lang w:val="en-US" w:eastAsia="zh-CN"/>
                    </w:rPr>
                    <w:t>液压油</w:t>
                  </w:r>
                  <w:r>
                    <w:rPr>
                      <w:rFonts w:hint="eastAsia" w:ascii="Times New Roman" w:hAnsi="Times New Roman" w:eastAsia="宋体" w:cs="Times New Roman"/>
                      <w:color w:val="auto"/>
                      <w:szCs w:val="21"/>
                      <w:lang w:eastAsia="zh-CN"/>
                    </w:rPr>
                    <w:t>交有资质单位处置</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77" w:type="dxa"/>
                  <w:vMerge w:val="restart"/>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zh-CN" w:eastAsia="zh-CN"/>
                    </w:rPr>
                    <w:t>堆肥工艺应符合以下要求</w:t>
                  </w: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zh-CN" w:eastAsia="zh-CN"/>
                    </w:rPr>
                    <w:t>应对堆肥原料进行脱水、脱盐、碳氮比调节等预处理</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本项目新增对进厂污泥进行脱水预处理</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77" w:type="dxa"/>
                  <w:vMerge w:val="continue"/>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zh-CN" w:eastAsia="zh-CN"/>
                    </w:rPr>
                  </w:pP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zh-CN" w:eastAsia="zh-CN"/>
                    </w:rPr>
                    <w:t>应合理控制堆肥温度、持续时间</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定期监测发酵槽内的温度、氧气浓度、硫化氢、氨气</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677" w:type="dxa"/>
                  <w:vMerge w:val="continue"/>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zh-CN" w:eastAsia="zh-CN"/>
                    </w:rPr>
                  </w:pP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zh-CN" w:eastAsia="zh-CN"/>
                    </w:rPr>
                    <w:t>应采取措施控制堆肥预处理车间和堆肥车间的臭气排放</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2"/>
                      <w:sz w:val="21"/>
                      <w:szCs w:val="21"/>
                      <w:lang w:val="en-US" w:eastAsia="zh-CN" w:bidi="ar-SA"/>
                    </w:rPr>
                    <w:t>污泥储存、破壁、脱水、干污泥储存等</w:t>
                  </w:r>
                  <w:r>
                    <w:rPr>
                      <w:rFonts w:hint="eastAsia" w:ascii="Times New Roman" w:hAnsi="Times New Roman" w:eastAsia="宋体" w:cs="Times New Roman"/>
                      <w:color w:val="auto"/>
                      <w:kern w:val="2"/>
                      <w:sz w:val="21"/>
                      <w:szCs w:val="21"/>
                      <w:lang w:val="zh-CN" w:eastAsia="zh-CN" w:bidi="ar-SA"/>
                    </w:rPr>
                    <w:t>臭气、</w:t>
                  </w:r>
                  <w:r>
                    <w:rPr>
                      <w:rFonts w:hint="eastAsia" w:ascii="Times New Roman" w:hAnsi="Times New Roman" w:eastAsia="宋体" w:cs="Times New Roman"/>
                      <w:color w:val="auto"/>
                      <w:kern w:val="2"/>
                      <w:sz w:val="21"/>
                      <w:szCs w:val="21"/>
                      <w:lang w:val="en-US" w:eastAsia="zh-CN" w:bidi="ar-SA"/>
                    </w:rPr>
                    <w:t>污泥布料、发酵臭气依托现有1#、2#除臭系统处理达标后分别通过15m高1#、2#排气筒排放</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77" w:type="dxa"/>
                  <w:vMerge w:val="continue"/>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zh-CN" w:eastAsia="zh-CN"/>
                    </w:rPr>
                    <w:t>固体废物堆肥过程产生的渗滤液收集后应进行集中处理，处理后的渗滤液应优先考虑循环利用</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本项目不涉及产生渗滤液</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677" w:type="dxa"/>
                  <w:vMerge w:val="continue"/>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zh-CN" w:eastAsia="zh-CN"/>
                    </w:rPr>
                    <w:t>堆肥产品符合</w:t>
                  </w:r>
                  <w:r>
                    <w:rPr>
                      <w:rFonts w:hint="eastAsia" w:ascii="Times New Roman" w:hAnsi="Times New Roman" w:eastAsia="宋体" w:cs="Times New Roman"/>
                      <w:color w:val="auto"/>
                      <w:kern w:val="0"/>
                      <w:sz w:val="21"/>
                      <w:szCs w:val="21"/>
                      <w:lang w:val="en-US" w:eastAsia="zh-CN"/>
                    </w:rPr>
                    <w:t>GB 8172</w:t>
                  </w:r>
                  <w:r>
                    <w:rPr>
                      <w:rFonts w:hint="eastAsia" w:ascii="Times New Roman" w:hAnsi="Times New Roman" w:eastAsia="宋体" w:cs="Times New Roman"/>
                      <w:color w:val="auto"/>
                      <w:kern w:val="0"/>
                      <w:sz w:val="21"/>
                      <w:szCs w:val="21"/>
                      <w:lang w:val="zh-CN" w:eastAsia="zh-CN"/>
                    </w:rPr>
                    <w:t>、</w:t>
                  </w:r>
                  <w:r>
                    <w:rPr>
                      <w:rFonts w:hint="eastAsia" w:ascii="Times New Roman" w:hAnsi="Times New Roman" w:eastAsia="宋体" w:cs="Times New Roman"/>
                      <w:color w:val="auto"/>
                      <w:kern w:val="0"/>
                      <w:sz w:val="21"/>
                      <w:szCs w:val="21"/>
                      <w:lang w:val="en-US" w:eastAsia="zh-CN"/>
                    </w:rPr>
                    <w:t>GB38400</w:t>
                  </w:r>
                  <w:r>
                    <w:rPr>
                      <w:rFonts w:hint="eastAsia" w:ascii="Times New Roman" w:hAnsi="Times New Roman" w:eastAsia="宋体" w:cs="Times New Roman"/>
                      <w:color w:val="auto"/>
                      <w:kern w:val="0"/>
                      <w:sz w:val="21"/>
                      <w:szCs w:val="21"/>
                      <w:lang w:val="zh-CN" w:eastAsia="zh-CN"/>
                    </w:rPr>
                    <w:t>、</w:t>
                  </w:r>
                  <w:r>
                    <w:rPr>
                      <w:rFonts w:hint="eastAsia" w:ascii="Times New Roman" w:hAnsi="Times New Roman" w:eastAsia="宋体" w:cs="Times New Roman"/>
                      <w:color w:val="auto"/>
                      <w:kern w:val="0"/>
                      <w:sz w:val="21"/>
                      <w:szCs w:val="21"/>
                      <w:lang w:val="en-US" w:eastAsia="zh-CN"/>
                    </w:rPr>
                    <w:t>GB/T23486</w:t>
                  </w:r>
                  <w:r>
                    <w:rPr>
                      <w:rFonts w:hint="eastAsia" w:ascii="Times New Roman" w:hAnsi="Times New Roman" w:eastAsia="宋体" w:cs="Times New Roman"/>
                      <w:color w:val="auto"/>
                      <w:kern w:val="0"/>
                      <w:sz w:val="21"/>
                      <w:szCs w:val="21"/>
                      <w:lang w:val="zh-CN" w:eastAsia="zh-CN"/>
                    </w:rPr>
                    <w:t>、</w:t>
                  </w:r>
                  <w:r>
                    <w:rPr>
                      <w:rFonts w:hint="eastAsia" w:ascii="Times New Roman" w:hAnsi="Times New Roman" w:eastAsia="宋体" w:cs="Times New Roman"/>
                      <w:color w:val="auto"/>
                      <w:kern w:val="0"/>
                      <w:sz w:val="21"/>
                      <w:szCs w:val="21"/>
                      <w:lang w:val="en-US" w:eastAsia="zh-CN"/>
                    </w:rPr>
                    <w:t>GB/T 24600</w:t>
                  </w:r>
                  <w:r>
                    <w:rPr>
                      <w:rFonts w:hint="eastAsia" w:ascii="Times New Roman" w:hAnsi="Times New Roman" w:eastAsia="宋体" w:cs="Times New Roman"/>
                      <w:color w:val="auto"/>
                      <w:kern w:val="0"/>
                      <w:sz w:val="21"/>
                      <w:szCs w:val="21"/>
                      <w:lang w:val="zh-CN" w:eastAsia="zh-CN"/>
                    </w:rPr>
                    <w:t>、</w:t>
                  </w:r>
                  <w:r>
                    <w:rPr>
                      <w:rFonts w:hint="eastAsia" w:ascii="Times New Roman" w:hAnsi="Times New Roman" w:eastAsia="宋体" w:cs="Times New Roman"/>
                      <w:color w:val="auto"/>
                      <w:kern w:val="0"/>
                      <w:sz w:val="21"/>
                      <w:szCs w:val="21"/>
                      <w:lang w:val="en-US" w:eastAsia="zh-CN"/>
                    </w:rPr>
                    <w:t>CJ/T 309</w:t>
                  </w:r>
                  <w:r>
                    <w:rPr>
                      <w:rFonts w:hint="eastAsia" w:ascii="Times New Roman" w:hAnsi="Times New Roman" w:eastAsia="宋体" w:cs="Times New Roman"/>
                      <w:color w:val="auto"/>
                      <w:kern w:val="0"/>
                      <w:sz w:val="21"/>
                      <w:szCs w:val="21"/>
                      <w:lang w:val="zh-CN" w:eastAsia="zh-CN"/>
                    </w:rPr>
                    <w:t>、</w:t>
                  </w:r>
                  <w:r>
                    <w:rPr>
                      <w:rFonts w:hint="eastAsia" w:ascii="Times New Roman" w:hAnsi="Times New Roman" w:eastAsia="宋体" w:cs="Times New Roman"/>
                      <w:color w:val="auto"/>
                      <w:kern w:val="0"/>
                      <w:sz w:val="21"/>
                      <w:szCs w:val="21"/>
                      <w:lang w:val="en-US" w:eastAsia="zh-CN"/>
                    </w:rPr>
                    <w:t>CJ/T362</w:t>
                  </w:r>
                  <w:r>
                    <w:rPr>
                      <w:rFonts w:hint="eastAsia" w:ascii="Times New Roman" w:hAnsi="Times New Roman" w:eastAsia="宋体" w:cs="Times New Roman"/>
                      <w:color w:val="auto"/>
                      <w:kern w:val="0"/>
                      <w:sz w:val="21"/>
                      <w:szCs w:val="21"/>
                      <w:lang w:val="zh-CN" w:eastAsia="zh-CN"/>
                    </w:rPr>
                    <w:t>的相关质量要求。</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本项目营养土产品执行《城镇污水处理厂污泥园林绿化用产品质量标准》（DBJ50/T-341-2019）中园林绿化栽培基质、园林土壤改良材料</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7" w:hRule="atLeast"/>
                <w:jc w:val="center"/>
              </w:trPr>
              <w:tc>
                <w:tcPr>
                  <w:tcW w:w="677"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zh-CN" w:eastAsia="zh-CN"/>
                    </w:rPr>
                    <w:t>监测</w:t>
                  </w:r>
                </w:p>
              </w:tc>
              <w:tc>
                <w:tcPr>
                  <w:tcW w:w="3781"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zh-CN" w:eastAsia="zh-CN"/>
                    </w:rPr>
                    <w:t>当首次再生利用除危险废物外的某种固体废物时，针对再生利用产品中的特征污染物监测频次不低于每周3次；连续二周监测结果均不超出环境风险评价结果时，在该废物来源及投加量稳定的前提下，频次可减为每月1次；连续三个月监测结果均不超出环境风险评价结果时，频次可减为每年1次；若在此期间监测结果出现异常或固体废物来源发生变化或再生利用中断超过半年以上，则监测频次重新调整为不低于每周3次，依次重复。</w:t>
                  </w:r>
                </w:p>
              </w:tc>
              <w:tc>
                <w:tcPr>
                  <w:tcW w:w="3058"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项目产品按照该监测频次进行监测</w:t>
                  </w:r>
                </w:p>
              </w:tc>
              <w:tc>
                <w:tcPr>
                  <w:tcW w:w="783"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bl>
          <w:p>
            <w:pPr>
              <w:autoSpaceDE w:val="0"/>
              <w:autoSpaceDN w:val="0"/>
              <w:adjustRightInd w:val="0"/>
              <w:snapToGrid w:val="0"/>
              <w:spacing w:line="440" w:lineRule="exact"/>
              <w:ind w:firstLine="480" w:firstLineChars="200"/>
              <w:jc w:val="left"/>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综上所述，拟建项目符合《固体废物再生利用污染防治技术导则》相关要求。</w:t>
            </w:r>
          </w:p>
          <w:p>
            <w:pPr>
              <w:autoSpaceDE w:val="0"/>
              <w:autoSpaceDN w:val="0"/>
              <w:adjustRightInd w:val="0"/>
              <w:snapToGrid w:val="0"/>
              <w:spacing w:line="440" w:lineRule="exact"/>
              <w:jc w:val="left"/>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1.1.13 与《“重庆市城市和乡镇生活污水处理厂污泥处置实施方案”的通知》（渝建[2020]26号）符合性分析</w:t>
            </w:r>
          </w:p>
          <w:p>
            <w:pPr>
              <w:autoSpaceDE w:val="0"/>
              <w:autoSpaceDN w:val="0"/>
              <w:adjustRightInd w:val="0"/>
              <w:snapToGrid w:val="0"/>
              <w:spacing w:line="440" w:lineRule="exact"/>
              <w:ind w:firstLine="480" w:firstLineChars="200"/>
              <w:jc w:val="left"/>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项目符合《“重庆市城市和乡镇生活污水处理厂污泥处置实施方案”的通知》（渝建[2020]26号）相关要求，符合性分析见下表。</w:t>
            </w:r>
          </w:p>
          <w:p>
            <w:pPr>
              <w:autoSpaceDE w:val="0"/>
              <w:autoSpaceDN w:val="0"/>
              <w:adjustRightInd w:val="0"/>
              <w:snapToGrid w:val="0"/>
              <w:spacing w:line="440" w:lineRule="exact"/>
              <w:ind w:firstLine="482" w:firstLineChars="200"/>
              <w:jc w:val="left"/>
              <w:rPr>
                <w:rFonts w:hint="eastAsia" w:ascii="Times New Roman" w:hAnsi="Times New Roman" w:eastAsia="宋体" w:cs="Times New Roman"/>
                <w:b/>
                <w:bCs/>
                <w:color w:val="auto"/>
                <w:kern w:val="0"/>
                <w:sz w:val="24"/>
                <w:szCs w:val="24"/>
                <w:lang w:val="en-US" w:eastAsia="zh-CN"/>
              </w:rPr>
            </w:pPr>
          </w:p>
          <w:p>
            <w:pPr>
              <w:autoSpaceDE w:val="0"/>
              <w:autoSpaceDN w:val="0"/>
              <w:adjustRightInd w:val="0"/>
              <w:snapToGrid w:val="0"/>
              <w:spacing w:line="440" w:lineRule="exact"/>
              <w:ind w:firstLine="482" w:firstLineChars="200"/>
              <w:jc w:val="left"/>
              <w:rPr>
                <w:rFonts w:hint="eastAsia" w:ascii="Times New Roman" w:hAnsi="Times New Roman" w:eastAsia="宋体" w:cs="Times New Roman"/>
                <w:b/>
                <w:bCs/>
                <w:color w:val="auto"/>
                <w:kern w:val="0"/>
                <w:sz w:val="24"/>
                <w:szCs w:val="24"/>
                <w:lang w:val="en-US" w:eastAsia="zh-CN"/>
              </w:rPr>
            </w:pPr>
          </w:p>
          <w:p>
            <w:pPr>
              <w:autoSpaceDE w:val="0"/>
              <w:autoSpaceDN w:val="0"/>
              <w:adjustRightInd w:val="0"/>
              <w:snapToGrid w:val="0"/>
              <w:spacing w:line="440" w:lineRule="exact"/>
              <w:ind w:firstLine="482" w:firstLineChars="200"/>
              <w:jc w:val="left"/>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表1.1-9 与《“重庆市城市和乡镇生活污水处理厂污泥处置实施方案”的通知》（渝建[2020]26号）符合性分析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0"/>
              <w:gridCol w:w="2819"/>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0"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渝建[2020]26号文件要求</w:t>
                  </w:r>
                </w:p>
              </w:tc>
              <w:tc>
                <w:tcPr>
                  <w:tcW w:w="2819"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本项目情况</w:t>
                  </w:r>
                </w:p>
              </w:tc>
              <w:tc>
                <w:tcPr>
                  <w:tcW w:w="1009"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4410"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一、总体要求。......提高城镇生活污泥处置处置设施运行效能，持续推进城镇生活污泥无害化处置和资源化利用，实现城镇生活污泥处理处置的减量化、无害化、资源化</w:t>
                  </w:r>
                </w:p>
              </w:tc>
              <w:tc>
                <w:tcPr>
                  <w:tcW w:w="2819" w:type="dxa"/>
                  <w:vMerge w:val="restart"/>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属于《重庆市城镇生活污泥无害化处置“十四五”规划（2021-2025年）》中的“铜梁区污泥无害化处置设施”，采取好氧发酵工艺，本次在这基础上增加污泥脱水工艺，脱水污泥主要去向变为送华新盐井水泥进行协调焚烧综合利用。在华新盐井水泥停窑期间，脱水后污泥仍然依托现有发酵生产线生产营养土，可满足铜梁区城镇生活污泥处置需求，实现铜梁区城镇生活污泥处理处置的减量化、无害化、资源化</w:t>
                  </w:r>
                </w:p>
              </w:tc>
              <w:tc>
                <w:tcPr>
                  <w:tcW w:w="1009"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jc w:val="center"/>
              </w:trPr>
              <w:tc>
                <w:tcPr>
                  <w:tcW w:w="4410"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zh-CN" w:eastAsia="zh-CN"/>
                    </w:rPr>
                    <w:t>（二）推进城镇生活污泥处理处置工艺创新。在现有热干化、好氧发酵、水泥窑协同焚烧等处理处置方式基础上，积极探索碳化、低温干燥、热水解高级厌氧消化等新技术。鼓励污泥土地利用、建材利用及能源利用。编制污泥利用技术规范，开拓污泥衍生品巿场，为污泥衍生品在园林绿化、废弃矿山修复、土壤改良及荒漠化治理等领域的资源利用提供技术标准支撑</w:t>
                  </w:r>
                </w:p>
              </w:tc>
              <w:tc>
                <w:tcPr>
                  <w:tcW w:w="2819" w:type="dxa"/>
                  <w:vMerge w:val="continue"/>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1009"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2" w:hRule="atLeast"/>
                <w:jc w:val="center"/>
              </w:trPr>
              <w:tc>
                <w:tcPr>
                  <w:tcW w:w="4410" w:type="dxa"/>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zh-CN" w:eastAsia="zh-CN"/>
                    </w:rPr>
                    <w:t>(三）加快城镇生活污泥处理处置设施建设。提高主城区污泥处理处置能力，推进珞璜电厂污泥处置中心、园林科研院污泥处置中心、鱼嘴升上源二期等污泥处置项目建设，新增主城区污泥无害化常规处置能力1300吨</w:t>
                  </w:r>
                  <w:r>
                    <w:rPr>
                      <w:rFonts w:hint="eastAsia"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zh-CN" w:eastAsia="zh-CN"/>
                    </w:rPr>
                    <w:t>天，力争2020年底主城区污泥无害化常规处置能力达到2000吨</w:t>
                  </w:r>
                  <w:r>
                    <w:rPr>
                      <w:rFonts w:hint="eastAsia"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zh-CN" w:eastAsia="zh-CN"/>
                    </w:rPr>
                    <w:t>天。主城区以外各区县〔自治县）应按照区域性统筹原则自建专业的污泥无害化处理处置设施，减少协同处置企业能力不稳定的掣肘，确保污泥持续稳定无害化处理处置；到2020年底前基本实现区县生活污泥无害化污泥处理处置设施全覆盖</w:t>
                  </w:r>
                </w:p>
              </w:tc>
              <w:tc>
                <w:tcPr>
                  <w:tcW w:w="2819" w:type="dxa"/>
                  <w:vMerge w:val="continue"/>
                  <w:shd w:val="clear" w:color="auto" w:fill="auto"/>
                  <w:vAlign w:val="center"/>
                </w:tcPr>
                <w:p>
                  <w:pPr>
                    <w:autoSpaceDE w:val="0"/>
                    <w:autoSpaceDN w:val="0"/>
                    <w:adjustRightInd w:val="0"/>
                    <w:snapToGrid w:val="0"/>
                    <w:spacing w:line="240" w:lineRule="auto"/>
                    <w:ind w:firstLine="0" w:firstLineChars="0"/>
                    <w:jc w:val="left"/>
                    <w:rPr>
                      <w:rFonts w:hint="eastAsia" w:ascii="Times New Roman" w:hAnsi="Times New Roman" w:eastAsia="宋体" w:cs="Times New Roman"/>
                      <w:color w:val="auto"/>
                      <w:kern w:val="0"/>
                      <w:sz w:val="21"/>
                      <w:szCs w:val="21"/>
                      <w:lang w:val="en-US" w:eastAsia="zh-CN"/>
                    </w:rPr>
                  </w:pPr>
                </w:p>
              </w:tc>
              <w:tc>
                <w:tcPr>
                  <w:tcW w:w="1009" w:type="dxa"/>
                  <w:shd w:val="clear" w:color="auto" w:fill="auto"/>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bl>
          <w:p>
            <w:pPr>
              <w:autoSpaceDE w:val="0"/>
              <w:autoSpaceDN w:val="0"/>
              <w:adjustRightInd w:val="0"/>
              <w:snapToGrid w:val="0"/>
              <w:ind w:firstLine="480"/>
              <w:jc w:val="left"/>
              <w:rPr>
                <w:kern w:val="0"/>
              </w:rPr>
            </w:pPr>
          </w:p>
          <w:p>
            <w:pPr>
              <w:autoSpaceDE w:val="0"/>
              <w:autoSpaceDN w:val="0"/>
              <w:adjustRightInd w:val="0"/>
              <w:snapToGrid w:val="0"/>
              <w:spacing w:line="440" w:lineRule="exact"/>
              <w:ind w:firstLine="420" w:firstLineChars="200"/>
              <w:jc w:val="left"/>
              <w:rPr>
                <w:rFonts w:hint="eastAsia"/>
              </w:rPr>
            </w:pPr>
          </w:p>
        </w:tc>
      </w:tr>
    </w:tbl>
    <w:p>
      <w:pPr>
        <w:widowControl/>
        <w:jc w:val="left"/>
        <w:rPr>
          <w:rFonts w:ascii="Times New Roman" w:hAnsi="Times New Roman" w:eastAsia="宋体" w:cs="Times New Roman"/>
        </w:rPr>
      </w:pPr>
      <w:r>
        <w:rPr>
          <w:rFonts w:ascii="Times New Roman" w:hAnsi="Times New Roman" w:eastAsia="宋体" w:cs="Times New Roman"/>
        </w:rPr>
        <w:br w:type="page"/>
      </w:r>
    </w:p>
    <w:p>
      <w:pPr>
        <w:jc w:val="center"/>
        <w:outlineLvl w:val="0"/>
        <w:rPr>
          <w:rFonts w:ascii="Times New Roman" w:hAnsi="Times New Roman" w:eastAsia="宋体" w:cs="Times New Roman"/>
          <w:b/>
          <w:bCs/>
          <w:sz w:val="30"/>
          <w:szCs w:val="30"/>
        </w:rPr>
      </w:pPr>
      <w:r>
        <w:rPr>
          <w:rFonts w:ascii="Times New Roman" w:hAnsi="Times New Roman" w:eastAsia="宋体" w:cs="Times New Roman"/>
          <w:b/>
          <w:bCs/>
          <w:sz w:val="30"/>
          <w:szCs w:val="30"/>
        </w:rPr>
        <w:t>二、建设项目工程分析</w:t>
      </w:r>
    </w:p>
    <w:tbl>
      <w:tblPr>
        <w:tblStyle w:val="20"/>
        <w:tblW w:w="9016"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317"/>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 w:val="24"/>
                <w:szCs w:val="24"/>
              </w:rPr>
              <w:t>建设内容</w:t>
            </w:r>
          </w:p>
        </w:tc>
        <w:tc>
          <w:tcPr>
            <w:tcW w:w="8317" w:type="dxa"/>
            <w:vAlign w:val="center"/>
          </w:tcPr>
          <w:p>
            <w:pPr>
              <w:autoSpaceDE w:val="0"/>
              <w:autoSpaceDN w:val="0"/>
              <w:adjustRightInd w:val="0"/>
              <w:snapToGrid w:val="0"/>
              <w:spacing w:line="360" w:lineRule="auto"/>
              <w:jc w:val="left"/>
              <w:outlineLvl w:val="1"/>
              <w:rPr>
                <w:rFonts w:hint="eastAsia" w:ascii="Times New Roman" w:hAnsi="Times New Roman" w:eastAsia="宋体" w:cs="Times New Roman"/>
                <w:b/>
                <w:bCs/>
                <w:kern w:val="0"/>
                <w:sz w:val="24"/>
                <w:szCs w:val="24"/>
                <w:lang w:eastAsia="zh-CN"/>
              </w:rPr>
            </w:pPr>
            <w:r>
              <w:rPr>
                <w:rFonts w:ascii="Times New Roman" w:hAnsi="Times New Roman" w:eastAsia="宋体" w:cs="Times New Roman"/>
                <w:b/>
                <w:bCs/>
                <w:kern w:val="0"/>
                <w:sz w:val="24"/>
                <w:szCs w:val="24"/>
              </w:rPr>
              <w:t>2.1 项目由来</w:t>
            </w:r>
            <w:r>
              <w:rPr>
                <w:rFonts w:hint="eastAsia" w:ascii="Times New Roman" w:hAnsi="Times New Roman" w:eastAsia="宋体" w:cs="Times New Roman"/>
                <w:b/>
                <w:bCs/>
                <w:kern w:val="0"/>
                <w:sz w:val="24"/>
                <w:szCs w:val="24"/>
                <w:lang w:eastAsia="zh-CN"/>
              </w:rPr>
              <w:t>及评价构思</w:t>
            </w:r>
          </w:p>
          <w:p>
            <w:pPr>
              <w:spacing w:line="360" w:lineRule="auto"/>
              <w:ind w:firstLine="480" w:firstLineChars="200"/>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1、项目由来</w:t>
            </w:r>
          </w:p>
          <w:p>
            <w:pPr>
              <w:spacing w:line="360" w:lineRule="auto"/>
              <w:ind w:firstLine="480" w:firstLineChars="200"/>
              <w:rPr>
                <w:rFonts w:hint="eastAsia"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en-US" w:eastAsia="zh-CN"/>
              </w:rPr>
              <w:t>2021年8月3日，重庆玄天湖旅游投资开发有限公司</w:t>
            </w:r>
            <w:r>
              <w:rPr>
                <w:rFonts w:hint="eastAsia" w:ascii="Times New Roman" w:hAnsi="Times New Roman" w:eastAsia="宋体" w:cs="Times New Roman"/>
                <w:kern w:val="0"/>
                <w:sz w:val="24"/>
                <w:szCs w:val="24"/>
                <w:lang w:eastAsia="zh-CN"/>
              </w:rPr>
              <w:t>取得重庆市铜梁区生态环境局关于“铜梁区污泥无害化处置项目”的环境影响评价批准书（渝（铜）环准【</w:t>
            </w:r>
            <w:r>
              <w:rPr>
                <w:rFonts w:hint="eastAsia" w:ascii="Times New Roman" w:hAnsi="Times New Roman" w:eastAsia="宋体" w:cs="Times New Roman"/>
                <w:kern w:val="0"/>
                <w:sz w:val="24"/>
                <w:szCs w:val="24"/>
                <w:lang w:val="en-US" w:eastAsia="zh-CN"/>
              </w:rPr>
              <w:t>2021</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79号</w:t>
            </w:r>
            <w:r>
              <w:rPr>
                <w:rFonts w:hint="eastAsia" w:ascii="Times New Roman" w:hAnsi="Times New Roman" w:eastAsia="宋体" w:cs="Times New Roman"/>
                <w:kern w:val="0"/>
                <w:sz w:val="24"/>
                <w:szCs w:val="24"/>
                <w:lang w:eastAsia="zh-CN"/>
              </w:rPr>
              <w:t>），该项目批准主要建设内容为：</w:t>
            </w:r>
            <w:r>
              <w:rPr>
                <w:rFonts w:hint="eastAsia" w:ascii="Times New Roman" w:hAnsi="Times New Roman" w:eastAsia="宋体" w:cs="Times New Roman"/>
                <w:kern w:val="0"/>
                <w:sz w:val="24"/>
                <w:szCs w:val="24"/>
                <w:lang w:val="zh-CN" w:eastAsia="zh-CN"/>
              </w:rPr>
              <w:t>项目位于重庆巿铜梁区侣俸镇凤飞村6组，建设一条发酵生产线，以铜梁区乡镇生活污水处理厂污泥为原料，外购秸秆、木屑、菌包等辅料，采用槽式高温好氧发酵技术，日处理含水率≤80</w:t>
            </w:r>
            <w:r>
              <w:rPr>
                <w:rFonts w:hint="eastAsia"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zh-CN" w:eastAsia="zh-CN"/>
              </w:rPr>
              <w:t>的生活污泥80吨，经高温好氧发酵处理后日产约40吨绿肥（含水率≤</w:t>
            </w:r>
            <w:r>
              <w:rPr>
                <w:rFonts w:hint="eastAsia" w:ascii="Times New Roman" w:hAnsi="Times New Roman" w:eastAsia="宋体" w:cs="Times New Roman"/>
                <w:kern w:val="0"/>
                <w:sz w:val="24"/>
                <w:szCs w:val="24"/>
                <w:lang w:val="en-US" w:eastAsia="zh-CN"/>
              </w:rPr>
              <w:t>4</w:t>
            </w:r>
            <w:r>
              <w:rPr>
                <w:rFonts w:hint="eastAsia" w:ascii="Times New Roman" w:hAnsi="Times New Roman" w:eastAsia="宋体" w:cs="Times New Roman"/>
                <w:kern w:val="0"/>
                <w:sz w:val="24"/>
                <w:szCs w:val="24"/>
                <w:lang w:val="zh-CN" w:eastAsia="zh-CN"/>
              </w:rPr>
              <w:t>0</w:t>
            </w:r>
            <w:r>
              <w:rPr>
                <w:rFonts w:hint="eastAsia"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zh-CN" w:eastAsia="zh-CN"/>
              </w:rPr>
              <w:t>。产品作为园林绿化用绿肥用于本单位下属的多家花卉苗圃基地、景区，实现资源化利用，不进行商品化出售。项目占地面积10570.92</w:t>
            </w:r>
            <w:r>
              <w:rPr>
                <w:rFonts w:hint="eastAsia" w:ascii="Times New Roman" w:hAnsi="Times New Roman" w:eastAsia="宋体" w:cs="Times New Roman"/>
                <w:kern w:val="0"/>
                <w:sz w:val="24"/>
                <w:szCs w:val="24"/>
                <w:lang w:val="en-US" w:eastAsia="zh-CN"/>
              </w:rPr>
              <w:t>m</w:t>
            </w:r>
            <w:r>
              <w:rPr>
                <w:rFonts w:hint="eastAsia" w:ascii="Times New Roman" w:hAnsi="Times New Roman" w:eastAsia="宋体" w:cs="Times New Roman"/>
                <w:kern w:val="0"/>
                <w:sz w:val="24"/>
                <w:szCs w:val="24"/>
                <w:vertAlign w:val="superscript"/>
                <w:lang w:val="en-US" w:eastAsia="zh-CN"/>
              </w:rPr>
              <w:t>2</w:t>
            </w:r>
            <w:r>
              <w:rPr>
                <w:rFonts w:hint="eastAsia" w:ascii="Times New Roman" w:hAnsi="Times New Roman" w:eastAsia="宋体" w:cs="Times New Roman"/>
                <w:kern w:val="0"/>
                <w:sz w:val="24"/>
                <w:szCs w:val="24"/>
                <w:lang w:val="zh-CN" w:eastAsia="zh-CN"/>
              </w:rPr>
              <w:t>，总投资3000万元，其中环保投资118万元。</w:t>
            </w:r>
          </w:p>
          <w:p>
            <w:pPr>
              <w:spacing w:line="360" w:lineRule="auto"/>
              <w:ind w:firstLine="480" w:firstLineChars="200"/>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根据重庆市铜梁区国有资产经营管理中心关于股权无偿划转相关事宜的通知（铜国资【</w:t>
            </w:r>
            <w:r>
              <w:rPr>
                <w:rFonts w:hint="eastAsia" w:ascii="Times New Roman" w:hAnsi="Times New Roman" w:eastAsia="宋体" w:cs="Times New Roman"/>
                <w:kern w:val="0"/>
                <w:sz w:val="24"/>
                <w:szCs w:val="24"/>
                <w:lang w:val="en-US" w:eastAsia="zh-CN"/>
              </w:rPr>
              <w:t>2021</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120号</w:t>
            </w:r>
            <w:r>
              <w:rPr>
                <w:rFonts w:hint="eastAsia" w:ascii="Times New Roman" w:hAnsi="Times New Roman" w:eastAsia="宋体" w:cs="Times New Roman"/>
                <w:kern w:val="0"/>
                <w:sz w:val="24"/>
                <w:szCs w:val="24"/>
                <w:lang w:eastAsia="zh-CN"/>
              </w:rPr>
              <w:t>）可知，</w:t>
            </w:r>
            <w:r>
              <w:rPr>
                <w:rFonts w:hint="eastAsia" w:ascii="Times New Roman" w:hAnsi="Times New Roman" w:eastAsia="宋体" w:cs="Times New Roman"/>
                <w:kern w:val="0"/>
                <w:sz w:val="24"/>
                <w:szCs w:val="24"/>
                <w:lang w:val="en-US" w:eastAsia="zh-CN"/>
              </w:rPr>
              <w:t>重庆玄天湖文化旅游投资开发有限公司（曾用名：重庆玄天湖旅游投资开发有限公司）全资子公司</w:t>
            </w:r>
            <w:r>
              <w:rPr>
                <w:rFonts w:hint="eastAsia" w:ascii="Times New Roman" w:hAnsi="Times New Roman" w:eastAsia="宋体" w:cs="Times New Roman"/>
                <w:kern w:val="0"/>
                <w:sz w:val="24"/>
                <w:szCs w:val="24"/>
                <w:lang w:eastAsia="zh-CN"/>
              </w:rPr>
              <w:t>重庆叶子花开市政园林工程有限公司（以下简称“叶子花开市政园林公司”）和重庆龙之乡农副食品商贸有限公司股权无偿划转给重庆龙裕城乡建设开发有限公司（以下简称“龙裕公司”），其债权债务一并移交，叶子花开市政园林公司实施的家禽集中屠宰项目和铜梁区污泥无害化处置项目随叶子花开市政园林公司自然划转给龙裕公司，</w:t>
            </w:r>
            <w:r>
              <w:rPr>
                <w:rFonts w:hint="eastAsia" w:ascii="Times New Roman" w:hAnsi="Times New Roman" w:eastAsia="宋体" w:cs="Times New Roman"/>
                <w:kern w:val="0"/>
                <w:sz w:val="24"/>
                <w:szCs w:val="24"/>
                <w:lang w:val="en-US" w:eastAsia="zh-CN"/>
              </w:rPr>
              <w:t>重庆玄天湖文化旅游投资开发有限公司不再负责经营管理。因此，</w:t>
            </w:r>
            <w:r>
              <w:rPr>
                <w:rFonts w:hint="eastAsia" w:ascii="Times New Roman" w:hAnsi="Times New Roman" w:eastAsia="宋体" w:cs="Times New Roman"/>
                <w:kern w:val="0"/>
                <w:sz w:val="24"/>
                <w:szCs w:val="24"/>
                <w:lang w:eastAsia="zh-CN"/>
              </w:rPr>
              <w:t>“铜梁区污泥无害化处置项目”</w:t>
            </w:r>
            <w:r>
              <w:rPr>
                <w:rFonts w:hint="eastAsia" w:ascii="Times New Roman" w:hAnsi="Times New Roman" w:eastAsia="宋体" w:cs="Times New Roman"/>
                <w:kern w:val="0"/>
                <w:sz w:val="24"/>
                <w:szCs w:val="24"/>
                <w:lang w:val="en-US" w:eastAsia="zh-CN"/>
              </w:rPr>
              <w:t>以</w:t>
            </w:r>
            <w:r>
              <w:rPr>
                <w:rFonts w:hint="eastAsia" w:ascii="Times New Roman" w:hAnsi="Times New Roman" w:eastAsia="宋体" w:cs="Times New Roman"/>
                <w:kern w:val="0"/>
                <w:sz w:val="24"/>
                <w:szCs w:val="24"/>
                <w:lang w:eastAsia="zh-CN"/>
              </w:rPr>
              <w:t>龙裕公司完全控股的叶子花开市政园林公司作为建设单位。</w:t>
            </w:r>
          </w:p>
          <w:p>
            <w:pPr>
              <w:spacing w:line="360" w:lineRule="auto"/>
              <w:ind w:firstLine="480" w:firstLineChars="200"/>
              <w:rPr>
                <w:rFonts w:hint="eastAsia" w:ascii="Times New Roman" w:hAnsi="Times New Roman" w:eastAsia="宋体" w:cs="Times New Roman"/>
                <w:kern w:val="0"/>
                <w:sz w:val="24"/>
                <w:szCs w:val="24"/>
                <w:lang w:val="zh-CN" w:eastAsia="zh-CN"/>
              </w:rPr>
            </w:pPr>
            <w:r>
              <w:rPr>
                <w:rFonts w:hint="eastAsia" w:ascii="Times New Roman" w:hAnsi="Times New Roman" w:eastAsia="宋体" w:cs="Times New Roman"/>
                <w:kern w:val="0"/>
                <w:sz w:val="24"/>
                <w:szCs w:val="24"/>
                <w:lang w:val="en-US" w:eastAsia="zh-CN"/>
              </w:rPr>
              <w:t>目前随着</w:t>
            </w:r>
            <w:r>
              <w:rPr>
                <w:rFonts w:hint="eastAsia" w:ascii="Times New Roman" w:hAnsi="Times New Roman" w:eastAsia="宋体" w:cs="Times New Roman"/>
                <w:kern w:val="0"/>
                <w:sz w:val="24"/>
                <w:szCs w:val="24"/>
                <w:lang w:eastAsia="zh-CN"/>
              </w:rPr>
              <w:t>“铜梁区污泥无害化处置项目”的建成试生产，由于城市生活污泥含水率（</w:t>
            </w:r>
            <w:r>
              <w:rPr>
                <w:rFonts w:hint="eastAsia" w:ascii="Times New Roman" w:hAnsi="Times New Roman" w:eastAsia="宋体" w:cs="Times New Roman"/>
                <w:kern w:val="0"/>
                <w:sz w:val="24"/>
                <w:szCs w:val="24"/>
                <w:lang w:val="en-US" w:eastAsia="zh-CN"/>
              </w:rPr>
              <w:t>80%</w:t>
            </w:r>
            <w:r>
              <w:rPr>
                <w:rFonts w:hint="eastAsia" w:ascii="Times New Roman" w:hAnsi="Times New Roman" w:eastAsia="宋体" w:cs="Times New Roman"/>
                <w:kern w:val="0"/>
                <w:sz w:val="24"/>
                <w:szCs w:val="24"/>
                <w:lang w:eastAsia="zh-CN"/>
              </w:rPr>
              <w:t>）太高，造成后续污泥发酵过程温度无法长时间稳定到达</w:t>
            </w:r>
            <w:r>
              <w:rPr>
                <w:rFonts w:hint="eastAsia" w:ascii="Times New Roman" w:hAnsi="Times New Roman" w:eastAsia="宋体" w:cs="Times New Roman"/>
                <w:kern w:val="0"/>
                <w:sz w:val="24"/>
                <w:szCs w:val="24"/>
                <w:lang w:val="en-US" w:eastAsia="zh-CN"/>
              </w:rPr>
              <w:t>55℃~70℃</w:t>
            </w:r>
            <w:r>
              <w:rPr>
                <w:rFonts w:hint="eastAsia" w:ascii="Times New Roman" w:hAnsi="Times New Roman" w:eastAsia="宋体" w:cs="Times New Roman"/>
                <w:kern w:val="0"/>
                <w:sz w:val="24"/>
                <w:szCs w:val="24"/>
                <w:lang w:eastAsia="zh-CN"/>
              </w:rPr>
              <w:t>要求，导致最终</w:t>
            </w:r>
            <w:r>
              <w:rPr>
                <w:rFonts w:hint="eastAsia" w:ascii="Times New Roman" w:hAnsi="Times New Roman" w:eastAsia="宋体" w:cs="Times New Roman"/>
                <w:kern w:val="0"/>
                <w:sz w:val="24"/>
                <w:szCs w:val="24"/>
                <w:lang w:val="zh-CN" w:eastAsia="zh-CN"/>
              </w:rPr>
              <w:t>绿化营养土无法稳定达到相应产品质量标准。同时随着绿化营养土市场逐渐饱和，绿化营养土需求量大量减少</w:t>
            </w:r>
            <w:r>
              <w:rPr>
                <w:rFonts w:hint="eastAsia" w:ascii="Times New Roman" w:hAnsi="Times New Roman" w:eastAsia="宋体" w:cs="Times New Roman"/>
                <w:color w:val="auto"/>
                <w:kern w:val="0"/>
                <w:sz w:val="24"/>
                <w:szCs w:val="24"/>
                <w:lang w:val="zh-CN" w:eastAsia="zh-CN"/>
              </w:rPr>
              <w:t>。另外</w:t>
            </w:r>
            <w:r>
              <w:rPr>
                <w:rFonts w:hint="eastAsia" w:ascii="Times New Roman" w:hAnsi="Times New Roman" w:eastAsia="宋体" w:cs="Times New Roman"/>
                <w:color w:val="auto"/>
                <w:kern w:val="0"/>
                <w:sz w:val="24"/>
                <w:szCs w:val="24"/>
                <w:lang w:val="en-US" w:eastAsia="zh-CN"/>
              </w:rPr>
              <w:t>随着人民群众生活水平不断提高导致污水产量迅速增加，各城镇污水处理厂污水处理产生的污泥迅速增加，</w:t>
            </w:r>
            <w:r>
              <w:rPr>
                <w:rFonts w:hint="eastAsia" w:ascii="Times New Roman" w:hAnsi="Times New Roman" w:eastAsia="宋体" w:cs="Times New Roman"/>
                <w:color w:val="auto"/>
                <w:kern w:val="0"/>
                <w:sz w:val="24"/>
                <w:szCs w:val="24"/>
                <w:lang w:val="zh-CN" w:eastAsia="zh-CN"/>
              </w:rPr>
              <w:t>原环评核定的城市生活污泥处置规模（</w:t>
            </w:r>
            <w:r>
              <w:rPr>
                <w:rFonts w:hint="eastAsia" w:ascii="Times New Roman" w:hAnsi="Times New Roman" w:eastAsia="宋体" w:cs="Times New Roman"/>
                <w:color w:val="auto"/>
                <w:kern w:val="0"/>
                <w:sz w:val="24"/>
                <w:szCs w:val="24"/>
                <w:lang w:val="en-US" w:eastAsia="zh-CN"/>
              </w:rPr>
              <w:t>80</w:t>
            </w:r>
            <w:r>
              <w:rPr>
                <w:rFonts w:hint="eastAsia" w:ascii="Times New Roman" w:hAnsi="Times New Roman" w:eastAsia="宋体" w:cs="Times New Roman"/>
                <w:b w:val="0"/>
                <w:bCs/>
                <w:color w:val="auto"/>
                <w:sz w:val="24"/>
                <w:szCs w:val="24"/>
                <w:lang w:val="en-US" w:eastAsia="zh-CN"/>
              </w:rPr>
              <w:t>吨/天</w:t>
            </w:r>
            <w:r>
              <w:rPr>
                <w:rFonts w:hint="eastAsia" w:ascii="Times New Roman" w:hAnsi="Times New Roman" w:eastAsia="宋体" w:cs="Times New Roman"/>
                <w:color w:val="auto"/>
                <w:kern w:val="0"/>
                <w:sz w:val="24"/>
                <w:szCs w:val="24"/>
                <w:lang w:val="zh-CN" w:eastAsia="zh-CN"/>
              </w:rPr>
              <w:t>）</w:t>
            </w:r>
            <w:r>
              <w:rPr>
                <w:rFonts w:hint="eastAsia" w:ascii="Times New Roman" w:hAnsi="Times New Roman" w:eastAsia="宋体" w:cs="Times New Roman"/>
                <w:b w:val="0"/>
                <w:bCs/>
                <w:color w:val="auto"/>
                <w:sz w:val="24"/>
                <w:szCs w:val="24"/>
                <w:lang w:val="en-US" w:eastAsia="zh-CN"/>
              </w:rPr>
              <w:t>已无法完全满足铜梁区污泥处置需求</w:t>
            </w:r>
            <w:r>
              <w:rPr>
                <w:rFonts w:hint="eastAsia" w:ascii="Times New Roman" w:hAnsi="Times New Roman" w:eastAsia="宋体" w:cs="Times New Roman"/>
                <w:color w:val="auto"/>
                <w:kern w:val="0"/>
                <w:sz w:val="24"/>
                <w:szCs w:val="24"/>
                <w:lang w:val="zh-CN" w:eastAsia="zh-CN"/>
              </w:rPr>
              <w:t>。</w:t>
            </w:r>
          </w:p>
          <w:p>
            <w:pPr>
              <w:spacing w:line="360" w:lineRule="auto"/>
              <w:ind w:firstLine="480" w:firstLineChars="200"/>
              <w:rPr>
                <w:rFonts w:hint="eastAsia" w:ascii="Times New Roman" w:hAnsi="Times New Roman" w:eastAsia="宋体" w:cs="Times New Roman"/>
                <w:color w:val="0000FF"/>
                <w:kern w:val="0"/>
                <w:sz w:val="24"/>
                <w:szCs w:val="24"/>
                <w:lang w:val="en-US" w:eastAsia="zh-CN"/>
              </w:rPr>
            </w:pPr>
            <w:r>
              <w:rPr>
                <w:rFonts w:hint="eastAsia" w:ascii="Times New Roman" w:hAnsi="Times New Roman" w:eastAsia="宋体" w:cs="Times New Roman"/>
                <w:kern w:val="0"/>
                <w:sz w:val="24"/>
                <w:szCs w:val="24"/>
                <w:lang w:val="zh-CN" w:eastAsia="zh-CN"/>
              </w:rPr>
              <w:t>为了解决以上这</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lang w:val="zh-CN" w:eastAsia="zh-CN"/>
              </w:rPr>
              <w:t>个问题，</w:t>
            </w:r>
            <w:r>
              <w:rPr>
                <w:rFonts w:hint="eastAsia" w:ascii="Times New Roman" w:hAnsi="Times New Roman" w:eastAsia="宋体" w:cs="Times New Roman"/>
                <w:kern w:val="0"/>
                <w:sz w:val="24"/>
                <w:szCs w:val="24"/>
                <w:lang w:eastAsia="zh-CN"/>
              </w:rPr>
              <w:t>叶子花开市政园林公司拟在现有厂区内新建</w:t>
            </w:r>
            <w:r>
              <w:rPr>
                <w:rFonts w:hint="eastAsia" w:ascii="Times New Roman" w:hAnsi="Times New Roman" w:eastAsia="宋体" w:cs="Times New Roman"/>
                <w:kern w:val="0"/>
                <w:sz w:val="24"/>
                <w:szCs w:val="24"/>
                <w:lang w:val="en-US" w:eastAsia="zh-CN"/>
              </w:rPr>
              <w:t>1套污泥深度脱水系统及其配套设施，对进厂湿污泥进行压滤脱水预处理，使</w:t>
            </w:r>
            <w:r>
              <w:rPr>
                <w:rFonts w:hint="eastAsia" w:ascii="Times New Roman" w:hAnsi="Times New Roman" w:eastAsia="宋体" w:cs="Times New Roman"/>
                <w:color w:val="auto"/>
                <w:kern w:val="0"/>
                <w:sz w:val="24"/>
                <w:szCs w:val="24"/>
                <w:lang w:val="en-US" w:eastAsia="zh-CN"/>
              </w:rPr>
              <w:t>污泥含水率由80%降低至50%~60%，脱水后干污泥（含水率50%）</w:t>
            </w:r>
            <w:r>
              <w:rPr>
                <w:rFonts w:hint="eastAsia" w:ascii="Times New Roman" w:hAnsi="Times New Roman" w:eastAsia="宋体" w:cs="Times New Roman"/>
                <w:kern w:val="0"/>
                <w:sz w:val="24"/>
                <w:szCs w:val="24"/>
                <w:lang w:val="zh-CN" w:eastAsia="zh-CN"/>
              </w:rPr>
              <w:t>主</w:t>
            </w:r>
            <w:r>
              <w:rPr>
                <w:rFonts w:hint="eastAsia" w:ascii="Times New Roman" w:hAnsi="Times New Roman" w:eastAsia="宋体" w:cs="Times New Roman"/>
                <w:color w:val="auto"/>
                <w:kern w:val="0"/>
                <w:sz w:val="24"/>
                <w:szCs w:val="24"/>
                <w:lang w:val="zh-CN" w:eastAsia="zh-CN"/>
              </w:rPr>
              <w:t>要送重庆华新盐井水泥有限公司（以下简称“华新盐井水泥”）综合利用，</w:t>
            </w:r>
            <w:r>
              <w:rPr>
                <w:rFonts w:hint="eastAsia" w:ascii="Times New Roman" w:hAnsi="Times New Roman" w:eastAsia="宋体" w:cs="Times New Roman"/>
                <w:bCs/>
                <w:color w:val="auto"/>
                <w:sz w:val="24"/>
                <w:szCs w:val="24"/>
                <w:lang w:val="en-US" w:eastAsia="zh-CN"/>
              </w:rPr>
              <w:t>在华新盐井水泥停窑期间，</w:t>
            </w:r>
            <w:r>
              <w:rPr>
                <w:rFonts w:hint="eastAsia" w:ascii="Times New Roman" w:hAnsi="Times New Roman" w:eastAsia="宋体" w:cs="Times New Roman"/>
                <w:color w:val="auto"/>
                <w:kern w:val="0"/>
                <w:sz w:val="24"/>
                <w:szCs w:val="24"/>
                <w:lang w:val="en-US" w:eastAsia="zh-CN"/>
              </w:rPr>
              <w:t>脱水后污泥（含水率60%）依托现有绿化营养土发酵生产线进行综合利用，同时将污泥处置规模由80</w:t>
            </w:r>
            <w:r>
              <w:rPr>
                <w:rFonts w:hint="eastAsia" w:ascii="Times New Roman" w:hAnsi="Times New Roman" w:eastAsia="宋体" w:cs="Times New Roman"/>
                <w:b w:val="0"/>
                <w:bCs/>
                <w:color w:val="auto"/>
                <w:sz w:val="24"/>
                <w:szCs w:val="24"/>
                <w:lang w:val="en-US" w:eastAsia="zh-CN"/>
              </w:rPr>
              <w:t>吨/天扩大为120吨/天，</w:t>
            </w:r>
            <w:r>
              <w:rPr>
                <w:rFonts w:hint="eastAsia" w:ascii="Times New Roman" w:hAnsi="Times New Roman" w:eastAsia="宋体" w:cs="Times New Roman"/>
                <w:color w:val="auto"/>
                <w:kern w:val="0"/>
                <w:sz w:val="24"/>
                <w:szCs w:val="24"/>
                <w:lang w:val="en-US" w:eastAsia="zh-CN"/>
              </w:rPr>
              <w:t>最终营养土产品外售给花卉苗圃基地、景区等单位用作园林绿化施肥。</w:t>
            </w:r>
          </w:p>
          <w:p>
            <w:pPr>
              <w:spacing w:line="360" w:lineRule="auto"/>
              <w:ind w:firstLine="480" w:firstLineChars="200"/>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val="en-US" w:eastAsia="zh-CN"/>
              </w:rPr>
              <w:t>根据《中华人民共和国环境保护法》、《中华人民共和国环境影响评价法》和《建设项</w:t>
            </w:r>
            <w:r>
              <w:rPr>
                <w:rFonts w:ascii="Times New Roman" w:hAnsi="Times New Roman" w:eastAsia="宋体" w:cs="Times New Roman"/>
                <w:kern w:val="0"/>
                <w:sz w:val="24"/>
                <w:szCs w:val="24"/>
              </w:rPr>
              <w:t>目环境保护管理条例》（国务院第682号令）的有关要求，本项目属于《建设项目环境影响评价分类管理名录》（2021年版）中的“</w:t>
            </w:r>
            <w:r>
              <w:rPr>
                <w:rFonts w:ascii="Times New Roman" w:hAnsi="Times New Roman" w:eastAsia="宋体" w:cs="Times New Roman"/>
                <w:sz w:val="24"/>
                <w:szCs w:val="24"/>
              </w:rPr>
              <w:t>四十七、生态保护和环境治理业103一般工业固体废物（含污水处理污泥）、建筑施工废弃物处置及综合利用</w:t>
            </w:r>
            <w:r>
              <w:rPr>
                <w:rFonts w:ascii="Times New Roman" w:hAnsi="Times New Roman" w:eastAsia="宋体" w:cs="Times New Roman"/>
                <w:kern w:val="0"/>
                <w:sz w:val="24"/>
                <w:szCs w:val="24"/>
              </w:rPr>
              <w:t>”中“其他”类</w:t>
            </w:r>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rPr>
              <w:t>应编制环境影响报告表。受</w:t>
            </w:r>
            <w:r>
              <w:rPr>
                <w:rFonts w:hint="eastAsia" w:ascii="Times New Roman" w:hAnsi="Times New Roman" w:eastAsia="宋体" w:cs="Times New Roman"/>
                <w:kern w:val="0"/>
                <w:sz w:val="24"/>
                <w:szCs w:val="24"/>
                <w:lang w:eastAsia="zh-CN"/>
              </w:rPr>
              <w:t>重庆叶子花开市政园林工程有限公司</w:t>
            </w:r>
            <w:r>
              <w:rPr>
                <w:rFonts w:ascii="Times New Roman" w:hAnsi="Times New Roman" w:eastAsia="宋体" w:cs="Times New Roman"/>
                <w:kern w:val="0"/>
                <w:sz w:val="24"/>
                <w:szCs w:val="24"/>
              </w:rPr>
              <w:t>委托，本公司承担该项目的环境影响评价工作，在接受委托之后，我公司组织专业技术人员经过现场勘查并收集相关资料，编制了本项目的环境影响报告表</w:t>
            </w:r>
            <w:r>
              <w:rPr>
                <w:rFonts w:hint="eastAsia" w:ascii="Times New Roman" w:hAnsi="Times New Roman" w:eastAsia="宋体" w:cs="Times New Roman"/>
                <w:kern w:val="0"/>
                <w:sz w:val="24"/>
                <w:szCs w:val="24"/>
                <w:lang w:eastAsia="zh-CN"/>
              </w:rPr>
              <w:t>。</w:t>
            </w:r>
          </w:p>
          <w:p>
            <w:pPr>
              <w:spacing w:line="360" w:lineRule="auto"/>
              <w:ind w:firstLine="480" w:firstLineChars="200"/>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2、评价构思</w:t>
            </w:r>
          </w:p>
          <w:p>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kern w:val="0"/>
                <w:sz w:val="24"/>
                <w:szCs w:val="24"/>
                <w:lang w:eastAsia="zh-CN"/>
              </w:rPr>
              <w:t>根据</w:t>
            </w:r>
            <w:r>
              <w:rPr>
                <w:rFonts w:hint="eastAsia" w:ascii="Times New Roman" w:hAnsi="Times New Roman" w:eastAsia="宋体" w:cs="Times New Roman"/>
                <w:bCs/>
                <w:color w:val="auto"/>
                <w:sz w:val="24"/>
                <w:szCs w:val="24"/>
                <w:lang w:val="en-US" w:eastAsia="zh-CN"/>
              </w:rPr>
              <w:t>华新盐井水泥历年经营情况调查，正常情况下，每年停窑检修时间约60天，但是在市场行情不利情况下，最大停窑时间约110天，因此，本评价按最不利情况考虑，将华新盐井水泥停窑时间考虑为110天，此时本项目污染物产排量最大，以此作为本项目各污染物产排污核算依据</w:t>
            </w:r>
            <w:r>
              <w:rPr>
                <w:rFonts w:ascii="Times New Roman" w:hAnsi="Times New Roman" w:eastAsia="宋体" w:cs="Times New Roman"/>
                <w:kern w:val="0"/>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1"/>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2.2 项目概况</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2.2.1 项目基本情况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kern w:val="0"/>
                <w:sz w:val="24"/>
                <w:szCs w:val="24"/>
                <w:lang w:eastAsia="zh-CN"/>
              </w:rPr>
            </w:pPr>
            <w:r>
              <w:rPr>
                <w:rFonts w:ascii="Times New Roman" w:hAnsi="Times New Roman" w:eastAsia="宋体" w:cs="Times New Roman"/>
                <w:kern w:val="0"/>
                <w:sz w:val="24"/>
                <w:szCs w:val="24"/>
              </w:rPr>
              <w:t>（1）项目名称：</w:t>
            </w:r>
            <w:r>
              <w:rPr>
                <w:rFonts w:hint="eastAsia" w:ascii="Times New Roman" w:hAnsi="Times New Roman" w:eastAsia="宋体" w:cs="Times New Roman"/>
                <w:kern w:val="0"/>
                <w:sz w:val="24"/>
                <w:szCs w:val="24"/>
                <w:lang w:eastAsia="zh-CN"/>
              </w:rPr>
              <w:t>污泥处理厂效能提升项目；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kern w:val="0"/>
                <w:sz w:val="24"/>
                <w:szCs w:val="24"/>
                <w:lang w:eastAsia="zh-CN"/>
              </w:rPr>
            </w:pPr>
            <w:r>
              <w:rPr>
                <w:rFonts w:ascii="Times New Roman" w:hAnsi="Times New Roman" w:eastAsia="宋体" w:cs="Times New Roman"/>
                <w:kern w:val="0"/>
                <w:sz w:val="24"/>
                <w:szCs w:val="24"/>
              </w:rPr>
              <w:t>（2）建设单位：</w:t>
            </w:r>
            <w:r>
              <w:rPr>
                <w:rFonts w:hint="eastAsia" w:ascii="Times New Roman" w:hAnsi="Times New Roman" w:eastAsia="宋体" w:cs="Times New Roman"/>
                <w:kern w:val="0"/>
                <w:sz w:val="24"/>
                <w:szCs w:val="24"/>
                <w:lang w:eastAsia="zh-CN"/>
              </w:rPr>
              <w:t>重庆叶子花开市政园林工程有限公司；</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eastAsia="zh-CN"/>
              </w:rPr>
            </w:pPr>
            <w:r>
              <w:rPr>
                <w:rFonts w:ascii="Times New Roman" w:hAnsi="Times New Roman" w:eastAsia="宋体" w:cs="Times New Roman"/>
                <w:kern w:val="0"/>
                <w:sz w:val="24"/>
                <w:szCs w:val="24"/>
              </w:rPr>
              <w:t>（3）建设地点：</w:t>
            </w:r>
            <w:r>
              <w:rPr>
                <w:rFonts w:hint="eastAsia" w:ascii="Times New Roman" w:hAnsi="Times New Roman" w:eastAsia="宋体" w:cs="Times New Roman"/>
                <w:kern w:val="0"/>
                <w:sz w:val="24"/>
                <w:szCs w:val="24"/>
                <w:lang w:eastAsia="zh-CN"/>
              </w:rPr>
              <w:t>重庆市铜梁区侣俸镇凤飞村</w:t>
            </w:r>
            <w:r>
              <w:rPr>
                <w:rFonts w:ascii="Times New Roman" w:hAnsi="Times New Roman" w:eastAsia="宋体" w:cs="Times New Roman"/>
                <w:color w:val="auto"/>
                <w:kern w:val="0"/>
                <w:sz w:val="24"/>
                <w:szCs w:val="24"/>
              </w:rPr>
              <w:t>，地理位置详见</w:t>
            </w:r>
            <w:r>
              <w:rPr>
                <w:rFonts w:ascii="Times New Roman" w:hAnsi="Times New Roman" w:eastAsia="宋体" w:cs="Times New Roman"/>
                <w:b/>
                <w:bCs/>
                <w:color w:val="auto"/>
                <w:kern w:val="0"/>
                <w:sz w:val="24"/>
                <w:szCs w:val="24"/>
                <w:u w:val="single"/>
              </w:rPr>
              <w:t>附图1</w:t>
            </w:r>
            <w:r>
              <w:rPr>
                <w:rFonts w:hint="eastAsia" w:ascii="Times New Roman" w:hAnsi="Times New Roman" w:eastAsia="宋体" w:cs="Times New Roman"/>
                <w:b/>
                <w:bCs/>
                <w:color w:val="auto"/>
                <w:kern w:val="0"/>
                <w:sz w:val="24"/>
                <w:szCs w:val="24"/>
                <w:u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eastAsia="zh-CN"/>
              </w:rPr>
            </w:pPr>
            <w:r>
              <w:rPr>
                <w:rFonts w:ascii="Times New Roman" w:hAnsi="Times New Roman" w:eastAsia="宋体" w:cs="Times New Roman"/>
                <w:color w:val="auto"/>
                <w:kern w:val="0"/>
                <w:sz w:val="24"/>
                <w:szCs w:val="24"/>
              </w:rPr>
              <w:t>（4）建设性质：</w:t>
            </w:r>
            <w:r>
              <w:rPr>
                <w:rFonts w:hint="eastAsia" w:ascii="Times New Roman" w:hAnsi="Times New Roman" w:eastAsia="宋体" w:cs="Times New Roman"/>
                <w:color w:val="auto"/>
                <w:kern w:val="0"/>
                <w:sz w:val="24"/>
                <w:szCs w:val="24"/>
                <w:lang w:val="en-US" w:eastAsia="zh-CN"/>
              </w:rPr>
              <w:t>改扩建</w:t>
            </w:r>
            <w:r>
              <w:rPr>
                <w:rFonts w:hint="eastAsia" w:ascii="Times New Roman" w:hAnsi="Times New Roman" w:eastAsia="宋体" w:cs="Times New Roman"/>
                <w:color w:val="auto"/>
                <w:kern w:val="0"/>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eastAsia="zh-CN"/>
              </w:rPr>
            </w:pPr>
            <w:r>
              <w:rPr>
                <w:rFonts w:ascii="Times New Roman" w:hAnsi="Times New Roman" w:eastAsia="宋体" w:cs="Times New Roman"/>
                <w:color w:val="auto"/>
                <w:kern w:val="0"/>
                <w:sz w:val="24"/>
                <w:szCs w:val="24"/>
              </w:rPr>
              <w:t>（5）工程投资</w:t>
            </w:r>
            <w:r>
              <w:rPr>
                <w:rFonts w:hint="eastAsia" w:ascii="Times New Roman" w:hAnsi="Times New Roman" w:eastAsia="宋体" w:cs="Times New Roman"/>
                <w:kern w:val="0"/>
                <w:sz w:val="24"/>
                <w:szCs w:val="24"/>
                <w:lang w:eastAsia="zh-CN"/>
              </w:rPr>
              <w:t>：项目总投资为</w:t>
            </w:r>
            <w:r>
              <w:rPr>
                <w:rFonts w:hint="eastAsia" w:ascii="Times New Roman" w:hAnsi="Times New Roman" w:eastAsia="宋体" w:cs="Times New Roman"/>
                <w:kern w:val="0"/>
                <w:sz w:val="24"/>
                <w:szCs w:val="24"/>
                <w:lang w:val="en-US" w:eastAsia="zh-CN"/>
              </w:rPr>
              <w:t>800</w:t>
            </w:r>
            <w:r>
              <w:rPr>
                <w:rFonts w:hint="eastAsia" w:ascii="Times New Roman" w:hAnsi="Times New Roman" w:eastAsia="宋体" w:cs="Times New Roman"/>
                <w:kern w:val="0"/>
                <w:sz w:val="24"/>
                <w:szCs w:val="24"/>
                <w:lang w:eastAsia="zh-CN"/>
              </w:rPr>
              <w:t>万元，其中环保投资为</w:t>
            </w:r>
            <w:r>
              <w:rPr>
                <w:rFonts w:hint="eastAsia" w:ascii="Times New Roman" w:hAnsi="Times New Roman" w:eastAsia="宋体" w:cs="Times New Roman"/>
                <w:kern w:val="0"/>
                <w:sz w:val="24"/>
                <w:szCs w:val="24"/>
                <w:lang w:val="en-US" w:eastAsia="zh-CN"/>
              </w:rPr>
              <w:t>20万元</w:t>
            </w:r>
            <w:r>
              <w:rPr>
                <w:rFonts w:hint="eastAsia" w:ascii="Times New Roman" w:hAnsi="Times New Roman" w:eastAsia="宋体" w:cs="Times New Roman"/>
                <w:kern w:val="0"/>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eastAsia="zh-CN"/>
              </w:rPr>
            </w:pPr>
            <w:r>
              <w:rPr>
                <w:rFonts w:ascii="Times New Roman" w:hAnsi="Times New Roman" w:eastAsia="宋体" w:cs="Times New Roman"/>
                <w:color w:val="auto"/>
                <w:kern w:val="0"/>
                <w:sz w:val="24"/>
                <w:szCs w:val="24"/>
              </w:rPr>
              <w:t>（6）占地面积：</w:t>
            </w:r>
            <w:r>
              <w:rPr>
                <w:rFonts w:hint="eastAsia" w:ascii="Times New Roman" w:hAnsi="Times New Roman" w:eastAsia="宋体" w:cs="Times New Roman"/>
                <w:color w:val="auto"/>
                <w:kern w:val="0"/>
                <w:sz w:val="24"/>
                <w:szCs w:val="24"/>
                <w:lang w:eastAsia="zh-CN"/>
              </w:rPr>
              <w:t>全厂总占地面积</w:t>
            </w:r>
            <w:r>
              <w:rPr>
                <w:rFonts w:hint="eastAsia" w:ascii="Times New Roman" w:hAnsi="Times New Roman" w:eastAsia="宋体" w:cs="Times New Roman"/>
                <w:color w:val="auto"/>
                <w:kern w:val="0"/>
                <w:sz w:val="24"/>
                <w:szCs w:val="24"/>
                <w:lang w:val="en-US" w:eastAsia="zh-CN"/>
              </w:rPr>
              <w:t>52483m</w:t>
            </w:r>
            <w:r>
              <w:rPr>
                <w:rFonts w:hint="eastAsia" w:ascii="Times New Roman" w:hAnsi="Times New Roman" w:eastAsia="宋体" w:cs="Times New Roman"/>
                <w:color w:val="auto"/>
                <w:kern w:val="0"/>
                <w:sz w:val="24"/>
                <w:szCs w:val="24"/>
                <w:vertAlign w:val="superscript"/>
                <w:lang w:val="en-US" w:eastAsia="zh-CN"/>
              </w:rPr>
              <w:t>2</w:t>
            </w:r>
            <w:r>
              <w:rPr>
                <w:rFonts w:hint="eastAsia" w:ascii="Times New Roman" w:hAnsi="Times New Roman" w:eastAsia="宋体" w:cs="Times New Roman"/>
                <w:color w:val="auto"/>
                <w:kern w:val="0"/>
                <w:sz w:val="24"/>
                <w:szCs w:val="24"/>
                <w:lang w:val="en-US" w:eastAsia="zh-CN"/>
              </w:rPr>
              <w:t>，本次利用现有辅料车间及空地（工业用地）总</w:t>
            </w:r>
            <w:r>
              <w:rPr>
                <w:rFonts w:hint="eastAsia" w:ascii="Times New Roman" w:hAnsi="Times New Roman" w:eastAsia="宋体" w:cs="Times New Roman"/>
                <w:color w:val="auto"/>
                <w:kern w:val="0"/>
                <w:sz w:val="24"/>
                <w:szCs w:val="24"/>
                <w:lang w:eastAsia="zh-CN"/>
              </w:rPr>
              <w:t>占地面积为</w:t>
            </w:r>
            <w:r>
              <w:rPr>
                <w:rFonts w:hint="eastAsia" w:ascii="Times New Roman" w:hAnsi="Times New Roman" w:eastAsia="宋体" w:cs="Times New Roman"/>
                <w:color w:val="auto"/>
                <w:kern w:val="0"/>
                <w:sz w:val="24"/>
                <w:szCs w:val="24"/>
                <w:lang w:val="en-US" w:eastAsia="zh-CN"/>
              </w:rPr>
              <w:t>484.3m</w:t>
            </w:r>
            <w:r>
              <w:rPr>
                <w:rFonts w:hint="eastAsia" w:ascii="Times New Roman" w:hAnsi="Times New Roman" w:eastAsia="宋体" w:cs="Times New Roman"/>
                <w:color w:val="auto"/>
                <w:kern w:val="0"/>
                <w:sz w:val="24"/>
                <w:szCs w:val="24"/>
                <w:vertAlign w:val="superscript"/>
                <w:lang w:val="en-US" w:eastAsia="zh-CN"/>
              </w:rPr>
              <w:t>2</w:t>
            </w:r>
            <w:r>
              <w:rPr>
                <w:rFonts w:hint="eastAsia" w:ascii="Times New Roman" w:hAnsi="Times New Roman" w:eastAsia="宋体" w:cs="Times New Roman"/>
                <w:color w:val="auto"/>
                <w:kern w:val="0"/>
                <w:sz w:val="24"/>
                <w:szCs w:val="24"/>
                <w:lang w:eastAsia="zh-CN"/>
              </w:rPr>
              <w:t>，本次不新增用地；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lang w:val="en-US" w:eastAsia="zh-CN"/>
              </w:rPr>
            </w:pP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7</w:t>
            </w:r>
            <w:r>
              <w:rPr>
                <w:rFonts w:ascii="Times New Roman" w:hAnsi="Times New Roman" w:eastAsia="宋体" w:cs="Times New Roman"/>
                <w:color w:val="auto"/>
                <w:kern w:val="0"/>
                <w:sz w:val="24"/>
                <w:szCs w:val="24"/>
              </w:rPr>
              <w:t>）建设内容：</w:t>
            </w:r>
            <w:bookmarkStart w:id="4" w:name="_Hlk92966366"/>
            <w:r>
              <w:rPr>
                <w:rFonts w:hint="eastAsia" w:ascii="Times New Roman" w:hAnsi="Times New Roman" w:eastAsia="宋体" w:cs="Times New Roman"/>
                <w:color w:val="auto"/>
                <w:kern w:val="0"/>
                <w:sz w:val="24"/>
                <w:szCs w:val="24"/>
                <w:lang w:eastAsia="zh-CN"/>
              </w:rPr>
              <w:t>利用</w:t>
            </w:r>
            <w:r>
              <w:rPr>
                <w:rFonts w:hint="eastAsia" w:ascii="Times New Roman" w:hAnsi="Times New Roman" w:eastAsia="宋体" w:cs="Times New Roman"/>
                <w:color w:val="auto"/>
                <w:kern w:val="0"/>
                <w:sz w:val="24"/>
                <w:szCs w:val="24"/>
                <w:lang w:val="en-US" w:eastAsia="zh-CN"/>
              </w:rPr>
              <w:t>现有辅料车间改建为污泥脱水车间，</w:t>
            </w:r>
            <w:r>
              <w:rPr>
                <w:rFonts w:hint="eastAsia" w:ascii="Times New Roman" w:hAnsi="Times New Roman" w:eastAsia="宋体" w:cs="Times New Roman"/>
                <w:bCs/>
                <w:color w:val="auto"/>
                <w:sz w:val="24"/>
                <w:szCs w:val="24"/>
                <w:lang w:val="en-US" w:eastAsia="zh-CN"/>
              </w:rPr>
              <w:t>新建</w:t>
            </w:r>
            <w:r>
              <w:rPr>
                <w:rFonts w:hint="eastAsia" w:ascii="Times New Roman" w:hAnsi="Times New Roman" w:eastAsia="宋体" w:cs="Times New Roman"/>
                <w:color w:val="auto"/>
                <w:kern w:val="0"/>
                <w:sz w:val="24"/>
                <w:szCs w:val="24"/>
                <w:lang w:val="en-US" w:eastAsia="zh-CN"/>
              </w:rPr>
              <w:t>1套污泥脱水设备及其配套设施</w:t>
            </w:r>
            <w:r>
              <w:rPr>
                <w:rFonts w:hint="eastAsia" w:ascii="Times New Roman" w:hAnsi="Times New Roman" w:eastAsia="宋体" w:cs="Times New Roman"/>
                <w:bCs/>
                <w:color w:val="auto"/>
                <w:sz w:val="24"/>
                <w:szCs w:val="24"/>
                <w:lang w:val="en-US" w:eastAsia="zh-CN"/>
              </w:rPr>
              <w:t>；利用</w:t>
            </w:r>
            <w:r>
              <w:rPr>
                <w:rFonts w:hint="eastAsia" w:ascii="Times New Roman" w:hAnsi="Times New Roman" w:eastAsia="宋体" w:cs="Times New Roman"/>
                <w:color w:val="auto"/>
                <w:kern w:val="0"/>
                <w:sz w:val="24"/>
                <w:szCs w:val="24"/>
                <w:lang w:val="en-US" w:eastAsia="zh-CN"/>
              </w:rPr>
              <w:t>现有辅料车间东南侧</w:t>
            </w:r>
            <w:r>
              <w:rPr>
                <w:rFonts w:hint="eastAsia" w:ascii="Times New Roman" w:hAnsi="Times New Roman" w:eastAsia="宋体" w:cs="Times New Roman"/>
                <w:bCs/>
                <w:color w:val="auto"/>
                <w:sz w:val="24"/>
                <w:szCs w:val="24"/>
                <w:lang w:val="en-US" w:eastAsia="zh-CN"/>
              </w:rPr>
              <w:t>空地及</w:t>
            </w:r>
            <w:r>
              <w:rPr>
                <w:rFonts w:hint="eastAsia" w:ascii="Times New Roman" w:hAnsi="Times New Roman" w:eastAsia="宋体" w:cs="Times New Roman"/>
                <w:color w:val="auto"/>
                <w:kern w:val="0"/>
                <w:sz w:val="24"/>
                <w:szCs w:val="24"/>
                <w:lang w:val="en-US" w:eastAsia="zh-CN"/>
              </w:rPr>
              <w:t>东侧</w:t>
            </w:r>
            <w:r>
              <w:rPr>
                <w:rFonts w:hint="eastAsia" w:ascii="Times New Roman" w:hAnsi="Times New Roman" w:eastAsia="宋体" w:cs="Times New Roman"/>
                <w:bCs/>
                <w:color w:val="auto"/>
                <w:sz w:val="24"/>
                <w:szCs w:val="24"/>
                <w:lang w:val="en-US" w:eastAsia="zh-CN"/>
              </w:rPr>
              <w:t>空地分别新建1个湿污泥储存间和1个污水池及柴油发电机房。本项目建成后主要</w:t>
            </w:r>
            <w:r>
              <w:rPr>
                <w:rFonts w:hint="eastAsia" w:ascii="Times New Roman" w:hAnsi="Times New Roman" w:eastAsia="宋体" w:cs="Times New Roman"/>
                <w:color w:val="auto"/>
                <w:kern w:val="0"/>
                <w:sz w:val="24"/>
                <w:szCs w:val="24"/>
                <w:lang w:val="en-US" w:eastAsia="zh-CN"/>
              </w:rPr>
              <w:t>用于城市生活污泥脱水处理，使污泥含水率由80%降低至50~60%，污泥脱水处理能力为120吨/天，脱水后污泥主要提供给华新盐井水泥进行综合利用</w:t>
            </w:r>
            <w:r>
              <w:rPr>
                <w:rFonts w:hint="eastAsia" w:ascii="Times New Roman" w:hAnsi="Times New Roman" w:eastAsia="宋体" w:cs="Times New Roman"/>
                <w:bCs/>
                <w:color w:val="auto"/>
                <w:sz w:val="24"/>
                <w:szCs w:val="24"/>
                <w:lang w:val="en-US" w:eastAsia="zh-CN"/>
              </w:rPr>
              <w:t>；在华新盐井水泥停窑期间，</w:t>
            </w:r>
            <w:r>
              <w:rPr>
                <w:rFonts w:hint="eastAsia" w:ascii="Times New Roman" w:hAnsi="Times New Roman" w:eastAsia="宋体" w:cs="Times New Roman"/>
                <w:color w:val="auto"/>
                <w:kern w:val="0"/>
                <w:sz w:val="24"/>
                <w:szCs w:val="24"/>
                <w:lang w:val="en-US" w:eastAsia="zh-CN"/>
              </w:rPr>
              <w:t>脱水后污泥依托现有绿化营养土发酵生产线进行综合利用，最终营养土产品外售给花卉苗圃基地、景区等单位用作园林绿化施肥，项目技改后不改变现有绿化营养土发酵生产线生产工艺及生产设备等。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（8）劳动定员及工作制度：本项目不新增劳动定员，依托现有厂区人员（16人）；年工作330天，其中有220天仅对污泥进行压滤脱水处理后送至</w:t>
            </w:r>
            <w:r>
              <w:rPr>
                <w:rFonts w:hint="eastAsia" w:ascii="Times New Roman" w:hAnsi="Times New Roman" w:eastAsia="宋体" w:cs="Times New Roman"/>
                <w:color w:val="auto"/>
                <w:kern w:val="0"/>
                <w:sz w:val="24"/>
                <w:szCs w:val="24"/>
                <w:lang w:val="en-US" w:eastAsia="zh-CN"/>
              </w:rPr>
              <w:t>华新盐井水泥进行综合利用</w:t>
            </w:r>
            <w:r>
              <w:rPr>
                <w:rFonts w:hint="eastAsia" w:ascii="Times New Roman" w:hAnsi="Times New Roman" w:eastAsia="宋体" w:cs="Times New Roman"/>
                <w:bCs/>
                <w:color w:val="auto"/>
                <w:sz w:val="24"/>
                <w:szCs w:val="24"/>
                <w:lang w:val="en-US" w:eastAsia="zh-CN"/>
              </w:rPr>
              <w:t>，剩余110天（华新盐井水泥停窑期间）对污泥进行压滤脱水后</w:t>
            </w:r>
            <w:r>
              <w:rPr>
                <w:rFonts w:hint="eastAsia" w:ascii="Times New Roman" w:hAnsi="Times New Roman" w:eastAsia="宋体" w:cs="Times New Roman"/>
                <w:color w:val="auto"/>
                <w:kern w:val="0"/>
                <w:sz w:val="24"/>
                <w:szCs w:val="24"/>
                <w:lang w:val="en-US" w:eastAsia="zh-CN"/>
              </w:rPr>
              <w:t>依托现有绿化营养土发酵生产线进行综合利用。</w:t>
            </w:r>
            <w:r>
              <w:rPr>
                <w:rFonts w:hint="eastAsia" w:ascii="Times New Roman" w:hAnsi="Times New Roman" w:eastAsia="宋体" w:cs="Times New Roman"/>
                <w:bCs/>
                <w:color w:val="auto"/>
                <w:sz w:val="24"/>
                <w:szCs w:val="24"/>
                <w:lang w:val="en-US" w:eastAsia="zh-CN"/>
              </w:rPr>
              <w:t>发酵工序每天工作24h，门卫采用2班制，其他工序采取一班制，每班工作8h。</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kern w:val="0"/>
                <w:sz w:val="24"/>
                <w:szCs w:val="24"/>
              </w:rPr>
            </w:pPr>
            <w:r>
              <w:rPr>
                <w:rFonts w:hint="eastAsia" w:ascii="Times New Roman" w:hAnsi="Times New Roman" w:eastAsia="宋体" w:cs="Times New Roman"/>
                <w:bCs/>
                <w:color w:val="auto"/>
                <w:sz w:val="24"/>
                <w:szCs w:val="24"/>
                <w:lang w:val="en-US" w:eastAsia="zh-CN"/>
              </w:rPr>
              <w:t>项目组成及主要工程内容见下表所示</w:t>
            </w:r>
            <w:r>
              <w:rPr>
                <w:rFonts w:ascii="Times New Roman" w:hAnsi="Times New Roman" w:eastAsia="宋体" w:cs="Times New Roman"/>
                <w:kern w:val="0"/>
                <w:sz w:val="24"/>
                <w:szCs w:val="24"/>
              </w:rPr>
              <w:t>。</w:t>
            </w:r>
          </w:p>
          <w:bookmarkEnd w:id="4"/>
          <w:p>
            <w:pPr>
              <w:autoSpaceDE w:val="0"/>
              <w:autoSpaceDN w:val="0"/>
              <w:spacing w:line="440" w:lineRule="exact"/>
              <w:jc w:val="cente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lang w:eastAsia="zh-CN"/>
              </w:rPr>
              <w:t>表</w:t>
            </w:r>
            <w:r>
              <w:rPr>
                <w:rFonts w:ascii="Times New Roman" w:hAnsi="Times New Roman" w:eastAsia="宋体" w:cs="Times New Roman"/>
                <w:b/>
                <w:bCs/>
                <w:kern w:val="0"/>
                <w:sz w:val="24"/>
                <w:szCs w:val="24"/>
              </w:rPr>
              <w:t>2</w:t>
            </w:r>
            <w:r>
              <w:rPr>
                <w:rFonts w:hint="eastAsia" w:ascii="Times New Roman" w:hAnsi="Times New Roman" w:eastAsia="宋体" w:cs="Times New Roman"/>
                <w:b/>
                <w:bCs/>
                <w:kern w:val="0"/>
                <w:sz w:val="24"/>
                <w:szCs w:val="24"/>
                <w:lang w:val="en-US" w:eastAsia="zh-CN"/>
              </w:rPr>
              <w:t>.2</w:t>
            </w:r>
            <w:r>
              <w:rPr>
                <w:rFonts w:ascii="Times New Roman" w:hAnsi="Times New Roman" w:eastAsia="宋体" w:cs="Times New Roman"/>
                <w:b/>
                <w:bCs/>
                <w:kern w:val="0"/>
                <w:sz w:val="24"/>
                <w:szCs w:val="24"/>
              </w:rPr>
              <w:t>-1  项目组成一览表</w:t>
            </w:r>
          </w:p>
          <w:tbl>
            <w:tblPr>
              <w:tblStyle w:val="20"/>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
              <w:gridCol w:w="700"/>
              <w:gridCol w:w="450"/>
              <w:gridCol w:w="1091"/>
              <w:gridCol w:w="4572"/>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2" w:type="dxa"/>
                  <w:vAlign w:val="center"/>
                </w:tcPr>
                <w:p>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bookmarkStart w:id="5" w:name="_Hlk92966421"/>
                  <w:r>
                    <w:rPr>
                      <w:rFonts w:ascii="Times New Roman" w:hAnsi="Times New Roman" w:eastAsia="宋体" w:cs="Times New Roman"/>
                      <w:color w:val="auto"/>
                      <w:sz w:val="21"/>
                      <w:szCs w:val="21"/>
                    </w:rPr>
                    <w:t>序号</w:t>
                  </w:r>
                </w:p>
              </w:tc>
              <w:tc>
                <w:tcPr>
                  <w:tcW w:w="700" w:type="dxa"/>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工程类别</w:t>
                  </w:r>
                </w:p>
              </w:tc>
              <w:tc>
                <w:tcPr>
                  <w:tcW w:w="1541" w:type="dxa"/>
                  <w:gridSpan w:val="2"/>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工程内容</w:t>
                  </w:r>
                </w:p>
              </w:tc>
              <w:tc>
                <w:tcPr>
                  <w:tcW w:w="4572" w:type="dxa"/>
                  <w:vAlign w:val="center"/>
                </w:tcPr>
                <w:p>
                  <w:pPr>
                    <w:adjustRightInd w:val="0"/>
                    <w:snapToGrid w:val="0"/>
                    <w:spacing w:line="240" w:lineRule="auto"/>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建设内容</w:t>
                  </w:r>
                </w:p>
              </w:tc>
              <w:tc>
                <w:tcPr>
                  <w:tcW w:w="983" w:type="dxa"/>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dxa"/>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700" w:type="dxa"/>
                  <w:vAlign w:val="center"/>
                </w:tcPr>
                <w:p>
                  <w:pPr>
                    <w:pStyle w:val="60"/>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主体工程</w:t>
                  </w:r>
                </w:p>
              </w:tc>
              <w:tc>
                <w:tcPr>
                  <w:tcW w:w="1541" w:type="dxa"/>
                  <w:gridSpan w:val="2"/>
                  <w:vAlign w:val="center"/>
                </w:tcPr>
                <w:p>
                  <w:pPr>
                    <w:pStyle w:val="86"/>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污泥脱水车间</w:t>
                  </w:r>
                </w:p>
              </w:tc>
              <w:tc>
                <w:tcPr>
                  <w:tcW w:w="4572" w:type="dxa"/>
                  <w:vAlign w:val="center"/>
                </w:tcPr>
                <w:p>
                  <w:pPr>
                    <w:pStyle w:val="86"/>
                    <w:spacing w:line="240" w:lineRule="auto"/>
                    <w:jc w:val="left"/>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位于现有辅料车间内，1F，长宽高尺寸为27.2m</w:t>
                  </w:r>
                  <w:r>
                    <w:rPr>
                      <w:rFonts w:hint="default" w:ascii="Arial" w:hAnsi="Arial" w:eastAsia="宋体" w:cs="Arial"/>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9.2</w:t>
                  </w:r>
                  <w:r>
                    <w:rPr>
                      <w:rFonts w:hint="default" w:ascii="Times New Roman" w:hAnsi="Times New Roman" w:eastAsia="宋体" w:cs="Times New Roman"/>
                      <w:color w:val="auto"/>
                      <w:kern w:val="0"/>
                      <w:sz w:val="21"/>
                      <w:szCs w:val="21"/>
                      <w:lang w:val="en-US" w:eastAsia="zh-CN"/>
                    </w:rPr>
                    <w:t>m×</w:t>
                  </w:r>
                  <w:r>
                    <w:rPr>
                      <w:rFonts w:hint="eastAsia" w:ascii="Times New Roman" w:hAnsi="Times New Roman" w:eastAsia="宋体" w:cs="Times New Roman"/>
                      <w:color w:val="auto"/>
                      <w:kern w:val="0"/>
                      <w:sz w:val="21"/>
                      <w:szCs w:val="21"/>
                      <w:lang w:val="en-US" w:eastAsia="zh-CN"/>
                    </w:rPr>
                    <w:t>8.4</w:t>
                  </w:r>
                  <w:r>
                    <w:rPr>
                      <w:rFonts w:hint="default" w:ascii="Times New Roman" w:hAnsi="Times New Roman" w:eastAsia="宋体" w:cs="Times New Roman"/>
                      <w:color w:val="auto"/>
                      <w:kern w:val="0"/>
                      <w:sz w:val="21"/>
                      <w:szCs w:val="21"/>
                      <w:lang w:val="en-US" w:eastAsia="zh-CN"/>
                    </w:rPr>
                    <w:t>m，建筑面积约</w:t>
                  </w:r>
                  <w:r>
                    <w:rPr>
                      <w:rFonts w:hint="eastAsia" w:ascii="Times New Roman" w:hAnsi="Times New Roman" w:eastAsia="宋体" w:cs="Times New Roman"/>
                      <w:color w:val="auto"/>
                      <w:kern w:val="0"/>
                      <w:sz w:val="21"/>
                      <w:szCs w:val="21"/>
                      <w:lang w:val="en-US" w:eastAsia="zh-CN"/>
                    </w:rPr>
                    <w:t>250.24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kern w:val="0"/>
                      <w:sz w:val="21"/>
                      <w:szCs w:val="21"/>
                      <w:lang w:val="en-US" w:eastAsia="zh-CN"/>
                    </w:rPr>
                    <w:t>本次利用现有辅料车间改建为污泥脱水车间</w:t>
                  </w:r>
                  <w:r>
                    <w:rPr>
                      <w:rFonts w:hint="eastAsia" w:ascii="Times New Roman" w:hAnsi="Times New Roman" w:eastAsia="宋体" w:cs="Times New Roman"/>
                      <w:color w:val="auto"/>
                      <w:kern w:val="0"/>
                      <w:sz w:val="21"/>
                      <w:szCs w:val="21"/>
                      <w:lang w:val="en-US" w:eastAsia="zh-CN"/>
                    </w:rPr>
                    <w:t>，新增</w:t>
                  </w:r>
                  <w:r>
                    <w:rPr>
                      <w:rFonts w:hint="default" w:ascii="Times New Roman" w:hAnsi="Times New Roman" w:eastAsia="宋体" w:cs="Times New Roman"/>
                      <w:color w:val="auto"/>
                      <w:kern w:val="0"/>
                      <w:sz w:val="21"/>
                      <w:szCs w:val="21"/>
                      <w:lang w:val="en-US" w:eastAsia="zh-CN"/>
                    </w:rPr>
                    <w:t>1套污泥深度脱水系统</w:t>
                  </w:r>
                  <w:r>
                    <w:rPr>
                      <w:rFonts w:hint="eastAsia" w:ascii="Times New Roman" w:hAnsi="Times New Roman" w:eastAsia="宋体" w:cs="Times New Roman"/>
                      <w:color w:val="auto"/>
                      <w:kern w:val="0"/>
                      <w:sz w:val="21"/>
                      <w:szCs w:val="21"/>
                      <w:lang w:val="en-US" w:eastAsia="zh-CN"/>
                    </w:rPr>
                    <w:t>，将破壁后污泥进行压榨脱水，污泥脱水处理能力为120吨/天，污泥含水率由80%降低至50~60%。技改后将秸秆、木屑和菌包等辅料储存场所改为发酵及成品车间进料区北侧</w:t>
                  </w:r>
                  <w:r>
                    <w:rPr>
                      <w:rFonts w:hint="eastAsia" w:ascii="Times New Roman" w:hAnsi="Times New Roman" w:eastAsia="宋体" w:cs="Times New Roman"/>
                      <w:color w:val="auto"/>
                      <w:sz w:val="21"/>
                      <w:szCs w:val="21"/>
                      <w:lang w:val="en-US" w:eastAsia="zh-CN"/>
                    </w:rPr>
                    <w:t>辅料储存区</w:t>
                  </w:r>
                </w:p>
              </w:tc>
              <w:tc>
                <w:tcPr>
                  <w:tcW w:w="983"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02" w:type="dxa"/>
                  <w:vMerge w:val="restart"/>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700" w:type="dxa"/>
                  <w:vMerge w:val="restart"/>
                  <w:vAlign w:val="center"/>
                </w:tcPr>
                <w:p>
                  <w:pPr>
                    <w:pStyle w:val="60"/>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辅助</w:t>
                  </w:r>
                  <w:r>
                    <w:rPr>
                      <w:rFonts w:hint="eastAsia" w:ascii="Times New Roman" w:hAnsi="Times New Roman" w:eastAsia="宋体"/>
                      <w:color w:val="auto"/>
                      <w:sz w:val="21"/>
                      <w:szCs w:val="21"/>
                      <w:lang w:eastAsia="zh-CN"/>
                    </w:rPr>
                    <w:t>工程</w:t>
                  </w:r>
                </w:p>
              </w:tc>
              <w:tc>
                <w:tcPr>
                  <w:tcW w:w="1541" w:type="dxa"/>
                  <w:gridSpan w:val="2"/>
                  <w:vAlign w:val="center"/>
                </w:tcPr>
                <w:p>
                  <w:pPr>
                    <w:pStyle w:val="86"/>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湿污泥储存间</w:t>
                  </w:r>
                </w:p>
              </w:tc>
              <w:tc>
                <w:tcPr>
                  <w:tcW w:w="4572" w:type="dxa"/>
                  <w:vAlign w:val="center"/>
                </w:tcPr>
                <w:p>
                  <w:pPr>
                    <w:pStyle w:val="86"/>
                    <w:spacing w:line="240" w:lineRule="auto"/>
                    <w:jc w:val="left"/>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位于现有辅料车间外东南侧，1F，长宽高尺寸为16.5m</w:t>
                  </w:r>
                  <w:r>
                    <w:rPr>
                      <w:rFonts w:hint="default" w:ascii="Arial" w:hAnsi="Arial" w:eastAsia="宋体" w:cs="Arial"/>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11</w:t>
                  </w:r>
                  <w:r>
                    <w:rPr>
                      <w:rFonts w:hint="default" w:ascii="Times New Roman" w:hAnsi="Times New Roman" w:eastAsia="宋体" w:cs="Times New Roman"/>
                      <w:color w:val="auto"/>
                      <w:kern w:val="0"/>
                      <w:sz w:val="21"/>
                      <w:szCs w:val="21"/>
                      <w:lang w:val="en-US" w:eastAsia="zh-CN"/>
                    </w:rPr>
                    <w:t>m×1</w:t>
                  </w:r>
                  <w:r>
                    <w:rPr>
                      <w:rFonts w:hint="eastAsia" w:ascii="Times New Roman" w:hAnsi="Times New Roman" w:eastAsia="宋体" w:cs="Times New Roman"/>
                      <w:color w:val="auto"/>
                      <w:kern w:val="0"/>
                      <w:sz w:val="21"/>
                      <w:szCs w:val="21"/>
                      <w:lang w:val="en-US" w:eastAsia="zh-CN"/>
                    </w:rPr>
                    <w:t>0.5</w:t>
                  </w:r>
                  <w:r>
                    <w:rPr>
                      <w:rFonts w:hint="default" w:ascii="Times New Roman" w:hAnsi="Times New Roman" w:eastAsia="宋体" w:cs="Times New Roman"/>
                      <w:color w:val="auto"/>
                      <w:kern w:val="0"/>
                      <w:sz w:val="21"/>
                      <w:szCs w:val="21"/>
                      <w:lang w:val="en-US" w:eastAsia="zh-CN"/>
                    </w:rPr>
                    <w:t>m，总建筑面积约</w:t>
                  </w:r>
                  <w:r>
                    <w:rPr>
                      <w:rFonts w:hint="eastAsia" w:ascii="Times New Roman" w:hAnsi="Times New Roman" w:eastAsia="宋体" w:cs="Times New Roman"/>
                      <w:color w:val="auto"/>
                      <w:kern w:val="0"/>
                      <w:sz w:val="21"/>
                      <w:szCs w:val="21"/>
                      <w:lang w:val="en-US" w:eastAsia="zh-CN"/>
                    </w:rPr>
                    <w:t>181.5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污泥料仓容积为78m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，用于储存湿污泥，并对湿污泥进行破壁处理</w:t>
                  </w:r>
                </w:p>
              </w:tc>
              <w:tc>
                <w:tcPr>
                  <w:tcW w:w="983" w:type="dxa"/>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jc w:val="center"/>
                    <w:rPr>
                      <w:rFonts w:hint="eastAsia" w:ascii="Times New Roman" w:hAnsi="Times New Roman" w:eastAsia="宋体"/>
                      <w:color w:val="auto"/>
                      <w:sz w:val="21"/>
                      <w:szCs w:val="21"/>
                      <w:lang w:val="en-US" w:eastAsia="zh-CN"/>
                    </w:rPr>
                  </w:pPr>
                </w:p>
              </w:tc>
              <w:tc>
                <w:tcPr>
                  <w:tcW w:w="1541" w:type="dxa"/>
                  <w:gridSpan w:val="2"/>
                  <w:vAlign w:val="center"/>
                </w:tcPr>
                <w:p>
                  <w:pPr>
                    <w:pStyle w:val="86"/>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污水池及柴油发电机房</w:t>
                  </w:r>
                </w:p>
              </w:tc>
              <w:tc>
                <w:tcPr>
                  <w:tcW w:w="4572" w:type="dxa"/>
                  <w:vAlign w:val="center"/>
                </w:tcPr>
                <w:p>
                  <w:pPr>
                    <w:pStyle w:val="86"/>
                    <w:spacing w:line="240" w:lineRule="auto"/>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设置1个</w:t>
                  </w:r>
                  <w:r>
                    <w:rPr>
                      <w:rFonts w:hint="eastAsia" w:ascii="Times New Roman" w:hAnsi="Times New Roman" w:eastAsia="宋体" w:cs="Times New Roman"/>
                      <w:color w:val="auto"/>
                      <w:sz w:val="21"/>
                      <w:szCs w:val="21"/>
                      <w:lang w:eastAsia="zh-CN"/>
                    </w:rPr>
                    <w:t>污水池及柴油发电机房</w:t>
                  </w:r>
                  <w:r>
                    <w:rPr>
                      <w:rFonts w:hint="eastAsia" w:ascii="Times New Roman" w:hAnsi="Times New Roman" w:eastAsia="宋体" w:cs="Times New Roman"/>
                      <w:color w:val="auto"/>
                      <w:kern w:val="2"/>
                      <w:sz w:val="21"/>
                      <w:szCs w:val="21"/>
                      <w:lang w:val="en-US" w:eastAsia="zh-CN" w:bidi="ar-SA"/>
                    </w:rPr>
                    <w:t>，位于现有辅料车间北侧，占地面积约52.56</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，用于布置2个污水池及1台</w:t>
                  </w:r>
                  <w:r>
                    <w:rPr>
                      <w:rFonts w:hint="eastAsia" w:ascii="Times New Roman" w:hAnsi="Times New Roman" w:eastAsia="宋体" w:cs="Times New Roman"/>
                      <w:color w:val="auto"/>
                      <w:sz w:val="21"/>
                      <w:szCs w:val="21"/>
                      <w:lang w:eastAsia="zh-CN"/>
                    </w:rPr>
                    <w:t>柴油发电机，其中柴油发电机由污泥脱水车间搬迁而来</w:t>
                  </w:r>
                </w:p>
              </w:tc>
              <w:tc>
                <w:tcPr>
                  <w:tcW w:w="983"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jc w:val="center"/>
                    <w:rPr>
                      <w:rFonts w:hint="eastAsia" w:ascii="Times New Roman" w:hAnsi="Times New Roman" w:eastAsia="宋体"/>
                      <w:color w:val="auto"/>
                      <w:sz w:val="21"/>
                      <w:szCs w:val="21"/>
                      <w:lang w:val="en-US" w:eastAsia="zh-CN"/>
                    </w:rPr>
                  </w:pPr>
                </w:p>
              </w:tc>
              <w:tc>
                <w:tcPr>
                  <w:tcW w:w="1541" w:type="dxa"/>
                  <w:gridSpan w:val="2"/>
                  <w:vAlign w:val="center"/>
                </w:tcPr>
                <w:p>
                  <w:pPr>
                    <w:pStyle w:val="86"/>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综合楼</w:t>
                  </w:r>
                </w:p>
              </w:tc>
              <w:tc>
                <w:tcPr>
                  <w:tcW w:w="4572" w:type="dxa"/>
                  <w:vAlign w:val="center"/>
                </w:tcPr>
                <w:p>
                  <w:pPr>
                    <w:pStyle w:val="86"/>
                    <w:spacing w:line="240" w:lineRule="auto"/>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依托现有厂区综合楼，建筑面积</w:t>
                  </w:r>
                  <w:r>
                    <w:rPr>
                      <w:rFonts w:hint="eastAsia" w:ascii="Times New Roman" w:hAnsi="Times New Roman" w:eastAsia="宋体" w:cs="Times New Roman"/>
                      <w:color w:val="auto"/>
                      <w:kern w:val="0"/>
                      <w:sz w:val="21"/>
                      <w:szCs w:val="21"/>
                      <w:lang w:val="en-US" w:eastAsia="zh-CN"/>
                    </w:rPr>
                    <w:t>1008</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用于</w:t>
                  </w:r>
                  <w:r>
                    <w:rPr>
                      <w:rFonts w:hint="eastAsia" w:ascii="Times New Roman" w:hAnsi="Times New Roman" w:eastAsia="宋体" w:cs="Times New Roman"/>
                      <w:color w:val="auto"/>
                      <w:sz w:val="21"/>
                      <w:szCs w:val="21"/>
                      <w:lang w:val="en-US" w:eastAsia="zh-CN"/>
                    </w:rPr>
                    <w:t>员工办公、食堂</w:t>
                  </w:r>
                </w:p>
              </w:tc>
              <w:tc>
                <w:tcPr>
                  <w:tcW w:w="983"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jc w:val="center"/>
                    <w:rPr>
                      <w:rFonts w:hint="eastAsia" w:ascii="Times New Roman" w:hAnsi="Times New Roman" w:eastAsia="宋体"/>
                      <w:color w:val="auto"/>
                      <w:sz w:val="21"/>
                      <w:szCs w:val="21"/>
                      <w:lang w:val="en-US" w:eastAsia="zh-CN"/>
                    </w:rPr>
                  </w:pPr>
                </w:p>
              </w:tc>
              <w:tc>
                <w:tcPr>
                  <w:tcW w:w="1541" w:type="dxa"/>
                  <w:gridSpan w:val="2"/>
                  <w:vAlign w:val="center"/>
                </w:tcPr>
                <w:p>
                  <w:pPr>
                    <w:pStyle w:val="86"/>
                    <w:spacing w:line="240" w:lineRule="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门卫室</w:t>
                  </w:r>
                </w:p>
              </w:tc>
              <w:tc>
                <w:tcPr>
                  <w:tcW w:w="4572" w:type="dxa"/>
                  <w:vAlign w:val="center"/>
                </w:tcPr>
                <w:p>
                  <w:pPr>
                    <w:pStyle w:val="86"/>
                    <w:spacing w:line="240" w:lineRule="auto"/>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依托现有厂区</w:t>
                  </w:r>
                  <w:r>
                    <w:rPr>
                      <w:rFonts w:hint="default" w:ascii="Times New Roman" w:hAnsi="Times New Roman" w:eastAsia="宋体" w:cs="Times New Roman"/>
                      <w:color w:val="auto"/>
                      <w:sz w:val="21"/>
                      <w:szCs w:val="21"/>
                    </w:rPr>
                    <w:t>门卫室</w:t>
                  </w:r>
                  <w:r>
                    <w:rPr>
                      <w:rFonts w:hint="eastAsia" w:ascii="Times New Roman" w:hAnsi="Times New Roman" w:eastAsia="宋体" w:cs="Times New Roman"/>
                      <w:color w:val="auto"/>
                      <w:sz w:val="21"/>
                      <w:szCs w:val="21"/>
                      <w:lang w:eastAsia="zh-CN"/>
                    </w:rPr>
                    <w:t>，建筑面积17.15</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983"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02" w:type="dxa"/>
                  <w:vMerge w:val="restart"/>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700" w:type="dxa"/>
                  <w:vMerge w:val="restart"/>
                  <w:vAlign w:val="center"/>
                </w:tcPr>
                <w:p>
                  <w:pPr>
                    <w:pStyle w:val="60"/>
                    <w:spacing w:line="240" w:lineRule="auto"/>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依托工程</w:t>
                  </w:r>
                </w:p>
              </w:tc>
              <w:tc>
                <w:tcPr>
                  <w:tcW w:w="1541" w:type="dxa"/>
                  <w:gridSpan w:val="2"/>
                  <w:vAlign w:val="center"/>
                </w:tcPr>
                <w:p>
                  <w:pPr>
                    <w:pStyle w:val="86"/>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园林绿化营养土发酵生产线</w:t>
                  </w:r>
                </w:p>
              </w:tc>
              <w:tc>
                <w:tcPr>
                  <w:tcW w:w="4572" w:type="dxa"/>
                  <w:vAlign w:val="center"/>
                </w:tcPr>
                <w:p>
                  <w:pPr>
                    <w:pStyle w:val="86"/>
                    <w:spacing w:line="240" w:lineRule="auto"/>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依托现有园林绿化营养土发酵生产线，位于现有发酵及成品车间内，</w:t>
                  </w:r>
                  <w:r>
                    <w:rPr>
                      <w:rFonts w:hint="eastAsia" w:ascii="Times New Roman" w:hAnsi="Times New Roman" w:eastAsia="宋体" w:cs="Times New Roman"/>
                      <w:color w:val="auto"/>
                      <w:kern w:val="0"/>
                      <w:sz w:val="21"/>
                      <w:szCs w:val="21"/>
                      <w:lang w:val="en-US" w:eastAsia="zh-CN"/>
                    </w:rPr>
                    <w:t>1F/-1F，-1F为鼓风机房及消防泵房等，1F为进料、混料、发酵、成品车间，</w:t>
                  </w:r>
                  <w:r>
                    <w:rPr>
                      <w:rFonts w:hint="eastAsia" w:ascii="Times New Roman" w:hAnsi="Times New Roman" w:eastAsia="宋体" w:cs="Times New Roman"/>
                      <w:color w:val="auto"/>
                      <w:kern w:val="2"/>
                      <w:sz w:val="21"/>
                      <w:szCs w:val="21"/>
                      <w:lang w:val="en-US" w:eastAsia="zh-CN" w:bidi="ar-SA"/>
                    </w:rPr>
                    <w:t>总占地面积3520.96</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kern w:val="2"/>
                      <w:sz w:val="21"/>
                      <w:szCs w:val="21"/>
                      <w:lang w:val="en-US" w:eastAsia="zh-CN" w:bidi="ar-SA"/>
                    </w:rPr>
                    <w:t>，总建筑面积3965.94</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；采用高温好氧发酵工艺，</w:t>
                  </w:r>
                  <w:r>
                    <w:rPr>
                      <w:rFonts w:hint="eastAsia" w:ascii="Times New Roman" w:hAnsi="Times New Roman" w:eastAsia="宋体" w:cs="Times New Roman"/>
                      <w:color w:val="auto"/>
                      <w:kern w:val="2"/>
                      <w:sz w:val="21"/>
                      <w:szCs w:val="21"/>
                      <w:lang w:val="en-US" w:eastAsia="zh-CN" w:bidi="ar-SA"/>
                    </w:rPr>
                    <w:t>生产线主要包含进料、混料、布料、发酵、出料、成品堆放等环节；生产线主要设备设施：污泥料仓、返混料仓、辅料料仓、混料机、布料机、输送机、发酵槽等，设备内设有自动控制系统，进行自动鼓风、翻抛和输送。该条生产线发酵区设置有5个发酵槽，单槽尺寸为长×宽×高=64×5×2.2m，本项目采用污泥、菌包、秸秆、木屑共同发酵，原辅料采用混料机初步混料，再由布料机在发酵区均匀布料，然后采用翻抛机对混合料进行翻抛发酵，每天翻抛1次，每次翻抛将物料往出料方向移动约4.27m，堆料高度为2.2m，污泥发酵天数约为15d，发酵过程中温度为55~70℃，污泥发酵后含水率为40%。</w:t>
                  </w:r>
                </w:p>
              </w:tc>
              <w:tc>
                <w:tcPr>
                  <w:tcW w:w="983" w:type="dxa"/>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jc w:val="center"/>
                    <w:rPr>
                      <w:rFonts w:hint="eastAsia" w:ascii="Times New Roman" w:hAnsi="Times New Roman" w:eastAsia="宋体"/>
                      <w:color w:val="auto"/>
                      <w:sz w:val="21"/>
                      <w:szCs w:val="21"/>
                      <w:lang w:val="en-US" w:eastAsia="zh-CN"/>
                    </w:rPr>
                  </w:pPr>
                </w:p>
              </w:tc>
              <w:tc>
                <w:tcPr>
                  <w:tcW w:w="1541" w:type="dxa"/>
                  <w:gridSpan w:val="2"/>
                  <w:vAlign w:val="center"/>
                </w:tcPr>
                <w:p>
                  <w:pPr>
                    <w:pStyle w:val="86"/>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成品区</w:t>
                  </w:r>
                </w:p>
              </w:tc>
              <w:tc>
                <w:tcPr>
                  <w:tcW w:w="4572" w:type="dxa"/>
                  <w:vAlign w:val="center"/>
                </w:tcPr>
                <w:p>
                  <w:pPr>
                    <w:pStyle w:val="86"/>
                    <w:spacing w:line="240" w:lineRule="auto"/>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位于发酵及成品车间内西北侧，</w:t>
                  </w:r>
                  <w:r>
                    <w:rPr>
                      <w:rFonts w:hint="eastAsia" w:ascii="Times New Roman" w:hAnsi="Times New Roman" w:eastAsia="宋体" w:cs="Times New Roman"/>
                      <w:color w:val="auto"/>
                      <w:kern w:val="2"/>
                      <w:sz w:val="21"/>
                      <w:szCs w:val="21"/>
                      <w:lang w:val="en-US" w:eastAsia="zh-CN" w:bidi="ar-SA"/>
                    </w:rPr>
                    <w:t>建筑面积591.65</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设置1套筛分系统，包括投料仓、输送带、筛分机等，用于成品筛分、储存</w:t>
                  </w:r>
                </w:p>
              </w:tc>
              <w:tc>
                <w:tcPr>
                  <w:tcW w:w="983" w:type="dxa"/>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02" w:type="dxa"/>
                  <w:vMerge w:val="restart"/>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700" w:type="dxa"/>
                  <w:vMerge w:val="restart"/>
                  <w:vAlign w:val="center"/>
                </w:tcPr>
                <w:p>
                  <w:pPr>
                    <w:pStyle w:val="60"/>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储运工程</w:t>
                  </w:r>
                </w:p>
              </w:tc>
              <w:tc>
                <w:tcPr>
                  <w:tcW w:w="450" w:type="dxa"/>
                  <w:vMerge w:val="restart"/>
                  <w:vAlign w:val="center"/>
                </w:tcPr>
                <w:p>
                  <w:pPr>
                    <w:pStyle w:val="60"/>
                    <w:spacing w:line="240" w:lineRule="auto"/>
                    <w:ind w:left="0" w:leftChars="0" w:firstLine="0" w:firstLineChars="0"/>
                    <w:jc w:val="both"/>
                    <w:rPr>
                      <w:rFonts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原</w:t>
                  </w:r>
                  <w:r>
                    <w:rPr>
                      <w:rFonts w:ascii="Times New Roman" w:hAnsi="Times New Roman" w:eastAsia="宋体" w:cs="Times New Roman"/>
                      <w:color w:val="auto"/>
                      <w:sz w:val="21"/>
                      <w:szCs w:val="21"/>
                    </w:rPr>
                    <w:t>料堆场</w:t>
                  </w:r>
                </w:p>
              </w:tc>
              <w:tc>
                <w:tcPr>
                  <w:tcW w:w="1091" w:type="dxa"/>
                  <w:vAlign w:val="center"/>
                </w:tcPr>
                <w:p>
                  <w:pPr>
                    <w:pStyle w:val="86"/>
                    <w:spacing w:line="240" w:lineRule="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污水池</w:t>
                  </w:r>
                </w:p>
              </w:tc>
              <w:tc>
                <w:tcPr>
                  <w:tcW w:w="4572" w:type="dxa"/>
                  <w:vAlign w:val="center"/>
                </w:tcPr>
                <w:p>
                  <w:pPr>
                    <w:pStyle w:val="86"/>
                    <w:spacing w:line="240" w:lineRule="auto"/>
                    <w:jc w:val="left"/>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设置2个污水池，</w:t>
                  </w:r>
                  <w:r>
                    <w:rPr>
                      <w:rFonts w:hint="eastAsia" w:ascii="Times New Roman" w:hAnsi="Times New Roman" w:eastAsia="宋体" w:cs="Times New Roman"/>
                      <w:color w:val="auto"/>
                      <w:sz w:val="21"/>
                      <w:szCs w:val="21"/>
                      <w:lang w:eastAsia="zh-CN"/>
                    </w:rPr>
                    <w:t>长宽高尺寸</w:t>
                  </w:r>
                  <w:r>
                    <w:rPr>
                      <w:rFonts w:hint="eastAsia" w:ascii="Times New Roman" w:hAnsi="Times New Roman" w:eastAsia="宋体" w:cs="Times New Roman"/>
                      <w:color w:val="auto"/>
                      <w:sz w:val="21"/>
                      <w:szCs w:val="21"/>
                      <w:lang w:val="en-US" w:eastAsia="zh-CN"/>
                    </w:rPr>
                    <w:t>6.9</w:t>
                  </w:r>
                  <w:r>
                    <w:rPr>
                      <w:rFonts w:hint="default"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lang w:val="en-US" w:eastAsia="zh-CN"/>
                    </w:rPr>
                    <w:t>3.6</w:t>
                  </w:r>
                  <w:r>
                    <w:rPr>
                      <w:rFonts w:hint="default"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2m</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kern w:val="0"/>
                      <w:sz w:val="21"/>
                      <w:szCs w:val="21"/>
                      <w:lang w:val="en-US" w:eastAsia="zh-CN"/>
                    </w:rPr>
                    <w:t>单个容积约64.58</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kern w:val="0"/>
                      <w:sz w:val="21"/>
                      <w:szCs w:val="21"/>
                      <w:lang w:val="en-US" w:eastAsia="zh-CN"/>
                    </w:rPr>
                    <w:t>，总容积约为129.17</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kern w:val="0"/>
                      <w:sz w:val="21"/>
                      <w:szCs w:val="21"/>
                      <w:lang w:val="en-US" w:eastAsia="zh-CN"/>
                    </w:rPr>
                    <w:t>，用于收集污泥压滤脱水产生的废水</w:t>
                  </w:r>
                </w:p>
              </w:tc>
              <w:tc>
                <w:tcPr>
                  <w:tcW w:w="983"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jc w:val="center"/>
                    <w:rPr>
                      <w:rFonts w:ascii="Times New Roman" w:hAnsi="Times New Roman" w:eastAsia="宋体"/>
                      <w:color w:val="auto"/>
                      <w:sz w:val="21"/>
                      <w:szCs w:val="21"/>
                    </w:rPr>
                  </w:pPr>
                </w:p>
              </w:tc>
              <w:tc>
                <w:tcPr>
                  <w:tcW w:w="450" w:type="dxa"/>
                  <w:vMerge w:val="continue"/>
                  <w:vAlign w:val="center"/>
                </w:tcPr>
                <w:p>
                  <w:pPr>
                    <w:pStyle w:val="60"/>
                    <w:spacing w:line="240" w:lineRule="auto"/>
                    <w:ind w:firstLine="420" w:firstLineChars="200"/>
                    <w:jc w:val="center"/>
                    <w:rPr>
                      <w:rFonts w:ascii="Times New Roman" w:hAnsi="Times New Roman" w:eastAsia="宋体" w:cs="Times New Roman"/>
                      <w:color w:val="auto"/>
                      <w:kern w:val="2"/>
                      <w:sz w:val="21"/>
                      <w:szCs w:val="21"/>
                      <w:lang w:val="en-US" w:eastAsia="zh-CN" w:bidi="ar-SA"/>
                    </w:rPr>
                  </w:pPr>
                </w:p>
              </w:tc>
              <w:tc>
                <w:tcPr>
                  <w:tcW w:w="1091" w:type="dxa"/>
                  <w:vAlign w:val="center"/>
                </w:tcPr>
                <w:p>
                  <w:pPr>
                    <w:pStyle w:val="86"/>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污泥料仓</w:t>
                  </w:r>
                </w:p>
              </w:tc>
              <w:tc>
                <w:tcPr>
                  <w:tcW w:w="4572" w:type="dxa"/>
                  <w:vAlign w:val="center"/>
                </w:tcPr>
                <w:p>
                  <w:pPr>
                    <w:pStyle w:val="86"/>
                    <w:spacing w:line="240" w:lineRule="auto"/>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设置1个污泥料仓，位于</w:t>
                  </w:r>
                  <w:r>
                    <w:rPr>
                      <w:rFonts w:hint="eastAsia" w:ascii="Times New Roman" w:hAnsi="Times New Roman" w:eastAsia="宋体" w:cs="Times New Roman"/>
                      <w:color w:val="auto"/>
                      <w:kern w:val="2"/>
                      <w:sz w:val="21"/>
                      <w:szCs w:val="21"/>
                      <w:lang w:val="en-US" w:eastAsia="zh-CN" w:bidi="ar-SA"/>
                    </w:rPr>
                    <w:t>湿污泥储存间</w:t>
                  </w:r>
                  <w:r>
                    <w:rPr>
                      <w:rFonts w:hint="eastAsia" w:ascii="Times New Roman" w:hAnsi="Times New Roman" w:eastAsia="宋体" w:cs="Times New Roman"/>
                      <w:color w:val="auto"/>
                      <w:sz w:val="21"/>
                      <w:szCs w:val="21"/>
                      <w:lang w:val="en-US" w:eastAsia="zh-CN"/>
                    </w:rPr>
                    <w:t>，容积为78m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，用于湿污泥中转储存</w:t>
                  </w:r>
                </w:p>
              </w:tc>
              <w:tc>
                <w:tcPr>
                  <w:tcW w:w="983"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jc w:val="center"/>
                    <w:rPr>
                      <w:rFonts w:ascii="Times New Roman" w:hAnsi="Times New Roman" w:eastAsia="宋体"/>
                      <w:color w:val="auto"/>
                      <w:sz w:val="21"/>
                      <w:szCs w:val="21"/>
                    </w:rPr>
                  </w:pPr>
                </w:p>
              </w:tc>
              <w:tc>
                <w:tcPr>
                  <w:tcW w:w="450" w:type="dxa"/>
                  <w:vMerge w:val="continue"/>
                  <w:vAlign w:val="center"/>
                </w:tcPr>
                <w:p>
                  <w:pPr>
                    <w:pStyle w:val="60"/>
                    <w:spacing w:line="240" w:lineRule="auto"/>
                    <w:ind w:firstLine="420" w:firstLineChars="200"/>
                    <w:jc w:val="center"/>
                    <w:rPr>
                      <w:rFonts w:ascii="Times New Roman" w:hAnsi="Times New Roman" w:eastAsia="宋体" w:cs="Times New Roman"/>
                      <w:color w:val="auto"/>
                      <w:kern w:val="2"/>
                      <w:sz w:val="21"/>
                      <w:szCs w:val="21"/>
                      <w:lang w:val="en-US" w:eastAsia="zh-CN" w:bidi="ar-SA"/>
                    </w:rPr>
                  </w:pPr>
                </w:p>
              </w:tc>
              <w:tc>
                <w:tcPr>
                  <w:tcW w:w="1091" w:type="dxa"/>
                  <w:vAlign w:val="center"/>
                </w:tcPr>
                <w:p>
                  <w:pPr>
                    <w:pStyle w:val="86"/>
                    <w:spacing w:line="24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辅料储存区</w:t>
                  </w:r>
                </w:p>
              </w:tc>
              <w:tc>
                <w:tcPr>
                  <w:tcW w:w="4572" w:type="dxa"/>
                  <w:vAlign w:val="center"/>
                </w:tcPr>
                <w:p>
                  <w:pPr>
                    <w:pStyle w:val="86"/>
                    <w:spacing w:line="240" w:lineRule="auto"/>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设置1个辅料储存区，位于</w:t>
                  </w:r>
                  <w:r>
                    <w:rPr>
                      <w:rFonts w:hint="eastAsia" w:ascii="Times New Roman" w:hAnsi="Times New Roman" w:eastAsia="宋体" w:cs="Times New Roman"/>
                      <w:color w:val="auto"/>
                      <w:kern w:val="0"/>
                      <w:sz w:val="21"/>
                      <w:szCs w:val="21"/>
                      <w:lang w:val="en-US" w:eastAsia="zh-CN"/>
                    </w:rPr>
                    <w:t>发酵及成品车间进料区北侧区域，建筑面积约75</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kern w:val="0"/>
                      <w:sz w:val="21"/>
                      <w:szCs w:val="21"/>
                      <w:lang w:val="en-US" w:eastAsia="zh-CN"/>
                    </w:rPr>
                    <w:t>，用于储存秸秆、木屑和菌包等辅料</w:t>
                  </w:r>
                </w:p>
              </w:tc>
              <w:tc>
                <w:tcPr>
                  <w:tcW w:w="983"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jc w:val="center"/>
                    <w:rPr>
                      <w:rFonts w:ascii="Times New Roman" w:hAnsi="Times New Roman" w:eastAsia="宋体"/>
                      <w:color w:val="auto"/>
                      <w:sz w:val="21"/>
                      <w:szCs w:val="21"/>
                    </w:rPr>
                  </w:pPr>
                </w:p>
              </w:tc>
              <w:tc>
                <w:tcPr>
                  <w:tcW w:w="450" w:type="dxa"/>
                  <w:vMerge w:val="continue"/>
                  <w:vAlign w:val="center"/>
                </w:tcPr>
                <w:p>
                  <w:pPr>
                    <w:pStyle w:val="60"/>
                    <w:spacing w:line="240" w:lineRule="auto"/>
                    <w:ind w:firstLine="420" w:firstLineChars="200"/>
                    <w:jc w:val="center"/>
                    <w:rPr>
                      <w:rFonts w:ascii="Times New Roman" w:hAnsi="Times New Roman" w:eastAsia="宋体" w:cs="Times New Roman"/>
                      <w:color w:val="auto"/>
                      <w:kern w:val="2"/>
                      <w:sz w:val="21"/>
                      <w:szCs w:val="21"/>
                      <w:lang w:val="en-US" w:eastAsia="zh-CN" w:bidi="ar-SA"/>
                    </w:rPr>
                  </w:pPr>
                </w:p>
              </w:tc>
              <w:tc>
                <w:tcPr>
                  <w:tcW w:w="1091" w:type="dxa"/>
                  <w:vAlign w:val="center"/>
                </w:tcPr>
                <w:p>
                  <w:pPr>
                    <w:pStyle w:val="86"/>
                    <w:spacing w:line="24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干污泥储存区</w:t>
                  </w:r>
                </w:p>
              </w:tc>
              <w:tc>
                <w:tcPr>
                  <w:tcW w:w="4572" w:type="dxa"/>
                  <w:vAlign w:val="center"/>
                </w:tcPr>
                <w:p>
                  <w:pPr>
                    <w:pStyle w:val="86"/>
                    <w:spacing w:line="240" w:lineRule="auto"/>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设置1个干污泥储存区，位于辅料储存区旁边，建筑面积</w:t>
                  </w:r>
                  <w:r>
                    <w:rPr>
                      <w:rFonts w:hint="eastAsia" w:ascii="Times New Roman" w:hAnsi="Times New Roman" w:eastAsia="宋体" w:cs="Times New Roman"/>
                      <w:color w:val="auto"/>
                      <w:kern w:val="0"/>
                      <w:sz w:val="21"/>
                      <w:szCs w:val="21"/>
                      <w:lang w:val="en-US" w:eastAsia="zh-CN"/>
                    </w:rPr>
                    <w:t>约75</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，用于储存脱水后干污泥</w:t>
                  </w:r>
                </w:p>
              </w:tc>
              <w:tc>
                <w:tcPr>
                  <w:tcW w:w="983"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jc w:val="center"/>
                    <w:rPr>
                      <w:rFonts w:ascii="Times New Roman" w:hAnsi="Times New Roman" w:eastAsia="宋体"/>
                      <w:color w:val="auto"/>
                      <w:sz w:val="21"/>
                      <w:szCs w:val="21"/>
                    </w:rPr>
                  </w:pPr>
                </w:p>
              </w:tc>
              <w:tc>
                <w:tcPr>
                  <w:tcW w:w="450" w:type="dxa"/>
                  <w:vMerge w:val="continue"/>
                  <w:vAlign w:val="center"/>
                </w:tcPr>
                <w:p>
                  <w:pPr>
                    <w:pStyle w:val="60"/>
                    <w:spacing w:line="240" w:lineRule="auto"/>
                    <w:ind w:firstLine="420" w:firstLineChars="200"/>
                    <w:jc w:val="center"/>
                    <w:rPr>
                      <w:rFonts w:ascii="Times New Roman" w:hAnsi="Times New Roman" w:eastAsia="宋体" w:cs="Times New Roman"/>
                      <w:color w:val="auto"/>
                      <w:kern w:val="2"/>
                      <w:sz w:val="21"/>
                      <w:szCs w:val="21"/>
                      <w:lang w:val="en-US" w:eastAsia="zh-CN" w:bidi="ar-SA"/>
                    </w:rPr>
                  </w:pPr>
                </w:p>
              </w:tc>
              <w:tc>
                <w:tcPr>
                  <w:tcW w:w="1091" w:type="dxa"/>
                  <w:vAlign w:val="center"/>
                </w:tcPr>
                <w:p>
                  <w:pPr>
                    <w:pStyle w:val="86"/>
                    <w:spacing w:line="240" w:lineRule="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药剂罐</w:t>
                  </w:r>
                </w:p>
              </w:tc>
              <w:tc>
                <w:tcPr>
                  <w:tcW w:w="4572" w:type="dxa"/>
                  <w:vAlign w:val="center"/>
                </w:tcPr>
                <w:p>
                  <w:pPr>
                    <w:pStyle w:val="86"/>
                    <w:spacing w:line="240" w:lineRule="auto"/>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2"/>
                      <w:sz w:val="21"/>
                      <w:szCs w:val="21"/>
                      <w:lang w:val="en-US" w:eastAsia="zh-CN" w:bidi="ar-SA"/>
                    </w:rPr>
                    <w:t>设置1套药剂</w:t>
                  </w:r>
                  <w:r>
                    <w:rPr>
                      <w:rFonts w:hint="eastAsia" w:ascii="Times New Roman" w:hAnsi="Times New Roman" w:eastAsia="宋体" w:cs="Times New Roman"/>
                      <w:color w:val="auto"/>
                      <w:kern w:val="0"/>
                      <w:sz w:val="21"/>
                      <w:szCs w:val="21"/>
                      <w:lang w:val="en-US" w:eastAsia="zh-CN"/>
                    </w:rPr>
                    <w:t>罐</w:t>
                  </w:r>
                  <w:r>
                    <w:rPr>
                      <w:rFonts w:hint="eastAsia" w:ascii="Times New Roman" w:hAnsi="Times New Roman" w:eastAsia="宋体" w:cs="Times New Roman"/>
                      <w:color w:val="auto"/>
                      <w:kern w:val="2"/>
                      <w:sz w:val="21"/>
                      <w:szCs w:val="21"/>
                      <w:lang w:val="en-US" w:eastAsia="zh-CN" w:bidi="ar-SA"/>
                    </w:rPr>
                    <w:t>，容积为30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kern w:val="2"/>
                      <w:sz w:val="21"/>
                      <w:szCs w:val="21"/>
                      <w:lang w:val="en-US" w:eastAsia="zh-CN" w:bidi="ar-SA"/>
                    </w:rPr>
                    <w:t>，位于湿污泥储存间内，用于储存</w:t>
                  </w:r>
                  <w:r>
                    <w:rPr>
                      <w:rFonts w:hint="eastAsia" w:ascii="Times New Roman" w:hAnsi="Times New Roman" w:eastAsia="宋体" w:cs="Times New Roman"/>
                      <w:color w:val="auto"/>
                      <w:sz w:val="21"/>
                      <w:szCs w:val="21"/>
                      <w:lang w:val="en-US" w:eastAsia="zh-CN"/>
                    </w:rPr>
                    <w:t>污泥改性剂</w:t>
                  </w:r>
                </w:p>
              </w:tc>
              <w:tc>
                <w:tcPr>
                  <w:tcW w:w="983"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jc w:val="center"/>
                    <w:rPr>
                      <w:rFonts w:ascii="Times New Roman" w:hAnsi="Times New Roman" w:eastAsia="宋体"/>
                      <w:color w:val="auto"/>
                      <w:sz w:val="21"/>
                      <w:szCs w:val="21"/>
                    </w:rPr>
                  </w:pPr>
                </w:p>
              </w:tc>
              <w:tc>
                <w:tcPr>
                  <w:tcW w:w="450" w:type="dxa"/>
                  <w:vMerge w:val="restart"/>
                  <w:vAlign w:val="center"/>
                </w:tcPr>
                <w:p>
                  <w:pPr>
                    <w:autoSpaceDE w:val="0"/>
                    <w:autoSpaceDN w:val="0"/>
                    <w:adjustRightInd w:val="0"/>
                    <w:snapToGrid w:val="0"/>
                    <w:spacing w:line="240" w:lineRule="auto"/>
                    <w:jc w:val="left"/>
                    <w:rPr>
                      <w:rFonts w:ascii="Times New Roman" w:hAnsi="Times New Roman" w:eastAsia="宋体" w:cs="Times New Roman"/>
                      <w:color w:val="auto"/>
                      <w:sz w:val="21"/>
                      <w:szCs w:val="21"/>
                    </w:rPr>
                  </w:pPr>
                  <w:r>
                    <w:rPr>
                      <w:rFonts w:hint="eastAsia" w:ascii="Times New Roman" w:hAnsi="Times New Roman" w:eastAsia="宋体"/>
                      <w:color w:val="auto"/>
                      <w:sz w:val="21"/>
                      <w:szCs w:val="21"/>
                    </w:rPr>
                    <w:t>原</w:t>
                  </w:r>
                  <w:r>
                    <w:rPr>
                      <w:rFonts w:ascii="Times New Roman" w:hAnsi="Times New Roman" w:eastAsia="宋体"/>
                      <w:color w:val="auto"/>
                      <w:sz w:val="21"/>
                      <w:szCs w:val="21"/>
                    </w:rPr>
                    <w:t>料运输</w:t>
                  </w:r>
                </w:p>
              </w:tc>
              <w:tc>
                <w:tcPr>
                  <w:tcW w:w="1091" w:type="dxa"/>
                  <w:vAlign w:val="center"/>
                </w:tcPr>
                <w:p>
                  <w:pPr>
                    <w:pStyle w:val="6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场外运输</w:t>
                  </w:r>
                </w:p>
              </w:tc>
              <w:tc>
                <w:tcPr>
                  <w:tcW w:w="4572" w:type="dxa"/>
                  <w:vAlign w:val="center"/>
                </w:tcPr>
                <w:p>
                  <w:pPr>
                    <w:adjustRightInd w:val="0"/>
                    <w:snapToGrid w:val="0"/>
                    <w:spacing w:line="240" w:lineRule="auto"/>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湿</w:t>
                  </w:r>
                  <w:r>
                    <w:rPr>
                      <w:rFonts w:ascii="Times New Roman" w:hAnsi="Times New Roman" w:eastAsia="宋体" w:cs="Times New Roman"/>
                      <w:color w:val="auto"/>
                      <w:sz w:val="21"/>
                      <w:szCs w:val="21"/>
                    </w:rPr>
                    <w:t>污泥由</w:t>
                  </w:r>
                  <w:r>
                    <w:rPr>
                      <w:rFonts w:hint="eastAsia" w:ascii="Times New Roman" w:hAnsi="Times New Roman" w:eastAsia="宋体" w:cs="Times New Roman"/>
                      <w:color w:val="auto"/>
                      <w:sz w:val="21"/>
                      <w:szCs w:val="21"/>
                      <w:lang w:val="en-US" w:eastAsia="zh-CN"/>
                    </w:rPr>
                    <w:t>对应污水处理厂</w:t>
                  </w:r>
                  <w:r>
                    <w:rPr>
                      <w:rFonts w:hint="eastAsia" w:ascii="Times New Roman" w:hAnsi="Times New Roman" w:eastAsia="宋体" w:cs="Times New Roman"/>
                      <w:color w:val="auto"/>
                      <w:sz w:val="21"/>
                      <w:szCs w:val="21"/>
                      <w:lang w:eastAsia="zh-CN"/>
                    </w:rPr>
                    <w:t>负责</w:t>
                  </w:r>
                  <w:r>
                    <w:rPr>
                      <w:rFonts w:ascii="Times New Roman" w:hAnsi="Times New Roman" w:eastAsia="宋体" w:cs="Times New Roman"/>
                      <w:color w:val="auto"/>
                      <w:sz w:val="21"/>
                      <w:szCs w:val="21"/>
                    </w:rPr>
                    <w:t>运输</w:t>
                  </w:r>
                  <w:r>
                    <w:rPr>
                      <w:rFonts w:hint="eastAsia" w:ascii="Times New Roman" w:hAnsi="Times New Roman" w:eastAsia="宋体" w:cs="Times New Roman"/>
                      <w:color w:val="auto"/>
                      <w:sz w:val="21"/>
                      <w:szCs w:val="21"/>
                      <w:lang w:eastAsia="zh-CN"/>
                    </w:rPr>
                    <w:t>至厂区</w:t>
                  </w:r>
                </w:p>
              </w:tc>
              <w:tc>
                <w:tcPr>
                  <w:tcW w:w="983"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jc w:val="center"/>
                    <w:rPr>
                      <w:rFonts w:ascii="Times New Roman" w:hAnsi="Times New Roman" w:eastAsia="宋体"/>
                      <w:color w:val="auto"/>
                      <w:sz w:val="21"/>
                      <w:szCs w:val="21"/>
                    </w:rPr>
                  </w:pPr>
                </w:p>
              </w:tc>
              <w:tc>
                <w:tcPr>
                  <w:tcW w:w="450" w:type="dxa"/>
                  <w:vMerge w:val="continue"/>
                  <w:vAlign w:val="center"/>
                </w:tcPr>
                <w:p>
                  <w:pPr>
                    <w:autoSpaceDE w:val="0"/>
                    <w:autoSpaceDN w:val="0"/>
                    <w:adjustRightInd w:val="0"/>
                    <w:snapToGrid w:val="0"/>
                    <w:spacing w:line="240" w:lineRule="auto"/>
                    <w:jc w:val="left"/>
                    <w:rPr>
                      <w:rFonts w:ascii="Times New Roman" w:hAnsi="Times New Roman" w:eastAsia="宋体" w:cs="Times New Roman"/>
                      <w:color w:val="auto"/>
                      <w:sz w:val="21"/>
                      <w:szCs w:val="21"/>
                    </w:rPr>
                  </w:pPr>
                </w:p>
              </w:tc>
              <w:tc>
                <w:tcPr>
                  <w:tcW w:w="1091" w:type="dxa"/>
                  <w:vAlign w:val="center"/>
                </w:tcPr>
                <w:p>
                  <w:pPr>
                    <w:pStyle w:val="6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场内运输</w:t>
                  </w:r>
                </w:p>
              </w:tc>
              <w:tc>
                <w:tcPr>
                  <w:tcW w:w="4572" w:type="dxa"/>
                  <w:vAlign w:val="center"/>
                </w:tcPr>
                <w:p>
                  <w:pPr>
                    <w:adjustRightInd w:val="0"/>
                    <w:snapToGrid w:val="0"/>
                    <w:spacing w:line="240" w:lineRule="auto"/>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脱水后污泥采用皮带</w:t>
                  </w:r>
                  <w:r>
                    <w:rPr>
                      <w:rFonts w:ascii="Times New Roman" w:hAnsi="Times New Roman" w:eastAsia="宋体" w:cs="Times New Roman"/>
                      <w:color w:val="auto"/>
                      <w:sz w:val="21"/>
                      <w:szCs w:val="21"/>
                    </w:rPr>
                    <w:t>运输</w:t>
                  </w:r>
                  <w:r>
                    <w:rPr>
                      <w:rFonts w:hint="eastAsia" w:ascii="Times New Roman" w:hAnsi="Times New Roman" w:eastAsia="宋体" w:cs="Times New Roman"/>
                      <w:color w:val="auto"/>
                      <w:sz w:val="21"/>
                      <w:szCs w:val="21"/>
                      <w:lang w:eastAsia="zh-CN"/>
                    </w:rPr>
                    <w:t>至发酵及成品车间，用于发酵生产营养土</w:t>
                  </w:r>
                </w:p>
              </w:tc>
              <w:tc>
                <w:tcPr>
                  <w:tcW w:w="983" w:type="dxa"/>
                  <w:vAlign w:val="center"/>
                </w:tcPr>
                <w:p>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02" w:type="dxa"/>
                  <w:vMerge w:val="restart"/>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p>
              </w:tc>
              <w:tc>
                <w:tcPr>
                  <w:tcW w:w="700" w:type="dxa"/>
                  <w:vMerge w:val="restart"/>
                  <w:vAlign w:val="center"/>
                </w:tcPr>
                <w:p>
                  <w:pPr>
                    <w:pStyle w:val="60"/>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公用工程</w:t>
                  </w:r>
                </w:p>
              </w:tc>
              <w:tc>
                <w:tcPr>
                  <w:tcW w:w="1541" w:type="dxa"/>
                  <w:gridSpan w:val="2"/>
                  <w:vAlign w:val="center"/>
                </w:tcPr>
                <w:p>
                  <w:pPr>
                    <w:pStyle w:val="86"/>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供水</w:t>
                  </w:r>
                </w:p>
              </w:tc>
              <w:tc>
                <w:tcPr>
                  <w:tcW w:w="4572" w:type="dxa"/>
                  <w:vAlign w:val="center"/>
                </w:tcPr>
                <w:p>
                  <w:pPr>
                    <w:pStyle w:val="86"/>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厂区给水主要来自于周边市政供水干管，用于生活、生产及消防</w:t>
                  </w:r>
                </w:p>
              </w:tc>
              <w:tc>
                <w:tcPr>
                  <w:tcW w:w="983" w:type="dxa"/>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rPr>
                      <w:rFonts w:ascii="Times New Roman" w:hAnsi="Times New Roman" w:eastAsia="宋体"/>
                      <w:color w:val="auto"/>
                      <w:sz w:val="21"/>
                      <w:szCs w:val="21"/>
                    </w:rPr>
                  </w:pPr>
                </w:p>
              </w:tc>
              <w:tc>
                <w:tcPr>
                  <w:tcW w:w="1541" w:type="dxa"/>
                  <w:gridSpan w:val="2"/>
                  <w:vAlign w:val="center"/>
                </w:tcPr>
                <w:p>
                  <w:pPr>
                    <w:pStyle w:val="86"/>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排水</w:t>
                  </w:r>
                </w:p>
              </w:tc>
              <w:tc>
                <w:tcPr>
                  <w:tcW w:w="4572" w:type="dxa"/>
                  <w:vAlign w:val="center"/>
                </w:tcPr>
                <w:p>
                  <w:pPr>
                    <w:pStyle w:val="86"/>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采取雨污分流制，</w:t>
                  </w:r>
                  <w:r>
                    <w:rPr>
                      <w:rFonts w:hint="default" w:ascii="Times New Roman" w:hAnsi="Times New Roman" w:eastAsia="宋体" w:cs="Times New Roman"/>
                      <w:color w:val="auto"/>
                      <w:sz w:val="21"/>
                      <w:szCs w:val="21"/>
                    </w:rPr>
                    <w:t>雨水</w:t>
                  </w:r>
                  <w:r>
                    <w:rPr>
                      <w:rFonts w:hint="eastAsia" w:ascii="Times New Roman" w:hAnsi="Times New Roman" w:eastAsia="宋体" w:cs="Times New Roman"/>
                      <w:color w:val="auto"/>
                      <w:sz w:val="21"/>
                      <w:szCs w:val="21"/>
                      <w:lang w:eastAsia="zh-CN"/>
                    </w:rPr>
                    <w:t>依托</w:t>
                  </w:r>
                  <w:r>
                    <w:rPr>
                      <w:rFonts w:hint="default" w:ascii="Times New Roman" w:hAnsi="Times New Roman" w:eastAsia="宋体" w:cs="Times New Roman"/>
                      <w:color w:val="auto"/>
                      <w:sz w:val="21"/>
                      <w:szCs w:val="21"/>
                      <w:lang w:eastAsia="zh-CN"/>
                    </w:rPr>
                    <w:t>厂区雨水管网收集后排入厂外雨水沟；</w:t>
                  </w:r>
                  <w:r>
                    <w:rPr>
                      <w:rFonts w:hint="default" w:ascii="Times New Roman" w:hAnsi="Times New Roman" w:eastAsia="宋体" w:cs="Times New Roman"/>
                      <w:color w:val="auto"/>
                      <w:sz w:val="21"/>
                      <w:szCs w:val="21"/>
                      <w:lang w:val="en-US" w:eastAsia="zh-CN"/>
                    </w:rPr>
                    <w:t>设备清洗废水与污泥压滤废水一并采用专用罐车运至</w:t>
                  </w:r>
                  <w:r>
                    <w:rPr>
                      <w:rFonts w:hint="eastAsia" w:ascii="Times New Roman" w:hAnsi="Times New Roman" w:eastAsia="宋体" w:cs="Times New Roman"/>
                      <w:color w:val="auto"/>
                      <w:sz w:val="21"/>
                      <w:szCs w:val="21"/>
                      <w:lang w:val="en-US" w:eastAsia="zh-CN"/>
                    </w:rPr>
                    <w:t>重庆铜梁城区污水处理厂</w:t>
                  </w:r>
                  <w:r>
                    <w:rPr>
                      <w:rFonts w:hint="default" w:ascii="Times New Roman" w:hAnsi="Times New Roman" w:eastAsia="宋体" w:cs="Times New Roman"/>
                      <w:color w:val="auto"/>
                      <w:sz w:val="21"/>
                      <w:szCs w:val="21"/>
                      <w:lang w:val="en-US" w:eastAsia="zh-CN"/>
                    </w:rPr>
                    <w:t>处理达标后排入市政污水管网</w:t>
                  </w:r>
                </w:p>
              </w:tc>
              <w:tc>
                <w:tcPr>
                  <w:tcW w:w="983" w:type="dxa"/>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依托</w:t>
                  </w:r>
                  <w:r>
                    <w:rPr>
                      <w:rFonts w:hint="eastAsia" w:ascii="Times New Roman" w:hAnsi="Times New Roman" w:eastAsia="宋体"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rPr>
                      <w:rFonts w:ascii="Times New Roman" w:hAnsi="Times New Roman" w:eastAsia="宋体"/>
                      <w:color w:val="auto"/>
                      <w:sz w:val="21"/>
                      <w:szCs w:val="21"/>
                    </w:rPr>
                  </w:pPr>
                </w:p>
              </w:tc>
              <w:tc>
                <w:tcPr>
                  <w:tcW w:w="1541" w:type="dxa"/>
                  <w:gridSpan w:val="2"/>
                  <w:vAlign w:val="center"/>
                </w:tcPr>
                <w:p>
                  <w:pPr>
                    <w:pStyle w:val="86"/>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供电</w:t>
                  </w:r>
                </w:p>
              </w:tc>
              <w:tc>
                <w:tcPr>
                  <w:tcW w:w="4572" w:type="dxa"/>
                  <w:vAlign w:val="center"/>
                </w:tcPr>
                <w:p>
                  <w:pPr>
                    <w:pStyle w:val="86"/>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lang w:eastAsia="zh-CN"/>
                    </w:rPr>
                    <w:t>市</w:t>
                  </w:r>
                  <w:r>
                    <w:rPr>
                      <w:rFonts w:hint="default" w:ascii="Times New Roman" w:hAnsi="Times New Roman" w:eastAsia="宋体" w:cs="Times New Roman"/>
                      <w:color w:val="auto"/>
                      <w:sz w:val="21"/>
                      <w:szCs w:val="21"/>
                      <w:lang w:val="en-US" w:eastAsia="zh-CN"/>
                    </w:rPr>
                    <w:t>政</w:t>
                  </w:r>
                  <w:r>
                    <w:rPr>
                      <w:rFonts w:hint="default" w:ascii="Times New Roman" w:hAnsi="Times New Roman" w:eastAsia="宋体" w:cs="Times New Roman"/>
                      <w:color w:val="auto"/>
                      <w:sz w:val="21"/>
                      <w:szCs w:val="21"/>
                    </w:rPr>
                    <w:t>供电</w:t>
                  </w:r>
                  <w:r>
                    <w:rPr>
                      <w:rFonts w:hint="default" w:ascii="Times New Roman" w:hAnsi="Times New Roman" w:eastAsia="宋体" w:cs="Times New Roman"/>
                      <w:color w:val="auto"/>
                      <w:sz w:val="21"/>
                      <w:szCs w:val="21"/>
                      <w:lang w:eastAsia="zh-CN"/>
                    </w:rPr>
                    <w:t>系统</w:t>
                  </w:r>
                  <w:r>
                    <w:rPr>
                      <w:rFonts w:hint="default" w:ascii="Times New Roman" w:hAnsi="Times New Roman" w:eastAsia="宋体" w:cs="Times New Roman"/>
                      <w:color w:val="auto"/>
                      <w:sz w:val="21"/>
                      <w:szCs w:val="21"/>
                      <w:lang w:val="en-US" w:eastAsia="zh-CN"/>
                    </w:rPr>
                    <w:t>供给</w:t>
                  </w:r>
                </w:p>
              </w:tc>
              <w:tc>
                <w:tcPr>
                  <w:tcW w:w="983" w:type="dxa"/>
                  <w:vAlign w:val="center"/>
                </w:tcPr>
                <w:p>
                  <w:pPr>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auto"/>
                      <w:sz w:val="21"/>
                      <w:szCs w:val="21"/>
                    </w:rPr>
                  </w:pPr>
                </w:p>
              </w:tc>
              <w:tc>
                <w:tcPr>
                  <w:tcW w:w="700" w:type="dxa"/>
                  <w:vMerge w:val="continue"/>
                  <w:vAlign w:val="center"/>
                </w:tcPr>
                <w:p>
                  <w:pPr>
                    <w:pStyle w:val="60"/>
                    <w:spacing w:line="240" w:lineRule="auto"/>
                    <w:ind w:firstLine="0" w:firstLineChars="0"/>
                    <w:jc w:val="center"/>
                    <w:rPr>
                      <w:rFonts w:ascii="Times New Roman" w:hAnsi="Times New Roman" w:eastAsia="宋体"/>
                      <w:color w:val="auto"/>
                      <w:sz w:val="21"/>
                      <w:szCs w:val="21"/>
                    </w:rPr>
                  </w:pPr>
                </w:p>
              </w:tc>
              <w:tc>
                <w:tcPr>
                  <w:tcW w:w="1541" w:type="dxa"/>
                  <w:gridSpan w:val="2"/>
                  <w:vAlign w:val="center"/>
                </w:tcPr>
                <w:p>
                  <w:pPr>
                    <w:pStyle w:val="86"/>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洗车</w:t>
                  </w:r>
                </w:p>
              </w:tc>
              <w:tc>
                <w:tcPr>
                  <w:tcW w:w="4572" w:type="dxa"/>
                  <w:vAlign w:val="center"/>
                </w:tcPr>
                <w:p>
                  <w:pPr>
                    <w:pStyle w:val="86"/>
                    <w:spacing w:line="240" w:lineRule="auto"/>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依托现有厂区洗车场地</w:t>
                  </w:r>
                </w:p>
              </w:tc>
              <w:tc>
                <w:tcPr>
                  <w:tcW w:w="983" w:type="dxa"/>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dxa"/>
                  <w:vMerge w:val="restart"/>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700" w:type="dxa"/>
                  <w:vMerge w:val="restart"/>
                  <w:vAlign w:val="center"/>
                </w:tcPr>
                <w:p>
                  <w:pPr>
                    <w:pStyle w:val="60"/>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环保工程</w:t>
                  </w:r>
                </w:p>
              </w:tc>
              <w:tc>
                <w:tcPr>
                  <w:tcW w:w="450" w:type="dxa"/>
                  <w:vMerge w:val="restart"/>
                  <w:vAlign w:val="center"/>
                </w:tcPr>
                <w:p>
                  <w:pPr>
                    <w:pStyle w:val="60"/>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废气</w:t>
                  </w:r>
                </w:p>
              </w:tc>
              <w:tc>
                <w:tcPr>
                  <w:tcW w:w="1091" w:type="dxa"/>
                  <w:vAlign w:val="center"/>
                </w:tcPr>
                <w:p>
                  <w:pPr>
                    <w:pStyle w:val="86"/>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污泥储存、破壁、脱水、干污泥储存等</w:t>
                  </w:r>
                  <w:r>
                    <w:rPr>
                      <w:rFonts w:hint="eastAsia" w:ascii="Times New Roman" w:hAnsi="Times New Roman" w:eastAsia="宋体" w:cs="Times New Roman"/>
                      <w:color w:val="auto"/>
                      <w:kern w:val="2"/>
                      <w:sz w:val="21"/>
                      <w:szCs w:val="21"/>
                      <w:lang w:val="zh-CN" w:eastAsia="zh-CN" w:bidi="ar-SA"/>
                    </w:rPr>
                    <w:t>臭气</w:t>
                  </w:r>
                </w:p>
              </w:tc>
              <w:tc>
                <w:tcPr>
                  <w:tcW w:w="4572" w:type="dxa"/>
                  <w:vAlign w:val="center"/>
                </w:tcPr>
                <w:p>
                  <w:pPr>
                    <w:pStyle w:val="86"/>
                    <w:spacing w:line="240" w:lineRule="auto"/>
                    <w:jc w:val="left"/>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污泥储存、破壁、脱水、干污泥储存臭气均依托现有1#除臭系统收集处理达标后通过1根15m高1#排气筒排放，</w:t>
                  </w:r>
                  <w:r>
                    <w:rPr>
                      <w:rFonts w:hint="eastAsia" w:ascii="Times New Roman" w:hAnsi="Times New Roman" w:eastAsia="宋体" w:cs="Times New Roman"/>
                      <w:color w:val="auto"/>
                      <w:sz w:val="21"/>
                      <w:szCs w:val="21"/>
                    </w:rPr>
                    <w:t>新建</w:t>
                  </w:r>
                  <w:r>
                    <w:rPr>
                      <w:rFonts w:hint="eastAsia" w:ascii="Times New Roman" w:hAnsi="Times New Roman" w:eastAsia="宋体" w:cs="Times New Roman"/>
                      <w:color w:val="auto"/>
                      <w:kern w:val="2"/>
                      <w:sz w:val="21"/>
                      <w:szCs w:val="21"/>
                      <w:lang w:val="en-US" w:eastAsia="zh-CN" w:bidi="ar-SA"/>
                    </w:rPr>
                    <w:t>污泥储存、破壁、脱水臭气收集管线，其他依托现有1#除臭系统</w:t>
                  </w:r>
                </w:p>
              </w:tc>
              <w:tc>
                <w:tcPr>
                  <w:tcW w:w="983" w:type="dxa"/>
                  <w:vAlign w:val="center"/>
                </w:tcPr>
                <w:p>
                  <w:pPr>
                    <w:adjustRightInd w:val="0"/>
                    <w:snapToGrid w:val="0"/>
                    <w:spacing w:line="240" w:lineRule="auto"/>
                    <w:jc w:val="center"/>
                    <w:rPr>
                      <w:rFonts w:ascii="Times New Roman" w:hAnsi="Times New Roman" w:eastAsia="宋体" w:cs="Times New Roman"/>
                      <w:color w:val="0000FF"/>
                      <w:kern w:val="2"/>
                      <w:sz w:val="21"/>
                      <w:szCs w:val="21"/>
                      <w:lang w:val="en-US" w:eastAsia="zh-CN" w:bidi="ar-SA"/>
                    </w:rPr>
                  </w:pPr>
                  <w:r>
                    <w:rPr>
                      <w:rFonts w:ascii="Times New Roman" w:hAnsi="Times New Roman" w:eastAsia="宋体" w:cs="Times New Roman"/>
                      <w:color w:val="auto"/>
                      <w:sz w:val="21"/>
                      <w:szCs w:val="21"/>
                    </w:rPr>
                    <w:t>依托</w:t>
                  </w:r>
                  <w:r>
                    <w:rPr>
                      <w:rFonts w:hint="eastAsia" w:ascii="Times New Roman" w:hAnsi="Times New Roman" w:eastAsia="宋体"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302" w:type="dxa"/>
                  <w:vMerge w:val="continue"/>
                  <w:vAlign w:val="center"/>
                </w:tcPr>
                <w:p>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700" w:type="dxa"/>
                  <w:vMerge w:val="continue"/>
                  <w:vAlign w:val="center"/>
                </w:tcPr>
                <w:p>
                  <w:pPr>
                    <w:pStyle w:val="60"/>
                    <w:spacing w:line="240" w:lineRule="auto"/>
                    <w:ind w:firstLine="0" w:firstLineChars="0"/>
                    <w:jc w:val="center"/>
                    <w:rPr>
                      <w:rFonts w:ascii="Times New Roman" w:hAnsi="Times New Roman" w:eastAsia="宋体"/>
                      <w:color w:val="auto"/>
                      <w:sz w:val="21"/>
                      <w:szCs w:val="21"/>
                    </w:rPr>
                  </w:pPr>
                </w:p>
              </w:tc>
              <w:tc>
                <w:tcPr>
                  <w:tcW w:w="450" w:type="dxa"/>
                  <w:vMerge w:val="continue"/>
                  <w:vAlign w:val="center"/>
                </w:tcPr>
                <w:p>
                  <w:pPr>
                    <w:pStyle w:val="60"/>
                    <w:spacing w:line="240" w:lineRule="auto"/>
                    <w:ind w:firstLine="0" w:firstLineChars="0"/>
                    <w:jc w:val="center"/>
                    <w:rPr>
                      <w:rFonts w:ascii="Times New Roman" w:hAnsi="Times New Roman" w:eastAsia="宋体"/>
                      <w:color w:val="auto"/>
                      <w:sz w:val="21"/>
                      <w:szCs w:val="21"/>
                    </w:rPr>
                  </w:pPr>
                </w:p>
              </w:tc>
              <w:tc>
                <w:tcPr>
                  <w:tcW w:w="1091" w:type="dxa"/>
                  <w:vAlign w:val="center"/>
                </w:tcPr>
                <w:p>
                  <w:pPr>
                    <w:pStyle w:val="86"/>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污泥布料、发酵等</w:t>
                  </w:r>
                  <w:r>
                    <w:rPr>
                      <w:rFonts w:hint="eastAsia" w:ascii="Times New Roman" w:hAnsi="Times New Roman" w:eastAsia="宋体" w:cs="Times New Roman"/>
                      <w:color w:val="auto"/>
                      <w:kern w:val="2"/>
                      <w:sz w:val="21"/>
                      <w:szCs w:val="21"/>
                      <w:lang w:val="zh-CN" w:eastAsia="zh-CN" w:bidi="ar-SA"/>
                    </w:rPr>
                    <w:t>臭气</w:t>
                  </w:r>
                </w:p>
              </w:tc>
              <w:tc>
                <w:tcPr>
                  <w:tcW w:w="4572" w:type="dxa"/>
                  <w:vAlign w:val="center"/>
                </w:tcPr>
                <w:p>
                  <w:pPr>
                    <w:pStyle w:val="86"/>
                    <w:spacing w:line="240" w:lineRule="auto"/>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污泥布料、发酵臭气依托现有1#、2#除臭系统处理达标后分别通过15m高1#、2#排气筒排放</w:t>
                  </w:r>
                </w:p>
              </w:tc>
              <w:tc>
                <w:tcPr>
                  <w:tcW w:w="983" w:type="dxa"/>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FF0000"/>
                      <w:sz w:val="21"/>
                      <w:szCs w:val="21"/>
                    </w:rPr>
                  </w:pPr>
                </w:p>
              </w:tc>
              <w:tc>
                <w:tcPr>
                  <w:tcW w:w="700" w:type="dxa"/>
                  <w:vMerge w:val="continue"/>
                  <w:vAlign w:val="center"/>
                </w:tcPr>
                <w:p>
                  <w:pPr>
                    <w:pStyle w:val="60"/>
                    <w:spacing w:line="240" w:lineRule="auto"/>
                    <w:ind w:firstLine="0" w:firstLineChars="0"/>
                    <w:jc w:val="center"/>
                    <w:rPr>
                      <w:rFonts w:ascii="Times New Roman" w:hAnsi="Times New Roman" w:eastAsia="宋体"/>
                      <w:color w:val="auto"/>
                      <w:sz w:val="21"/>
                      <w:szCs w:val="21"/>
                    </w:rPr>
                  </w:pPr>
                </w:p>
              </w:tc>
              <w:tc>
                <w:tcPr>
                  <w:tcW w:w="450" w:type="dxa"/>
                  <w:vAlign w:val="center"/>
                </w:tcPr>
                <w:p>
                  <w:pPr>
                    <w:pStyle w:val="60"/>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废水</w:t>
                  </w:r>
                </w:p>
              </w:tc>
              <w:tc>
                <w:tcPr>
                  <w:tcW w:w="1091" w:type="dxa"/>
                  <w:vAlign w:val="center"/>
                </w:tcPr>
                <w:p>
                  <w:pPr>
                    <w:pStyle w:val="60"/>
                    <w:spacing w:line="240" w:lineRule="auto"/>
                    <w:ind w:firstLine="0" w:firstLineChars="0"/>
                    <w:jc w:val="center"/>
                    <w:rPr>
                      <w:rFonts w:hint="eastAsia" w:ascii="Times New Roman" w:hAnsi="Times New Roman" w:eastAsia="宋体"/>
                      <w:color w:val="auto"/>
                      <w:sz w:val="21"/>
                      <w:szCs w:val="21"/>
                      <w:lang w:eastAsia="zh-CN"/>
                    </w:rPr>
                  </w:pPr>
                  <w:r>
                    <w:rPr>
                      <w:rFonts w:hint="default" w:ascii="Times New Roman" w:hAnsi="Times New Roman" w:eastAsia="宋体" w:cs="Times New Roman"/>
                      <w:color w:val="auto"/>
                      <w:sz w:val="21"/>
                      <w:szCs w:val="21"/>
                      <w:lang w:val="en-US" w:eastAsia="zh-CN"/>
                    </w:rPr>
                    <w:t>设备清洗废水与污泥压滤废水</w:t>
                  </w:r>
                </w:p>
              </w:tc>
              <w:tc>
                <w:tcPr>
                  <w:tcW w:w="4572" w:type="dxa"/>
                  <w:vAlign w:val="center"/>
                </w:tcPr>
                <w:p>
                  <w:pPr>
                    <w:pStyle w:val="60"/>
                    <w:spacing w:line="240" w:lineRule="auto"/>
                    <w:ind w:firstLine="0" w:firstLineChars="0"/>
                    <w:jc w:val="both"/>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新建2个</w:t>
                  </w:r>
                  <w:r>
                    <w:rPr>
                      <w:rFonts w:hint="eastAsia" w:ascii="Times New Roman" w:hAnsi="Times New Roman" w:eastAsia="宋体" w:cs="Times New Roman"/>
                      <w:color w:val="auto"/>
                      <w:kern w:val="0"/>
                      <w:sz w:val="21"/>
                      <w:szCs w:val="21"/>
                      <w:lang w:val="en-US" w:eastAsia="zh-CN"/>
                    </w:rPr>
                    <w:t>污水池，</w:t>
                  </w:r>
                  <w:r>
                    <w:rPr>
                      <w:rFonts w:hint="default" w:ascii="Times New Roman" w:hAnsi="Times New Roman" w:eastAsia="宋体" w:cs="Times New Roman"/>
                      <w:color w:val="auto"/>
                      <w:sz w:val="21"/>
                      <w:szCs w:val="21"/>
                      <w:lang w:val="en-US" w:eastAsia="zh-CN"/>
                    </w:rPr>
                    <w:t>设备清洗废水与污泥压滤废水</w:t>
                  </w:r>
                  <w:r>
                    <w:rPr>
                      <w:rFonts w:hint="eastAsia" w:ascii="Times New Roman" w:hAnsi="Times New Roman" w:eastAsia="宋体" w:cs="Times New Roman"/>
                      <w:color w:val="auto"/>
                      <w:sz w:val="21"/>
                      <w:szCs w:val="21"/>
                      <w:lang w:val="en-US" w:eastAsia="zh-CN"/>
                    </w:rPr>
                    <w:t>经2个</w:t>
                  </w:r>
                  <w:r>
                    <w:rPr>
                      <w:rFonts w:hint="eastAsia" w:ascii="Times New Roman" w:hAnsi="Times New Roman" w:eastAsia="宋体" w:cs="Times New Roman"/>
                      <w:color w:val="auto"/>
                      <w:kern w:val="0"/>
                      <w:sz w:val="21"/>
                      <w:szCs w:val="21"/>
                      <w:lang w:val="en-US" w:eastAsia="zh-CN"/>
                    </w:rPr>
                    <w:t>污水池</w:t>
                  </w:r>
                  <w:r>
                    <w:rPr>
                      <w:rFonts w:hint="eastAsia" w:ascii="Times New Roman" w:hAnsi="Times New Roman" w:eastAsia="宋体" w:cs="Times New Roman"/>
                      <w:color w:val="auto"/>
                      <w:sz w:val="21"/>
                      <w:szCs w:val="21"/>
                      <w:lang w:val="en-US" w:eastAsia="zh-CN"/>
                    </w:rPr>
                    <w:t>收集后通过专用罐车</w:t>
                  </w:r>
                  <w:r>
                    <w:rPr>
                      <w:rFonts w:hint="default" w:ascii="Times New Roman" w:hAnsi="Times New Roman" w:eastAsia="宋体" w:cs="Times New Roman"/>
                      <w:color w:val="auto"/>
                      <w:sz w:val="21"/>
                      <w:szCs w:val="21"/>
                      <w:lang w:val="en-US" w:eastAsia="zh-CN"/>
                    </w:rPr>
                    <w:t>运至</w:t>
                  </w:r>
                  <w:r>
                    <w:rPr>
                      <w:rFonts w:hint="eastAsia" w:ascii="Times New Roman" w:hAnsi="Times New Roman" w:eastAsia="宋体" w:cs="Times New Roman"/>
                      <w:color w:val="auto"/>
                      <w:sz w:val="21"/>
                      <w:szCs w:val="21"/>
                      <w:lang w:val="en-US" w:eastAsia="zh-CN"/>
                    </w:rPr>
                    <w:t>重庆铜梁城区污水处理厂</w:t>
                  </w:r>
                  <w:r>
                    <w:rPr>
                      <w:rFonts w:hint="default" w:ascii="Times New Roman" w:hAnsi="Times New Roman" w:eastAsia="宋体" w:cs="Times New Roman"/>
                      <w:color w:val="auto"/>
                      <w:sz w:val="21"/>
                      <w:szCs w:val="21"/>
                      <w:lang w:val="en-US" w:eastAsia="zh-CN"/>
                    </w:rPr>
                    <w:t>处理达《污水综合排放标准》（GB8978-1996）三级标准后排入市政污水管网</w:t>
                  </w:r>
                </w:p>
              </w:tc>
              <w:tc>
                <w:tcPr>
                  <w:tcW w:w="983" w:type="dxa"/>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FF0000"/>
                      <w:sz w:val="21"/>
                      <w:szCs w:val="21"/>
                    </w:rPr>
                  </w:pPr>
                </w:p>
              </w:tc>
              <w:tc>
                <w:tcPr>
                  <w:tcW w:w="700" w:type="dxa"/>
                  <w:vMerge w:val="continue"/>
                  <w:vAlign w:val="center"/>
                </w:tcPr>
                <w:p>
                  <w:pPr>
                    <w:pStyle w:val="60"/>
                    <w:spacing w:line="240" w:lineRule="auto"/>
                    <w:ind w:firstLine="0" w:firstLineChars="0"/>
                    <w:jc w:val="center"/>
                    <w:rPr>
                      <w:rFonts w:ascii="Times New Roman" w:hAnsi="Times New Roman" w:eastAsia="宋体"/>
                      <w:color w:val="FF0000"/>
                      <w:sz w:val="21"/>
                      <w:szCs w:val="21"/>
                    </w:rPr>
                  </w:pPr>
                </w:p>
              </w:tc>
              <w:tc>
                <w:tcPr>
                  <w:tcW w:w="1541" w:type="dxa"/>
                  <w:gridSpan w:val="2"/>
                  <w:vAlign w:val="center"/>
                </w:tcPr>
                <w:p>
                  <w:pPr>
                    <w:pStyle w:val="60"/>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固废</w:t>
                  </w:r>
                </w:p>
              </w:tc>
              <w:tc>
                <w:tcPr>
                  <w:tcW w:w="4572" w:type="dxa"/>
                  <w:vAlign w:val="center"/>
                </w:tcPr>
                <w:p>
                  <w:pPr>
                    <w:pStyle w:val="60"/>
                    <w:spacing w:line="240" w:lineRule="auto"/>
                    <w:ind w:firstLine="0" w:firstLineChars="0"/>
                    <w:jc w:val="both"/>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项目不涉及新增固体废物</w:t>
                  </w:r>
                </w:p>
              </w:tc>
              <w:tc>
                <w:tcPr>
                  <w:tcW w:w="983" w:type="dxa"/>
                  <w:vAlign w:val="center"/>
                </w:tcPr>
                <w:p>
                  <w:pPr>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dxa"/>
                  <w:vMerge w:val="continue"/>
                  <w:vAlign w:val="center"/>
                </w:tcPr>
                <w:p>
                  <w:pPr>
                    <w:adjustRightInd w:val="0"/>
                    <w:snapToGrid w:val="0"/>
                    <w:spacing w:line="240" w:lineRule="auto"/>
                    <w:jc w:val="center"/>
                    <w:rPr>
                      <w:rFonts w:ascii="Times New Roman" w:hAnsi="Times New Roman" w:eastAsia="宋体" w:cs="Times New Roman"/>
                      <w:color w:val="FF0000"/>
                      <w:sz w:val="21"/>
                      <w:szCs w:val="21"/>
                    </w:rPr>
                  </w:pPr>
                </w:p>
              </w:tc>
              <w:tc>
                <w:tcPr>
                  <w:tcW w:w="700" w:type="dxa"/>
                  <w:vMerge w:val="continue"/>
                  <w:vAlign w:val="center"/>
                </w:tcPr>
                <w:p>
                  <w:pPr>
                    <w:pStyle w:val="60"/>
                    <w:spacing w:line="240" w:lineRule="auto"/>
                    <w:ind w:firstLine="0" w:firstLineChars="0"/>
                    <w:jc w:val="center"/>
                    <w:rPr>
                      <w:rFonts w:ascii="Times New Roman" w:hAnsi="Times New Roman" w:eastAsia="宋体"/>
                      <w:color w:val="FF0000"/>
                      <w:sz w:val="21"/>
                      <w:szCs w:val="21"/>
                    </w:rPr>
                  </w:pPr>
                </w:p>
              </w:tc>
              <w:tc>
                <w:tcPr>
                  <w:tcW w:w="1541" w:type="dxa"/>
                  <w:gridSpan w:val="2"/>
                  <w:vAlign w:val="center"/>
                </w:tcPr>
                <w:p>
                  <w:pPr>
                    <w:pStyle w:val="60"/>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土壤及地下水</w:t>
                  </w:r>
                </w:p>
              </w:tc>
              <w:tc>
                <w:tcPr>
                  <w:tcW w:w="4572" w:type="dxa"/>
                  <w:vAlign w:val="center"/>
                </w:tcPr>
                <w:p>
                  <w:pPr>
                    <w:pStyle w:val="60"/>
                    <w:spacing w:line="240" w:lineRule="auto"/>
                    <w:ind w:firstLine="0" w:firstLineChars="0"/>
                    <w:jc w:val="left"/>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采取</w:t>
                  </w:r>
                  <w:r>
                    <w:rPr>
                      <w:rFonts w:hint="default" w:ascii="Times New Roman" w:hAnsi="Times New Roman" w:eastAsia="宋体" w:cs="Times New Roman"/>
                      <w:color w:val="auto"/>
                      <w:sz w:val="21"/>
                      <w:szCs w:val="21"/>
                      <w:lang w:eastAsia="zh-CN"/>
                    </w:rPr>
                    <w:t>分区防渗</w:t>
                  </w:r>
                  <w:r>
                    <w:rPr>
                      <w:rFonts w:hint="eastAsia" w:ascii="Times New Roman" w:hAnsi="Times New Roman" w:eastAsia="宋体" w:cs="Times New Roman"/>
                      <w:color w:val="auto"/>
                      <w:sz w:val="21"/>
                      <w:szCs w:val="21"/>
                      <w:lang w:eastAsia="zh-CN"/>
                    </w:rPr>
                    <w:t>措施</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污水池</w:t>
                  </w:r>
                  <w:r>
                    <w:rPr>
                      <w:rFonts w:hint="default" w:ascii="Times New Roman" w:hAnsi="Times New Roman" w:eastAsia="宋体" w:cs="Times New Roman"/>
                      <w:color w:val="auto"/>
                      <w:sz w:val="21"/>
                      <w:szCs w:val="21"/>
                      <w:lang w:eastAsia="zh-CN"/>
                    </w:rPr>
                    <w:t>设置为重点防渗区，</w:t>
                  </w:r>
                  <w:r>
                    <w:rPr>
                      <w:rFonts w:hint="eastAsia" w:ascii="Times New Roman" w:hAnsi="Times New Roman" w:eastAsia="宋体" w:cs="Times New Roman"/>
                      <w:color w:val="auto"/>
                      <w:kern w:val="2"/>
                      <w:sz w:val="21"/>
                      <w:szCs w:val="21"/>
                      <w:lang w:val="en-US" w:eastAsia="zh-CN" w:bidi="ar-SA"/>
                    </w:rPr>
                    <w:t>湿污泥储存间、污泥脱水车间设置为一般防渗区，</w:t>
                  </w:r>
                  <w:r>
                    <w:rPr>
                      <w:rFonts w:hint="default" w:ascii="Times New Roman" w:hAnsi="Times New Roman" w:eastAsia="宋体" w:cs="Times New Roman"/>
                      <w:color w:val="auto"/>
                      <w:sz w:val="21"/>
                      <w:szCs w:val="21"/>
                      <w:lang w:eastAsia="zh-CN"/>
                    </w:rPr>
                    <w:t>采取</w:t>
                  </w:r>
                  <w:r>
                    <w:rPr>
                      <w:rFonts w:hint="eastAsia" w:ascii="Times New Roman" w:hAnsi="Times New Roman" w:eastAsia="宋体" w:cs="Times New Roman"/>
                      <w:color w:val="auto"/>
                      <w:sz w:val="21"/>
                      <w:szCs w:val="21"/>
                      <w:lang w:eastAsia="zh-CN"/>
                    </w:rPr>
                    <w:t>相应</w:t>
                  </w:r>
                  <w:r>
                    <w:rPr>
                      <w:rFonts w:hint="default" w:ascii="Times New Roman" w:hAnsi="Times New Roman" w:eastAsia="宋体" w:cs="Times New Roman"/>
                      <w:color w:val="auto"/>
                      <w:sz w:val="21"/>
                      <w:szCs w:val="21"/>
                      <w:lang w:eastAsia="zh-CN"/>
                    </w:rPr>
                    <w:t>防腐、防渗等处理措施</w:t>
                  </w:r>
                </w:p>
              </w:tc>
              <w:tc>
                <w:tcPr>
                  <w:tcW w:w="983" w:type="dxa"/>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新建</w:t>
                  </w:r>
                </w:p>
              </w:tc>
            </w:tr>
            <w:bookmarkEnd w:id="5"/>
          </w:tbl>
          <w:p>
            <w:pPr>
              <w:spacing w:line="360" w:lineRule="auto"/>
              <w:ind w:firstLine="482" w:firstLineChars="200"/>
              <w:outlineLvl w:val="1"/>
              <w:rPr>
                <w:rFonts w:hint="eastAsia"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szCs w:val="24"/>
                <w:lang w:eastAsia="zh-CN"/>
              </w:rPr>
              <w:t>（</w:t>
            </w:r>
            <w:r>
              <w:rPr>
                <w:rFonts w:hint="eastAsia" w:ascii="Times New Roman" w:hAnsi="Times New Roman" w:eastAsia="宋体" w:cs="Times New Roman"/>
                <w:b/>
                <w:color w:val="auto"/>
                <w:sz w:val="24"/>
                <w:szCs w:val="24"/>
                <w:lang w:val="en-US" w:eastAsia="zh-CN"/>
              </w:rPr>
              <w:t>9</w:t>
            </w:r>
            <w:r>
              <w:rPr>
                <w:rFonts w:hint="eastAsia" w:ascii="Times New Roman" w:hAnsi="Times New Roman" w:eastAsia="宋体" w:cs="Times New Roman"/>
                <w:b/>
                <w:color w:val="auto"/>
                <w:sz w:val="24"/>
                <w:szCs w:val="24"/>
                <w:lang w:eastAsia="zh-CN"/>
              </w:rPr>
              <w:t>）储运工程规模合理性分析</w:t>
            </w:r>
          </w:p>
          <w:p>
            <w:pPr>
              <w:spacing w:line="360" w:lineRule="auto"/>
              <w:ind w:firstLine="480" w:firstLineChars="200"/>
              <w:outlineLvl w:val="1"/>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本项目在湿污泥储存间设置1个污泥料仓，污泥料仓总容积为78</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b w:val="0"/>
                <w:bCs/>
                <w:color w:val="auto"/>
                <w:sz w:val="24"/>
                <w:szCs w:val="24"/>
                <w:lang w:val="en-US" w:eastAsia="zh-CN"/>
              </w:rPr>
              <w:t>，配套有3套破壁系统，湿污泥进厂后随即进入污泥料仓中转及破壁处理，处理后随即进入污泥脱水车间进行压滤脱水，湿污泥不长时间在污泥料仓停留，而单次最大湿污泥进厂量不超过60t，因此，污泥料仓容积能满足最大中转储存量要求。</w:t>
            </w:r>
          </w:p>
          <w:p>
            <w:pPr>
              <w:spacing w:line="360" w:lineRule="auto"/>
              <w:ind w:firstLine="480" w:firstLineChars="200"/>
              <w:outlineLvl w:val="1"/>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本项目污泥脱水处理能力为120吨/天，</w:t>
            </w:r>
            <w:r>
              <w:rPr>
                <w:rFonts w:hint="eastAsia" w:ascii="Times New Roman" w:hAnsi="Times New Roman" w:eastAsia="宋体" w:cs="Times New Roman"/>
                <w:color w:val="auto"/>
                <w:kern w:val="0"/>
                <w:sz w:val="24"/>
                <w:szCs w:val="24"/>
                <w:lang w:val="en-US" w:eastAsia="zh-CN"/>
              </w:rPr>
              <w:t>污泥脱水后含水率由80%降低至50~60%，污泥压滤废水产生量为60~72</w:t>
            </w:r>
            <w:r>
              <w:rPr>
                <w:rFonts w:hint="eastAsia" w:ascii="Times New Roman" w:hAnsi="Times New Roman" w:eastAsia="宋体" w:cs="Times New Roman"/>
                <w:b w:val="0"/>
                <w:bCs/>
                <w:color w:val="auto"/>
                <w:sz w:val="24"/>
                <w:szCs w:val="24"/>
                <w:lang w:val="en-US" w:eastAsia="zh-CN"/>
              </w:rPr>
              <w:t>吨/天</w:t>
            </w:r>
            <w:r>
              <w:rPr>
                <w:rFonts w:hint="eastAsia" w:ascii="Times New Roman" w:hAnsi="Times New Roman" w:eastAsia="宋体" w:cs="Times New Roman"/>
                <w:color w:val="auto"/>
                <w:kern w:val="0"/>
                <w:sz w:val="24"/>
                <w:szCs w:val="24"/>
                <w:lang w:val="en-US" w:eastAsia="zh-CN"/>
              </w:rPr>
              <w:t>，而</w:t>
            </w:r>
            <w:r>
              <w:rPr>
                <w:rFonts w:hint="eastAsia" w:ascii="Times New Roman" w:hAnsi="Times New Roman" w:eastAsia="宋体" w:cs="Times New Roman"/>
                <w:b w:val="0"/>
                <w:bCs/>
                <w:color w:val="auto"/>
                <w:sz w:val="24"/>
                <w:szCs w:val="24"/>
                <w:lang w:val="en-US" w:eastAsia="zh-CN"/>
              </w:rPr>
              <w:t>污水池总容积为</w:t>
            </w:r>
            <w:r>
              <w:rPr>
                <w:rFonts w:hint="eastAsia" w:ascii="Times New Roman" w:hAnsi="Times New Roman" w:eastAsia="宋体" w:cs="Times New Roman"/>
                <w:color w:val="auto"/>
                <w:kern w:val="0"/>
                <w:sz w:val="24"/>
                <w:szCs w:val="24"/>
                <w:lang w:val="en-US" w:eastAsia="zh-CN"/>
              </w:rPr>
              <w:t>129.17</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，废水每日外运至</w:t>
            </w:r>
            <w:r>
              <w:rPr>
                <w:rFonts w:hint="eastAsia" w:ascii="Times New Roman" w:hAnsi="Times New Roman" w:eastAsia="宋体" w:cs="Times New Roman"/>
                <w:kern w:val="0"/>
                <w:sz w:val="24"/>
                <w:szCs w:val="24"/>
                <w:lang w:val="en-US" w:eastAsia="zh-CN"/>
              </w:rPr>
              <w:t>重庆铜梁城区污水处理厂处理达标排放</w:t>
            </w:r>
            <w:r>
              <w:rPr>
                <w:rFonts w:hint="eastAsia" w:ascii="Times New Roman" w:hAnsi="Times New Roman" w:eastAsia="宋体" w:cs="Times New Roman"/>
                <w:color w:val="auto"/>
                <w:kern w:val="0"/>
                <w:sz w:val="24"/>
                <w:szCs w:val="24"/>
                <w:lang w:val="en-US" w:eastAsia="zh-CN"/>
              </w:rPr>
              <w:t>，不长时间储存，</w:t>
            </w:r>
            <w:r>
              <w:rPr>
                <w:rFonts w:hint="eastAsia" w:ascii="Times New Roman" w:hAnsi="Times New Roman" w:eastAsia="宋体" w:cs="Times New Roman"/>
                <w:b w:val="0"/>
                <w:bCs/>
                <w:color w:val="auto"/>
                <w:sz w:val="24"/>
                <w:szCs w:val="24"/>
                <w:lang w:val="en-US" w:eastAsia="zh-CN"/>
              </w:rPr>
              <w:t>因此，污水池能满足</w:t>
            </w:r>
            <w:r>
              <w:rPr>
                <w:rFonts w:hint="eastAsia" w:ascii="Times New Roman" w:hAnsi="Times New Roman" w:eastAsia="宋体" w:cs="Times New Roman"/>
                <w:color w:val="auto"/>
                <w:kern w:val="0"/>
                <w:sz w:val="24"/>
                <w:szCs w:val="24"/>
                <w:lang w:val="en-US" w:eastAsia="zh-CN"/>
              </w:rPr>
              <w:t>本项目废水</w:t>
            </w:r>
            <w:r>
              <w:rPr>
                <w:rFonts w:hint="eastAsia" w:ascii="Times New Roman" w:hAnsi="Times New Roman" w:eastAsia="宋体" w:cs="Times New Roman"/>
                <w:b w:val="0"/>
                <w:bCs/>
                <w:color w:val="auto"/>
                <w:sz w:val="24"/>
                <w:szCs w:val="24"/>
                <w:lang w:val="en-US" w:eastAsia="zh-CN"/>
              </w:rPr>
              <w:t>储存要求。</w:t>
            </w:r>
          </w:p>
          <w:p>
            <w:pPr>
              <w:spacing w:line="360" w:lineRule="auto"/>
              <w:ind w:firstLine="480" w:firstLineChars="200"/>
              <w:outlineLvl w:val="1"/>
              <w:rPr>
                <w:rFonts w:hint="default" w:ascii="Times New Roman" w:hAnsi="Times New Roman" w:eastAsia="宋体" w:cs="Times New Roman"/>
                <w:b w:val="0"/>
                <w:bCs/>
                <w:color w:val="0000FF"/>
                <w:sz w:val="24"/>
                <w:szCs w:val="24"/>
                <w:lang w:val="en-US" w:eastAsia="zh-CN"/>
              </w:rPr>
            </w:pPr>
            <w:r>
              <w:rPr>
                <w:rFonts w:hint="eastAsia" w:ascii="Times New Roman" w:hAnsi="Times New Roman" w:eastAsia="宋体" w:cs="Times New Roman"/>
                <w:b w:val="0"/>
                <w:bCs/>
                <w:color w:val="auto"/>
                <w:sz w:val="24"/>
                <w:szCs w:val="24"/>
                <w:lang w:val="en-US" w:eastAsia="zh-CN"/>
              </w:rPr>
              <w:t>综上所述，本项目储运工程规模设置合理。</w:t>
            </w:r>
          </w:p>
          <w:p>
            <w:pPr>
              <w:adjustRightInd w:val="0"/>
              <w:snapToGrid w:val="0"/>
              <w:spacing w:line="360" w:lineRule="auto"/>
              <w:outlineLvl w:val="1"/>
              <w:rPr>
                <w:rFonts w:ascii="Times New Roman" w:hAnsi="Times New Roman" w:eastAsia="宋体" w:cs="Times New Roman"/>
                <w:b/>
                <w:bCs w:val="0"/>
                <w:color w:val="auto"/>
                <w:sz w:val="24"/>
                <w:szCs w:val="24"/>
              </w:rPr>
            </w:pPr>
            <w:r>
              <w:rPr>
                <w:rFonts w:hint="eastAsia" w:ascii="Times New Roman" w:hAnsi="Times New Roman" w:eastAsia="宋体" w:cs="Times New Roman"/>
                <w:b/>
                <w:bCs w:val="0"/>
                <w:color w:val="auto"/>
                <w:sz w:val="24"/>
                <w:szCs w:val="24"/>
              </w:rPr>
              <w:t>2.</w:t>
            </w:r>
            <w:r>
              <w:rPr>
                <w:rFonts w:hint="eastAsia" w:ascii="Times New Roman" w:hAnsi="Times New Roman" w:eastAsia="宋体"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rPr>
              <w:t>.2项目服务范围</w:t>
            </w:r>
            <w:r>
              <w:rPr>
                <w:rFonts w:hint="eastAsia" w:ascii="Times New Roman" w:hAnsi="Times New Roman" w:eastAsia="宋体" w:cs="Times New Roman"/>
                <w:b/>
                <w:bCs w:val="0"/>
                <w:color w:val="auto"/>
                <w:sz w:val="24"/>
                <w:szCs w:val="24"/>
                <w:lang w:eastAsia="zh-CN"/>
              </w:rPr>
              <w:t>及</w:t>
            </w:r>
            <w:r>
              <w:rPr>
                <w:rFonts w:hint="eastAsia" w:ascii="Times New Roman" w:hAnsi="Times New Roman" w:eastAsia="宋体" w:cs="Times New Roman"/>
                <w:b/>
                <w:sz w:val="24"/>
                <w:szCs w:val="24"/>
                <w:lang w:val="en-US" w:eastAsia="zh-CN"/>
              </w:rPr>
              <w:t>污泥规模</w:t>
            </w:r>
          </w:p>
          <w:p>
            <w:pPr>
              <w:adjustRightInd w:val="0"/>
              <w:snapToGrid w:val="0"/>
              <w:spacing w:line="360" w:lineRule="auto"/>
              <w:ind w:firstLine="480" w:firstLineChars="200"/>
              <w:outlineLvl w:val="1"/>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拟建项目城镇生活污泥脱水及处置规模为120t/d，服务范围主要为铜梁区城镇生活污水处理厂。</w:t>
            </w:r>
          </w:p>
          <w:p>
            <w:pPr>
              <w:adjustRightInd w:val="0"/>
              <w:snapToGrid w:val="0"/>
              <w:spacing w:line="360" w:lineRule="auto"/>
              <w:ind w:firstLine="480" w:firstLineChars="200"/>
              <w:outlineLvl w:val="1"/>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根据《重庆市城镇生活污泥无害化处置 十四五规划(2021—2025 年)》， “十四五”期间，未来城市快速发展导致污水产量迅速增加，持续推进的生态文明建设对污水处理厂出水水质与运行水平提出更高要求，“量”与“质”的双重提升将导致污泥产量进一步增加。“十四五”期末，预计2025年铜梁区生活污泥产量为95t/d，污泥处理处置需求量为105t/d（38325t/a）。</w:t>
            </w:r>
          </w:p>
          <w:p>
            <w:pPr>
              <w:adjustRightInd w:val="0"/>
              <w:snapToGrid w:val="0"/>
              <w:spacing w:line="360" w:lineRule="auto"/>
              <w:ind w:firstLine="480" w:firstLineChars="200"/>
              <w:outlineLvl w:val="1"/>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由于本项目年工作时间为330天，为满足铜梁区城镇生活污泥处置需求，则铜梁区城镇生活污泥日处置需求量约116t/d，因此，本项目城镇生活污泥脱水及处置规模确定为120t/d（3.96万t/a），项目污泥脱水及处置规模设置合理。</w:t>
            </w:r>
          </w:p>
          <w:p>
            <w:pPr>
              <w:adjustRightInd w:val="0"/>
              <w:snapToGrid w:val="0"/>
              <w:spacing w:line="360" w:lineRule="auto"/>
              <w:ind w:firstLine="480" w:firstLineChars="200"/>
              <w:outlineLvl w:val="1"/>
              <w:rPr>
                <w:rFonts w:ascii="Times New Roman" w:hAnsi="Times New Roman" w:eastAsia="宋体" w:cs="Times New Roman"/>
                <w:bCs/>
                <w:color w:val="auto"/>
                <w:sz w:val="24"/>
                <w:szCs w:val="24"/>
              </w:rPr>
            </w:pPr>
            <w:r>
              <w:rPr>
                <w:rFonts w:hint="eastAsia" w:ascii="Times New Roman" w:hAnsi="Times New Roman" w:eastAsia="宋体" w:cs="Times New Roman"/>
                <w:bCs/>
                <w:sz w:val="24"/>
                <w:szCs w:val="24"/>
                <w:lang w:eastAsia="zh-CN"/>
              </w:rPr>
              <w:t>污泥</w:t>
            </w:r>
            <w:r>
              <w:rPr>
                <w:rFonts w:hint="eastAsia" w:ascii="Times New Roman" w:hAnsi="Times New Roman" w:eastAsia="宋体" w:cs="Times New Roman"/>
                <w:b w:val="0"/>
                <w:bCs/>
                <w:color w:val="auto"/>
                <w:sz w:val="24"/>
                <w:szCs w:val="24"/>
                <w:lang w:val="en-US" w:eastAsia="zh-CN"/>
              </w:rPr>
              <w:t>脱水及处置</w:t>
            </w:r>
            <w:r>
              <w:rPr>
                <w:rFonts w:hint="eastAsia" w:ascii="Times New Roman" w:hAnsi="Times New Roman" w:eastAsia="宋体" w:cs="Times New Roman"/>
                <w:bCs/>
                <w:sz w:val="24"/>
                <w:szCs w:val="24"/>
                <w:lang w:eastAsia="zh-CN"/>
              </w:rPr>
              <w:t>方案</w:t>
            </w:r>
            <w:r>
              <w:rPr>
                <w:rFonts w:ascii="Times New Roman" w:hAnsi="Times New Roman" w:eastAsia="宋体" w:cs="Times New Roman"/>
                <w:bCs/>
                <w:sz w:val="24"/>
                <w:szCs w:val="24"/>
              </w:rPr>
              <w:t>见下表所示。</w:t>
            </w:r>
          </w:p>
          <w:p>
            <w:pPr>
              <w:spacing w:line="440" w:lineRule="exact"/>
              <w:ind w:firstLine="472" w:firstLineChars="196"/>
              <w:jc w:val="center"/>
              <w:outlineLvl w:val="1"/>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表2</w:t>
            </w:r>
            <w:r>
              <w:rPr>
                <w:rFonts w:hint="eastAsia" w:ascii="Times New Roman" w:hAnsi="Times New Roman" w:eastAsia="宋体" w:cs="Times New Roman"/>
                <w:b/>
                <w:bCs/>
                <w:color w:val="auto"/>
                <w:sz w:val="24"/>
                <w:szCs w:val="24"/>
                <w:lang w:val="en-US" w:eastAsia="zh-CN"/>
              </w:rPr>
              <w:t>.2</w:t>
            </w:r>
            <w:r>
              <w:rPr>
                <w:rFonts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2</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eastAsia="zh-CN"/>
              </w:rPr>
              <w:t>项目</w:t>
            </w:r>
            <w:r>
              <w:rPr>
                <w:rFonts w:hint="eastAsia" w:ascii="Times New Roman" w:hAnsi="Times New Roman" w:eastAsia="宋体" w:cs="Times New Roman"/>
                <w:b/>
                <w:bCs/>
                <w:color w:val="auto"/>
                <w:sz w:val="24"/>
                <w:szCs w:val="24"/>
                <w:lang w:val="en-US" w:eastAsia="zh-CN"/>
              </w:rPr>
              <w:t>污泥脱水及处置</w:t>
            </w:r>
            <w:r>
              <w:rPr>
                <w:rFonts w:hint="eastAsia" w:ascii="Times New Roman" w:hAnsi="Times New Roman" w:eastAsia="宋体" w:cs="Times New Roman"/>
                <w:b/>
                <w:bCs/>
                <w:color w:val="auto"/>
                <w:sz w:val="24"/>
                <w:szCs w:val="24"/>
                <w:lang w:eastAsia="zh-CN"/>
              </w:rPr>
              <w:t>规模</w:t>
            </w:r>
            <w:r>
              <w:rPr>
                <w:rFonts w:ascii="Times New Roman" w:hAnsi="Times New Roman" w:eastAsia="宋体" w:cs="Times New Roman"/>
                <w:b/>
                <w:bCs/>
                <w:color w:val="auto"/>
                <w:sz w:val="24"/>
                <w:szCs w:val="24"/>
              </w:rPr>
              <w:t>一览表</w:t>
            </w:r>
          </w:p>
          <w:tbl>
            <w:tblPr>
              <w:tblStyle w:val="20"/>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78"/>
              <w:gridCol w:w="942"/>
              <w:gridCol w:w="1442"/>
              <w:gridCol w:w="3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46" w:type="dxa"/>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eastAsia="zh-CN"/>
                    </w:rPr>
                  </w:pPr>
                  <w:r>
                    <w:rPr>
                      <w:rFonts w:hint="eastAsia" w:ascii="Times New Roman" w:hAnsi="Times New Roman" w:eastAsia="宋体" w:cs="Times New Roman"/>
                      <w:snapToGrid w:val="0"/>
                      <w:color w:val="auto"/>
                      <w:spacing w:val="4"/>
                      <w:kern w:val="0"/>
                      <w:sz w:val="21"/>
                      <w:szCs w:val="21"/>
                      <w:lang w:eastAsia="zh-CN"/>
                    </w:rPr>
                    <w:t>名称</w:t>
                  </w:r>
                </w:p>
              </w:tc>
              <w:tc>
                <w:tcPr>
                  <w:tcW w:w="1178" w:type="dxa"/>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eastAsia="zh-CN"/>
                    </w:rPr>
                  </w:pPr>
                  <w:r>
                    <w:rPr>
                      <w:rFonts w:hint="eastAsia" w:ascii="Times New Roman" w:hAnsi="Times New Roman" w:eastAsia="宋体" w:cs="Times New Roman"/>
                      <w:snapToGrid w:val="0"/>
                      <w:color w:val="auto"/>
                      <w:spacing w:val="4"/>
                      <w:kern w:val="0"/>
                      <w:sz w:val="21"/>
                      <w:szCs w:val="21"/>
                      <w:lang w:eastAsia="zh-CN"/>
                    </w:rPr>
                    <w:t>年</w:t>
                  </w:r>
                  <w:r>
                    <w:rPr>
                      <w:rFonts w:hint="eastAsia" w:ascii="Times New Roman" w:hAnsi="Times New Roman" w:eastAsia="宋体" w:cs="Times New Roman"/>
                      <w:snapToGrid w:val="0"/>
                      <w:color w:val="auto"/>
                      <w:spacing w:val="4"/>
                      <w:kern w:val="0"/>
                      <w:sz w:val="21"/>
                      <w:szCs w:val="21"/>
                      <w:lang w:val="en-US" w:eastAsia="zh-CN"/>
                    </w:rPr>
                    <w:t>处理</w:t>
                  </w:r>
                  <w:r>
                    <w:rPr>
                      <w:rFonts w:hint="eastAsia" w:ascii="Times New Roman" w:hAnsi="Times New Roman" w:eastAsia="宋体" w:cs="Times New Roman"/>
                      <w:snapToGrid w:val="0"/>
                      <w:color w:val="auto"/>
                      <w:spacing w:val="4"/>
                      <w:kern w:val="0"/>
                      <w:sz w:val="21"/>
                      <w:szCs w:val="21"/>
                      <w:lang w:eastAsia="zh-CN"/>
                    </w:rPr>
                    <w:t>量（万</w:t>
                  </w:r>
                  <w:r>
                    <w:rPr>
                      <w:rFonts w:hint="eastAsia" w:ascii="Times New Roman" w:hAnsi="Times New Roman" w:eastAsia="宋体" w:cs="Times New Roman"/>
                      <w:snapToGrid w:val="0"/>
                      <w:color w:val="auto"/>
                      <w:spacing w:val="4"/>
                      <w:kern w:val="0"/>
                      <w:sz w:val="21"/>
                      <w:szCs w:val="21"/>
                      <w:lang w:val="en-US" w:eastAsia="zh-CN"/>
                    </w:rPr>
                    <w:t>t</w:t>
                  </w:r>
                  <w:r>
                    <w:rPr>
                      <w:rFonts w:hint="eastAsia" w:ascii="Times New Roman" w:hAnsi="Times New Roman" w:eastAsia="宋体" w:cs="Times New Roman"/>
                      <w:snapToGrid w:val="0"/>
                      <w:color w:val="auto"/>
                      <w:spacing w:val="4"/>
                      <w:kern w:val="0"/>
                      <w:sz w:val="21"/>
                      <w:szCs w:val="21"/>
                      <w:lang w:eastAsia="zh-CN"/>
                    </w:rPr>
                    <w:t>）</w:t>
                  </w:r>
                </w:p>
              </w:tc>
              <w:tc>
                <w:tcPr>
                  <w:tcW w:w="942" w:type="dxa"/>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含水率</w:t>
                  </w:r>
                </w:p>
              </w:tc>
              <w:tc>
                <w:tcPr>
                  <w:tcW w:w="1442" w:type="dxa"/>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eastAsia="zh-CN"/>
                    </w:rPr>
                  </w:pPr>
                  <w:r>
                    <w:rPr>
                      <w:rFonts w:hint="eastAsia" w:ascii="Times New Roman" w:hAnsi="Times New Roman" w:eastAsia="宋体" w:cs="Times New Roman"/>
                      <w:snapToGrid w:val="0"/>
                      <w:color w:val="auto"/>
                      <w:spacing w:val="4"/>
                      <w:kern w:val="0"/>
                      <w:sz w:val="21"/>
                      <w:szCs w:val="21"/>
                      <w:lang w:val="en-US" w:eastAsia="zh-CN"/>
                    </w:rPr>
                    <w:t>脱水预处理后含水率</w:t>
                  </w:r>
                </w:p>
              </w:tc>
              <w:tc>
                <w:tcPr>
                  <w:tcW w:w="3698"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 w:hRule="atLeast"/>
              </w:trPr>
              <w:tc>
                <w:tcPr>
                  <w:tcW w:w="946"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color w:val="auto"/>
                      <w:spacing w:val="4"/>
                      <w:kern w:val="0"/>
                      <w:sz w:val="21"/>
                      <w:szCs w:val="21"/>
                    </w:rPr>
                  </w:pPr>
                  <w:r>
                    <w:rPr>
                      <w:rFonts w:hint="eastAsia" w:ascii="Times New Roman" w:hAnsi="Times New Roman" w:eastAsia="宋体" w:cs="Times New Roman"/>
                      <w:color w:val="auto"/>
                      <w:sz w:val="21"/>
                      <w:szCs w:val="21"/>
                      <w:lang w:eastAsia="zh-CN"/>
                    </w:rPr>
                    <w:t>城市生活污泥</w:t>
                  </w:r>
                </w:p>
              </w:tc>
              <w:tc>
                <w:tcPr>
                  <w:tcW w:w="1178" w:type="dxa"/>
                  <w:vMerge w:val="restart"/>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rPr>
                  </w:pPr>
                  <w:r>
                    <w:rPr>
                      <w:rFonts w:hint="eastAsia" w:ascii="Times New Roman" w:hAnsi="Times New Roman" w:eastAsia="宋体" w:cs="Times New Roman"/>
                      <w:snapToGrid w:val="0"/>
                      <w:color w:val="auto"/>
                      <w:spacing w:val="4"/>
                      <w:kern w:val="0"/>
                      <w:sz w:val="21"/>
                      <w:szCs w:val="21"/>
                      <w:lang w:val="en-US" w:eastAsia="zh-CN"/>
                    </w:rPr>
                    <w:t>3.96</w:t>
                  </w:r>
                </w:p>
              </w:tc>
              <w:tc>
                <w:tcPr>
                  <w:tcW w:w="942" w:type="dxa"/>
                  <w:vMerge w:val="restart"/>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color w:val="auto"/>
                      <w:sz w:val="21"/>
                      <w:szCs w:val="21"/>
                      <w:lang w:val="en-US" w:eastAsia="zh-CN"/>
                    </w:rPr>
                    <w:t>80%</w:t>
                  </w:r>
                </w:p>
              </w:tc>
              <w:tc>
                <w:tcPr>
                  <w:tcW w:w="1442"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369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有220天仅对污泥进行压滤脱水处理后送至华新盐井水泥进行综合利用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 w:hRule="atLeast"/>
              </w:trPr>
              <w:tc>
                <w:tcPr>
                  <w:tcW w:w="946" w:type="dxa"/>
                  <w:vMerge w:val="continue"/>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eastAsia="zh-CN"/>
                    </w:rPr>
                  </w:pPr>
                </w:p>
              </w:tc>
              <w:tc>
                <w:tcPr>
                  <w:tcW w:w="1178" w:type="dxa"/>
                  <w:vMerge w:val="continue"/>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rPr>
                  </w:pPr>
                </w:p>
              </w:tc>
              <w:tc>
                <w:tcPr>
                  <w:tcW w:w="942" w:type="dxa"/>
                  <w:vMerge w:val="continue"/>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p>
              </w:tc>
              <w:tc>
                <w:tcPr>
                  <w:tcW w:w="1442"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369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剩余110天（华新盐井水泥停窑期间）对污泥进行压滤脱水后依托现有绿化营养土发酵生产线进行综合利用</w:t>
                  </w:r>
                </w:p>
              </w:tc>
            </w:tr>
          </w:tbl>
          <w:p>
            <w:pPr>
              <w:spacing w:line="360" w:lineRule="auto"/>
              <w:outlineLvl w:val="1"/>
              <w:rPr>
                <w:rFonts w:ascii="Times New Roman" w:hAnsi="Times New Roman" w:eastAsia="宋体" w:cs="Times New Roman"/>
                <w:bCs/>
                <w:sz w:val="24"/>
                <w:szCs w:val="24"/>
              </w:rPr>
            </w:pPr>
            <w:r>
              <w:rPr>
                <w:rFonts w:ascii="Times New Roman" w:hAnsi="Times New Roman" w:eastAsia="宋体" w:cs="Times New Roman"/>
                <w:b/>
                <w:sz w:val="24"/>
                <w:szCs w:val="24"/>
              </w:rPr>
              <w:t xml:space="preserve">2.2.3 </w:t>
            </w:r>
            <w:r>
              <w:rPr>
                <w:rFonts w:hint="eastAsia" w:ascii="Times New Roman" w:hAnsi="Times New Roman" w:eastAsia="宋体" w:cs="Times New Roman"/>
                <w:b/>
                <w:sz w:val="24"/>
                <w:szCs w:val="24"/>
              </w:rPr>
              <w:t>主要产品及产能</w:t>
            </w:r>
          </w:p>
          <w:p>
            <w:pPr>
              <w:spacing w:line="360" w:lineRule="auto"/>
              <w:ind w:firstLine="480" w:firstLineChars="200"/>
              <w:outlineLvl w:val="1"/>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（1）生产能力核算</w:t>
            </w:r>
          </w:p>
          <w:p>
            <w:pPr>
              <w:spacing w:line="360" w:lineRule="auto"/>
              <w:ind w:firstLine="480" w:firstLineChars="200"/>
              <w:outlineLvl w:val="1"/>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根据《铜梁区污泥无害化处置项目环境影响报告表》及其批复（渝（铜）环准【</w:t>
            </w:r>
            <w:r>
              <w:rPr>
                <w:rFonts w:hint="eastAsia" w:ascii="Times New Roman" w:hAnsi="Times New Roman" w:eastAsia="宋体" w:cs="Times New Roman"/>
                <w:kern w:val="0"/>
                <w:sz w:val="24"/>
                <w:szCs w:val="24"/>
                <w:lang w:val="en-US" w:eastAsia="zh-CN"/>
              </w:rPr>
              <w:t>2021</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79号</w:t>
            </w:r>
            <w:r>
              <w:rPr>
                <w:rFonts w:hint="eastAsia" w:ascii="Times New Roman" w:hAnsi="Times New Roman" w:eastAsia="宋体" w:cs="Times New Roman"/>
                <w:kern w:val="0"/>
                <w:sz w:val="24"/>
                <w:szCs w:val="24"/>
                <w:lang w:eastAsia="zh-CN"/>
              </w:rPr>
              <w:t>）可知，</w:t>
            </w:r>
            <w:r>
              <w:rPr>
                <w:rFonts w:hint="eastAsia" w:ascii="Times New Roman" w:hAnsi="Times New Roman" w:eastAsia="宋体" w:cs="Times New Roman"/>
                <w:color w:val="auto"/>
                <w:kern w:val="0"/>
                <w:sz w:val="24"/>
                <w:szCs w:val="24"/>
                <w:lang w:val="en-US" w:eastAsia="zh-CN"/>
              </w:rPr>
              <w:t>现有园林绿化营养土发酵生产线</w:t>
            </w:r>
            <w:r>
              <w:rPr>
                <w:rFonts w:hint="eastAsia" w:ascii="Times New Roman" w:hAnsi="Times New Roman" w:eastAsia="宋体" w:cs="Times New Roman"/>
                <w:kern w:val="0"/>
                <w:sz w:val="24"/>
                <w:szCs w:val="24"/>
                <w:lang w:eastAsia="zh-CN"/>
              </w:rPr>
              <w:t>包含进料区、发酵区及成品区等三个区域，其中发酵区设置有</w:t>
            </w:r>
            <w:r>
              <w:rPr>
                <w:rFonts w:hint="eastAsia" w:ascii="Times New Roman" w:hAnsi="Times New Roman" w:eastAsia="宋体" w:cs="Times New Roman"/>
                <w:kern w:val="0"/>
                <w:sz w:val="24"/>
                <w:szCs w:val="24"/>
                <w:lang w:val="en-US" w:eastAsia="zh-CN"/>
              </w:rPr>
              <w:t>5个发酵槽，单槽尺寸为长×宽×高=64×5×2.2m，</w:t>
            </w:r>
            <w:r>
              <w:rPr>
                <w:rFonts w:hint="eastAsia" w:ascii="Times New Roman" w:hAnsi="Times New Roman" w:eastAsia="宋体" w:cs="Times New Roman"/>
                <w:kern w:val="0"/>
                <w:sz w:val="24"/>
                <w:szCs w:val="24"/>
                <w:lang w:eastAsia="zh-CN"/>
              </w:rPr>
              <w:t>每天翻抛1次，每次翻抛将物料往出料方向移动约4</w:t>
            </w:r>
            <w:r>
              <w:rPr>
                <w:rFonts w:hint="eastAsia" w:ascii="Times New Roman" w:hAnsi="Times New Roman" w:eastAsia="宋体" w:cs="Times New Roman"/>
                <w:kern w:val="0"/>
                <w:sz w:val="24"/>
                <w:szCs w:val="24"/>
                <w:lang w:val="en-US" w:eastAsia="zh-CN"/>
              </w:rPr>
              <w:t>.27</w:t>
            </w:r>
            <w:r>
              <w:rPr>
                <w:rFonts w:hint="eastAsia" w:ascii="Times New Roman" w:hAnsi="Times New Roman" w:eastAsia="宋体" w:cs="Times New Roman"/>
                <w:kern w:val="0"/>
                <w:sz w:val="24"/>
                <w:szCs w:val="24"/>
                <w:lang w:eastAsia="zh-CN"/>
              </w:rPr>
              <w:t>m，堆料高度为2</w:t>
            </w:r>
            <w:r>
              <w:rPr>
                <w:rFonts w:hint="eastAsia" w:ascii="Times New Roman" w:hAnsi="Times New Roman" w:eastAsia="宋体" w:cs="Times New Roman"/>
                <w:kern w:val="0"/>
                <w:sz w:val="24"/>
                <w:szCs w:val="24"/>
                <w:lang w:val="en-US" w:eastAsia="zh-CN"/>
              </w:rPr>
              <w:t>.2</w:t>
            </w:r>
            <w:r>
              <w:rPr>
                <w:rFonts w:hint="eastAsia" w:ascii="Times New Roman" w:hAnsi="Times New Roman" w:eastAsia="宋体" w:cs="Times New Roman"/>
                <w:kern w:val="0"/>
                <w:sz w:val="24"/>
                <w:szCs w:val="24"/>
                <w:lang w:eastAsia="zh-CN"/>
              </w:rPr>
              <w:t>m，污泥发酵天数约为</w:t>
            </w:r>
            <w:r>
              <w:rPr>
                <w:rFonts w:hint="eastAsia" w:ascii="Times New Roman" w:hAnsi="Times New Roman" w:eastAsia="宋体" w:cs="Times New Roman"/>
                <w:kern w:val="0"/>
                <w:sz w:val="24"/>
                <w:szCs w:val="24"/>
                <w:lang w:val="en-US" w:eastAsia="zh-CN"/>
              </w:rPr>
              <w:t>15</w:t>
            </w:r>
            <w:r>
              <w:rPr>
                <w:rFonts w:hint="eastAsia" w:ascii="Times New Roman" w:hAnsi="Times New Roman" w:eastAsia="宋体" w:cs="Times New Roman"/>
                <w:kern w:val="0"/>
                <w:sz w:val="24"/>
                <w:szCs w:val="24"/>
                <w:lang w:eastAsia="zh-CN"/>
              </w:rPr>
              <w:t>d，则单个发酵槽每日最大容积=4</w:t>
            </w:r>
            <w:r>
              <w:rPr>
                <w:rFonts w:hint="eastAsia" w:ascii="Times New Roman" w:hAnsi="Times New Roman" w:eastAsia="宋体" w:cs="Times New Roman"/>
                <w:kern w:val="0"/>
                <w:sz w:val="24"/>
                <w:szCs w:val="24"/>
                <w:lang w:val="en-US" w:eastAsia="zh-CN"/>
              </w:rPr>
              <w:t>.27</w:t>
            </w:r>
            <w:r>
              <w:rPr>
                <w:rFonts w:hint="eastAsia" w:ascii="Times New Roman" w:hAnsi="Times New Roman" w:eastAsia="宋体" w:cs="Times New Roman"/>
                <w:kern w:val="0"/>
                <w:sz w:val="24"/>
                <w:szCs w:val="24"/>
                <w:lang w:eastAsia="zh-CN"/>
              </w:rPr>
              <w:t>m×</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lang w:eastAsia="zh-CN"/>
              </w:rPr>
              <w:t>m×2</w:t>
            </w:r>
            <w:r>
              <w:rPr>
                <w:rFonts w:hint="eastAsia" w:ascii="Times New Roman" w:hAnsi="Times New Roman" w:eastAsia="宋体" w:cs="Times New Roman"/>
                <w:kern w:val="0"/>
                <w:sz w:val="24"/>
                <w:szCs w:val="24"/>
                <w:lang w:val="en-US" w:eastAsia="zh-CN"/>
              </w:rPr>
              <w:t>.2</w:t>
            </w:r>
            <w:r>
              <w:rPr>
                <w:rFonts w:hint="eastAsia" w:ascii="Times New Roman" w:hAnsi="Times New Roman" w:eastAsia="宋体" w:cs="Times New Roman"/>
                <w:kern w:val="0"/>
                <w:sz w:val="24"/>
                <w:szCs w:val="24"/>
                <w:lang w:eastAsia="zh-CN"/>
              </w:rPr>
              <w:t>m=46.97</w:t>
            </w:r>
            <w:r>
              <w:rPr>
                <w:rFonts w:hint="eastAsia" w:ascii="Times New Roman" w:hAnsi="Times New Roman" w:eastAsia="宋体" w:cs="Times New Roman"/>
                <w:kern w:val="0"/>
                <w:sz w:val="24"/>
                <w:szCs w:val="24"/>
                <w:lang w:val="en-US" w:eastAsia="zh-CN"/>
              </w:rPr>
              <w:t>m</w:t>
            </w:r>
            <w:r>
              <w:rPr>
                <w:rFonts w:hint="eastAsia" w:ascii="Times New Roman" w:hAnsi="Times New Roman" w:eastAsia="宋体" w:cs="Times New Roman"/>
                <w:kern w:val="0"/>
                <w:sz w:val="24"/>
                <w:szCs w:val="24"/>
                <w:vertAlign w:val="superscript"/>
                <w:lang w:val="en-US" w:eastAsia="zh-CN"/>
              </w:rPr>
              <w:t>3</w:t>
            </w:r>
            <w:r>
              <w:rPr>
                <w:rFonts w:hint="eastAsia" w:ascii="Times New Roman" w:hAnsi="Times New Roman" w:eastAsia="宋体" w:cs="Times New Roman"/>
                <w:kern w:val="0"/>
                <w:sz w:val="24"/>
                <w:szCs w:val="24"/>
                <w:lang w:eastAsia="zh-CN"/>
              </w:rPr>
              <w:t>，项目</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lang w:eastAsia="zh-CN"/>
              </w:rPr>
              <w:t>个发酵槽每日最大容积=</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lang w:eastAsia="zh-CN"/>
              </w:rPr>
              <w:t>×46.97m</w:t>
            </w:r>
            <w:r>
              <w:rPr>
                <w:rFonts w:hint="eastAsia" w:ascii="Times New Roman" w:hAnsi="Times New Roman" w:eastAsia="宋体" w:cs="Times New Roman"/>
                <w:kern w:val="0"/>
                <w:sz w:val="24"/>
                <w:szCs w:val="24"/>
                <w:vertAlign w:val="superscript"/>
                <w:lang w:eastAsia="zh-CN"/>
              </w:rPr>
              <w:t>3</w:t>
            </w:r>
            <w:r>
              <w:rPr>
                <w:rFonts w:hint="eastAsia" w:ascii="Times New Roman" w:hAnsi="Times New Roman" w:eastAsia="宋体" w:cs="Times New Roman"/>
                <w:kern w:val="0"/>
                <w:sz w:val="24"/>
                <w:szCs w:val="24"/>
                <w:lang w:eastAsia="zh-CN"/>
              </w:rPr>
              <w:t>=234.85m</w:t>
            </w:r>
            <w:r>
              <w:rPr>
                <w:rFonts w:hint="eastAsia" w:ascii="Times New Roman" w:hAnsi="Times New Roman" w:eastAsia="宋体" w:cs="Times New Roman"/>
                <w:kern w:val="0"/>
                <w:sz w:val="24"/>
                <w:szCs w:val="24"/>
                <w:vertAlign w:val="superscript"/>
                <w:lang w:eastAsia="zh-CN"/>
              </w:rPr>
              <w:t>3</w:t>
            </w:r>
            <w:r>
              <w:rPr>
                <w:rFonts w:hint="eastAsia" w:ascii="Times New Roman" w:hAnsi="Times New Roman" w:eastAsia="宋体" w:cs="Times New Roman"/>
                <w:kern w:val="0"/>
                <w:sz w:val="24"/>
                <w:szCs w:val="24"/>
                <w:lang w:eastAsia="zh-CN"/>
              </w:rPr>
              <w:t>。</w:t>
            </w:r>
          </w:p>
          <w:p>
            <w:pPr>
              <w:spacing w:line="360" w:lineRule="auto"/>
              <w:ind w:firstLine="480" w:firstLineChars="200"/>
              <w:outlineLvl w:val="1"/>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混料后物料密度约0.9t/m</w:t>
            </w:r>
            <w:r>
              <w:rPr>
                <w:rFonts w:hint="eastAsia" w:ascii="Times New Roman" w:hAnsi="Times New Roman" w:eastAsia="宋体" w:cs="Times New Roman"/>
                <w:kern w:val="0"/>
                <w:sz w:val="24"/>
                <w:szCs w:val="24"/>
                <w:vertAlign w:val="superscript"/>
                <w:lang w:eastAsia="zh-CN"/>
              </w:rPr>
              <w:t>3</w:t>
            </w:r>
            <w:r>
              <w:rPr>
                <w:rFonts w:hint="eastAsia" w:ascii="Times New Roman" w:hAnsi="Times New Roman" w:eastAsia="宋体" w:cs="Times New Roman"/>
                <w:kern w:val="0"/>
                <w:sz w:val="24"/>
                <w:szCs w:val="24"/>
                <w:lang w:eastAsia="zh-CN"/>
              </w:rPr>
              <w:t>，则每天最大物料发酵能力为211.3</w:t>
            </w:r>
            <w:r>
              <w:rPr>
                <w:rFonts w:hint="eastAsia" w:ascii="Times New Roman" w:hAnsi="Times New Roman" w:eastAsia="宋体" w:cs="Times New Roman"/>
                <w:kern w:val="0"/>
                <w:sz w:val="24"/>
                <w:szCs w:val="24"/>
                <w:lang w:val="en-US" w:eastAsia="zh-CN"/>
              </w:rPr>
              <w:t>7</w:t>
            </w:r>
            <w:r>
              <w:rPr>
                <w:rFonts w:hint="eastAsia" w:ascii="Times New Roman" w:hAnsi="Times New Roman" w:eastAsia="宋体" w:cs="Times New Roman"/>
                <w:kern w:val="0"/>
                <w:sz w:val="24"/>
                <w:szCs w:val="24"/>
                <w:lang w:eastAsia="zh-CN"/>
              </w:rPr>
              <w:t>t。</w:t>
            </w:r>
          </w:p>
          <w:p>
            <w:pPr>
              <w:spacing w:line="360" w:lineRule="auto"/>
              <w:ind w:firstLine="480" w:firstLineChars="200"/>
              <w:outlineLvl w:val="1"/>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年工作时间为</w:t>
            </w:r>
            <w:r>
              <w:rPr>
                <w:rFonts w:hint="eastAsia" w:ascii="Times New Roman" w:hAnsi="Times New Roman" w:eastAsia="宋体" w:cs="Times New Roman"/>
                <w:kern w:val="0"/>
                <w:sz w:val="24"/>
                <w:szCs w:val="24"/>
                <w:lang w:val="en-US" w:eastAsia="zh-CN"/>
              </w:rPr>
              <w:t>11</w:t>
            </w:r>
            <w:r>
              <w:rPr>
                <w:rFonts w:hint="eastAsia" w:ascii="Times New Roman" w:hAnsi="Times New Roman" w:eastAsia="宋体" w:cs="Times New Roman"/>
                <w:kern w:val="0"/>
                <w:sz w:val="24"/>
                <w:szCs w:val="24"/>
                <w:lang w:eastAsia="zh-CN"/>
              </w:rPr>
              <w:t>0天，则</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lang w:eastAsia="zh-CN"/>
              </w:rPr>
              <w:t>个发酵槽全年最大物料发酵能力为23250.7t。</w:t>
            </w:r>
          </w:p>
          <w:p>
            <w:pPr>
              <w:spacing w:line="360" w:lineRule="auto"/>
              <w:ind w:firstLine="480" w:firstLineChars="200"/>
              <w:outlineLvl w:val="1"/>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（2）本项目生产能力核算</w:t>
            </w:r>
          </w:p>
          <w:p>
            <w:pPr>
              <w:spacing w:line="360" w:lineRule="auto"/>
              <w:ind w:firstLine="480" w:firstLineChars="200"/>
              <w:outlineLvl w:val="1"/>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本</w:t>
            </w:r>
            <w:r>
              <w:rPr>
                <w:rFonts w:hint="default" w:ascii="Times New Roman" w:hAnsi="Times New Roman" w:eastAsia="宋体" w:cs="Times New Roman"/>
                <w:b w:val="0"/>
                <w:bCs/>
                <w:sz w:val="24"/>
                <w:szCs w:val="24"/>
                <w:lang w:val="en-US" w:eastAsia="zh-CN"/>
              </w:rPr>
              <w:t>项目</w:t>
            </w:r>
            <w:r>
              <w:rPr>
                <w:rFonts w:hint="eastAsia" w:ascii="Times New Roman" w:hAnsi="Times New Roman" w:eastAsia="宋体" w:cs="Times New Roman"/>
                <w:b w:val="0"/>
                <w:bCs/>
                <w:sz w:val="24"/>
                <w:szCs w:val="24"/>
                <w:lang w:val="en-US" w:eastAsia="zh-CN"/>
              </w:rPr>
              <w:t>技改后不改变污泥发酵生产工艺及设备，由于发酵污泥含水率由80%降低为60%，则原有</w:t>
            </w:r>
            <w:r>
              <w:rPr>
                <w:rFonts w:hint="default" w:ascii="Times New Roman" w:hAnsi="Times New Roman" w:eastAsia="宋体" w:cs="Times New Roman"/>
                <w:b w:val="0"/>
                <w:bCs/>
                <w:sz w:val="24"/>
                <w:szCs w:val="24"/>
                <w:lang w:val="en-US" w:eastAsia="zh-CN"/>
              </w:rPr>
              <w:t>混料重量比为污泥：返混料：辅料=</w:t>
            </w:r>
            <w:r>
              <w:rPr>
                <w:rFonts w:hint="eastAsia" w:ascii="Times New Roman" w:hAnsi="Times New Roman" w:eastAsia="宋体" w:cs="Times New Roman"/>
                <w:b w:val="0"/>
                <w:bCs/>
                <w:sz w:val="24"/>
                <w:szCs w:val="24"/>
                <w:lang w:val="en-US" w:eastAsia="zh-CN"/>
              </w:rPr>
              <w:t>6</w:t>
            </w:r>
            <w:r>
              <w:rPr>
                <w:rFonts w:hint="default" w:ascii="Times New Roman" w:hAnsi="Times New Roman" w:eastAsia="宋体" w:cs="Times New Roman"/>
                <w:b w:val="0"/>
                <w:bCs/>
                <w:sz w:val="24"/>
                <w:szCs w:val="24"/>
                <w:lang w:val="en-US" w:eastAsia="zh-CN"/>
              </w:rPr>
              <w:t>：</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lang w:val="en-US" w:eastAsia="zh-CN"/>
              </w:rPr>
              <w:t>：</w:t>
            </w:r>
            <w:r>
              <w:rPr>
                <w:rFonts w:hint="eastAsia" w:ascii="Times New Roman" w:hAnsi="Times New Roman" w:eastAsia="宋体" w:cs="Times New Roman"/>
                <w:b w:val="0"/>
                <w:bCs/>
                <w:sz w:val="24"/>
                <w:szCs w:val="24"/>
                <w:lang w:val="en-US" w:eastAsia="zh-CN"/>
              </w:rPr>
              <w:t>1变为3</w:t>
            </w:r>
            <w:r>
              <w:rPr>
                <w:rFonts w:hint="default" w:ascii="Times New Roman" w:hAnsi="Times New Roman" w:eastAsia="宋体" w:cs="Times New Roman"/>
                <w:b w:val="0"/>
                <w:bCs/>
                <w:sz w:val="24"/>
                <w:szCs w:val="24"/>
                <w:lang w:val="en-US" w:eastAsia="zh-CN"/>
              </w:rPr>
              <w:t>：</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lang w:val="en-US" w:eastAsia="zh-CN"/>
              </w:rPr>
              <w:t>：</w:t>
            </w:r>
            <w:r>
              <w:rPr>
                <w:rFonts w:hint="eastAsia" w:ascii="Times New Roman" w:hAnsi="Times New Roman" w:eastAsia="宋体" w:cs="Times New Roman"/>
                <w:b w:val="0"/>
                <w:bCs/>
                <w:sz w:val="24"/>
                <w:szCs w:val="24"/>
                <w:lang w:val="en-US" w:eastAsia="zh-CN"/>
              </w:rPr>
              <w:t>1</w:t>
            </w:r>
            <w:r>
              <w:rPr>
                <w:rFonts w:hint="default" w:ascii="Times New Roman" w:hAnsi="Times New Roman" w:eastAsia="宋体" w:cs="Times New Roman"/>
                <w:b w:val="0"/>
                <w:bCs/>
                <w:sz w:val="24"/>
                <w:szCs w:val="24"/>
                <w:lang w:val="en-US" w:eastAsia="zh-CN"/>
              </w:rPr>
              <w:t>，每天</w:t>
            </w:r>
            <w:r>
              <w:rPr>
                <w:rFonts w:hint="eastAsia" w:ascii="Times New Roman" w:hAnsi="Times New Roman" w:eastAsia="宋体" w:cs="Times New Roman"/>
                <w:b w:val="0"/>
                <w:bCs/>
                <w:sz w:val="24"/>
                <w:szCs w:val="24"/>
                <w:lang w:val="en-US" w:eastAsia="zh-CN"/>
              </w:rPr>
              <w:t>脱水后</w:t>
            </w:r>
            <w:r>
              <w:rPr>
                <w:rFonts w:hint="default" w:ascii="Times New Roman" w:hAnsi="Times New Roman" w:eastAsia="宋体" w:cs="Times New Roman"/>
                <w:b w:val="0"/>
                <w:bCs/>
                <w:sz w:val="24"/>
                <w:szCs w:val="24"/>
                <w:lang w:val="en-US" w:eastAsia="zh-CN"/>
              </w:rPr>
              <w:t>污泥处置</w:t>
            </w:r>
            <w:r>
              <w:rPr>
                <w:rFonts w:hint="eastAsia" w:ascii="Times New Roman" w:hAnsi="Times New Roman" w:eastAsia="宋体" w:cs="Times New Roman"/>
                <w:b w:val="0"/>
                <w:bCs/>
                <w:sz w:val="24"/>
                <w:szCs w:val="24"/>
                <w:lang w:val="en-US" w:eastAsia="zh-CN"/>
              </w:rPr>
              <w:t>量为6</w:t>
            </w:r>
            <w:r>
              <w:rPr>
                <w:rFonts w:hint="default" w:ascii="Times New Roman" w:hAnsi="Times New Roman" w:eastAsia="宋体" w:cs="Times New Roman"/>
                <w:b w:val="0"/>
                <w:bCs/>
                <w:sz w:val="24"/>
                <w:szCs w:val="24"/>
                <w:lang w:val="en-US" w:eastAsia="zh-CN"/>
              </w:rPr>
              <w:t>0t/d</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返混料</w:t>
            </w:r>
            <w:r>
              <w:rPr>
                <w:rFonts w:hint="eastAsia" w:ascii="Times New Roman" w:hAnsi="Times New Roman" w:eastAsia="宋体" w:cs="Times New Roman"/>
                <w:b w:val="0"/>
                <w:bCs/>
                <w:sz w:val="24"/>
                <w:szCs w:val="24"/>
                <w:lang w:val="en-US" w:eastAsia="zh-CN"/>
              </w:rPr>
              <w:t>6</w:t>
            </w:r>
            <w:r>
              <w:rPr>
                <w:rFonts w:hint="default" w:ascii="Times New Roman" w:hAnsi="Times New Roman" w:eastAsia="宋体" w:cs="Times New Roman"/>
                <w:b w:val="0"/>
                <w:bCs/>
                <w:sz w:val="24"/>
                <w:szCs w:val="24"/>
                <w:lang w:val="en-US" w:eastAsia="zh-CN"/>
              </w:rPr>
              <w:t>0t/d，使用辅料</w:t>
            </w:r>
            <w:r>
              <w:rPr>
                <w:rFonts w:hint="eastAsia" w:ascii="Times New Roman" w:hAnsi="Times New Roman" w:eastAsia="宋体" w:cs="Times New Roman"/>
                <w:b w:val="0"/>
                <w:bCs/>
                <w:sz w:val="24"/>
                <w:szCs w:val="24"/>
                <w:lang w:val="en-US" w:eastAsia="zh-CN"/>
              </w:rPr>
              <w:t>20</w:t>
            </w:r>
            <w:r>
              <w:rPr>
                <w:rFonts w:hint="default" w:ascii="Times New Roman" w:hAnsi="Times New Roman" w:eastAsia="宋体" w:cs="Times New Roman"/>
                <w:b w:val="0"/>
                <w:bCs/>
                <w:sz w:val="24"/>
                <w:szCs w:val="24"/>
                <w:lang w:val="en-US" w:eastAsia="zh-CN"/>
              </w:rPr>
              <w:t>t/d，则每日混料量为</w:t>
            </w:r>
            <w:r>
              <w:rPr>
                <w:rFonts w:hint="eastAsia" w:ascii="Times New Roman" w:hAnsi="Times New Roman" w:eastAsia="宋体" w:cs="Times New Roman"/>
                <w:b w:val="0"/>
                <w:bCs/>
                <w:sz w:val="24"/>
                <w:szCs w:val="24"/>
                <w:lang w:val="en-US" w:eastAsia="zh-CN"/>
              </w:rPr>
              <w:t>140</w:t>
            </w:r>
            <w:r>
              <w:rPr>
                <w:rFonts w:hint="default" w:ascii="Times New Roman" w:hAnsi="Times New Roman" w:eastAsia="宋体" w:cs="Times New Roman"/>
                <w:b w:val="0"/>
                <w:bCs/>
                <w:sz w:val="24"/>
                <w:szCs w:val="24"/>
                <w:lang w:val="en-US" w:eastAsia="zh-CN"/>
              </w:rPr>
              <w:t>t/d。年工作时间为</w:t>
            </w:r>
            <w:r>
              <w:rPr>
                <w:rFonts w:hint="eastAsia" w:ascii="Times New Roman" w:hAnsi="Times New Roman" w:eastAsia="宋体" w:cs="Times New Roman"/>
                <w:b w:val="0"/>
                <w:bCs/>
                <w:sz w:val="24"/>
                <w:szCs w:val="24"/>
                <w:lang w:val="en-US" w:eastAsia="zh-CN"/>
              </w:rPr>
              <w:t>11</w:t>
            </w:r>
            <w:r>
              <w:rPr>
                <w:rFonts w:hint="default" w:ascii="Times New Roman" w:hAnsi="Times New Roman" w:eastAsia="宋体" w:cs="Times New Roman"/>
                <w:b w:val="0"/>
                <w:bCs/>
                <w:sz w:val="24"/>
                <w:szCs w:val="24"/>
                <w:lang w:val="en-US" w:eastAsia="zh-CN"/>
              </w:rPr>
              <w:t>0天，则全年物料发酵量为15400t。</w:t>
            </w:r>
          </w:p>
          <w:p>
            <w:pPr>
              <w:spacing w:line="360" w:lineRule="auto"/>
              <w:ind w:firstLine="480" w:firstLineChars="200"/>
              <w:outlineLvl w:val="1"/>
              <w:rPr>
                <w:rFonts w:hint="eastAsia"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综上所述，本项目全年物料发酵量15400t&lt;</w:t>
            </w:r>
            <w:r>
              <w:rPr>
                <w:rFonts w:hint="eastAsia" w:ascii="Times New Roman" w:hAnsi="Times New Roman" w:eastAsia="宋体" w:cs="Times New Roman"/>
                <w:b w:val="0"/>
                <w:bCs/>
                <w:sz w:val="24"/>
                <w:szCs w:val="24"/>
                <w:lang w:val="en-US" w:eastAsia="zh-CN"/>
              </w:rPr>
              <w:t>5</w:t>
            </w:r>
            <w:r>
              <w:rPr>
                <w:rFonts w:hint="default" w:ascii="Times New Roman" w:hAnsi="Times New Roman" w:eastAsia="宋体" w:cs="Times New Roman"/>
                <w:b w:val="0"/>
                <w:bCs/>
                <w:sz w:val="24"/>
                <w:szCs w:val="24"/>
                <w:lang w:val="en-US" w:eastAsia="zh-CN"/>
              </w:rPr>
              <w:t>个发酵槽全年最大物料发酵能力</w:t>
            </w:r>
            <w:r>
              <w:rPr>
                <w:rFonts w:hint="eastAsia" w:ascii="Times New Roman" w:hAnsi="Times New Roman" w:eastAsia="宋体" w:cs="Times New Roman"/>
                <w:kern w:val="0"/>
                <w:sz w:val="24"/>
                <w:szCs w:val="24"/>
                <w:lang w:eastAsia="zh-CN"/>
              </w:rPr>
              <w:t>23250.7</w:t>
            </w:r>
            <w:r>
              <w:rPr>
                <w:rFonts w:hint="default" w:ascii="Times New Roman" w:hAnsi="Times New Roman" w:eastAsia="宋体" w:cs="Times New Roman"/>
                <w:b w:val="0"/>
                <w:bCs/>
                <w:sz w:val="24"/>
                <w:szCs w:val="24"/>
                <w:lang w:val="en-US" w:eastAsia="zh-CN"/>
              </w:rPr>
              <w:t>t，因此，</w:t>
            </w:r>
            <w:r>
              <w:rPr>
                <w:rFonts w:hint="eastAsia" w:ascii="Times New Roman" w:hAnsi="Times New Roman" w:eastAsia="宋体" w:cs="Times New Roman"/>
                <w:b w:val="0"/>
                <w:bCs/>
                <w:sz w:val="24"/>
                <w:szCs w:val="24"/>
                <w:lang w:val="en-US" w:eastAsia="zh-CN"/>
              </w:rPr>
              <w:t>本项目依托现有</w:t>
            </w:r>
            <w:r>
              <w:rPr>
                <w:rFonts w:hint="eastAsia" w:ascii="Times New Roman" w:hAnsi="Times New Roman" w:eastAsia="宋体" w:cs="Times New Roman"/>
                <w:color w:val="auto"/>
                <w:kern w:val="0"/>
                <w:sz w:val="24"/>
                <w:szCs w:val="24"/>
                <w:lang w:val="en-US" w:eastAsia="zh-CN"/>
              </w:rPr>
              <w:t>绿化营养土发酵生产线（5</w:t>
            </w:r>
            <w:r>
              <w:rPr>
                <w:rFonts w:hint="default" w:ascii="Times New Roman" w:hAnsi="Times New Roman" w:eastAsia="宋体" w:cs="Times New Roman"/>
                <w:b w:val="0"/>
                <w:bCs/>
                <w:sz w:val="24"/>
                <w:szCs w:val="24"/>
                <w:lang w:val="en-US" w:eastAsia="zh-CN"/>
              </w:rPr>
              <w:t>个发酵槽</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b w:val="0"/>
                <w:bCs/>
                <w:sz w:val="24"/>
                <w:szCs w:val="24"/>
                <w:lang w:val="en-US" w:eastAsia="zh-CN"/>
              </w:rPr>
              <w:t>能满足项目生产需要</w:t>
            </w:r>
            <w:r>
              <w:rPr>
                <w:rFonts w:hint="eastAsia" w:ascii="Times New Roman" w:hAnsi="Times New Roman" w:eastAsia="宋体" w:cs="Times New Roman"/>
                <w:b w:val="0"/>
                <w:bCs/>
                <w:sz w:val="24"/>
                <w:szCs w:val="24"/>
                <w:lang w:val="en-US" w:eastAsia="zh-CN"/>
              </w:rPr>
              <w:t>。</w:t>
            </w:r>
          </w:p>
          <w:p>
            <w:pPr>
              <w:spacing w:line="360" w:lineRule="auto"/>
              <w:outlineLvl w:val="1"/>
              <w:rPr>
                <w:rFonts w:hint="eastAsia" w:ascii="Times New Roman" w:hAnsi="Times New Roman" w:eastAsia="宋体" w:cs="Times New Roman"/>
                <w:b/>
                <w:bCs w:val="0"/>
                <w:sz w:val="24"/>
                <w:szCs w:val="24"/>
                <w:lang w:val="zh-CN" w:eastAsia="zh-CN"/>
              </w:rPr>
            </w:pPr>
            <w:r>
              <w:rPr>
                <w:rFonts w:hint="eastAsia" w:ascii="Times New Roman" w:hAnsi="Times New Roman" w:eastAsia="宋体" w:cs="Times New Roman"/>
                <w:b/>
                <w:bCs w:val="0"/>
                <w:sz w:val="24"/>
                <w:szCs w:val="24"/>
                <w:lang w:val="en-US" w:eastAsia="zh-CN"/>
              </w:rPr>
              <w:t>2.2.4</w:t>
            </w:r>
            <w:r>
              <w:rPr>
                <w:rFonts w:hint="eastAsia" w:ascii="Times New Roman" w:hAnsi="Times New Roman" w:eastAsia="宋体" w:cs="Times New Roman"/>
                <w:b/>
                <w:bCs w:val="0"/>
                <w:sz w:val="24"/>
                <w:szCs w:val="24"/>
                <w:lang w:val="zh-CN" w:eastAsia="zh-CN"/>
              </w:rPr>
              <w:t>主要产品及质量标准</w:t>
            </w:r>
          </w:p>
          <w:p>
            <w:pPr>
              <w:spacing w:line="360" w:lineRule="auto"/>
              <w:ind w:firstLine="480" w:firstLineChars="200"/>
              <w:outlineLvl w:val="1"/>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b w:val="0"/>
                <w:bCs/>
                <w:sz w:val="24"/>
                <w:szCs w:val="24"/>
                <w:lang w:val="zh-CN" w:eastAsia="zh-CN"/>
              </w:rPr>
              <w:t>拟建项目年处置城镇生活污水处理厂污泥</w:t>
            </w:r>
            <w:r>
              <w:rPr>
                <w:rFonts w:hint="eastAsia" w:ascii="Times New Roman" w:hAnsi="Times New Roman" w:eastAsia="宋体" w:cs="Times New Roman"/>
                <w:b w:val="0"/>
                <w:bCs/>
                <w:sz w:val="24"/>
                <w:szCs w:val="24"/>
                <w:lang w:val="en-US" w:eastAsia="zh-CN"/>
              </w:rPr>
              <w:t>3.96</w:t>
            </w:r>
            <w:r>
              <w:rPr>
                <w:rFonts w:hint="eastAsia" w:ascii="Times New Roman" w:hAnsi="Times New Roman" w:eastAsia="宋体" w:cs="Times New Roman"/>
                <w:b w:val="0"/>
                <w:bCs/>
                <w:sz w:val="24"/>
                <w:szCs w:val="24"/>
                <w:lang w:val="zh-CN" w:eastAsia="zh-CN"/>
              </w:rPr>
              <w:t>万t/a，</w:t>
            </w:r>
            <w:r>
              <w:rPr>
                <w:rFonts w:hint="eastAsia" w:ascii="Times New Roman" w:hAnsi="Times New Roman" w:eastAsia="宋体" w:cs="Times New Roman"/>
                <w:color w:val="auto"/>
                <w:kern w:val="0"/>
                <w:sz w:val="24"/>
                <w:szCs w:val="24"/>
                <w:lang w:val="en-US" w:eastAsia="zh-CN"/>
              </w:rPr>
              <w:t>脱水后干污泥主要提供给华新盐井水泥进行综合利用，脱水后干污泥量</w:t>
            </w:r>
            <w:r>
              <w:rPr>
                <w:rFonts w:hint="eastAsia" w:ascii="Times New Roman" w:hAnsi="Times New Roman" w:eastAsia="宋体" w:cs="Times New Roman"/>
                <w:b w:val="0"/>
                <w:bCs/>
                <w:color w:val="auto"/>
                <w:sz w:val="24"/>
                <w:szCs w:val="24"/>
                <w:lang w:val="zh-CN" w:eastAsia="zh-CN"/>
              </w:rPr>
              <w:t>约</w:t>
            </w:r>
            <w:r>
              <w:rPr>
                <w:rFonts w:hint="eastAsia" w:ascii="Times New Roman" w:hAnsi="Times New Roman" w:eastAsia="宋体" w:cs="Times New Roman"/>
                <w:color w:val="auto"/>
                <w:kern w:val="0"/>
                <w:sz w:val="24"/>
                <w:szCs w:val="24"/>
                <w:lang w:val="en-US" w:eastAsia="zh-CN"/>
              </w:rPr>
              <w:t>10560</w:t>
            </w:r>
            <w:r>
              <w:rPr>
                <w:rFonts w:hint="eastAsia" w:ascii="Times New Roman" w:hAnsi="Times New Roman" w:eastAsia="宋体" w:cs="Times New Roman"/>
                <w:b w:val="0"/>
                <w:bCs/>
                <w:sz w:val="24"/>
                <w:szCs w:val="24"/>
                <w:lang w:val="zh-CN" w:eastAsia="zh-CN"/>
              </w:rPr>
              <w:t>t/a</w:t>
            </w:r>
            <w:r>
              <w:rPr>
                <w:rFonts w:hint="eastAsia" w:ascii="Times New Roman" w:hAnsi="Times New Roman" w:eastAsia="宋体" w:cs="Times New Roman"/>
                <w:color w:val="auto"/>
                <w:kern w:val="0"/>
                <w:sz w:val="24"/>
                <w:szCs w:val="24"/>
                <w:lang w:val="en-US" w:eastAsia="zh-CN"/>
              </w:rPr>
              <w:t>。脱水后污泥含水率控制在50%以内。</w:t>
            </w:r>
          </w:p>
          <w:p>
            <w:pPr>
              <w:spacing w:line="360" w:lineRule="auto"/>
              <w:ind w:firstLine="480" w:firstLineChars="200"/>
              <w:outlineLvl w:val="1"/>
              <w:rPr>
                <w:rFonts w:hint="eastAsia" w:ascii="Times New Roman" w:hAnsi="Times New Roman" w:eastAsia="宋体" w:cs="Times New Roman"/>
                <w:b w:val="0"/>
                <w:bCs/>
                <w:sz w:val="24"/>
                <w:szCs w:val="24"/>
                <w:lang w:val="zh-CN" w:eastAsia="zh-CN"/>
              </w:rPr>
            </w:pPr>
            <w:r>
              <w:rPr>
                <w:rFonts w:hint="eastAsia" w:ascii="Times New Roman" w:hAnsi="Times New Roman" w:eastAsia="宋体" w:cs="Times New Roman"/>
                <w:b w:val="0"/>
                <w:bCs/>
                <w:sz w:val="24"/>
                <w:szCs w:val="24"/>
                <w:lang w:val="zh-CN" w:eastAsia="zh-CN"/>
              </w:rPr>
              <w:t>当</w:t>
            </w:r>
            <w:r>
              <w:rPr>
                <w:rFonts w:hint="eastAsia" w:ascii="Times New Roman" w:hAnsi="Times New Roman" w:eastAsia="宋体" w:cs="Times New Roman"/>
                <w:bCs/>
                <w:color w:val="auto"/>
                <w:sz w:val="24"/>
                <w:szCs w:val="24"/>
                <w:lang w:val="en-US" w:eastAsia="zh-CN"/>
              </w:rPr>
              <w:t>华新盐井水泥停窑期间，</w:t>
            </w:r>
            <w:r>
              <w:rPr>
                <w:rFonts w:hint="eastAsia" w:ascii="Times New Roman" w:hAnsi="Times New Roman" w:eastAsia="宋体" w:cs="Times New Roman"/>
                <w:color w:val="auto"/>
                <w:kern w:val="0"/>
                <w:sz w:val="24"/>
                <w:szCs w:val="24"/>
                <w:lang w:val="en-US" w:eastAsia="zh-CN"/>
              </w:rPr>
              <w:t>脱水后污泥依托现有绿化营养土发酵生产线进行综合利用</w:t>
            </w:r>
            <w:r>
              <w:rPr>
                <w:rFonts w:hint="eastAsia" w:ascii="Times New Roman" w:hAnsi="Times New Roman" w:eastAsia="宋体" w:cs="Times New Roman"/>
                <w:b w:val="0"/>
                <w:bCs/>
                <w:sz w:val="24"/>
                <w:szCs w:val="24"/>
                <w:lang w:val="zh-CN" w:eastAsia="zh-CN"/>
              </w:rPr>
              <w:t>，采用高温好氧发酵工艺，发酵后最终产品为绿化营养土，绿化</w:t>
            </w:r>
            <w:r>
              <w:rPr>
                <w:rFonts w:hint="eastAsia" w:ascii="Times New Roman" w:hAnsi="Times New Roman" w:eastAsia="宋体" w:cs="Times New Roman"/>
                <w:b w:val="0"/>
                <w:bCs/>
                <w:color w:val="auto"/>
                <w:sz w:val="24"/>
                <w:szCs w:val="24"/>
                <w:lang w:val="zh-CN" w:eastAsia="zh-CN"/>
              </w:rPr>
              <w:t>营养土产生量约为</w:t>
            </w:r>
            <w:r>
              <w:rPr>
                <w:rFonts w:hint="eastAsia" w:ascii="Times New Roman" w:hAnsi="Times New Roman" w:eastAsia="宋体" w:cs="Times New Roman"/>
                <w:b w:val="0"/>
                <w:bCs/>
                <w:color w:val="auto"/>
                <w:sz w:val="24"/>
                <w:szCs w:val="24"/>
                <w:lang w:val="en-US" w:eastAsia="zh-CN"/>
              </w:rPr>
              <w:t>7333</w:t>
            </w:r>
            <w:r>
              <w:rPr>
                <w:rFonts w:hint="eastAsia" w:ascii="Times New Roman" w:hAnsi="Times New Roman" w:eastAsia="宋体" w:cs="Times New Roman"/>
                <w:b w:val="0"/>
                <w:bCs/>
                <w:color w:val="auto"/>
                <w:sz w:val="24"/>
                <w:szCs w:val="24"/>
                <w:lang w:val="zh-CN" w:eastAsia="zh-CN"/>
              </w:rPr>
              <w:t>t/a，</w:t>
            </w:r>
            <w:r>
              <w:rPr>
                <w:rFonts w:hint="eastAsia" w:ascii="Times New Roman" w:hAnsi="Times New Roman" w:eastAsia="宋体" w:cs="Times New Roman"/>
                <w:b w:val="0"/>
                <w:bCs/>
                <w:sz w:val="24"/>
                <w:szCs w:val="24"/>
                <w:lang w:val="zh-CN" w:eastAsia="zh-CN"/>
              </w:rPr>
              <w:t>绿化</w:t>
            </w:r>
            <w:r>
              <w:rPr>
                <w:rFonts w:hint="eastAsia" w:ascii="Times New Roman" w:hAnsi="Times New Roman" w:eastAsia="宋体" w:cs="Times New Roman"/>
                <w:b w:val="0"/>
                <w:bCs/>
                <w:color w:val="auto"/>
                <w:sz w:val="24"/>
                <w:szCs w:val="24"/>
                <w:lang w:val="zh-CN" w:eastAsia="zh-CN"/>
              </w:rPr>
              <w:t>营养土产品质量标准执行《城镇污水处理厂污泥园林绿化用产</w:t>
            </w:r>
            <w:r>
              <w:rPr>
                <w:rFonts w:hint="eastAsia" w:ascii="Times New Roman" w:hAnsi="Times New Roman" w:eastAsia="宋体" w:cs="Times New Roman"/>
                <w:b w:val="0"/>
                <w:bCs/>
                <w:sz w:val="24"/>
                <w:szCs w:val="24"/>
                <w:lang w:val="zh-CN" w:eastAsia="zh-CN"/>
              </w:rPr>
              <w:t>品质量标准》（DBJ50/T-341-2019）中园林绿化栽培基质、园林土壤改良材料，具体标准如下：</w:t>
            </w:r>
          </w:p>
          <w:p>
            <w:pPr>
              <w:spacing w:line="360" w:lineRule="auto"/>
              <w:ind w:firstLine="480" w:firstLineChars="200"/>
              <w:outlineLvl w:val="1"/>
              <w:rPr>
                <w:rFonts w:hint="eastAsia" w:ascii="Times New Roman" w:hAnsi="Times New Roman" w:eastAsia="宋体" w:cs="Times New Roman"/>
                <w:b w:val="0"/>
                <w:bCs/>
                <w:sz w:val="24"/>
                <w:szCs w:val="24"/>
                <w:lang w:val="zh-CN" w:eastAsia="zh-CN"/>
              </w:rPr>
            </w:pPr>
            <w:r>
              <w:rPr>
                <w:rFonts w:hint="eastAsia" w:ascii="Times New Roman" w:hAnsi="Times New Roman" w:eastAsia="宋体" w:cs="Times New Roman"/>
                <w:b w:val="0"/>
                <w:bCs/>
                <w:sz w:val="24"/>
                <w:szCs w:val="24"/>
                <w:lang w:val="zh-CN" w:eastAsia="zh-CN"/>
              </w:rPr>
              <w:t>一般规定：（1）用于园林绿化利用的污泥各项指标应符合现行国家标准《城镇污水处理厂污染物排放标准》（GB18918-2002）的有关规定。（2）用于园林绿化利用的污泥处理产物应疏松、无臭味，无明显杂物。</w:t>
            </w:r>
          </w:p>
          <w:p>
            <w:pPr>
              <w:spacing w:line="360" w:lineRule="auto"/>
              <w:ind w:firstLine="480" w:firstLineChars="200"/>
              <w:outlineLvl w:val="1"/>
              <w:rPr>
                <w:rFonts w:hint="eastAsia" w:ascii="Times New Roman" w:hAnsi="Times New Roman" w:eastAsia="宋体" w:cs="Times New Roman"/>
                <w:b w:val="0"/>
                <w:bCs/>
                <w:sz w:val="24"/>
                <w:szCs w:val="24"/>
                <w:lang w:val="zh-CN" w:eastAsia="zh-CN"/>
              </w:rPr>
            </w:pPr>
            <w:r>
              <w:rPr>
                <w:rFonts w:hint="eastAsia" w:ascii="Times New Roman" w:hAnsi="Times New Roman" w:eastAsia="宋体" w:cs="Times New Roman"/>
                <w:b w:val="0"/>
                <w:bCs/>
                <w:sz w:val="24"/>
                <w:szCs w:val="24"/>
                <w:lang w:val="zh-CN" w:eastAsia="zh-CN"/>
              </w:rPr>
              <w:t>园林绿化栽培基质：以污泥处理产物为原料生产的园林绿化栽培基质，理化指标和营养指标应符合表2.</w:t>
            </w:r>
            <w:r>
              <w:rPr>
                <w:rFonts w:hint="eastAsia" w:ascii="Times New Roman" w:hAnsi="Times New Roman" w:eastAsia="宋体" w:cs="Times New Roman"/>
                <w:b w:val="0"/>
                <w:bCs/>
                <w:sz w:val="24"/>
                <w:szCs w:val="24"/>
                <w:lang w:val="en-US" w:eastAsia="zh-CN"/>
              </w:rPr>
              <w:t>2</w:t>
            </w:r>
            <w:r>
              <w:rPr>
                <w:rFonts w:hint="eastAsia" w:ascii="Times New Roman" w:hAnsi="Times New Roman" w:eastAsia="宋体" w:cs="Times New Roman"/>
                <w:b w:val="0"/>
                <w:bCs/>
                <w:sz w:val="24"/>
                <w:szCs w:val="24"/>
                <w:lang w:val="zh-CN" w:eastAsia="zh-CN"/>
              </w:rPr>
              <w:t>-</w:t>
            </w:r>
            <w:r>
              <w:rPr>
                <w:rFonts w:hint="eastAsia" w:ascii="Times New Roman" w:hAnsi="Times New Roman" w:eastAsia="宋体" w:cs="Times New Roman"/>
                <w:b w:val="0"/>
                <w:bCs/>
                <w:sz w:val="24"/>
                <w:szCs w:val="24"/>
                <w:lang w:val="en-US" w:eastAsia="zh-CN"/>
              </w:rPr>
              <w:t>3</w:t>
            </w:r>
            <w:r>
              <w:rPr>
                <w:rFonts w:hint="eastAsia" w:ascii="Times New Roman" w:hAnsi="Times New Roman" w:eastAsia="宋体" w:cs="Times New Roman"/>
                <w:b w:val="0"/>
                <w:bCs/>
                <w:sz w:val="24"/>
                <w:szCs w:val="24"/>
                <w:lang w:val="zh-CN" w:eastAsia="zh-CN"/>
              </w:rPr>
              <w:t>的要求。</w:t>
            </w:r>
          </w:p>
          <w:p>
            <w:pPr>
              <w:spacing w:line="360" w:lineRule="auto"/>
              <w:ind w:firstLine="482" w:firstLineChars="200"/>
              <w:jc w:val="center"/>
              <w:outlineLvl w:val="1"/>
              <w:rPr>
                <w:rFonts w:hint="eastAsia" w:ascii="Times New Roman" w:hAnsi="Times New Roman" w:eastAsia="宋体" w:cs="Times New Roman"/>
                <w:b/>
                <w:bCs w:val="0"/>
                <w:sz w:val="24"/>
                <w:szCs w:val="24"/>
                <w:lang w:val="zh-CN" w:eastAsia="zh-CN"/>
              </w:rPr>
            </w:pPr>
            <w:r>
              <w:rPr>
                <w:rFonts w:hint="eastAsia" w:ascii="Times New Roman" w:hAnsi="Times New Roman" w:eastAsia="宋体" w:cs="Times New Roman"/>
                <w:b/>
                <w:bCs w:val="0"/>
                <w:sz w:val="24"/>
                <w:szCs w:val="24"/>
                <w:lang w:val="zh-CN" w:eastAsia="zh-CN"/>
              </w:rPr>
              <w:t>表2.</w:t>
            </w: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val="zh-CN" w:eastAsia="zh-CN"/>
              </w:rPr>
              <w:t>-</w:t>
            </w:r>
            <w:r>
              <w:rPr>
                <w:rFonts w:hint="eastAsia" w:ascii="Times New Roman" w:hAnsi="Times New Roman" w:eastAsia="宋体" w:cs="Times New Roman"/>
                <w:b/>
                <w:bCs w:val="0"/>
                <w:sz w:val="24"/>
                <w:szCs w:val="24"/>
                <w:lang w:val="en-US" w:eastAsia="zh-CN"/>
              </w:rPr>
              <w:t>3</w:t>
            </w:r>
            <w:r>
              <w:rPr>
                <w:rFonts w:hint="eastAsia" w:ascii="Times New Roman" w:hAnsi="Times New Roman" w:eastAsia="宋体" w:cs="Times New Roman"/>
                <w:b/>
                <w:bCs w:val="0"/>
                <w:sz w:val="24"/>
                <w:szCs w:val="24"/>
                <w:lang w:val="zh-CN" w:eastAsia="zh-CN"/>
              </w:rPr>
              <w:t xml:space="preserve">  园林绿化栽培基质理化指标和营养指标</w:t>
            </w:r>
          </w:p>
          <w:tbl>
            <w:tblPr>
              <w:tblStyle w:val="20"/>
              <w:tblW w:w="8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921"/>
              <w:gridCol w:w="683"/>
              <w:gridCol w:w="1497"/>
              <w:gridCol w:w="967"/>
              <w:gridCol w:w="1283"/>
              <w:gridCol w:w="779"/>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72" w:type="dxa"/>
                  <w:shd w:val="clear" w:color="auto" w:fill="auto"/>
                  <w:vAlign w:val="center"/>
                </w:tcPr>
                <w:p>
                  <w:pPr>
                    <w:adjustRightInd w:val="0"/>
                    <w:snapToGrid w:val="0"/>
                    <w:spacing w:line="240" w:lineRule="auto"/>
                    <w:ind w:left="-105" w:leftChars="-50" w:right="-105" w:rightChars="-50"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项目</w:t>
                  </w:r>
                </w:p>
              </w:tc>
              <w:tc>
                <w:tcPr>
                  <w:tcW w:w="921" w:type="dxa"/>
                  <w:shd w:val="clear" w:color="auto" w:fill="auto"/>
                  <w:vAlign w:val="center"/>
                </w:tcPr>
                <w:p>
                  <w:pPr>
                    <w:adjustRightInd w:val="0"/>
                    <w:snapToGrid w:val="0"/>
                    <w:spacing w:line="240" w:lineRule="auto"/>
                    <w:ind w:left="-105" w:leftChars="-50" w:right="-105" w:rightChars="-50"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pH值</w:t>
                  </w:r>
                </w:p>
              </w:tc>
              <w:tc>
                <w:tcPr>
                  <w:tcW w:w="683" w:type="dxa"/>
                  <w:shd w:val="clear" w:color="auto" w:fill="auto"/>
                  <w:vAlign w:val="center"/>
                </w:tcPr>
                <w:p>
                  <w:pPr>
                    <w:adjustRightInd w:val="0"/>
                    <w:snapToGrid w:val="0"/>
                    <w:spacing w:line="240" w:lineRule="auto"/>
                    <w:ind w:left="-105" w:leftChars="-50" w:right="-105" w:rightChars="-50"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含水率%</w:t>
                  </w:r>
                </w:p>
              </w:tc>
              <w:tc>
                <w:tcPr>
                  <w:tcW w:w="1497" w:type="dxa"/>
                  <w:shd w:val="clear" w:color="auto" w:fill="auto"/>
                  <w:vAlign w:val="center"/>
                </w:tcPr>
                <w:p>
                  <w:pPr>
                    <w:adjustRightInd w:val="0"/>
                    <w:snapToGrid w:val="0"/>
                    <w:spacing w:line="240" w:lineRule="auto"/>
                    <w:ind w:left="-105" w:leftChars="-50" w:right="-105" w:rightChars="-50"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粒径（≤15mm），（质量分数）%</w:t>
                  </w:r>
                </w:p>
              </w:tc>
              <w:tc>
                <w:tcPr>
                  <w:tcW w:w="967" w:type="dxa"/>
                  <w:shd w:val="clear" w:color="auto" w:fill="auto"/>
                  <w:vAlign w:val="center"/>
                </w:tcPr>
                <w:p>
                  <w:pPr>
                    <w:adjustRightInd w:val="0"/>
                    <w:snapToGrid w:val="0"/>
                    <w:spacing w:line="240" w:lineRule="auto"/>
                    <w:ind w:left="-105" w:leftChars="-50" w:right="-105" w:rightChars="-50"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EC值，mS/cm</w:t>
                  </w:r>
                </w:p>
              </w:tc>
              <w:tc>
                <w:tcPr>
                  <w:tcW w:w="1283" w:type="dxa"/>
                  <w:shd w:val="clear" w:color="auto" w:fill="auto"/>
                  <w:vAlign w:val="center"/>
                </w:tcPr>
                <w:p>
                  <w:pPr>
                    <w:adjustRightInd w:val="0"/>
                    <w:snapToGrid w:val="0"/>
                    <w:spacing w:line="240" w:lineRule="auto"/>
                    <w:ind w:left="-105" w:leftChars="-50" w:right="-105" w:rightChars="-50"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有机质</w:t>
                  </w:r>
                </w:p>
                <w:p>
                  <w:pPr>
                    <w:adjustRightInd w:val="0"/>
                    <w:snapToGrid w:val="0"/>
                    <w:spacing w:line="240" w:lineRule="auto"/>
                    <w:ind w:left="-105" w:leftChars="-50" w:right="-105" w:rightChars="-50"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（以干基计），g/kg</w:t>
                  </w:r>
                </w:p>
              </w:tc>
              <w:tc>
                <w:tcPr>
                  <w:tcW w:w="779" w:type="dxa"/>
                  <w:shd w:val="clear" w:color="auto" w:fill="auto"/>
                  <w:vAlign w:val="center"/>
                </w:tcPr>
                <w:p>
                  <w:pPr>
                    <w:adjustRightInd w:val="0"/>
                    <w:snapToGrid w:val="0"/>
                    <w:spacing w:line="240" w:lineRule="auto"/>
                    <w:ind w:left="-105" w:leftChars="-50" w:right="-105" w:rightChars="-50"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容重，g/cm</w:t>
                  </w:r>
                  <w:r>
                    <w:rPr>
                      <w:rFonts w:hint="default" w:ascii="Times New Roman" w:hAnsi="Times New Roman" w:eastAsia="宋体" w:cs="Times New Roman"/>
                      <w:bCs/>
                      <w:sz w:val="21"/>
                      <w:szCs w:val="21"/>
                      <w:vertAlign w:val="superscript"/>
                    </w:rPr>
                    <w:t>3</w:t>
                  </w:r>
                </w:p>
              </w:tc>
              <w:tc>
                <w:tcPr>
                  <w:tcW w:w="1514" w:type="dxa"/>
                  <w:shd w:val="clear" w:color="auto" w:fill="auto"/>
                  <w:vAlign w:val="center"/>
                </w:tcPr>
                <w:p>
                  <w:pPr>
                    <w:adjustRightInd w:val="0"/>
                    <w:snapToGrid w:val="0"/>
                    <w:spacing w:line="240" w:lineRule="auto"/>
                    <w:ind w:left="-105" w:leftChars="-50" w:right="-105" w:rightChars="-50"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总养分</w:t>
                  </w:r>
                </w:p>
                <w:p>
                  <w:pPr>
                    <w:adjustRightInd w:val="0"/>
                    <w:snapToGrid w:val="0"/>
                    <w:spacing w:line="240" w:lineRule="auto"/>
                    <w:ind w:left="-105" w:leftChars="-50" w:right="-105" w:rightChars="-50"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（以干基计）[</w:t>
                  </w:r>
                  <w:r>
                    <w:rPr>
                      <w:rFonts w:hint="default" w:ascii="Times New Roman" w:hAnsi="Times New Roman" w:eastAsia="宋体" w:cs="Times New Roman"/>
                      <w:sz w:val="21"/>
                      <w:szCs w:val="21"/>
                    </w:rPr>
                    <w:t>N+ P</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 xml:space="preserve"> +K</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r>
                    <w:rPr>
                      <w:rFonts w:hint="default" w:ascii="Times New Roman" w:hAnsi="Times New Roman" w:eastAsia="宋体" w:cs="Times New Roman"/>
                      <w:bCs/>
                      <w:sz w:val="21"/>
                      <w:szCs w:val="21"/>
                    </w:rPr>
                    <w:t>]，g/kg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7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指标</w:t>
                  </w:r>
                </w:p>
              </w:tc>
              <w:tc>
                <w:tcPr>
                  <w:tcW w:w="921"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5.5~8.5</w:t>
                  </w:r>
                </w:p>
              </w:tc>
              <w:tc>
                <w:tcPr>
                  <w:tcW w:w="683"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≤45</w:t>
                  </w:r>
                </w:p>
              </w:tc>
              <w:tc>
                <w:tcPr>
                  <w:tcW w:w="1497"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≥90</w:t>
                  </w:r>
                </w:p>
              </w:tc>
              <w:tc>
                <w:tcPr>
                  <w:tcW w:w="967"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≤1.2</w:t>
                  </w:r>
                </w:p>
              </w:tc>
              <w:tc>
                <w:tcPr>
                  <w:tcW w:w="1283"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≥100</w:t>
                  </w:r>
                </w:p>
              </w:tc>
              <w:tc>
                <w:tcPr>
                  <w:tcW w:w="779"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w:t>
                  </w:r>
                </w:p>
              </w:tc>
              <w:tc>
                <w:tcPr>
                  <w:tcW w:w="15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≥25</w:t>
                  </w:r>
                </w:p>
              </w:tc>
            </w:tr>
          </w:tbl>
          <w:p>
            <w:pPr>
              <w:spacing w:line="360" w:lineRule="auto"/>
              <w:ind w:firstLine="480" w:firstLineChars="200"/>
              <w:outlineLvl w:val="1"/>
              <w:rPr>
                <w:rFonts w:hint="eastAsia" w:ascii="Times New Roman" w:hAnsi="Times New Roman" w:eastAsia="宋体" w:cs="Times New Roman"/>
                <w:b w:val="0"/>
                <w:bCs/>
                <w:sz w:val="24"/>
                <w:szCs w:val="24"/>
                <w:lang w:val="zh-CN" w:eastAsia="zh-CN"/>
              </w:rPr>
            </w:pPr>
            <w:r>
              <w:rPr>
                <w:rFonts w:hint="eastAsia" w:ascii="Times New Roman" w:hAnsi="Times New Roman" w:eastAsia="宋体" w:cs="Times New Roman"/>
                <w:b w:val="0"/>
                <w:bCs/>
                <w:sz w:val="24"/>
                <w:szCs w:val="24"/>
                <w:lang w:val="zh-CN" w:eastAsia="zh-CN"/>
              </w:rPr>
              <w:t>以污泥处理产物为原料生产的园林绿化栽培基质，安全指标、生物学指标和种子发芽指数等各项指标应满足表2.</w:t>
            </w:r>
            <w:r>
              <w:rPr>
                <w:rFonts w:hint="eastAsia" w:ascii="Times New Roman" w:hAnsi="Times New Roman" w:eastAsia="宋体" w:cs="Times New Roman"/>
                <w:b w:val="0"/>
                <w:bCs/>
                <w:sz w:val="24"/>
                <w:szCs w:val="24"/>
                <w:lang w:val="en-US" w:eastAsia="zh-CN"/>
              </w:rPr>
              <w:t>2</w:t>
            </w:r>
            <w:r>
              <w:rPr>
                <w:rFonts w:hint="eastAsia" w:ascii="Times New Roman" w:hAnsi="Times New Roman" w:eastAsia="宋体" w:cs="Times New Roman"/>
                <w:b w:val="0"/>
                <w:bCs/>
                <w:sz w:val="24"/>
                <w:szCs w:val="24"/>
                <w:lang w:val="zh-CN" w:eastAsia="zh-CN"/>
              </w:rPr>
              <w:t>-</w:t>
            </w:r>
            <w:r>
              <w:rPr>
                <w:rFonts w:hint="eastAsia" w:ascii="Times New Roman" w:hAnsi="Times New Roman" w:eastAsia="宋体" w:cs="Times New Roman"/>
                <w:b w:val="0"/>
                <w:bCs/>
                <w:sz w:val="24"/>
                <w:szCs w:val="24"/>
                <w:lang w:val="en-US" w:eastAsia="zh-CN"/>
              </w:rPr>
              <w:t>4</w:t>
            </w:r>
            <w:r>
              <w:rPr>
                <w:rFonts w:hint="eastAsia" w:ascii="Times New Roman" w:hAnsi="Times New Roman" w:eastAsia="宋体" w:cs="Times New Roman"/>
                <w:b w:val="0"/>
                <w:bCs/>
                <w:sz w:val="24"/>
                <w:szCs w:val="24"/>
                <w:lang w:val="zh-CN" w:eastAsia="zh-CN"/>
              </w:rPr>
              <w:t>的要求。同时，不得检测出传染性病原菌。</w:t>
            </w:r>
          </w:p>
          <w:p>
            <w:pPr>
              <w:spacing w:line="360" w:lineRule="auto"/>
              <w:ind w:firstLine="482" w:firstLineChars="200"/>
              <w:jc w:val="center"/>
              <w:outlineLvl w:val="1"/>
              <w:rPr>
                <w:rFonts w:hint="eastAsia" w:ascii="Times New Roman" w:hAnsi="Times New Roman" w:eastAsia="宋体" w:cs="Times New Roman"/>
                <w:b/>
                <w:bCs w:val="0"/>
                <w:sz w:val="24"/>
                <w:szCs w:val="24"/>
                <w:lang w:val="zh-CN" w:eastAsia="zh-CN"/>
              </w:rPr>
            </w:pPr>
            <w:r>
              <w:rPr>
                <w:rFonts w:hint="eastAsia" w:ascii="Times New Roman" w:hAnsi="Times New Roman" w:eastAsia="宋体" w:cs="Times New Roman"/>
                <w:b/>
                <w:bCs w:val="0"/>
                <w:sz w:val="24"/>
                <w:szCs w:val="24"/>
                <w:lang w:val="zh-CN" w:eastAsia="zh-CN"/>
              </w:rPr>
              <w:t>表2.</w:t>
            </w: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val="zh-CN" w:eastAsia="zh-CN"/>
              </w:rPr>
              <w:t>-</w:t>
            </w:r>
            <w:r>
              <w:rPr>
                <w:rFonts w:hint="eastAsia" w:ascii="Times New Roman" w:hAnsi="Times New Roman" w:eastAsia="宋体" w:cs="Times New Roman"/>
                <w:b/>
                <w:bCs w:val="0"/>
                <w:sz w:val="24"/>
                <w:szCs w:val="24"/>
                <w:lang w:val="en-US" w:eastAsia="zh-CN"/>
              </w:rPr>
              <w:t>4</w:t>
            </w:r>
            <w:r>
              <w:rPr>
                <w:rFonts w:hint="eastAsia" w:ascii="Times New Roman" w:hAnsi="Times New Roman" w:eastAsia="宋体" w:cs="Times New Roman"/>
                <w:b/>
                <w:bCs w:val="0"/>
                <w:sz w:val="24"/>
                <w:szCs w:val="24"/>
                <w:lang w:val="zh-CN" w:eastAsia="zh-CN"/>
              </w:rPr>
              <w:t xml:space="preserve">  园林绿化栽培基质控制指标</w:t>
            </w:r>
          </w:p>
          <w:tbl>
            <w:tblPr>
              <w:tblStyle w:val="20"/>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4562"/>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3507" w:type="pct"/>
                  <w:gridSpan w:val="2"/>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控制指标</w:t>
                  </w:r>
                </w:p>
              </w:tc>
              <w:tc>
                <w:tcPr>
                  <w:tcW w:w="1492"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81" w:type="pct"/>
                  <w:vMerge w:val="restart"/>
                  <w:vAlign w:val="center"/>
                </w:tcPr>
                <w:p>
                  <w:pPr>
                    <w:spacing w:line="240" w:lineRule="exact"/>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安全指标</w:t>
                  </w:r>
                </w:p>
                <w:p>
                  <w:pPr>
                    <w:spacing w:line="240" w:lineRule="exact"/>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（以干基计）</w:t>
                  </w:r>
                </w:p>
              </w:tc>
              <w:tc>
                <w:tcPr>
                  <w:tcW w:w="2825"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总镉/（mg/kg）</w:t>
                  </w:r>
                </w:p>
              </w:tc>
              <w:tc>
                <w:tcPr>
                  <w:tcW w:w="1492"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81" w:type="pct"/>
                  <w:vMerge w:val="continue"/>
                  <w:vAlign w:val="center"/>
                </w:tcPr>
                <w:p>
                  <w:pPr>
                    <w:spacing w:line="240" w:lineRule="exact"/>
                    <w:ind w:firstLine="420"/>
                    <w:jc w:val="center"/>
                    <w:rPr>
                      <w:rFonts w:hint="default" w:ascii="Times New Roman" w:hAnsi="Times New Roman" w:eastAsia="宋体" w:cs="Times New Roman"/>
                      <w:sz w:val="21"/>
                      <w:szCs w:val="21"/>
                    </w:rPr>
                  </w:pPr>
                </w:p>
              </w:tc>
              <w:tc>
                <w:tcPr>
                  <w:tcW w:w="2825"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总汞/（mg/kg）</w:t>
                  </w:r>
                </w:p>
              </w:tc>
              <w:tc>
                <w:tcPr>
                  <w:tcW w:w="1492"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81" w:type="pct"/>
                  <w:vMerge w:val="continue"/>
                  <w:vAlign w:val="center"/>
                </w:tcPr>
                <w:p>
                  <w:pPr>
                    <w:spacing w:line="240" w:lineRule="exact"/>
                    <w:ind w:firstLine="420"/>
                    <w:jc w:val="center"/>
                    <w:rPr>
                      <w:rFonts w:hint="default" w:ascii="Times New Roman" w:hAnsi="Times New Roman" w:eastAsia="宋体" w:cs="Times New Roman"/>
                      <w:sz w:val="21"/>
                      <w:szCs w:val="21"/>
                    </w:rPr>
                  </w:pPr>
                </w:p>
              </w:tc>
              <w:tc>
                <w:tcPr>
                  <w:tcW w:w="2825"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总铅/（mg/kg）</w:t>
                  </w:r>
                </w:p>
              </w:tc>
              <w:tc>
                <w:tcPr>
                  <w:tcW w:w="1492"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81" w:type="pct"/>
                  <w:vMerge w:val="continue"/>
                  <w:vAlign w:val="center"/>
                </w:tcPr>
                <w:p>
                  <w:pPr>
                    <w:spacing w:line="240" w:lineRule="exact"/>
                    <w:ind w:firstLine="420"/>
                    <w:jc w:val="center"/>
                    <w:rPr>
                      <w:rFonts w:hint="default" w:ascii="Times New Roman" w:hAnsi="Times New Roman" w:eastAsia="宋体" w:cs="Times New Roman"/>
                      <w:sz w:val="21"/>
                      <w:szCs w:val="21"/>
                    </w:rPr>
                  </w:pPr>
                </w:p>
              </w:tc>
              <w:tc>
                <w:tcPr>
                  <w:tcW w:w="2825"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总铬/（mg/kg）</w:t>
                  </w:r>
                </w:p>
              </w:tc>
              <w:tc>
                <w:tcPr>
                  <w:tcW w:w="1492"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81" w:type="pct"/>
                  <w:vMerge w:val="continue"/>
                  <w:vAlign w:val="center"/>
                </w:tcPr>
                <w:p>
                  <w:pPr>
                    <w:spacing w:line="240" w:lineRule="exact"/>
                    <w:ind w:firstLine="420"/>
                    <w:jc w:val="center"/>
                    <w:rPr>
                      <w:rFonts w:hint="default" w:ascii="Times New Roman" w:hAnsi="Times New Roman" w:eastAsia="宋体" w:cs="Times New Roman"/>
                      <w:sz w:val="21"/>
                      <w:szCs w:val="21"/>
                    </w:rPr>
                  </w:pPr>
                </w:p>
              </w:tc>
              <w:tc>
                <w:tcPr>
                  <w:tcW w:w="2825"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总砷/（mg/kg）</w:t>
                  </w:r>
                </w:p>
              </w:tc>
              <w:tc>
                <w:tcPr>
                  <w:tcW w:w="1492"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81" w:type="pct"/>
                  <w:vMerge w:val="continue"/>
                  <w:vAlign w:val="center"/>
                </w:tcPr>
                <w:p>
                  <w:pPr>
                    <w:spacing w:line="240" w:lineRule="exact"/>
                    <w:ind w:firstLine="420"/>
                    <w:jc w:val="center"/>
                    <w:rPr>
                      <w:rFonts w:hint="default" w:ascii="Times New Roman" w:hAnsi="Times New Roman" w:eastAsia="宋体" w:cs="Times New Roman"/>
                      <w:sz w:val="21"/>
                      <w:szCs w:val="21"/>
                    </w:rPr>
                  </w:pPr>
                </w:p>
              </w:tc>
              <w:tc>
                <w:tcPr>
                  <w:tcW w:w="2825"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总镍/（mg/kg）</w:t>
                  </w:r>
                </w:p>
              </w:tc>
              <w:tc>
                <w:tcPr>
                  <w:tcW w:w="1492"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81" w:type="pct"/>
                  <w:vMerge w:val="continue"/>
                  <w:vAlign w:val="center"/>
                </w:tcPr>
                <w:p>
                  <w:pPr>
                    <w:spacing w:line="240" w:lineRule="exact"/>
                    <w:ind w:firstLine="420"/>
                    <w:jc w:val="center"/>
                    <w:rPr>
                      <w:rFonts w:hint="default" w:ascii="Times New Roman" w:hAnsi="Times New Roman" w:eastAsia="宋体" w:cs="Times New Roman"/>
                      <w:sz w:val="21"/>
                      <w:szCs w:val="21"/>
                    </w:rPr>
                  </w:pPr>
                </w:p>
              </w:tc>
              <w:tc>
                <w:tcPr>
                  <w:tcW w:w="2825"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总锌/（mg/kg）</w:t>
                  </w:r>
                </w:p>
              </w:tc>
              <w:tc>
                <w:tcPr>
                  <w:tcW w:w="1492"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81" w:type="pct"/>
                  <w:vMerge w:val="continue"/>
                  <w:vAlign w:val="center"/>
                </w:tcPr>
                <w:p>
                  <w:pPr>
                    <w:spacing w:line="240" w:lineRule="exact"/>
                    <w:ind w:firstLine="420"/>
                    <w:jc w:val="center"/>
                    <w:rPr>
                      <w:rFonts w:hint="default" w:ascii="Times New Roman" w:hAnsi="Times New Roman" w:eastAsia="宋体" w:cs="Times New Roman"/>
                      <w:sz w:val="21"/>
                      <w:szCs w:val="21"/>
                    </w:rPr>
                  </w:pPr>
                </w:p>
              </w:tc>
              <w:tc>
                <w:tcPr>
                  <w:tcW w:w="2825"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总铜/（mg/kg）</w:t>
                  </w:r>
                </w:p>
              </w:tc>
              <w:tc>
                <w:tcPr>
                  <w:tcW w:w="1492"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81" w:type="pct"/>
                  <w:vMerge w:val="continue"/>
                  <w:vAlign w:val="center"/>
                </w:tcPr>
                <w:p>
                  <w:pPr>
                    <w:spacing w:line="240" w:lineRule="exact"/>
                    <w:ind w:firstLine="420"/>
                    <w:jc w:val="center"/>
                    <w:rPr>
                      <w:rFonts w:hint="default" w:ascii="Times New Roman" w:hAnsi="Times New Roman" w:eastAsia="宋体" w:cs="Times New Roman"/>
                      <w:sz w:val="21"/>
                      <w:szCs w:val="21"/>
                    </w:rPr>
                  </w:pPr>
                </w:p>
              </w:tc>
              <w:tc>
                <w:tcPr>
                  <w:tcW w:w="2825"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矿物油/（mg/kg）</w:t>
                  </w:r>
                </w:p>
              </w:tc>
              <w:tc>
                <w:tcPr>
                  <w:tcW w:w="1492"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81" w:type="pct"/>
                  <w:vMerge w:val="continue"/>
                  <w:vAlign w:val="center"/>
                </w:tcPr>
                <w:p>
                  <w:pPr>
                    <w:spacing w:line="240" w:lineRule="exact"/>
                    <w:ind w:firstLine="420"/>
                    <w:jc w:val="center"/>
                    <w:rPr>
                      <w:rFonts w:hint="default" w:ascii="Times New Roman" w:hAnsi="Times New Roman" w:eastAsia="宋体" w:cs="Times New Roman"/>
                      <w:sz w:val="21"/>
                      <w:szCs w:val="21"/>
                    </w:rPr>
                  </w:pPr>
                </w:p>
              </w:tc>
              <w:tc>
                <w:tcPr>
                  <w:tcW w:w="2825"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苯并芘/（mg/kg）</w:t>
                  </w:r>
                </w:p>
              </w:tc>
              <w:tc>
                <w:tcPr>
                  <w:tcW w:w="1492" w:type="pct"/>
                  <w:vAlign w:val="center"/>
                </w:tcPr>
                <w:p>
                  <w:pPr>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1" w:type="pct"/>
                  <w:vMerge w:val="restart"/>
                  <w:vAlign w:val="center"/>
                </w:tcPr>
                <w:p>
                  <w:pPr>
                    <w:spacing w:line="240" w:lineRule="exact"/>
                    <w:jc w:val="both"/>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生物学指标</w:t>
                  </w:r>
                </w:p>
              </w:tc>
              <w:tc>
                <w:tcPr>
                  <w:tcW w:w="2825" w:type="pct"/>
                  <w:vAlign w:val="center"/>
                </w:tcPr>
                <w:p>
                  <w:pPr>
                    <w:spacing w:line="320" w:lineRule="atLeas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粪大肠菌群菌值</w:t>
                  </w:r>
                </w:p>
              </w:tc>
              <w:tc>
                <w:tcPr>
                  <w:tcW w:w="1492" w:type="pct"/>
                  <w:vAlign w:val="center"/>
                </w:tcPr>
                <w:p>
                  <w:pPr>
                    <w:spacing w:line="320" w:lineRule="atLeas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81" w:type="pct"/>
                  <w:vMerge w:val="continue"/>
                  <w:vAlign w:val="center"/>
                </w:tcPr>
                <w:p>
                  <w:pPr>
                    <w:spacing w:line="240" w:lineRule="exact"/>
                    <w:ind w:firstLine="400"/>
                    <w:jc w:val="center"/>
                    <w:rPr>
                      <w:rFonts w:hint="default" w:ascii="Times New Roman" w:hAnsi="Times New Roman" w:eastAsia="宋体" w:cs="Times New Roman"/>
                      <w:spacing w:val="-10"/>
                      <w:sz w:val="21"/>
                      <w:szCs w:val="21"/>
                    </w:rPr>
                  </w:pPr>
                </w:p>
              </w:tc>
              <w:tc>
                <w:tcPr>
                  <w:tcW w:w="2825" w:type="pct"/>
                  <w:vAlign w:val="center"/>
                </w:tcPr>
                <w:p>
                  <w:pPr>
                    <w:spacing w:line="320" w:lineRule="atLeas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蠕虫卵死亡率/%</w:t>
                  </w:r>
                </w:p>
              </w:tc>
              <w:tc>
                <w:tcPr>
                  <w:tcW w:w="1492" w:type="pct"/>
                  <w:vAlign w:val="center"/>
                </w:tcPr>
                <w:p>
                  <w:pPr>
                    <w:spacing w:line="320" w:lineRule="atLeas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507" w:type="pct"/>
                  <w:gridSpan w:val="2"/>
                  <w:vAlign w:val="center"/>
                </w:tcPr>
                <w:p>
                  <w:pPr>
                    <w:spacing w:line="320" w:lineRule="atLeas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种子发芽指数/（%）</w:t>
                  </w:r>
                </w:p>
              </w:tc>
              <w:tc>
                <w:tcPr>
                  <w:tcW w:w="1492" w:type="pct"/>
                  <w:vAlign w:val="center"/>
                </w:tcPr>
                <w:p>
                  <w:pPr>
                    <w:spacing w:line="320" w:lineRule="atLeas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r>
          </w:tbl>
          <w:p>
            <w:pPr>
              <w:spacing w:line="360" w:lineRule="auto"/>
              <w:ind w:firstLine="480" w:firstLineChars="200"/>
              <w:outlineLvl w:val="1"/>
              <w:rPr>
                <w:rFonts w:hint="eastAsia" w:ascii="Times New Roman" w:hAnsi="Times New Roman" w:eastAsia="宋体" w:cs="Times New Roman"/>
                <w:b w:val="0"/>
                <w:bCs/>
                <w:sz w:val="24"/>
                <w:szCs w:val="24"/>
                <w:lang w:val="zh-CN" w:eastAsia="zh-CN"/>
              </w:rPr>
            </w:pPr>
            <w:r>
              <w:rPr>
                <w:rFonts w:hint="eastAsia" w:ascii="Times New Roman" w:hAnsi="Times New Roman" w:eastAsia="宋体" w:cs="Times New Roman"/>
                <w:b w:val="0"/>
                <w:bCs/>
                <w:sz w:val="24"/>
                <w:szCs w:val="24"/>
                <w:lang w:val="zh-CN" w:eastAsia="zh-CN"/>
              </w:rPr>
              <w:t>以污泥处理产物为原料生产的园林绿化栽培基质，严禁施用在饮用水水源保护地及其上游支流范围等有特殊要求的敏感性水体1000米范围内。</w:t>
            </w:r>
          </w:p>
          <w:p>
            <w:pPr>
              <w:spacing w:line="360" w:lineRule="auto"/>
              <w:ind w:firstLine="480" w:firstLineChars="200"/>
              <w:outlineLvl w:val="1"/>
              <w:rPr>
                <w:rFonts w:hint="eastAsia" w:ascii="Times New Roman" w:hAnsi="Times New Roman" w:eastAsia="宋体" w:cs="Times New Roman"/>
                <w:b w:val="0"/>
                <w:bCs/>
                <w:sz w:val="24"/>
                <w:szCs w:val="24"/>
                <w:lang w:val="zh-CN" w:eastAsia="zh-CN"/>
              </w:rPr>
            </w:pPr>
            <w:r>
              <w:rPr>
                <w:rFonts w:hint="eastAsia" w:ascii="Times New Roman" w:hAnsi="Times New Roman" w:eastAsia="宋体" w:cs="Times New Roman"/>
                <w:b w:val="0"/>
                <w:bCs/>
                <w:sz w:val="24"/>
                <w:szCs w:val="24"/>
                <w:lang w:val="zh-CN" w:eastAsia="zh-CN"/>
              </w:rPr>
              <w:t>园林土壤改良材料：以污泥处理产物为原料生产的园林绿化栽培基质，理化指标和营养指标应符合表2.</w:t>
            </w:r>
            <w:r>
              <w:rPr>
                <w:rFonts w:hint="eastAsia" w:ascii="Times New Roman" w:hAnsi="Times New Roman" w:eastAsia="宋体" w:cs="Times New Roman"/>
                <w:b w:val="0"/>
                <w:bCs/>
                <w:sz w:val="24"/>
                <w:szCs w:val="24"/>
                <w:lang w:val="en-US" w:eastAsia="zh-CN"/>
              </w:rPr>
              <w:t>2</w:t>
            </w:r>
            <w:r>
              <w:rPr>
                <w:rFonts w:hint="eastAsia" w:ascii="Times New Roman" w:hAnsi="Times New Roman" w:eastAsia="宋体" w:cs="Times New Roman"/>
                <w:b w:val="0"/>
                <w:bCs/>
                <w:sz w:val="24"/>
                <w:szCs w:val="24"/>
                <w:lang w:val="zh-CN" w:eastAsia="zh-CN"/>
              </w:rPr>
              <w:t>-</w:t>
            </w:r>
            <w:r>
              <w:rPr>
                <w:rFonts w:hint="eastAsia" w:ascii="Times New Roman" w:hAnsi="Times New Roman" w:eastAsia="宋体" w:cs="Times New Roman"/>
                <w:b w:val="0"/>
                <w:bCs/>
                <w:sz w:val="24"/>
                <w:szCs w:val="24"/>
                <w:lang w:val="en-US" w:eastAsia="zh-CN"/>
              </w:rPr>
              <w:t>5</w:t>
            </w:r>
            <w:r>
              <w:rPr>
                <w:rFonts w:hint="eastAsia" w:ascii="Times New Roman" w:hAnsi="Times New Roman" w:eastAsia="宋体" w:cs="Times New Roman"/>
                <w:b w:val="0"/>
                <w:bCs/>
                <w:sz w:val="24"/>
                <w:szCs w:val="24"/>
                <w:lang w:val="zh-CN" w:eastAsia="zh-CN"/>
              </w:rPr>
              <w:t>的要求。</w:t>
            </w:r>
          </w:p>
          <w:p>
            <w:pPr>
              <w:spacing w:line="360" w:lineRule="auto"/>
              <w:ind w:firstLine="482" w:firstLineChars="200"/>
              <w:jc w:val="center"/>
              <w:outlineLvl w:val="1"/>
              <w:rPr>
                <w:rFonts w:hint="eastAsia" w:ascii="Times New Roman" w:hAnsi="Times New Roman" w:eastAsia="宋体" w:cs="Times New Roman"/>
                <w:b/>
                <w:bCs w:val="0"/>
                <w:sz w:val="24"/>
                <w:szCs w:val="24"/>
                <w:lang w:val="zh-CN" w:eastAsia="zh-CN"/>
              </w:rPr>
            </w:pPr>
            <w:r>
              <w:rPr>
                <w:rFonts w:hint="eastAsia" w:ascii="Times New Roman" w:hAnsi="Times New Roman" w:eastAsia="宋体" w:cs="Times New Roman"/>
                <w:b/>
                <w:bCs w:val="0"/>
                <w:sz w:val="24"/>
                <w:szCs w:val="24"/>
                <w:lang w:val="zh-CN" w:eastAsia="zh-CN"/>
              </w:rPr>
              <w:t>表2.</w:t>
            </w: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val="zh-CN" w:eastAsia="zh-CN"/>
              </w:rPr>
              <w:t>-</w:t>
            </w:r>
            <w:r>
              <w:rPr>
                <w:rFonts w:hint="eastAsia" w:ascii="Times New Roman" w:hAnsi="Times New Roman" w:eastAsia="宋体" w:cs="Times New Roman"/>
                <w:b/>
                <w:bCs w:val="0"/>
                <w:sz w:val="24"/>
                <w:szCs w:val="24"/>
                <w:lang w:val="en-US" w:eastAsia="zh-CN"/>
              </w:rPr>
              <w:t>5</w:t>
            </w:r>
            <w:r>
              <w:rPr>
                <w:rFonts w:hint="eastAsia" w:ascii="Times New Roman" w:hAnsi="Times New Roman" w:eastAsia="宋体" w:cs="Times New Roman"/>
                <w:b/>
                <w:bCs w:val="0"/>
                <w:sz w:val="24"/>
                <w:szCs w:val="24"/>
                <w:lang w:val="zh-CN" w:eastAsia="zh-CN"/>
              </w:rPr>
              <w:t xml:space="preserve">  园林土壤改良材料理化指标和营养指标</w:t>
            </w:r>
          </w:p>
          <w:tbl>
            <w:tblPr>
              <w:tblStyle w:val="20"/>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30"/>
              <w:gridCol w:w="858"/>
              <w:gridCol w:w="1376"/>
              <w:gridCol w:w="963"/>
              <w:gridCol w:w="1376"/>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5"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项目</w:t>
                  </w:r>
                </w:p>
              </w:tc>
              <w:tc>
                <w:tcPr>
                  <w:tcW w:w="930"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pH值</w:t>
                  </w:r>
                </w:p>
              </w:tc>
              <w:tc>
                <w:tcPr>
                  <w:tcW w:w="858"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含水率%</w:t>
                  </w:r>
                </w:p>
              </w:tc>
              <w:tc>
                <w:tcPr>
                  <w:tcW w:w="1376"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粒径（≤15mm），（质量分数）%</w:t>
                  </w:r>
                </w:p>
              </w:tc>
              <w:tc>
                <w:tcPr>
                  <w:tcW w:w="963"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EC值，mS/cm</w:t>
                  </w:r>
                </w:p>
              </w:tc>
              <w:tc>
                <w:tcPr>
                  <w:tcW w:w="1376"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有机质</w:t>
                  </w:r>
                </w:p>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（以干基计），g/kg</w:t>
                  </w:r>
                </w:p>
              </w:tc>
              <w:tc>
                <w:tcPr>
                  <w:tcW w:w="1939"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总养分</w:t>
                  </w:r>
                </w:p>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（以干基计）[</w:t>
                  </w:r>
                  <w:r>
                    <w:rPr>
                      <w:rFonts w:hint="default" w:ascii="Times New Roman" w:hAnsi="Times New Roman" w:eastAsia="宋体" w:cs="Times New Roman"/>
                      <w:sz w:val="21"/>
                      <w:szCs w:val="21"/>
                    </w:rPr>
                    <w:t>N+ P</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 xml:space="preserve"> +K</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r>
                    <w:rPr>
                      <w:rFonts w:hint="default" w:ascii="Times New Roman" w:hAnsi="Times New Roman" w:eastAsia="宋体" w:cs="Times New Roman"/>
                      <w:bCs/>
                      <w:sz w:val="21"/>
                      <w:szCs w:val="21"/>
                    </w:rPr>
                    <w:t>],g/kg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75"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指标</w:t>
                  </w:r>
                </w:p>
              </w:tc>
              <w:tc>
                <w:tcPr>
                  <w:tcW w:w="930"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5.5~8.5</w:t>
                  </w:r>
                </w:p>
              </w:tc>
              <w:tc>
                <w:tcPr>
                  <w:tcW w:w="858"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≤45</w:t>
                  </w:r>
                </w:p>
              </w:tc>
              <w:tc>
                <w:tcPr>
                  <w:tcW w:w="1376"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≥80</w:t>
                  </w:r>
                </w:p>
              </w:tc>
              <w:tc>
                <w:tcPr>
                  <w:tcW w:w="963"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≤4.0</w:t>
                  </w:r>
                </w:p>
              </w:tc>
              <w:tc>
                <w:tcPr>
                  <w:tcW w:w="1376"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≥300</w:t>
                  </w:r>
                </w:p>
              </w:tc>
              <w:tc>
                <w:tcPr>
                  <w:tcW w:w="1939" w:type="dxa"/>
                  <w:shd w:val="clear" w:color="auto" w:fill="auto"/>
                  <w:vAlign w:val="center"/>
                </w:tcPr>
                <w:p>
                  <w:pPr>
                    <w:adjustRightInd w:val="0"/>
                    <w:snapToGrid w:val="0"/>
                    <w:spacing w:line="240" w:lineRule="auto"/>
                    <w:ind w:firstLine="0" w:firstLineChars="0"/>
                    <w:jc w:val="lef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≥30</w:t>
                  </w:r>
                </w:p>
              </w:tc>
            </w:tr>
          </w:tbl>
          <w:p>
            <w:pPr>
              <w:spacing w:line="360" w:lineRule="auto"/>
              <w:ind w:firstLine="480" w:firstLineChars="200"/>
              <w:outlineLvl w:val="1"/>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zh-CN" w:eastAsia="zh-CN"/>
              </w:rPr>
              <w:t>以污泥处理产物为原料生产的园林绿化栽培基质，安全指标、生物学指标等各项指标应满足表2.</w:t>
            </w:r>
            <w:r>
              <w:rPr>
                <w:rFonts w:hint="eastAsia" w:ascii="Times New Roman" w:hAnsi="Times New Roman" w:eastAsia="宋体" w:cs="Times New Roman"/>
                <w:b w:val="0"/>
                <w:bCs/>
                <w:sz w:val="24"/>
                <w:szCs w:val="24"/>
                <w:lang w:val="en-US" w:eastAsia="zh-CN"/>
              </w:rPr>
              <w:t>2</w:t>
            </w:r>
            <w:r>
              <w:rPr>
                <w:rFonts w:hint="eastAsia" w:ascii="Times New Roman" w:hAnsi="Times New Roman" w:eastAsia="宋体" w:cs="Times New Roman"/>
                <w:b w:val="0"/>
                <w:bCs/>
                <w:sz w:val="24"/>
                <w:szCs w:val="24"/>
                <w:lang w:val="zh-CN" w:eastAsia="zh-CN"/>
              </w:rPr>
              <w:t>-</w:t>
            </w:r>
            <w:r>
              <w:rPr>
                <w:rFonts w:hint="eastAsia" w:ascii="Times New Roman" w:hAnsi="Times New Roman" w:eastAsia="宋体" w:cs="Times New Roman"/>
                <w:b w:val="0"/>
                <w:bCs/>
                <w:sz w:val="24"/>
                <w:szCs w:val="24"/>
                <w:lang w:val="en-US" w:eastAsia="zh-CN"/>
              </w:rPr>
              <w:t>6</w:t>
            </w:r>
            <w:r>
              <w:rPr>
                <w:rFonts w:hint="eastAsia" w:ascii="Times New Roman" w:hAnsi="Times New Roman" w:eastAsia="宋体" w:cs="Times New Roman"/>
                <w:b w:val="0"/>
                <w:bCs/>
                <w:sz w:val="24"/>
                <w:szCs w:val="24"/>
                <w:lang w:val="zh-CN" w:eastAsia="zh-CN"/>
              </w:rPr>
              <w:t>的要求。同时，不得检测出传染性病原菌。</w:t>
            </w:r>
          </w:p>
          <w:p>
            <w:pPr>
              <w:spacing w:line="360" w:lineRule="auto"/>
              <w:ind w:firstLine="482" w:firstLineChars="200"/>
              <w:jc w:val="center"/>
              <w:outlineLvl w:val="1"/>
              <w:rPr>
                <w:rFonts w:hint="eastAsia" w:ascii="Times New Roman" w:hAnsi="Times New Roman" w:eastAsia="宋体" w:cs="Times New Roman"/>
                <w:b/>
                <w:bCs w:val="0"/>
                <w:sz w:val="24"/>
                <w:szCs w:val="24"/>
                <w:lang w:val="zh-CN" w:eastAsia="zh-CN"/>
              </w:rPr>
            </w:pPr>
            <w:r>
              <w:rPr>
                <w:rFonts w:hint="eastAsia" w:ascii="Times New Roman" w:hAnsi="Times New Roman" w:eastAsia="宋体" w:cs="Times New Roman"/>
                <w:b/>
                <w:bCs w:val="0"/>
                <w:sz w:val="24"/>
                <w:szCs w:val="24"/>
                <w:lang w:val="zh-CN" w:eastAsia="zh-CN"/>
              </w:rPr>
              <w:t>表2.</w:t>
            </w: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val="zh-CN" w:eastAsia="zh-CN"/>
              </w:rPr>
              <w:t>-</w:t>
            </w:r>
            <w:r>
              <w:rPr>
                <w:rFonts w:hint="eastAsia" w:ascii="Times New Roman" w:hAnsi="Times New Roman" w:eastAsia="宋体" w:cs="Times New Roman"/>
                <w:b/>
                <w:bCs w:val="0"/>
                <w:sz w:val="24"/>
                <w:szCs w:val="24"/>
                <w:lang w:val="en-US" w:eastAsia="zh-CN"/>
              </w:rPr>
              <w:t>6</w:t>
            </w:r>
            <w:r>
              <w:rPr>
                <w:rFonts w:hint="eastAsia" w:ascii="Times New Roman" w:hAnsi="Times New Roman" w:eastAsia="宋体" w:cs="Times New Roman"/>
                <w:b/>
                <w:bCs w:val="0"/>
                <w:sz w:val="24"/>
                <w:szCs w:val="24"/>
                <w:lang w:val="zh-CN" w:eastAsia="zh-CN"/>
              </w:rPr>
              <w:t xml:space="preserve">  园林土壤改良材料控制指标</w:t>
            </w:r>
          </w:p>
          <w:tbl>
            <w:tblPr>
              <w:tblStyle w:val="20"/>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4164"/>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507" w:type="pct"/>
                  <w:gridSpan w:val="2"/>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控制指标</w:t>
                  </w:r>
                </w:p>
              </w:tc>
              <w:tc>
                <w:tcPr>
                  <w:tcW w:w="1492"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20" w:type="pct"/>
                  <w:vMerge w:val="restar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安全指标</w:t>
                  </w:r>
                </w:p>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（以干基计）</w:t>
                  </w:r>
                </w:p>
              </w:tc>
              <w:tc>
                <w:tcPr>
                  <w:tcW w:w="2587"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总镉/（mg/kg）</w:t>
                  </w:r>
                </w:p>
              </w:tc>
              <w:tc>
                <w:tcPr>
                  <w:tcW w:w="1492"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20" w:type="pct"/>
                  <w:vMerge w:val="continue"/>
                  <w:vAlign w:val="center"/>
                </w:tcPr>
                <w:p>
                  <w:pPr>
                    <w:spacing w:line="240" w:lineRule="auto"/>
                    <w:ind w:firstLine="0" w:firstLineChars="0"/>
                    <w:jc w:val="center"/>
                    <w:rPr>
                      <w:rFonts w:hint="default" w:ascii="Times New Roman" w:hAnsi="Times New Roman" w:eastAsia="宋体" w:cs="Times New Roman"/>
                      <w:sz w:val="21"/>
                      <w:szCs w:val="21"/>
                    </w:rPr>
                  </w:pPr>
                </w:p>
              </w:tc>
              <w:tc>
                <w:tcPr>
                  <w:tcW w:w="2587"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总汞/（mg/kg）</w:t>
                  </w:r>
                </w:p>
              </w:tc>
              <w:tc>
                <w:tcPr>
                  <w:tcW w:w="1492"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20" w:type="pct"/>
                  <w:vMerge w:val="continue"/>
                  <w:vAlign w:val="center"/>
                </w:tcPr>
                <w:p>
                  <w:pPr>
                    <w:spacing w:line="240" w:lineRule="auto"/>
                    <w:ind w:firstLine="0" w:firstLineChars="0"/>
                    <w:jc w:val="center"/>
                    <w:rPr>
                      <w:rFonts w:hint="default" w:ascii="Times New Roman" w:hAnsi="Times New Roman" w:eastAsia="宋体" w:cs="Times New Roman"/>
                      <w:sz w:val="21"/>
                      <w:szCs w:val="21"/>
                    </w:rPr>
                  </w:pPr>
                </w:p>
              </w:tc>
              <w:tc>
                <w:tcPr>
                  <w:tcW w:w="2587"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总铅/（mg/kg）</w:t>
                  </w:r>
                </w:p>
              </w:tc>
              <w:tc>
                <w:tcPr>
                  <w:tcW w:w="1492"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20" w:type="pct"/>
                  <w:vMerge w:val="continue"/>
                  <w:vAlign w:val="center"/>
                </w:tcPr>
                <w:p>
                  <w:pPr>
                    <w:spacing w:line="240" w:lineRule="auto"/>
                    <w:ind w:firstLine="0" w:firstLineChars="0"/>
                    <w:jc w:val="center"/>
                    <w:rPr>
                      <w:rFonts w:hint="default" w:ascii="Times New Roman" w:hAnsi="Times New Roman" w:eastAsia="宋体" w:cs="Times New Roman"/>
                      <w:sz w:val="21"/>
                      <w:szCs w:val="21"/>
                    </w:rPr>
                  </w:pPr>
                </w:p>
              </w:tc>
              <w:tc>
                <w:tcPr>
                  <w:tcW w:w="2587"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总铬/（mg/kg）</w:t>
                  </w:r>
                </w:p>
              </w:tc>
              <w:tc>
                <w:tcPr>
                  <w:tcW w:w="1492"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20" w:type="pct"/>
                  <w:vMerge w:val="continue"/>
                  <w:vAlign w:val="center"/>
                </w:tcPr>
                <w:p>
                  <w:pPr>
                    <w:spacing w:line="240" w:lineRule="auto"/>
                    <w:ind w:firstLine="0" w:firstLineChars="0"/>
                    <w:jc w:val="center"/>
                    <w:rPr>
                      <w:rFonts w:hint="default" w:ascii="Times New Roman" w:hAnsi="Times New Roman" w:eastAsia="宋体" w:cs="Times New Roman"/>
                      <w:sz w:val="21"/>
                      <w:szCs w:val="21"/>
                    </w:rPr>
                  </w:pPr>
                </w:p>
              </w:tc>
              <w:tc>
                <w:tcPr>
                  <w:tcW w:w="2587"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总砷/（mg/kg）</w:t>
                  </w:r>
                </w:p>
              </w:tc>
              <w:tc>
                <w:tcPr>
                  <w:tcW w:w="1492"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20" w:type="pct"/>
                  <w:vMerge w:val="continue"/>
                  <w:vAlign w:val="center"/>
                </w:tcPr>
                <w:p>
                  <w:pPr>
                    <w:spacing w:line="240" w:lineRule="auto"/>
                    <w:ind w:firstLine="0" w:firstLineChars="0"/>
                    <w:jc w:val="center"/>
                    <w:rPr>
                      <w:rFonts w:hint="default" w:ascii="Times New Roman" w:hAnsi="Times New Roman" w:eastAsia="宋体" w:cs="Times New Roman"/>
                      <w:sz w:val="21"/>
                      <w:szCs w:val="21"/>
                    </w:rPr>
                  </w:pPr>
                </w:p>
              </w:tc>
              <w:tc>
                <w:tcPr>
                  <w:tcW w:w="2587"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总镍/（mg/kg）</w:t>
                  </w:r>
                </w:p>
              </w:tc>
              <w:tc>
                <w:tcPr>
                  <w:tcW w:w="1492"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20" w:type="pct"/>
                  <w:vMerge w:val="continue"/>
                  <w:vAlign w:val="center"/>
                </w:tcPr>
                <w:p>
                  <w:pPr>
                    <w:spacing w:line="240" w:lineRule="auto"/>
                    <w:ind w:firstLine="0" w:firstLineChars="0"/>
                    <w:jc w:val="center"/>
                    <w:rPr>
                      <w:rFonts w:hint="default" w:ascii="Times New Roman" w:hAnsi="Times New Roman" w:eastAsia="宋体" w:cs="Times New Roman"/>
                      <w:sz w:val="21"/>
                      <w:szCs w:val="21"/>
                    </w:rPr>
                  </w:pPr>
                </w:p>
              </w:tc>
              <w:tc>
                <w:tcPr>
                  <w:tcW w:w="2587"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总锌/（mg/kg）</w:t>
                  </w:r>
                </w:p>
              </w:tc>
              <w:tc>
                <w:tcPr>
                  <w:tcW w:w="1492"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20" w:type="pct"/>
                  <w:vMerge w:val="continue"/>
                  <w:vAlign w:val="center"/>
                </w:tcPr>
                <w:p>
                  <w:pPr>
                    <w:spacing w:line="240" w:lineRule="auto"/>
                    <w:ind w:firstLine="0" w:firstLineChars="0"/>
                    <w:jc w:val="center"/>
                    <w:rPr>
                      <w:rFonts w:hint="default" w:ascii="Times New Roman" w:hAnsi="Times New Roman" w:eastAsia="宋体" w:cs="Times New Roman"/>
                      <w:sz w:val="21"/>
                      <w:szCs w:val="21"/>
                    </w:rPr>
                  </w:pPr>
                </w:p>
              </w:tc>
              <w:tc>
                <w:tcPr>
                  <w:tcW w:w="2587"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总铜/（mg/kg）</w:t>
                  </w:r>
                </w:p>
              </w:tc>
              <w:tc>
                <w:tcPr>
                  <w:tcW w:w="1492"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20" w:type="pct"/>
                  <w:vMerge w:val="continue"/>
                  <w:vAlign w:val="center"/>
                </w:tcPr>
                <w:p>
                  <w:pPr>
                    <w:spacing w:line="240" w:lineRule="auto"/>
                    <w:ind w:firstLine="0" w:firstLineChars="0"/>
                    <w:jc w:val="center"/>
                    <w:rPr>
                      <w:rFonts w:hint="default" w:ascii="Times New Roman" w:hAnsi="Times New Roman" w:eastAsia="宋体" w:cs="Times New Roman"/>
                      <w:sz w:val="21"/>
                      <w:szCs w:val="21"/>
                    </w:rPr>
                  </w:pPr>
                </w:p>
              </w:tc>
              <w:tc>
                <w:tcPr>
                  <w:tcW w:w="2587"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矿物油/（mg/kg）</w:t>
                  </w:r>
                </w:p>
              </w:tc>
              <w:tc>
                <w:tcPr>
                  <w:tcW w:w="1492"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20" w:type="pct"/>
                  <w:vMerge w:val="continue"/>
                  <w:vAlign w:val="center"/>
                </w:tcPr>
                <w:p>
                  <w:pPr>
                    <w:spacing w:line="240" w:lineRule="auto"/>
                    <w:ind w:firstLine="0" w:firstLineChars="0"/>
                    <w:jc w:val="center"/>
                    <w:rPr>
                      <w:rFonts w:hint="default" w:ascii="Times New Roman" w:hAnsi="Times New Roman" w:eastAsia="宋体" w:cs="Times New Roman"/>
                      <w:sz w:val="21"/>
                      <w:szCs w:val="21"/>
                    </w:rPr>
                  </w:pPr>
                </w:p>
              </w:tc>
              <w:tc>
                <w:tcPr>
                  <w:tcW w:w="2587"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苯并芘/（mg/kg）</w:t>
                  </w:r>
                </w:p>
              </w:tc>
              <w:tc>
                <w:tcPr>
                  <w:tcW w:w="1492"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20" w:type="pct"/>
                  <w:vAlign w:val="center"/>
                </w:tcPr>
                <w:p>
                  <w:pPr>
                    <w:spacing w:line="240" w:lineRule="auto"/>
                    <w:ind w:firstLine="0" w:firstLineChars="0"/>
                    <w:jc w:val="center"/>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生物学指标</w:t>
                  </w:r>
                </w:p>
              </w:tc>
              <w:tc>
                <w:tcPr>
                  <w:tcW w:w="2587"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粪大肠菌群菌值</w:t>
                  </w:r>
                </w:p>
              </w:tc>
              <w:tc>
                <w:tcPr>
                  <w:tcW w:w="1492"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r>
          </w:tbl>
          <w:p>
            <w:pPr>
              <w:spacing w:line="360" w:lineRule="auto"/>
              <w:ind w:firstLine="480" w:firstLineChars="200"/>
              <w:outlineLvl w:val="1"/>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根据《固体废物再生利用污染防治技术导则》（HJ1091-2020），当首次对产品中的特征污染物（《城镇污水处理厂污泥园林绿化用产品质量标准》（DBJ50/T-341-2019）中园林绿化栽培基质、园林土壤改良材料指标）监测频次不低于每周3次；连续二周监测结果均满足《城镇污水处理厂污泥园林绿化用产品质量标准》（DBJ50/T-341-2019）中园林绿化栽培基质、园林土壤改良材料指标时，在污泥及辅料来源及投加量稳定的前提下，频次可减为每月1次；连续三个月监测结果均满足标准要求时，频次可减为每年1次；若在此期间监测结果出现异常或原辅料来源发生变化或再生利用中断超过半年以上，则监测频次重新调整为不低于每周3次，依次重复。</w:t>
            </w:r>
          </w:p>
          <w:p>
            <w:pPr>
              <w:spacing w:line="360" w:lineRule="auto"/>
              <w:ind w:firstLine="480" w:firstLineChars="200"/>
              <w:outlineLvl w:val="1"/>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本项目</w:t>
            </w:r>
            <w:r>
              <w:rPr>
                <w:rFonts w:hint="eastAsia" w:ascii="Times New Roman" w:hAnsi="Times New Roman" w:eastAsia="宋体" w:cs="Times New Roman"/>
                <w:b w:val="0"/>
                <w:bCs/>
                <w:sz w:val="24"/>
                <w:szCs w:val="24"/>
                <w:lang w:val="zh-CN" w:eastAsia="zh-CN"/>
              </w:rPr>
              <w:t>绿化</w:t>
            </w:r>
            <w:r>
              <w:rPr>
                <w:rFonts w:hint="eastAsia" w:ascii="Times New Roman" w:hAnsi="Times New Roman" w:eastAsia="宋体" w:cs="Times New Roman"/>
                <w:b w:val="0"/>
                <w:bCs/>
                <w:color w:val="auto"/>
                <w:sz w:val="24"/>
                <w:szCs w:val="24"/>
                <w:lang w:val="zh-CN" w:eastAsia="zh-CN"/>
              </w:rPr>
              <w:t>营养土</w:t>
            </w:r>
            <w:r>
              <w:rPr>
                <w:rFonts w:hint="eastAsia" w:ascii="Times New Roman" w:hAnsi="Times New Roman" w:eastAsia="宋体" w:cs="Times New Roman"/>
                <w:b w:val="0"/>
                <w:bCs/>
                <w:sz w:val="24"/>
                <w:szCs w:val="24"/>
                <w:lang w:val="en-US" w:eastAsia="zh-CN"/>
              </w:rPr>
              <w:t>产品质量检验全部委托第三方进行抽样检测，检测频次按照《固体废物再生利用污染防治技术导则》（HJ1091-2020）相关要求执行，以确保所有</w:t>
            </w:r>
            <w:r>
              <w:rPr>
                <w:rFonts w:hint="eastAsia" w:ascii="Times New Roman" w:hAnsi="Times New Roman" w:eastAsia="宋体" w:cs="Times New Roman"/>
                <w:b w:val="0"/>
                <w:bCs/>
                <w:sz w:val="24"/>
                <w:szCs w:val="24"/>
                <w:lang w:val="zh-CN" w:eastAsia="zh-CN"/>
              </w:rPr>
              <w:t>绿化</w:t>
            </w:r>
            <w:r>
              <w:rPr>
                <w:rFonts w:hint="eastAsia" w:ascii="Times New Roman" w:hAnsi="Times New Roman" w:eastAsia="宋体" w:cs="Times New Roman"/>
                <w:b w:val="0"/>
                <w:bCs/>
                <w:color w:val="auto"/>
                <w:sz w:val="24"/>
                <w:szCs w:val="24"/>
                <w:lang w:val="zh-CN" w:eastAsia="zh-CN"/>
              </w:rPr>
              <w:t>营养土</w:t>
            </w:r>
            <w:r>
              <w:rPr>
                <w:rFonts w:hint="eastAsia" w:ascii="Times New Roman" w:hAnsi="Times New Roman" w:eastAsia="宋体" w:cs="Times New Roman"/>
                <w:b w:val="0"/>
                <w:bCs/>
                <w:sz w:val="24"/>
                <w:szCs w:val="24"/>
                <w:lang w:val="en-US" w:eastAsia="zh-CN"/>
              </w:rPr>
              <w:t>产品满足《城镇污水处理厂污泥园林绿化用产品质量标准》（DBJ50/T-341-2019）中园林绿化栽培基质、园林土壤改良材料标准要求，并详细记录产品质量的检测台账，对于不符合要求的产品不予外售。</w:t>
            </w:r>
          </w:p>
          <w:p>
            <w:pPr>
              <w:spacing w:line="360" w:lineRule="auto"/>
              <w:outlineLvl w:val="1"/>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2.2.5产品去向及要求</w:t>
            </w:r>
          </w:p>
          <w:p>
            <w:pPr>
              <w:spacing w:line="360" w:lineRule="auto"/>
              <w:ind w:firstLine="480" w:firstLineChars="200"/>
              <w:outlineLvl w:val="1"/>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本项目脱水后干污泥主要提供给华新盐井水泥进行综合利用</w:t>
            </w:r>
            <w:r>
              <w:rPr>
                <w:rFonts w:hint="eastAsia" w:ascii="Times New Roman" w:hAnsi="Times New Roman" w:eastAsia="宋体" w:cs="Times New Roman"/>
                <w:bCs/>
                <w:color w:val="auto"/>
                <w:sz w:val="24"/>
                <w:szCs w:val="24"/>
                <w:lang w:val="en-US" w:eastAsia="zh-CN"/>
              </w:rPr>
              <w:t>，</w:t>
            </w:r>
            <w:r>
              <w:rPr>
                <w:rFonts w:hint="eastAsia" w:ascii="Times New Roman" w:hAnsi="Times New Roman" w:eastAsia="宋体" w:cs="Times New Roman"/>
                <w:color w:val="auto"/>
                <w:kern w:val="0"/>
                <w:sz w:val="24"/>
                <w:szCs w:val="24"/>
                <w:lang w:val="en-US" w:eastAsia="zh-CN"/>
              </w:rPr>
              <w:t>重庆西原环保工程有限公司“以下简称西原环保”作为本项目的中标运营单位，华新环境工程（重庆）有限公司属于</w:t>
            </w:r>
            <w:r>
              <w:rPr>
                <w:rFonts w:hint="eastAsia" w:ascii="Times New Roman" w:hAnsi="Times New Roman" w:eastAsia="宋体" w:cs="Times New Roman"/>
                <w:color w:val="auto"/>
                <w:kern w:val="0"/>
                <w:sz w:val="24"/>
                <w:szCs w:val="24"/>
                <w:lang w:val="en-US" w:eastAsia="zh-CN"/>
              </w:rPr>
              <w:fldChar w:fldCharType="begin"/>
            </w:r>
            <w:r>
              <w:rPr>
                <w:rFonts w:hint="eastAsia" w:ascii="Times New Roman" w:hAnsi="Times New Roman" w:eastAsia="宋体" w:cs="Times New Roman"/>
                <w:color w:val="auto"/>
                <w:kern w:val="0"/>
                <w:sz w:val="24"/>
                <w:szCs w:val="24"/>
                <w:lang w:val="en-US" w:eastAsia="zh-CN"/>
              </w:rPr>
              <w:instrText xml:space="preserve"> HYPERLINK "https://aiqicha.baidu.com/company_detail_29141132457457" \t "https://aiqicha.baidu.com/_blank" </w:instrText>
            </w:r>
            <w:r>
              <w:rPr>
                <w:rFonts w:hint="eastAsia" w:ascii="Times New Roman" w:hAnsi="Times New Roman" w:eastAsia="宋体" w:cs="Times New Roman"/>
                <w:color w:val="auto"/>
                <w:kern w:val="0"/>
                <w:sz w:val="24"/>
                <w:szCs w:val="24"/>
                <w:lang w:val="en-US" w:eastAsia="zh-CN"/>
              </w:rPr>
              <w:fldChar w:fldCharType="separate"/>
            </w:r>
            <w:r>
              <w:rPr>
                <w:rFonts w:hint="eastAsia" w:ascii="Times New Roman" w:hAnsi="Times New Roman" w:eastAsia="宋体" w:cs="Times New Roman"/>
                <w:color w:val="auto"/>
                <w:kern w:val="0"/>
                <w:sz w:val="24"/>
                <w:szCs w:val="24"/>
                <w:lang w:val="en-US" w:eastAsia="zh-CN"/>
              </w:rPr>
              <w:t>华新水泥股份有限公司</w:t>
            </w:r>
            <w:r>
              <w:rPr>
                <w:rFonts w:hint="eastAsia" w:ascii="Times New Roman" w:hAnsi="Times New Roman" w:eastAsia="宋体" w:cs="Times New Roman"/>
                <w:color w:val="auto"/>
                <w:kern w:val="0"/>
                <w:sz w:val="24"/>
                <w:szCs w:val="24"/>
                <w:lang w:val="en-US" w:eastAsia="zh-CN"/>
              </w:rPr>
              <w:fldChar w:fldCharType="end"/>
            </w:r>
            <w:r>
              <w:rPr>
                <w:rFonts w:hint="eastAsia" w:ascii="Times New Roman" w:hAnsi="Times New Roman" w:eastAsia="宋体" w:cs="Times New Roman"/>
                <w:color w:val="auto"/>
                <w:kern w:val="0"/>
                <w:sz w:val="24"/>
                <w:szCs w:val="24"/>
                <w:lang w:val="en-US" w:eastAsia="zh-CN"/>
              </w:rPr>
              <w:t>的全资子公司，西原环保已与华新环境工程（重庆）有限公司签订市政干污泥接纳处置服务合同。</w:t>
            </w:r>
            <w:r>
              <w:rPr>
                <w:rFonts w:hint="eastAsia" w:ascii="Times New Roman" w:hAnsi="Times New Roman" w:eastAsia="宋体" w:cs="Times New Roman"/>
                <w:bCs/>
                <w:color w:val="auto"/>
                <w:sz w:val="24"/>
                <w:szCs w:val="24"/>
                <w:lang w:val="en-US" w:eastAsia="zh-CN"/>
              </w:rPr>
              <w:t>根据调查，华新盐井水泥已</w:t>
            </w:r>
            <w:r>
              <w:rPr>
                <w:rFonts w:hint="eastAsia" w:ascii="Times New Roman" w:hAnsi="Times New Roman" w:eastAsia="宋体" w:cs="Times New Roman"/>
                <w:color w:val="auto"/>
                <w:kern w:val="0"/>
                <w:sz w:val="24"/>
                <w:szCs w:val="24"/>
                <w:lang w:val="en-US" w:eastAsia="zh-CN"/>
              </w:rPr>
              <w:t>取得当地生态环境局关于处置城镇生活污泥的重庆市建设项目环境影响评价文件批准书，并通过相应竣工环境保护验收，满足本项目城镇生活污泥处置要求，因此，本项目干污泥送华新盐井水泥进行综合利用合理可行。</w:t>
            </w:r>
          </w:p>
          <w:p>
            <w:pPr>
              <w:spacing w:line="360" w:lineRule="auto"/>
              <w:ind w:firstLine="480" w:firstLineChars="200"/>
              <w:outlineLvl w:val="1"/>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Cs/>
                <w:color w:val="auto"/>
                <w:sz w:val="24"/>
                <w:szCs w:val="24"/>
                <w:lang w:val="en-US" w:eastAsia="zh-CN"/>
              </w:rPr>
              <w:t>在</w:t>
            </w:r>
            <w:r>
              <w:rPr>
                <w:rFonts w:hint="eastAsia" w:ascii="Times New Roman" w:hAnsi="Times New Roman" w:eastAsia="宋体" w:cs="Times New Roman"/>
                <w:color w:val="auto"/>
                <w:kern w:val="0"/>
                <w:sz w:val="24"/>
                <w:szCs w:val="24"/>
                <w:lang w:val="en-US" w:eastAsia="zh-CN"/>
              </w:rPr>
              <w:t>华新盐井水泥</w:t>
            </w:r>
            <w:r>
              <w:rPr>
                <w:rFonts w:hint="eastAsia" w:ascii="Times New Roman" w:hAnsi="Times New Roman" w:eastAsia="宋体" w:cs="Times New Roman"/>
                <w:bCs/>
                <w:color w:val="auto"/>
                <w:sz w:val="24"/>
                <w:szCs w:val="24"/>
                <w:lang w:val="en-US" w:eastAsia="zh-CN"/>
              </w:rPr>
              <w:t>停窑期间，绿化</w:t>
            </w:r>
            <w:r>
              <w:rPr>
                <w:rFonts w:hint="eastAsia" w:ascii="Times New Roman" w:hAnsi="Times New Roman" w:eastAsia="宋体" w:cs="Times New Roman"/>
                <w:color w:val="auto"/>
                <w:kern w:val="0"/>
                <w:sz w:val="24"/>
                <w:szCs w:val="24"/>
                <w:lang w:val="en-US" w:eastAsia="zh-CN"/>
              </w:rPr>
              <w:t>营养土产品外售给花卉苗圃基地、景区等单位用作园林绿化施肥。</w:t>
            </w:r>
          </w:p>
          <w:p>
            <w:pPr>
              <w:spacing w:line="360" w:lineRule="auto"/>
              <w:outlineLvl w:val="1"/>
              <w:rPr>
                <w:rFonts w:ascii="Times New Roman" w:hAnsi="Times New Roman" w:eastAsia="宋体" w:cs="Times New Roman"/>
                <w:bCs/>
                <w:sz w:val="24"/>
                <w:szCs w:val="24"/>
              </w:rPr>
            </w:pPr>
            <w:r>
              <w:rPr>
                <w:rFonts w:ascii="Times New Roman" w:hAnsi="Times New Roman" w:eastAsia="宋体" w:cs="Times New Roman"/>
                <w:b/>
                <w:sz w:val="24"/>
                <w:szCs w:val="24"/>
              </w:rPr>
              <w:t>2.2.</w:t>
            </w:r>
            <w:r>
              <w:rPr>
                <w:rFonts w:hint="eastAsia" w:ascii="Times New Roman" w:hAnsi="Times New Roman" w:eastAsia="宋体" w:cs="Times New Roman"/>
                <w:b/>
                <w:sz w:val="24"/>
                <w:szCs w:val="24"/>
                <w:lang w:val="en-US" w:eastAsia="zh-CN"/>
              </w:rPr>
              <w:t>6</w:t>
            </w:r>
            <w:r>
              <w:rPr>
                <w:rFonts w:ascii="Times New Roman" w:hAnsi="Times New Roman" w:eastAsia="宋体" w:cs="Times New Roman"/>
                <w:b/>
                <w:sz w:val="24"/>
                <w:szCs w:val="24"/>
              </w:rPr>
              <w:t xml:space="preserve"> 主要生产设备</w:t>
            </w:r>
          </w:p>
          <w:p>
            <w:pPr>
              <w:spacing w:line="360" w:lineRule="auto"/>
              <w:ind w:firstLine="470" w:firstLineChars="196"/>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本项目</w:t>
            </w:r>
            <w:r>
              <w:rPr>
                <w:rFonts w:hint="eastAsia" w:ascii="Times New Roman" w:hAnsi="Times New Roman" w:eastAsia="宋体" w:cs="Times New Roman"/>
                <w:bCs/>
                <w:sz w:val="24"/>
                <w:szCs w:val="24"/>
                <w:lang w:eastAsia="zh-CN"/>
              </w:rPr>
              <w:t>主要新增</w:t>
            </w:r>
            <w:r>
              <w:rPr>
                <w:rFonts w:hint="eastAsia" w:ascii="Times New Roman" w:hAnsi="Times New Roman" w:eastAsia="宋体" w:cs="Times New Roman"/>
                <w:bCs/>
                <w:color w:val="auto"/>
                <w:sz w:val="24"/>
                <w:szCs w:val="24"/>
                <w:lang w:val="en-US" w:eastAsia="zh-CN"/>
              </w:rPr>
              <w:t>1套污泥料仓、3套破壁系统、1套污泥深度脱水系统及配套设施</w:t>
            </w:r>
            <w:r>
              <w:rPr>
                <w:rFonts w:hint="eastAsia"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eastAsia="zh-CN"/>
              </w:rPr>
              <w:t>主要设备</w:t>
            </w:r>
            <w:r>
              <w:rPr>
                <w:rFonts w:ascii="Times New Roman" w:hAnsi="Times New Roman" w:eastAsia="宋体" w:cs="Times New Roman"/>
                <w:bCs/>
                <w:sz w:val="24"/>
                <w:szCs w:val="24"/>
              </w:rPr>
              <w:t>见下表所示。</w:t>
            </w:r>
          </w:p>
          <w:p>
            <w:pPr>
              <w:spacing w:line="440" w:lineRule="exact"/>
              <w:jc w:val="center"/>
              <w:outlineLvl w:val="1"/>
              <w:rPr>
                <w:rFonts w:ascii="Times New Roman" w:hAnsi="Times New Roman" w:eastAsia="宋体" w:cs="Times New Roman"/>
                <w:b/>
                <w:szCs w:val="21"/>
              </w:rPr>
            </w:pPr>
            <w:r>
              <w:rPr>
                <w:rFonts w:ascii="Times New Roman" w:hAnsi="Times New Roman" w:eastAsia="宋体" w:cs="Times New Roman"/>
                <w:b/>
                <w:sz w:val="24"/>
                <w:szCs w:val="24"/>
              </w:rPr>
              <w:t>表2</w:t>
            </w:r>
            <w:r>
              <w:rPr>
                <w:rFonts w:hint="eastAsia" w:ascii="Times New Roman" w:hAnsi="Times New Roman" w:eastAsia="宋体" w:cs="Times New Roman"/>
                <w:b/>
                <w:sz w:val="24"/>
                <w:szCs w:val="24"/>
                <w:lang w:val="en-US" w:eastAsia="zh-CN"/>
              </w:rPr>
              <w:t>.2</w:t>
            </w:r>
            <w:r>
              <w:rPr>
                <w:rFonts w:ascii="Times New Roman" w:hAnsi="Times New Roman" w:eastAsia="宋体" w:cs="Times New Roman"/>
                <w:b/>
                <w:sz w:val="24"/>
                <w:szCs w:val="24"/>
              </w:rPr>
              <w:t>-</w:t>
            </w:r>
            <w:r>
              <w:rPr>
                <w:rFonts w:hint="eastAsia" w:ascii="Times New Roman" w:hAnsi="Times New Roman" w:eastAsia="宋体" w:cs="Times New Roman"/>
                <w:b/>
                <w:sz w:val="24"/>
                <w:szCs w:val="24"/>
                <w:lang w:val="en-US" w:eastAsia="zh-CN"/>
              </w:rPr>
              <w:t>7</w:t>
            </w:r>
            <w:r>
              <w:rPr>
                <w:rFonts w:ascii="Times New Roman" w:hAnsi="Times New Roman" w:eastAsia="宋体" w:cs="Times New Roman"/>
                <w:b/>
                <w:sz w:val="24"/>
                <w:szCs w:val="24"/>
              </w:rPr>
              <w:t xml:space="preserve">  项目主要生产设备一览表</w:t>
            </w:r>
          </w:p>
          <w:tbl>
            <w:tblPr>
              <w:tblStyle w:val="20"/>
              <w:tblW w:w="8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214"/>
              <w:gridCol w:w="2134"/>
              <w:gridCol w:w="2925"/>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31"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21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主要工艺</w:t>
                  </w:r>
                </w:p>
              </w:tc>
              <w:tc>
                <w:tcPr>
                  <w:tcW w:w="2134"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设备名称</w:t>
                  </w:r>
                </w:p>
              </w:tc>
              <w:tc>
                <w:tcPr>
                  <w:tcW w:w="2925"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型号/规格</w:t>
                  </w:r>
                </w:p>
              </w:tc>
              <w:tc>
                <w:tcPr>
                  <w:tcW w:w="1056"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31"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214" w:type="dxa"/>
                  <w:vMerge w:val="restart"/>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污泥储存、破壁</w:t>
                  </w:r>
                </w:p>
              </w:tc>
              <w:tc>
                <w:tcPr>
                  <w:tcW w:w="2134"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污泥料仓</w:t>
                  </w:r>
                </w:p>
              </w:tc>
              <w:tc>
                <w:tcPr>
                  <w:tcW w:w="2925"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78m</w:t>
                  </w:r>
                  <w:r>
                    <w:rPr>
                      <w:rFonts w:hint="eastAsia" w:ascii="Times New Roman" w:hAnsi="Times New Roman" w:eastAsia="宋体" w:cs="Times New Roman"/>
                      <w:color w:val="auto"/>
                      <w:szCs w:val="21"/>
                      <w:vertAlign w:val="superscript"/>
                      <w:lang w:val="en-US" w:eastAsia="zh-CN"/>
                    </w:rPr>
                    <w:t>3</w:t>
                  </w:r>
                </w:p>
              </w:tc>
              <w:tc>
                <w:tcPr>
                  <w:tcW w:w="1056" w:type="dxa"/>
                  <w:shd w:val="clear" w:color="auto" w:fill="auto"/>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hint="eastAsia" w:ascii="Times New Roman" w:hAnsi="Times New Roman" w:eastAsia="宋体" w:cs="Times New Roman"/>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31" w:type="dxa"/>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214" w:type="dxa"/>
                  <w:vMerge w:val="continue"/>
                  <w:vAlign w:val="center"/>
                </w:tcPr>
                <w:p>
                  <w:pPr>
                    <w:adjustRightInd w:val="0"/>
                    <w:snapToGrid w:val="0"/>
                    <w:jc w:val="center"/>
                    <w:rPr>
                      <w:rFonts w:hint="eastAsia" w:ascii="Times New Roman" w:hAnsi="Times New Roman" w:eastAsia="宋体" w:cs="Times New Roman"/>
                      <w:szCs w:val="21"/>
                      <w:lang w:eastAsia="zh-CN"/>
                    </w:rPr>
                  </w:pPr>
                </w:p>
              </w:tc>
              <w:tc>
                <w:tcPr>
                  <w:tcW w:w="2134"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提升螺旋输送机</w:t>
                  </w:r>
                </w:p>
              </w:tc>
              <w:tc>
                <w:tcPr>
                  <w:tcW w:w="2925"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输送量20m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/h，7.5kw</w:t>
                  </w:r>
                </w:p>
              </w:tc>
              <w:tc>
                <w:tcPr>
                  <w:tcW w:w="1056" w:type="dxa"/>
                  <w:shd w:val="clear" w:color="auto" w:fill="auto"/>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31" w:type="dxa"/>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1214" w:type="dxa"/>
                  <w:vMerge w:val="continue"/>
                  <w:vAlign w:val="center"/>
                </w:tcPr>
                <w:p>
                  <w:pPr>
                    <w:adjustRightInd w:val="0"/>
                    <w:snapToGrid w:val="0"/>
                    <w:jc w:val="center"/>
                    <w:rPr>
                      <w:rFonts w:hint="eastAsia" w:ascii="Times New Roman" w:hAnsi="Times New Roman" w:eastAsia="宋体" w:cs="Times New Roman"/>
                      <w:szCs w:val="21"/>
                      <w:lang w:eastAsia="zh-CN"/>
                    </w:rPr>
                  </w:pPr>
                </w:p>
              </w:tc>
              <w:tc>
                <w:tcPr>
                  <w:tcW w:w="2134" w:type="dxa"/>
                  <w:shd w:val="clear" w:color="auto" w:fill="auto"/>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锥阀柱塞泵</w:t>
                  </w:r>
                </w:p>
              </w:tc>
              <w:tc>
                <w:tcPr>
                  <w:tcW w:w="2925" w:type="dxa"/>
                  <w:shd w:val="clear" w:color="auto" w:fill="auto"/>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泵最大输送量20m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/h</w:t>
                  </w:r>
                </w:p>
              </w:tc>
              <w:tc>
                <w:tcPr>
                  <w:tcW w:w="1056" w:type="dxa"/>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31" w:type="dxa"/>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1214" w:type="dxa"/>
                  <w:vMerge w:val="continue"/>
                  <w:vAlign w:val="center"/>
                </w:tcPr>
                <w:p>
                  <w:pPr>
                    <w:adjustRightInd w:val="0"/>
                    <w:snapToGrid w:val="0"/>
                    <w:jc w:val="center"/>
                    <w:rPr>
                      <w:rFonts w:hint="eastAsia" w:ascii="Times New Roman" w:hAnsi="Times New Roman" w:eastAsia="宋体" w:cs="Times New Roman"/>
                      <w:szCs w:val="21"/>
                      <w:lang w:eastAsia="zh-CN"/>
                    </w:rPr>
                  </w:pPr>
                </w:p>
              </w:tc>
              <w:tc>
                <w:tcPr>
                  <w:tcW w:w="2134" w:type="dxa"/>
                  <w:shd w:val="clear" w:color="auto" w:fill="auto"/>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混料机</w:t>
                  </w:r>
                </w:p>
              </w:tc>
              <w:tc>
                <w:tcPr>
                  <w:tcW w:w="2925"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输送量20m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/h，15kw</w:t>
                  </w:r>
                </w:p>
              </w:tc>
              <w:tc>
                <w:tcPr>
                  <w:tcW w:w="1056" w:type="dxa"/>
                  <w:shd w:val="clear" w:color="auto" w:fill="auto"/>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31" w:type="dxa"/>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1214" w:type="dxa"/>
                  <w:vMerge w:val="continue"/>
                  <w:vAlign w:val="center"/>
                </w:tcPr>
                <w:p>
                  <w:pPr>
                    <w:adjustRightInd w:val="0"/>
                    <w:snapToGrid w:val="0"/>
                    <w:jc w:val="center"/>
                    <w:rPr>
                      <w:rFonts w:hint="eastAsia" w:ascii="Times New Roman" w:hAnsi="Times New Roman" w:eastAsia="宋体" w:cs="Times New Roman"/>
                      <w:szCs w:val="21"/>
                      <w:lang w:eastAsia="zh-CN"/>
                    </w:rPr>
                  </w:pPr>
                </w:p>
              </w:tc>
              <w:tc>
                <w:tcPr>
                  <w:tcW w:w="2134" w:type="dxa"/>
                  <w:shd w:val="clear" w:color="auto" w:fill="auto"/>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药剂罐</w:t>
                  </w:r>
                </w:p>
              </w:tc>
              <w:tc>
                <w:tcPr>
                  <w:tcW w:w="2925"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容积30m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，D=3m</w:t>
                  </w:r>
                </w:p>
              </w:tc>
              <w:tc>
                <w:tcPr>
                  <w:tcW w:w="1056" w:type="dxa"/>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31" w:type="dxa"/>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1214" w:type="dxa"/>
                  <w:vMerge w:val="continue"/>
                  <w:vAlign w:val="center"/>
                </w:tcPr>
                <w:p>
                  <w:pPr>
                    <w:adjustRightInd w:val="0"/>
                    <w:snapToGrid w:val="0"/>
                    <w:jc w:val="center"/>
                    <w:rPr>
                      <w:rFonts w:hint="eastAsia" w:ascii="Times New Roman" w:hAnsi="Times New Roman" w:eastAsia="宋体" w:cs="Times New Roman"/>
                      <w:szCs w:val="21"/>
                      <w:lang w:eastAsia="zh-CN"/>
                    </w:rPr>
                  </w:pPr>
                </w:p>
              </w:tc>
              <w:tc>
                <w:tcPr>
                  <w:tcW w:w="2134" w:type="dxa"/>
                  <w:shd w:val="clear" w:color="auto" w:fill="auto"/>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加药泵</w:t>
                  </w:r>
                </w:p>
              </w:tc>
              <w:tc>
                <w:tcPr>
                  <w:tcW w:w="2925"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1000L/h，0.75kw</w:t>
                  </w:r>
                </w:p>
              </w:tc>
              <w:tc>
                <w:tcPr>
                  <w:tcW w:w="1056" w:type="dxa"/>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31" w:type="dxa"/>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1214" w:type="dxa"/>
                  <w:vMerge w:val="continue"/>
                  <w:vAlign w:val="center"/>
                </w:tcPr>
                <w:p>
                  <w:pPr>
                    <w:adjustRightInd w:val="0"/>
                    <w:snapToGrid w:val="0"/>
                    <w:jc w:val="center"/>
                    <w:rPr>
                      <w:rFonts w:hint="eastAsia" w:ascii="Times New Roman" w:hAnsi="Times New Roman" w:eastAsia="宋体" w:cs="Times New Roman"/>
                      <w:szCs w:val="21"/>
                      <w:lang w:eastAsia="zh-CN"/>
                    </w:rPr>
                  </w:pPr>
                </w:p>
              </w:tc>
              <w:tc>
                <w:tcPr>
                  <w:tcW w:w="2134" w:type="dxa"/>
                  <w:shd w:val="clear" w:color="auto" w:fill="auto"/>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潜水离心泵</w:t>
                  </w:r>
                </w:p>
              </w:tc>
              <w:tc>
                <w:tcPr>
                  <w:tcW w:w="2925" w:type="dxa"/>
                  <w:shd w:val="clear" w:color="auto" w:fill="auto"/>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/h，2.2kw</w:t>
                  </w:r>
                </w:p>
              </w:tc>
              <w:tc>
                <w:tcPr>
                  <w:tcW w:w="1056" w:type="dxa"/>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31" w:type="dxa"/>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1214" w:type="dxa"/>
                  <w:vMerge w:val="continue"/>
                  <w:vAlign w:val="center"/>
                </w:tcPr>
                <w:p>
                  <w:pPr>
                    <w:adjustRightInd w:val="0"/>
                    <w:snapToGrid w:val="0"/>
                    <w:jc w:val="center"/>
                    <w:rPr>
                      <w:rFonts w:hint="eastAsia" w:ascii="Times New Roman" w:hAnsi="Times New Roman" w:eastAsia="宋体" w:cs="Times New Roman"/>
                      <w:szCs w:val="21"/>
                      <w:lang w:eastAsia="zh-CN"/>
                    </w:rPr>
                  </w:pPr>
                </w:p>
              </w:tc>
              <w:tc>
                <w:tcPr>
                  <w:tcW w:w="2134"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1号破壁系统</w:t>
                  </w:r>
                </w:p>
              </w:tc>
              <w:tc>
                <w:tcPr>
                  <w:tcW w:w="2925"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15kw</w:t>
                  </w:r>
                </w:p>
              </w:tc>
              <w:tc>
                <w:tcPr>
                  <w:tcW w:w="1056" w:type="dxa"/>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31" w:type="dxa"/>
                  <w:shd w:val="clear" w:color="auto" w:fill="auto"/>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1214" w:type="dxa"/>
                  <w:vMerge w:val="continue"/>
                  <w:vAlign w:val="center"/>
                </w:tcPr>
                <w:p>
                  <w:pPr>
                    <w:adjustRightInd w:val="0"/>
                    <w:snapToGrid w:val="0"/>
                    <w:jc w:val="center"/>
                    <w:rPr>
                      <w:rFonts w:hint="eastAsia" w:ascii="Times New Roman" w:hAnsi="Times New Roman" w:eastAsia="宋体" w:cs="Times New Roman"/>
                      <w:szCs w:val="21"/>
                      <w:lang w:eastAsia="zh-CN"/>
                    </w:rPr>
                  </w:pPr>
                </w:p>
              </w:tc>
              <w:tc>
                <w:tcPr>
                  <w:tcW w:w="2134"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2号破壁系统</w:t>
                  </w:r>
                </w:p>
              </w:tc>
              <w:tc>
                <w:tcPr>
                  <w:tcW w:w="2925" w:type="dxa"/>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22kw</w:t>
                  </w:r>
                </w:p>
              </w:tc>
              <w:tc>
                <w:tcPr>
                  <w:tcW w:w="1056" w:type="dxa"/>
                  <w:shd w:val="clear" w:color="auto" w:fill="auto"/>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31" w:type="dxa"/>
                  <w:shd w:val="clear" w:color="auto" w:fill="auto"/>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10</w:t>
                  </w:r>
                </w:p>
              </w:tc>
              <w:tc>
                <w:tcPr>
                  <w:tcW w:w="1214"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污泥脱水</w:t>
                  </w:r>
                </w:p>
              </w:tc>
              <w:tc>
                <w:tcPr>
                  <w:tcW w:w="2134"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污泥深度脱水系统</w:t>
                  </w:r>
                </w:p>
              </w:tc>
              <w:tc>
                <w:tcPr>
                  <w:tcW w:w="2925"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设计最大处理能力150</w:t>
                  </w:r>
                  <w:r>
                    <w:rPr>
                      <w:rFonts w:hint="eastAsia" w:ascii="Times New Roman" w:hAnsi="Times New Roman" w:eastAsia="宋体" w:cs="Times New Roman"/>
                      <w:color w:val="auto"/>
                      <w:kern w:val="2"/>
                      <w:sz w:val="21"/>
                      <w:szCs w:val="21"/>
                      <w:lang w:val="en-US" w:eastAsia="zh-CN" w:bidi="ar-SA"/>
                    </w:rPr>
                    <w:t>t</w:t>
                  </w:r>
                  <w:r>
                    <w:rPr>
                      <w:rFonts w:hint="default" w:ascii="Times New Roman" w:hAnsi="Times New Roman" w:eastAsia="宋体" w:cs="Times New Roman"/>
                      <w:color w:val="auto"/>
                      <w:kern w:val="2"/>
                      <w:sz w:val="21"/>
                      <w:szCs w:val="21"/>
                      <w:lang w:val="en-US" w:eastAsia="zh-CN" w:bidi="ar-SA"/>
                    </w:rPr>
                    <w:t>/d</w:t>
                  </w:r>
                </w:p>
              </w:tc>
              <w:tc>
                <w:tcPr>
                  <w:tcW w:w="1056" w:type="dxa"/>
                  <w:shd w:val="clear" w:color="auto" w:fill="auto"/>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31" w:type="dxa"/>
                  <w:shd w:val="clear" w:color="auto" w:fill="auto"/>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w:t>
                  </w:r>
                </w:p>
              </w:tc>
              <w:tc>
                <w:tcPr>
                  <w:tcW w:w="1214" w:type="dxa"/>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运输</w:t>
                  </w:r>
                </w:p>
              </w:tc>
              <w:tc>
                <w:tcPr>
                  <w:tcW w:w="2134" w:type="dxa"/>
                  <w:shd w:val="clear" w:color="auto" w:fill="auto"/>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专用罐车</w:t>
                  </w:r>
                </w:p>
              </w:tc>
              <w:tc>
                <w:tcPr>
                  <w:tcW w:w="2925" w:type="dxa"/>
                  <w:shd w:val="clear" w:color="auto" w:fill="auto"/>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056" w:type="dxa"/>
                  <w:shd w:val="clear" w:color="auto" w:fill="auto"/>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2辆</w:t>
                  </w:r>
                </w:p>
              </w:tc>
            </w:tr>
          </w:tbl>
          <w:p>
            <w:pPr>
              <w:autoSpaceDE w:val="0"/>
              <w:autoSpaceDN w:val="0"/>
              <w:adjustRightInd w:val="0"/>
              <w:snapToGrid w:val="0"/>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采用的工艺设备不属于《产业结构调整指导目录（2019年本）》、《部分工业行业淘汰落后生产工艺装备和产品指导目录（2010年本）》以及《高耗能落后机电设备（产品）淘汰目录（第一、二、三、四批）》淘汰目录范畴。</w:t>
            </w:r>
          </w:p>
          <w:p>
            <w:pPr>
              <w:adjustRightInd w:val="0"/>
              <w:snapToGrid w:val="0"/>
              <w:spacing w:line="440" w:lineRule="exact"/>
              <w:outlineLvl w:val="1"/>
              <w:rPr>
                <w:rFonts w:ascii="Times New Roman" w:hAnsi="Times New Roman" w:eastAsia="宋体" w:cs="Times New Roman"/>
                <w:b/>
                <w:sz w:val="24"/>
                <w:szCs w:val="24"/>
              </w:rPr>
            </w:pPr>
            <w:r>
              <w:rPr>
                <w:rFonts w:ascii="Times New Roman" w:hAnsi="Times New Roman" w:eastAsia="宋体" w:cs="Times New Roman"/>
                <w:b/>
                <w:sz w:val="24"/>
                <w:szCs w:val="24"/>
              </w:rPr>
              <w:t>2.2.</w:t>
            </w:r>
            <w:r>
              <w:rPr>
                <w:rFonts w:hint="eastAsia" w:ascii="Times New Roman" w:hAnsi="Times New Roman" w:eastAsia="宋体" w:cs="Times New Roman"/>
                <w:b/>
                <w:sz w:val="24"/>
                <w:szCs w:val="24"/>
                <w:lang w:val="en-US" w:eastAsia="zh-CN"/>
              </w:rPr>
              <w:t>5</w:t>
            </w:r>
            <w:r>
              <w:rPr>
                <w:rFonts w:ascii="Times New Roman" w:hAnsi="Times New Roman" w:eastAsia="宋体" w:cs="Times New Roman"/>
                <w:b/>
                <w:sz w:val="24"/>
                <w:szCs w:val="24"/>
              </w:rPr>
              <w:t xml:space="preserve"> 产品的主要原辅材料及年消耗量</w:t>
            </w:r>
          </w:p>
          <w:p>
            <w:pPr>
              <w:adjustRightInd w:val="0"/>
              <w:snapToGrid w:val="0"/>
              <w:spacing w:line="440" w:lineRule="exact"/>
              <w:ind w:firstLine="482" w:firstLineChars="200"/>
              <w:outlineLvl w:val="1"/>
              <w:rPr>
                <w:rFonts w:ascii="Times New Roman" w:hAnsi="Times New Roman" w:eastAsia="宋体" w:cs="Times New Roman"/>
                <w:sz w:val="24"/>
                <w:szCs w:val="24"/>
              </w:rPr>
            </w:pPr>
            <w:r>
              <w:rPr>
                <w:rFonts w:ascii="Times New Roman" w:hAnsi="Times New Roman" w:eastAsia="宋体" w:cs="Times New Roman"/>
                <w:b/>
                <w:bCs/>
                <w:sz w:val="24"/>
                <w:szCs w:val="24"/>
              </w:rPr>
              <w:t>1</w:t>
            </w:r>
            <w:r>
              <w:rPr>
                <w:rFonts w:hint="eastAsia" w:ascii="Times New Roman" w:hAnsi="Times New Roman" w:eastAsia="宋体" w:cs="Times New Roman"/>
                <w:b/>
                <w:bCs/>
                <w:sz w:val="24"/>
                <w:szCs w:val="24"/>
                <w:lang w:eastAsia="zh-CN"/>
              </w:rPr>
              <w:t>、</w:t>
            </w:r>
            <w:r>
              <w:rPr>
                <w:rFonts w:ascii="Times New Roman" w:hAnsi="Times New Roman" w:eastAsia="宋体" w:cs="Times New Roman"/>
                <w:b/>
                <w:bCs/>
                <w:sz w:val="24"/>
                <w:szCs w:val="24"/>
              </w:rPr>
              <w:t>主要原辅材料及消耗量</w:t>
            </w:r>
          </w:p>
          <w:p>
            <w:pPr>
              <w:autoSpaceDE w:val="0"/>
              <w:autoSpaceDN w:val="0"/>
              <w:adjustRightInd w:val="0"/>
              <w:snapToGrid w:val="0"/>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本项目主</w:t>
            </w:r>
            <w:r>
              <w:rPr>
                <w:rFonts w:ascii="Times New Roman" w:hAnsi="Times New Roman" w:eastAsia="宋体" w:cs="Times New Roman"/>
                <w:sz w:val="24"/>
                <w:szCs w:val="24"/>
              </w:rPr>
              <w:t>要原辅材料用量及其变化情况详见表2</w:t>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8</w:t>
            </w:r>
            <w:r>
              <w:rPr>
                <w:rFonts w:ascii="Times New Roman" w:hAnsi="Times New Roman" w:eastAsia="宋体" w:cs="Times New Roman"/>
                <w:sz w:val="24"/>
                <w:szCs w:val="24"/>
              </w:rPr>
              <w:t>。</w:t>
            </w:r>
          </w:p>
          <w:p>
            <w:pPr>
              <w:spacing w:line="440" w:lineRule="exact"/>
              <w:ind w:firstLine="482" w:firstLineChars="200"/>
              <w:jc w:val="center"/>
              <w:outlineLvl w:val="1"/>
              <w:rPr>
                <w:rFonts w:ascii="Times New Roman" w:hAnsi="Times New Roman" w:eastAsia="宋体" w:cs="Times New Roman"/>
                <w:b/>
                <w:bCs/>
                <w:sz w:val="24"/>
                <w:szCs w:val="24"/>
              </w:rPr>
            </w:pPr>
            <w:r>
              <w:rPr>
                <w:rFonts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8</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eastAsia="zh-CN"/>
              </w:rPr>
              <w:t>本项目</w:t>
            </w:r>
            <w:r>
              <w:rPr>
                <w:rFonts w:ascii="Times New Roman" w:hAnsi="Times New Roman" w:eastAsia="宋体" w:cs="Times New Roman"/>
                <w:b/>
                <w:bCs/>
                <w:sz w:val="24"/>
                <w:szCs w:val="24"/>
              </w:rPr>
              <w:t>主要原辅材料消耗量一览表</w:t>
            </w:r>
          </w:p>
          <w:tbl>
            <w:tblPr>
              <w:tblStyle w:val="20"/>
              <w:tblW w:w="80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716"/>
              <w:gridCol w:w="1188"/>
              <w:gridCol w:w="2218"/>
              <w:gridCol w:w="920"/>
              <w:gridCol w:w="961"/>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452"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序号</w:t>
                  </w:r>
                </w:p>
              </w:tc>
              <w:tc>
                <w:tcPr>
                  <w:tcW w:w="716"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种类</w:t>
                  </w:r>
                </w:p>
              </w:tc>
              <w:tc>
                <w:tcPr>
                  <w:tcW w:w="1188"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名称</w:t>
                  </w:r>
                </w:p>
              </w:tc>
              <w:tc>
                <w:tcPr>
                  <w:tcW w:w="2218" w:type="dxa"/>
                  <w:vAlign w:val="center"/>
                </w:tcPr>
                <w:p>
                  <w:pPr>
                    <w:jc w:val="center"/>
                    <w:outlineLvl w:val="1"/>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成分</w:t>
                  </w:r>
                </w:p>
              </w:tc>
              <w:tc>
                <w:tcPr>
                  <w:tcW w:w="920" w:type="dxa"/>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消耗量t/a</w:t>
                  </w:r>
                </w:p>
              </w:tc>
              <w:tc>
                <w:tcPr>
                  <w:tcW w:w="961"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最大储存量t/a</w:t>
                  </w:r>
                </w:p>
              </w:tc>
              <w:tc>
                <w:tcPr>
                  <w:tcW w:w="1552" w:type="dxa"/>
                  <w:shd w:val="clear" w:color="auto" w:fill="auto"/>
                  <w:vAlign w:val="center"/>
                </w:tcPr>
                <w:p>
                  <w:pPr>
                    <w:jc w:val="center"/>
                    <w:outlineLvl w:val="1"/>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2"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716" w:type="dxa"/>
                  <w:shd w:val="clear" w:color="auto" w:fill="auto"/>
                  <w:vAlign w:val="center"/>
                </w:tcPr>
                <w:p>
                  <w:pPr>
                    <w:jc w:val="center"/>
                    <w:outlineLvl w:val="1"/>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主要</w:t>
                  </w:r>
                  <w:r>
                    <w:rPr>
                      <w:rFonts w:ascii="Times New Roman" w:hAnsi="Times New Roman" w:eastAsia="宋体" w:cs="Times New Roman"/>
                      <w:color w:val="auto"/>
                      <w:szCs w:val="21"/>
                    </w:rPr>
                    <w:t>原料</w:t>
                  </w:r>
                </w:p>
              </w:tc>
              <w:tc>
                <w:tcPr>
                  <w:tcW w:w="1188" w:type="dxa"/>
                  <w:shd w:val="clear" w:color="auto" w:fill="auto"/>
                  <w:vAlign w:val="center"/>
                </w:tcPr>
                <w:p>
                  <w:pPr>
                    <w:jc w:val="center"/>
                    <w:outlineLvl w:val="1"/>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城镇生活</w:t>
                  </w:r>
                  <w:r>
                    <w:rPr>
                      <w:rFonts w:ascii="Times New Roman" w:hAnsi="Times New Roman" w:eastAsia="宋体" w:cs="Times New Roman"/>
                      <w:color w:val="auto"/>
                      <w:szCs w:val="21"/>
                    </w:rPr>
                    <w:t>污泥</w:t>
                  </w:r>
                </w:p>
              </w:tc>
              <w:tc>
                <w:tcPr>
                  <w:tcW w:w="221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水、</w:t>
                  </w:r>
                  <w:r>
                    <w:rPr>
                      <w:rFonts w:hint="default" w:ascii="Times New Roman" w:hAnsi="Times New Roman" w:eastAsia="宋体" w:cs="Times New Roman"/>
                      <w:sz w:val="18"/>
                      <w:szCs w:val="18"/>
                    </w:rPr>
                    <w:t>SiO</w:t>
                  </w:r>
                  <w:r>
                    <w:rPr>
                      <w:rFonts w:hint="default" w:ascii="Times New Roman" w:hAnsi="Times New Roman" w:eastAsia="宋体" w:cs="Times New Roman"/>
                      <w:sz w:val="18"/>
                      <w:szCs w:val="18"/>
                      <w:vertAlign w:val="subscript"/>
                    </w:rPr>
                    <w:t>2</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sz w:val="18"/>
                      <w:szCs w:val="18"/>
                    </w:rPr>
                    <w:t>Fe</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O</w:t>
                  </w:r>
                  <w:r>
                    <w:rPr>
                      <w:rFonts w:hint="default" w:ascii="Times New Roman" w:hAnsi="Times New Roman" w:eastAsia="宋体" w:cs="Times New Roman"/>
                      <w:sz w:val="18"/>
                      <w:szCs w:val="18"/>
                      <w:vertAlign w:val="subscript"/>
                    </w:rPr>
                    <w:t>3</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sz w:val="18"/>
                      <w:szCs w:val="18"/>
                    </w:rPr>
                    <w:t>Al</w:t>
                  </w:r>
                  <w:r>
                    <w:rPr>
                      <w:rFonts w:hint="default" w:ascii="Times New Roman" w:hAnsi="Times New Roman" w:eastAsia="宋体" w:cs="Times New Roman"/>
                      <w:sz w:val="18"/>
                      <w:szCs w:val="18"/>
                      <w:vertAlign w:val="subscript"/>
                    </w:rPr>
                    <w:t>2</w:t>
                  </w:r>
                  <w:r>
                    <w:rPr>
                      <w:rFonts w:hint="default" w:ascii="Times New Roman" w:hAnsi="Times New Roman" w:eastAsia="宋体" w:cs="Times New Roman"/>
                      <w:sz w:val="18"/>
                      <w:szCs w:val="18"/>
                    </w:rPr>
                    <w:t>O</w:t>
                  </w:r>
                  <w:r>
                    <w:rPr>
                      <w:rFonts w:hint="default" w:ascii="Times New Roman" w:hAnsi="Times New Roman" w:eastAsia="宋体" w:cs="Times New Roman"/>
                      <w:sz w:val="18"/>
                      <w:szCs w:val="18"/>
                      <w:vertAlign w:val="subscript"/>
                    </w:rPr>
                    <w:t>3</w:t>
                  </w:r>
                  <w:r>
                    <w:rPr>
                      <w:rFonts w:hint="eastAsia" w:ascii="Times New Roman" w:hAnsi="Times New Roman" w:eastAsia="宋体" w:cs="Times New Roman"/>
                      <w:i w:val="0"/>
                      <w:iCs w:val="0"/>
                      <w:color w:val="000000"/>
                      <w:kern w:val="0"/>
                      <w:sz w:val="21"/>
                      <w:szCs w:val="21"/>
                      <w:u w:val="none"/>
                      <w:lang w:val="en-US" w:eastAsia="zh-CN" w:bidi="ar"/>
                    </w:rPr>
                    <w:t>、CaO、重金属等</w:t>
                  </w:r>
                </w:p>
              </w:tc>
              <w:tc>
                <w:tcPr>
                  <w:tcW w:w="9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39600</w:t>
                  </w:r>
                </w:p>
              </w:tc>
              <w:tc>
                <w:tcPr>
                  <w:tcW w:w="96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78</w:t>
                  </w:r>
                </w:p>
              </w:tc>
              <w:tc>
                <w:tcPr>
                  <w:tcW w:w="1552" w:type="dxa"/>
                  <w:shd w:val="clear" w:color="auto" w:fill="auto"/>
                  <w:vAlign w:val="center"/>
                </w:tcPr>
                <w:p>
                  <w:pPr>
                    <w:jc w:val="center"/>
                    <w:outlineLvl w:val="1"/>
                    <w:rPr>
                      <w:rFonts w:hint="default" w:ascii="Times New Roman" w:hAnsi="Times New Roman" w:eastAsia="宋体" w:cs="Times New Roman"/>
                      <w:snapToGrid w:val="0"/>
                      <w:color w:val="auto"/>
                      <w:szCs w:val="21"/>
                      <w:lang w:val="en-US" w:eastAsia="zh-CN"/>
                    </w:rPr>
                  </w:pPr>
                  <w:r>
                    <w:rPr>
                      <w:rFonts w:hint="eastAsia" w:ascii="Times New Roman" w:hAnsi="Times New Roman" w:eastAsia="宋体" w:cs="Times New Roman"/>
                      <w:snapToGrid w:val="0"/>
                      <w:color w:val="auto"/>
                      <w:szCs w:val="21"/>
                      <w:lang w:val="en-US" w:eastAsia="zh-CN"/>
                    </w:rPr>
                    <w:t>处置量增加了13200t/a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52" w:type="dxa"/>
                  <w:shd w:val="clear" w:color="auto" w:fill="auto"/>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2</w:t>
                  </w:r>
                </w:p>
              </w:tc>
              <w:tc>
                <w:tcPr>
                  <w:tcW w:w="716" w:type="dxa"/>
                  <w:vMerge w:val="restart"/>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辅料</w:t>
                  </w:r>
                </w:p>
              </w:tc>
              <w:tc>
                <w:tcPr>
                  <w:tcW w:w="1188" w:type="dxa"/>
                  <w:shd w:val="clear" w:color="auto" w:fill="auto"/>
                  <w:vAlign w:val="center"/>
                </w:tcPr>
                <w:p>
                  <w:pPr>
                    <w:jc w:val="center"/>
                    <w:outlineLvl w:val="1"/>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秸秆、木屑和菌包</w:t>
                  </w:r>
                </w:p>
              </w:tc>
              <w:tc>
                <w:tcPr>
                  <w:tcW w:w="2218" w:type="dxa"/>
                  <w:vAlign w:val="center"/>
                </w:tcPr>
                <w:p>
                  <w:pPr>
                    <w:jc w:val="center"/>
                    <w:outlineLvl w:val="1"/>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有机质</w:t>
                  </w:r>
                </w:p>
              </w:tc>
              <w:tc>
                <w:tcPr>
                  <w:tcW w:w="920" w:type="dxa"/>
                  <w:vAlign w:val="center"/>
                </w:tcPr>
                <w:p>
                  <w:pPr>
                    <w:jc w:val="center"/>
                    <w:outlineLvl w:val="1"/>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2200</w:t>
                  </w:r>
                </w:p>
              </w:tc>
              <w:tc>
                <w:tcPr>
                  <w:tcW w:w="961" w:type="dxa"/>
                  <w:shd w:val="clear" w:color="auto" w:fill="auto"/>
                  <w:vAlign w:val="center"/>
                </w:tcPr>
                <w:p>
                  <w:pPr>
                    <w:jc w:val="center"/>
                    <w:outlineLvl w:val="1"/>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63</w:t>
                  </w:r>
                </w:p>
              </w:tc>
              <w:tc>
                <w:tcPr>
                  <w:tcW w:w="1552" w:type="dxa"/>
                  <w:shd w:val="clear" w:color="auto" w:fill="auto"/>
                  <w:vAlign w:val="center"/>
                </w:tcPr>
                <w:p>
                  <w:pPr>
                    <w:jc w:val="center"/>
                    <w:outlineLvl w:val="1"/>
                    <w:rPr>
                      <w:rFonts w:hint="eastAsia" w:ascii="Times New Roman" w:hAnsi="Times New Roman" w:eastAsia="宋体" w:cs="Times New Roman"/>
                      <w:snapToGrid w:val="0"/>
                      <w:color w:val="auto"/>
                      <w:szCs w:val="21"/>
                      <w:lang w:eastAsia="zh-CN"/>
                    </w:rPr>
                  </w:pPr>
                  <w:r>
                    <w:rPr>
                      <w:rFonts w:hint="eastAsia" w:ascii="Times New Roman" w:hAnsi="Times New Roman" w:eastAsia="宋体" w:cs="Times New Roman"/>
                      <w:snapToGrid w:val="0"/>
                      <w:color w:val="auto"/>
                      <w:szCs w:val="21"/>
                      <w:lang w:eastAsia="zh-CN"/>
                    </w:rPr>
                    <w:t>消耗量减少了2462</w:t>
                  </w:r>
                  <w:r>
                    <w:rPr>
                      <w:rFonts w:hint="eastAsia" w:ascii="Times New Roman" w:hAnsi="Times New Roman" w:eastAsia="宋体" w:cs="Times New Roman"/>
                      <w:snapToGrid w:val="0"/>
                      <w:color w:val="auto"/>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52" w:type="dxa"/>
                  <w:shd w:val="clear" w:color="auto" w:fill="auto"/>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716" w:type="dxa"/>
                  <w:vMerge w:val="continue"/>
                  <w:shd w:val="clear" w:color="auto" w:fill="auto"/>
                  <w:vAlign w:val="center"/>
                </w:tcPr>
                <w:p>
                  <w:pPr>
                    <w:jc w:val="center"/>
                    <w:outlineLvl w:val="1"/>
                    <w:rPr>
                      <w:rFonts w:ascii="Times New Roman" w:hAnsi="Times New Roman" w:eastAsia="宋体" w:cs="Times New Roman"/>
                      <w:color w:val="auto"/>
                      <w:szCs w:val="21"/>
                    </w:rPr>
                  </w:pPr>
                </w:p>
              </w:tc>
              <w:tc>
                <w:tcPr>
                  <w:tcW w:w="1188"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生物发酵菌剂</w:t>
                  </w:r>
                </w:p>
              </w:tc>
              <w:tc>
                <w:tcPr>
                  <w:tcW w:w="221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枯草芽孢杆菌、地衣芽孢杆菌、黑曲霉、短小芽孢杆菌、施氏假单胞菌、红球菌等</w:t>
                  </w:r>
                </w:p>
              </w:tc>
              <w:tc>
                <w:tcPr>
                  <w:tcW w:w="9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96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0.1</w:t>
                  </w:r>
                </w:p>
              </w:tc>
              <w:tc>
                <w:tcPr>
                  <w:tcW w:w="1552" w:type="dxa"/>
                  <w:shd w:val="clear" w:color="auto" w:fill="auto"/>
                  <w:vAlign w:val="center"/>
                </w:tcPr>
                <w:p>
                  <w:pPr>
                    <w:jc w:val="center"/>
                    <w:outlineLvl w:val="1"/>
                    <w:rPr>
                      <w:rFonts w:hint="default" w:ascii="Times New Roman" w:hAnsi="Times New Roman" w:eastAsia="宋体" w:cs="Times New Roman"/>
                      <w:snapToGrid w:val="0"/>
                      <w:color w:val="auto"/>
                      <w:szCs w:val="21"/>
                      <w:lang w:val="en-US" w:eastAsia="zh-CN"/>
                    </w:rPr>
                  </w:pPr>
                  <w:r>
                    <w:rPr>
                      <w:rFonts w:hint="eastAsia" w:ascii="Times New Roman" w:hAnsi="Times New Roman" w:eastAsia="宋体" w:cs="Times New Roman"/>
                      <w:snapToGrid w:val="0"/>
                      <w:color w:val="auto"/>
                      <w:kern w:val="2"/>
                      <w:sz w:val="21"/>
                      <w:szCs w:val="21"/>
                      <w:lang w:val="en-US" w:eastAsia="zh-CN" w:bidi="ar-S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52" w:type="dxa"/>
                  <w:shd w:val="clear" w:color="auto" w:fill="auto"/>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716" w:type="dxa"/>
                  <w:vMerge w:val="continue"/>
                  <w:shd w:val="clear" w:color="auto" w:fill="auto"/>
                  <w:vAlign w:val="center"/>
                </w:tcPr>
                <w:p>
                  <w:pPr>
                    <w:jc w:val="center"/>
                    <w:outlineLvl w:val="1"/>
                    <w:rPr>
                      <w:rFonts w:ascii="Times New Roman" w:hAnsi="Times New Roman" w:eastAsia="宋体" w:cs="Times New Roman"/>
                      <w:color w:val="auto"/>
                      <w:szCs w:val="21"/>
                    </w:rPr>
                  </w:pPr>
                </w:p>
              </w:tc>
              <w:tc>
                <w:tcPr>
                  <w:tcW w:w="1188" w:type="dxa"/>
                  <w:shd w:val="clear" w:color="auto" w:fill="auto"/>
                  <w:vAlign w:val="center"/>
                </w:tcPr>
                <w:p>
                  <w:pPr>
                    <w:jc w:val="center"/>
                    <w:outlineLvl w:val="1"/>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污泥改性剂</w:t>
                  </w:r>
                </w:p>
              </w:tc>
              <w:tc>
                <w:tcPr>
                  <w:tcW w:w="2218" w:type="dxa"/>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聚合氯化铝</w:t>
                  </w:r>
                </w:p>
              </w:tc>
              <w:tc>
                <w:tcPr>
                  <w:tcW w:w="920" w:type="dxa"/>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40</w:t>
                  </w:r>
                </w:p>
              </w:tc>
              <w:tc>
                <w:tcPr>
                  <w:tcW w:w="961" w:type="dxa"/>
                  <w:shd w:val="clear" w:color="auto" w:fill="auto"/>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2.5</w:t>
                  </w:r>
                </w:p>
              </w:tc>
              <w:tc>
                <w:tcPr>
                  <w:tcW w:w="1552" w:type="dxa"/>
                  <w:shd w:val="clear" w:color="auto" w:fill="auto"/>
                  <w:vAlign w:val="center"/>
                </w:tcPr>
                <w:p>
                  <w:pPr>
                    <w:jc w:val="center"/>
                    <w:outlineLvl w:val="1"/>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52" w:type="dxa"/>
                  <w:shd w:val="clear" w:color="auto" w:fill="auto"/>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716" w:type="dxa"/>
                  <w:vMerge w:val="restart"/>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能源</w:t>
                  </w:r>
                </w:p>
              </w:tc>
              <w:tc>
                <w:tcPr>
                  <w:tcW w:w="3406" w:type="dxa"/>
                  <w:gridSpan w:val="2"/>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水</w:t>
                  </w:r>
                </w:p>
              </w:tc>
              <w:tc>
                <w:tcPr>
                  <w:tcW w:w="920" w:type="dxa"/>
                  <w:vAlign w:val="center"/>
                </w:tcPr>
                <w:p>
                  <w:pPr>
                    <w:jc w:val="center"/>
                    <w:outlineLvl w:val="1"/>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663</w:t>
                  </w:r>
                  <w:r>
                    <w:rPr>
                      <w:rFonts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/a</w:t>
                  </w:r>
                </w:p>
              </w:tc>
              <w:tc>
                <w:tcPr>
                  <w:tcW w:w="961" w:type="dxa"/>
                  <w:shd w:val="clear" w:color="auto" w:fill="auto"/>
                  <w:vAlign w:val="center"/>
                </w:tcPr>
                <w:p>
                  <w:pPr>
                    <w:jc w:val="center"/>
                    <w:outlineLvl w:val="1"/>
                    <w:rPr>
                      <w:rFonts w:ascii="Times New Roman" w:hAnsi="Times New Roman" w:eastAsia="宋体" w:cs="Times New Roman"/>
                      <w:color w:val="0000FF"/>
                      <w:szCs w:val="21"/>
                    </w:rPr>
                  </w:pPr>
                  <w:r>
                    <w:rPr>
                      <w:rFonts w:ascii="Times New Roman" w:hAnsi="Times New Roman" w:eastAsia="宋体" w:cs="Times New Roman"/>
                      <w:color w:val="0000FF"/>
                      <w:szCs w:val="21"/>
                    </w:rPr>
                    <w:t>/</w:t>
                  </w:r>
                </w:p>
              </w:tc>
              <w:tc>
                <w:tcPr>
                  <w:tcW w:w="1552" w:type="dxa"/>
                  <w:shd w:val="clear" w:color="auto" w:fill="auto"/>
                  <w:vAlign w:val="center"/>
                </w:tcPr>
                <w:p>
                  <w:pPr>
                    <w:jc w:val="center"/>
                    <w:outlineLvl w:val="1"/>
                    <w:rPr>
                      <w:rFonts w:hint="eastAsia" w:ascii="Times New Roman" w:hAnsi="Times New Roman" w:eastAsia="宋体" w:cs="Times New Roman"/>
                      <w:color w:val="auto"/>
                      <w:szCs w:val="21"/>
                      <w:lang w:eastAsia="zh-CN"/>
                    </w:rPr>
                  </w:pPr>
                  <w:r>
                    <w:rPr>
                      <w:rFonts w:hint="eastAsia" w:ascii="Times New Roman" w:hAnsi="Times New Roman" w:eastAsia="宋体" w:cs="Times New Roman"/>
                      <w:snapToGrid w:val="0"/>
                      <w:color w:val="auto"/>
                      <w:szCs w:val="21"/>
                      <w:lang w:eastAsia="zh-CN"/>
                    </w:rPr>
                    <w:t>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52" w:type="dxa"/>
                  <w:shd w:val="clear" w:color="auto" w:fill="auto"/>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716" w:type="dxa"/>
                  <w:vMerge w:val="continue"/>
                  <w:shd w:val="clear" w:color="auto" w:fill="auto"/>
                  <w:vAlign w:val="center"/>
                </w:tcPr>
                <w:p>
                  <w:pPr>
                    <w:jc w:val="center"/>
                    <w:outlineLvl w:val="1"/>
                    <w:rPr>
                      <w:rFonts w:ascii="Times New Roman" w:hAnsi="Times New Roman" w:eastAsia="宋体" w:cs="Times New Roman"/>
                      <w:color w:val="auto"/>
                      <w:szCs w:val="21"/>
                    </w:rPr>
                  </w:pPr>
                </w:p>
              </w:tc>
              <w:tc>
                <w:tcPr>
                  <w:tcW w:w="3406" w:type="dxa"/>
                  <w:gridSpan w:val="2"/>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s="Times New Roman"/>
                      <w:color w:val="auto"/>
                      <w:szCs w:val="21"/>
                    </w:rPr>
                    <w:t>电</w:t>
                  </w:r>
                </w:p>
              </w:tc>
              <w:tc>
                <w:tcPr>
                  <w:tcW w:w="920"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50万度/a</w:t>
                  </w:r>
                </w:p>
              </w:tc>
              <w:tc>
                <w:tcPr>
                  <w:tcW w:w="961"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1552"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市政供电</w:t>
                  </w:r>
                </w:p>
              </w:tc>
            </w:tr>
          </w:tbl>
          <w:p>
            <w:pPr>
              <w:spacing w:line="440" w:lineRule="exact"/>
              <w:ind w:firstLine="482" w:firstLineChars="200"/>
              <w:outlineLvl w:val="1"/>
              <w:rPr>
                <w:rFonts w:ascii="Times New Roman" w:hAnsi="Times New Roman" w:eastAsia="宋体" w:cs="Times New Roman"/>
                <w:b/>
                <w:bCs/>
                <w:sz w:val="24"/>
                <w:szCs w:val="24"/>
              </w:rPr>
            </w:pPr>
            <w:r>
              <w:rPr>
                <w:rFonts w:ascii="Times New Roman" w:hAnsi="Times New Roman" w:eastAsia="宋体" w:cs="Times New Roman"/>
                <w:b/>
                <w:bCs/>
                <w:sz w:val="24"/>
                <w:szCs w:val="24"/>
              </w:rPr>
              <w:t>2</w:t>
            </w:r>
            <w:r>
              <w:rPr>
                <w:rFonts w:hint="eastAsia" w:ascii="Times New Roman" w:hAnsi="Times New Roman" w:eastAsia="宋体" w:cs="Times New Roman"/>
                <w:b/>
                <w:bCs/>
                <w:sz w:val="24"/>
                <w:szCs w:val="24"/>
                <w:lang w:eastAsia="zh-CN"/>
              </w:rPr>
              <w:t>、</w:t>
            </w:r>
            <w:r>
              <w:rPr>
                <w:rFonts w:ascii="Times New Roman" w:hAnsi="Times New Roman" w:eastAsia="宋体" w:cs="Times New Roman"/>
                <w:b/>
                <w:bCs/>
                <w:sz w:val="24"/>
                <w:szCs w:val="24"/>
              </w:rPr>
              <w:t>主要原辅材料理化性能</w:t>
            </w:r>
          </w:p>
          <w:p>
            <w:pPr>
              <w:pStyle w:val="29"/>
              <w:spacing w:line="360" w:lineRule="auto"/>
              <w:ind w:firstLine="480" w:firstLineChars="200"/>
              <w:jc w:val="both"/>
              <w:rPr>
                <w:rFonts w:ascii="Times New Roman" w:cs="Times New Roman"/>
                <w:color w:val="auto"/>
              </w:rPr>
            </w:pPr>
            <w:r>
              <w:rPr>
                <w:rFonts w:hint="eastAsia" w:ascii="Times New Roman" w:cs="Times New Roman"/>
                <w:color w:val="auto"/>
              </w:rPr>
              <w:t>（</w:t>
            </w:r>
            <w:r>
              <w:rPr>
                <w:rFonts w:hint="eastAsia" w:ascii="Times New Roman" w:cs="Times New Roman"/>
                <w:color w:val="auto"/>
                <w:lang w:val="en-US" w:eastAsia="zh-CN"/>
              </w:rPr>
              <w:t>1</w:t>
            </w:r>
            <w:r>
              <w:rPr>
                <w:rFonts w:hint="eastAsia" w:ascii="Times New Roman" w:cs="Times New Roman"/>
                <w:color w:val="auto"/>
              </w:rPr>
              <w:t>）</w:t>
            </w:r>
            <w:r>
              <w:rPr>
                <w:rFonts w:hint="default" w:ascii="Times New Roman" w:hAnsi="Times New Roman" w:eastAsia="宋体" w:cs="Times New Roman"/>
                <w:color w:val="auto"/>
                <w:szCs w:val="21"/>
                <w:lang w:val="en-US" w:eastAsia="zh-CN"/>
              </w:rPr>
              <w:t>聚合氯化铝</w:t>
            </w:r>
          </w:p>
          <w:p>
            <w:pPr>
              <w:pStyle w:val="29"/>
              <w:spacing w:line="360" w:lineRule="auto"/>
              <w:ind w:firstLine="480" w:firstLineChars="200"/>
              <w:rPr>
                <w:rFonts w:ascii="Times New Roman" w:cs="Times New Roman"/>
                <w:color w:val="auto"/>
              </w:rPr>
            </w:pPr>
            <w:r>
              <w:rPr>
                <w:rFonts w:hint="eastAsia" w:ascii="Times New Roman" w:cs="Times New Roman"/>
                <w:color w:val="auto"/>
              </w:rPr>
              <w:t>聚合氯化铝（PAC）是一种无机物，一种新兴净水材料、</w:t>
            </w:r>
            <w:r>
              <w:rPr>
                <w:rFonts w:hint="eastAsia" w:ascii="Times New Roman" w:cs="Times New Roman"/>
                <w:color w:val="auto"/>
              </w:rPr>
              <w:fldChar w:fldCharType="begin"/>
            </w:r>
            <w:r>
              <w:rPr>
                <w:rFonts w:hint="eastAsia" w:ascii="Times New Roman" w:cs="Times New Roman"/>
                <w:color w:val="auto"/>
              </w:rPr>
              <w:instrText xml:space="preserve"> HYPERLINK "https://baike.baidu.com/item/%E6%97%A0%E6%9C%BA%E9%AB%98%E5%88%86%E5%AD%90/10251184?fromModule=lemma_inlink" \t "https://baike.baidu.com/item/%E8%81%9A%E5%90%88%E6%B0%AF%E5%8C%96%E9%93%9D/_blank" </w:instrText>
            </w:r>
            <w:r>
              <w:rPr>
                <w:rFonts w:hint="eastAsia" w:ascii="Times New Roman" w:cs="Times New Roman"/>
                <w:color w:val="auto"/>
              </w:rPr>
              <w:fldChar w:fldCharType="separate"/>
            </w:r>
            <w:r>
              <w:rPr>
                <w:rFonts w:hint="eastAsia" w:ascii="Times New Roman" w:cs="Times New Roman"/>
                <w:color w:val="auto"/>
              </w:rPr>
              <w:t>无机高分子</w:t>
            </w:r>
            <w:r>
              <w:rPr>
                <w:rFonts w:hint="eastAsia" w:ascii="Times New Roman" w:cs="Times New Roman"/>
                <w:color w:val="auto"/>
              </w:rPr>
              <w:fldChar w:fldCharType="end"/>
            </w:r>
            <w:r>
              <w:rPr>
                <w:rFonts w:hint="eastAsia" w:ascii="Times New Roman" w:cs="Times New Roman"/>
                <w:color w:val="auto"/>
              </w:rPr>
              <w:t>混凝剂，简称聚铝。颜色呈黄色或淡黄色、深褐色、深灰色树脂状固体。该产品有较强的架桥吸附性能，在水解过程中，伴随发生凝聚，吸附和沉淀等物理化学过程。聚合氯化铝与传统无机混凝剂的根本区别在于传统无机混凝剂为低分子结晶盐，而聚合氯化铝的结构由形态多变的多元羧基络合物组成，絮凝沉淀速度快，适用pH值范围宽，对管道设备无腐蚀性，净水效果明显，能有效支除水中色质SS、COD、BOD及砷、汞等重金属离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eastAsia="宋体..惡猀." w:cs="Times New Roman"/>
                <w:b w:val="0"/>
                <w:bCs w:val="0"/>
                <w:color w:val="auto"/>
                <w:kern w:val="2"/>
                <w:sz w:val="24"/>
                <w:szCs w:val="24"/>
                <w:lang w:val="en-US" w:eastAsia="zh-CN" w:bidi="ar-SA"/>
              </w:rPr>
            </w:pPr>
            <w:r>
              <w:rPr>
                <w:rFonts w:hint="eastAsia" w:ascii="Times New Roman" w:eastAsia="宋体..惡猀." w:cs="Times New Roman" w:hAnsiTheme="minorHAnsi"/>
                <w:color w:val="auto"/>
                <w:kern w:val="2"/>
                <w:sz w:val="24"/>
                <w:szCs w:val="24"/>
                <w:lang w:val="en-US" w:eastAsia="zh-CN" w:bidi="ar-SA"/>
              </w:rPr>
              <w:t>（2）</w:t>
            </w:r>
            <w:r>
              <w:rPr>
                <w:rFonts w:hint="eastAsia" w:ascii="Times New Roman" w:eastAsia="宋体..惡猀." w:cs="Times New Roman"/>
                <w:b w:val="0"/>
                <w:bCs w:val="0"/>
                <w:color w:val="auto"/>
                <w:kern w:val="2"/>
                <w:sz w:val="24"/>
                <w:szCs w:val="24"/>
                <w:lang w:val="en-US" w:eastAsia="zh-CN" w:bidi="ar-SA"/>
              </w:rPr>
              <w:t>辅料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eastAsia="宋体..惡猀." w:cs="Times New Roman" w:hAnsiTheme="minorHAnsi"/>
                <w:color w:val="auto"/>
                <w:kern w:val="2"/>
                <w:sz w:val="24"/>
                <w:szCs w:val="24"/>
                <w:lang w:val="en-US" w:eastAsia="zh-CN" w:bidi="ar-SA"/>
              </w:rPr>
            </w:pPr>
            <w:r>
              <w:rPr>
                <w:rFonts w:hint="eastAsia" w:ascii="Times New Roman" w:eastAsia="宋体..惡猀." w:cs="Times New Roman"/>
                <w:color w:val="auto"/>
                <w:kern w:val="2"/>
                <w:sz w:val="24"/>
                <w:szCs w:val="24"/>
                <w:lang w:val="en-US" w:eastAsia="zh-CN" w:bidi="ar-SA"/>
              </w:rPr>
              <w:t>辅料主要包括秸秆、木屑和菌包等，菌包渣主要为蘑菇生产后的剩余物，由供应商破碎后提供，破碎成为1~3cm的大颗粒，</w:t>
            </w:r>
            <w:r>
              <w:rPr>
                <w:rFonts w:hint="eastAsia" w:ascii="Times New Roman" w:eastAsia="宋体..惡猀." w:cs="Times New Roman"/>
                <w:sz w:val="24"/>
                <w:szCs w:val="24"/>
              </w:rPr>
              <w:t>可以提供产品所需要的各种营养元素</w:t>
            </w:r>
            <w:r>
              <w:rPr>
                <w:rFonts w:hint="eastAsia" w:ascii="Times New Roman" w:eastAsia="宋体..惡猀." w:cs="Times New Roman"/>
                <w:color w:val="auto"/>
                <w:kern w:val="2"/>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eastAsia="宋体..惡猀." w:cs="Times New Roman" w:hAnsiTheme="minorHAnsi"/>
                <w:b/>
                <w:bCs/>
                <w:color w:val="auto"/>
                <w:kern w:val="2"/>
                <w:sz w:val="24"/>
                <w:szCs w:val="24"/>
                <w:lang w:val="en-US" w:eastAsia="zh-CN" w:bidi="ar-SA"/>
              </w:rPr>
            </w:pPr>
            <w:r>
              <w:rPr>
                <w:rFonts w:hint="eastAsia" w:ascii="Times New Roman" w:eastAsia="宋体..惡猀." w:cs="Times New Roman"/>
                <w:b/>
                <w:bCs/>
                <w:color w:val="auto"/>
                <w:kern w:val="2"/>
                <w:sz w:val="24"/>
                <w:szCs w:val="24"/>
                <w:lang w:val="en-US" w:eastAsia="zh-CN" w:bidi="ar-SA"/>
              </w:rPr>
              <w:t>3、</w:t>
            </w:r>
            <w:r>
              <w:rPr>
                <w:rFonts w:hint="eastAsia" w:ascii="Times New Roman" w:eastAsia="宋体..惡猀." w:cs="Times New Roman" w:hAnsiTheme="minorHAnsi"/>
                <w:b/>
                <w:bCs/>
                <w:color w:val="auto"/>
                <w:kern w:val="2"/>
                <w:sz w:val="24"/>
                <w:szCs w:val="24"/>
                <w:lang w:val="en-US" w:eastAsia="zh-CN" w:bidi="ar-SA"/>
              </w:rPr>
              <w:t>污泥原料入场要求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eastAsia="宋体..惡猀." w:cs="Times New Roman"/>
                <w:color w:val="auto"/>
                <w:kern w:val="2"/>
                <w:sz w:val="24"/>
                <w:szCs w:val="24"/>
                <w:lang w:val="en-US" w:eastAsia="zh-CN" w:bidi="ar-SA"/>
              </w:rPr>
            </w:pPr>
            <w:r>
              <w:rPr>
                <w:rFonts w:hint="eastAsia" w:ascii="Times New Roman" w:eastAsia="宋体..惡猀." w:cs="Times New Roman" w:hAnsiTheme="minorHAnsi"/>
                <w:color w:val="auto"/>
                <w:kern w:val="2"/>
                <w:sz w:val="24"/>
                <w:szCs w:val="24"/>
                <w:lang w:val="en-US" w:eastAsia="zh-CN" w:bidi="ar-SA"/>
              </w:rPr>
              <w:t>本项目仅对城市生活污泥进行</w:t>
            </w:r>
            <w:r>
              <w:rPr>
                <w:rFonts w:hint="eastAsia" w:ascii="Times New Roman" w:eastAsia="宋体..惡猀." w:cs="Times New Roman"/>
                <w:color w:val="auto"/>
                <w:kern w:val="2"/>
                <w:sz w:val="24"/>
                <w:szCs w:val="24"/>
                <w:lang w:val="en-US" w:eastAsia="zh-CN" w:bidi="ar-SA"/>
              </w:rPr>
              <w:t>处置</w:t>
            </w:r>
            <w:r>
              <w:rPr>
                <w:rFonts w:hint="eastAsia" w:ascii="Times New Roman" w:eastAsia="宋体..惡猀." w:cs="Times New Roman" w:hAnsiTheme="minorHAnsi"/>
                <w:color w:val="auto"/>
                <w:kern w:val="2"/>
                <w:sz w:val="24"/>
                <w:szCs w:val="24"/>
                <w:lang w:val="en-US" w:eastAsia="zh-CN" w:bidi="ar-SA"/>
              </w:rPr>
              <w:t>，城市生活污泥为一般工业固废，污泥含水率取80%，污泥主要来源于</w:t>
            </w:r>
            <w:r>
              <w:rPr>
                <w:rFonts w:hint="eastAsia" w:ascii="Times New Roman" w:eastAsia="宋体..惡猀." w:cs="Times New Roman"/>
                <w:color w:val="auto"/>
                <w:kern w:val="2"/>
                <w:sz w:val="24"/>
                <w:szCs w:val="24"/>
                <w:lang w:val="en-US" w:eastAsia="zh-CN" w:bidi="ar-SA"/>
              </w:rPr>
              <w:t>铜梁区城镇</w:t>
            </w:r>
            <w:r>
              <w:rPr>
                <w:rFonts w:hint="eastAsia" w:ascii="Times New Roman" w:eastAsia="宋体..惡猀." w:cs="Times New Roman" w:hAnsiTheme="minorHAnsi"/>
                <w:color w:val="auto"/>
                <w:kern w:val="2"/>
                <w:sz w:val="24"/>
                <w:szCs w:val="24"/>
                <w:lang w:val="en-US" w:eastAsia="zh-CN" w:bidi="ar-SA"/>
              </w:rPr>
              <w:t>生活污水处理厂，对于经鉴别属于危险废物的污泥以及工业污水处理厂污泥，则不属于本项目</w:t>
            </w:r>
            <w:r>
              <w:rPr>
                <w:rFonts w:hint="eastAsia" w:ascii="Times New Roman" w:eastAsia="宋体..惡猀." w:cs="Times New Roman"/>
                <w:color w:val="auto"/>
                <w:kern w:val="2"/>
                <w:sz w:val="24"/>
                <w:szCs w:val="24"/>
                <w:lang w:val="en-US" w:eastAsia="zh-CN" w:bidi="ar-SA"/>
              </w:rPr>
              <w:t>处置</w:t>
            </w:r>
            <w:r>
              <w:rPr>
                <w:rFonts w:hint="eastAsia" w:ascii="Times New Roman" w:eastAsia="宋体..惡猀." w:cs="Times New Roman" w:hAnsiTheme="minorHAnsi"/>
                <w:color w:val="auto"/>
                <w:kern w:val="2"/>
                <w:sz w:val="24"/>
                <w:szCs w:val="24"/>
                <w:lang w:val="en-US" w:eastAsia="zh-CN" w:bidi="ar-SA"/>
              </w:rPr>
              <w:t>范畴，不得入厂进行处置。项目进场污泥应当满足《城镇污水处理厂污泥泥质》（GB 24188-2009）控制指标及限制，项目污泥入场指标限值如下</w:t>
            </w:r>
            <w:r>
              <w:rPr>
                <w:rFonts w:hint="eastAsia" w:ascii="Times New Roman" w:eastAsia="宋体..惡猀." w:cs="Times New Roman"/>
                <w:color w:val="auto"/>
                <w:kern w:val="2"/>
                <w:sz w:val="24"/>
                <w:szCs w:val="24"/>
                <w:lang w:val="en-US" w:eastAsia="zh-CN" w:bidi="ar-SA"/>
              </w:rPr>
              <w:t>：</w:t>
            </w:r>
          </w:p>
          <w:p>
            <w:pPr>
              <w:pStyle w:val="71"/>
              <w:rPr>
                <w:rFonts w:hint="eastAsia" w:ascii="Times New Roman" w:eastAsia="宋体..惡猀." w:cs="Times New Roman" w:hAnsiTheme="minorHAnsi"/>
                <w:b/>
                <w:bCs/>
                <w:color w:val="auto"/>
                <w:kern w:val="2"/>
                <w:sz w:val="24"/>
                <w:szCs w:val="24"/>
                <w:lang w:val="en-US" w:eastAsia="zh-CN" w:bidi="ar-SA"/>
              </w:rPr>
            </w:pPr>
            <w:r>
              <w:rPr>
                <w:rFonts w:hint="eastAsia" w:ascii="Times New Roman" w:eastAsia="宋体..惡猀." w:cs="Times New Roman" w:hAnsiTheme="minorHAnsi"/>
                <w:b/>
                <w:bCs/>
                <w:color w:val="auto"/>
                <w:kern w:val="2"/>
                <w:sz w:val="24"/>
                <w:szCs w:val="24"/>
                <w:lang w:val="en-US" w:eastAsia="zh-CN" w:bidi="ar-SA"/>
              </w:rPr>
              <w:t>表2.2-</w:t>
            </w:r>
            <w:r>
              <w:rPr>
                <w:rFonts w:hint="eastAsia" w:eastAsia="宋体..惡猀." w:cs="Times New Roman" w:hAnsiTheme="minorHAnsi"/>
                <w:b/>
                <w:bCs/>
                <w:color w:val="auto"/>
                <w:kern w:val="2"/>
                <w:sz w:val="24"/>
                <w:szCs w:val="24"/>
                <w:lang w:val="en-US" w:eastAsia="zh-CN" w:bidi="ar-SA"/>
              </w:rPr>
              <w:t>9</w:t>
            </w:r>
            <w:r>
              <w:rPr>
                <w:rFonts w:hint="eastAsia" w:ascii="Times New Roman" w:eastAsia="宋体..惡猀." w:cs="Times New Roman" w:hAnsiTheme="minorHAnsi"/>
                <w:b/>
                <w:bCs/>
                <w:color w:val="auto"/>
                <w:kern w:val="2"/>
                <w:sz w:val="24"/>
                <w:szCs w:val="24"/>
                <w:lang w:val="en-US" w:eastAsia="zh-CN" w:bidi="ar-SA"/>
              </w:rPr>
              <w:t xml:space="preserve">  《城镇污水处理厂污泥泥质》（GB 24188-2009）摘录</w:t>
            </w:r>
          </w:p>
          <w:tbl>
            <w:tblPr>
              <w:tblStyle w:val="20"/>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5906"/>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000" w:type="pct"/>
                  <w:gridSpan w:val="3"/>
                  <w:vAlign w:val="center"/>
                </w:tcPr>
                <w:p>
                  <w:pPr>
                    <w:spacing w:line="240" w:lineRule="auto"/>
                    <w:ind w:firstLine="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一、基本控制指标及限值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含水率（%）</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粪大肠菌群菌值</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细菌总数（MPN/kg干污泥）</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&lt;10</w:t>
                  </w:r>
                  <w:r>
                    <w:rPr>
                      <w:rFonts w:hint="default" w:ascii="Times New Roman" w:hAnsi="Times New Roman" w:eastAsia="宋体" w:cs="Times New Roman"/>
                      <w:sz w:val="21"/>
                      <w:szCs w:val="21"/>
                      <w:vertAlign w:val="superscrip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000" w:type="pct"/>
                  <w:gridSpan w:val="3"/>
                  <w:vAlign w:val="center"/>
                </w:tcPr>
                <w:p>
                  <w:pPr>
                    <w:spacing w:line="240" w:lineRule="auto"/>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二、选择性控制指标及限值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总镉（mg/kg干污泥）</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总汞（mg/kg干污泥）</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总铅（mg/kg干污泥）</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总铬（mg/kg干污泥）</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总砷（mg/kg干污泥）</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总铜（mg/kg干污泥）</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总锌（mg/kg干污泥）</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总镍（mg/kg干污泥）</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矿物油（mg/kg干污泥）</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挥发酚（mg/kg干污泥）</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26"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3659"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总氰化物（mg/kg干污泥）</w:t>
                  </w:r>
                </w:p>
              </w:tc>
              <w:tc>
                <w:tcPr>
                  <w:tcW w:w="814" w:type="pc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000" w:type="pct"/>
                  <w:gridSpan w:val="3"/>
                  <w:vAlign w:val="center"/>
                </w:tcPr>
                <w:p>
                  <w:pPr>
                    <w:spacing w:line="240" w:lineRule="auto"/>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注：采取多点取样混合，样品质量不少于1kg。</w:t>
                  </w:r>
                </w:p>
                <w:p>
                  <w:pPr>
                    <w:spacing w:line="240" w:lineRule="auto"/>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建设单位提供资料和项目运营程序，项目生活污泥全部来自服务范围内的生活污水处理厂，不涉及工业污水处理厂；污泥进场控制指标检测由污水处理厂负责，建设单位主要进行含水率控制，其他指标进行复核抽检。</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eastAsia="宋体..惡猀." w:cs="Times New Roman"/>
                <w:b/>
                <w:bCs/>
                <w:color w:val="auto"/>
                <w:kern w:val="2"/>
                <w:sz w:val="24"/>
                <w:szCs w:val="24"/>
                <w:lang w:val="en-US" w:eastAsia="zh-CN" w:bidi="ar-SA"/>
              </w:rPr>
            </w:pPr>
            <w:r>
              <w:rPr>
                <w:rFonts w:hint="eastAsia" w:ascii="Times New Roman" w:eastAsia="宋体..惡猀." w:cs="Times New Roman"/>
                <w:b/>
                <w:bCs/>
                <w:color w:val="auto"/>
                <w:kern w:val="2"/>
                <w:sz w:val="24"/>
                <w:szCs w:val="24"/>
                <w:lang w:val="en-US" w:eastAsia="zh-CN" w:bidi="ar-SA"/>
              </w:rPr>
              <w:t>4、原料污泥泥质情况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eastAsia="宋体..惡猀." w:cs="Times New Roman"/>
                <w:color w:val="auto"/>
                <w:kern w:val="2"/>
                <w:sz w:val="24"/>
                <w:szCs w:val="24"/>
                <w:lang w:val="en-US" w:eastAsia="zh-CN" w:bidi="ar-SA"/>
              </w:rPr>
            </w:pPr>
            <w:r>
              <w:rPr>
                <w:rFonts w:hint="eastAsia" w:ascii="Times New Roman" w:eastAsia="宋体..惡猀." w:cs="Times New Roman"/>
                <w:color w:val="auto"/>
                <w:kern w:val="2"/>
                <w:sz w:val="24"/>
                <w:szCs w:val="24"/>
                <w:lang w:val="en-US" w:eastAsia="zh-CN" w:bidi="ar-SA"/>
              </w:rPr>
              <w:t>本评价引用服务范围内铜梁污水处理厂泥质监测报告说明泥质特征。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center"/>
              <w:textAlignment w:val="auto"/>
              <w:rPr>
                <w:rFonts w:hint="eastAsia" w:ascii="Times New Roman" w:eastAsia="宋体..惡猀."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center"/>
              <w:textAlignment w:val="auto"/>
              <w:rPr>
                <w:rFonts w:hint="eastAsia" w:ascii="Times New Roman" w:eastAsia="宋体..惡猀." w:cs="Times New Roman"/>
                <w:b/>
                <w:bCs/>
                <w:color w:val="auto"/>
                <w:kern w:val="2"/>
                <w:sz w:val="24"/>
                <w:szCs w:val="24"/>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center"/>
              <w:textAlignment w:val="auto"/>
              <w:rPr>
                <w:rFonts w:hint="eastAsia" w:ascii="Times New Roman" w:eastAsia="宋体..惡猀." w:cs="Times New Roman"/>
                <w:b/>
                <w:bCs/>
                <w:color w:val="auto"/>
                <w:kern w:val="2"/>
                <w:sz w:val="24"/>
                <w:szCs w:val="24"/>
                <w:lang w:val="en-US" w:eastAsia="zh-CN" w:bidi="ar-SA"/>
              </w:rPr>
            </w:pPr>
            <w:r>
              <w:rPr>
                <w:rFonts w:hint="eastAsia" w:ascii="Times New Roman" w:eastAsia="宋体..惡猀." w:cs="Times New Roman"/>
                <w:b/>
                <w:bCs/>
                <w:color w:val="auto"/>
                <w:kern w:val="2"/>
                <w:sz w:val="24"/>
                <w:szCs w:val="24"/>
                <w:lang w:val="en-US" w:eastAsia="zh-CN" w:bidi="ar-SA"/>
              </w:rPr>
              <w:t>表2.2-10   铜梁污水处理厂污泥特性检测结果</w:t>
            </w:r>
          </w:p>
          <w:tbl>
            <w:tblPr>
              <w:tblStyle w:val="20"/>
              <w:tblW w:w="8018" w:type="dxa"/>
              <w:jc w:val="center"/>
              <w:tblLayout w:type="fixed"/>
              <w:tblCellMar>
                <w:top w:w="0" w:type="dxa"/>
                <w:left w:w="108" w:type="dxa"/>
                <w:bottom w:w="0" w:type="dxa"/>
                <w:right w:w="108" w:type="dxa"/>
              </w:tblCellMar>
            </w:tblPr>
            <w:tblGrid>
              <w:gridCol w:w="1760"/>
              <w:gridCol w:w="1251"/>
              <w:gridCol w:w="3321"/>
              <w:gridCol w:w="1686"/>
            </w:tblGrid>
            <w:tr>
              <w:tblPrEx>
                <w:tblCellMar>
                  <w:top w:w="0" w:type="dxa"/>
                  <w:left w:w="108" w:type="dxa"/>
                  <w:bottom w:w="0" w:type="dxa"/>
                  <w:right w:w="108" w:type="dxa"/>
                </w:tblCellMar>
              </w:tblPrEx>
              <w:trPr>
                <w:trHeight w:val="285" w:hRule="atLeast"/>
                <w:jc w:val="center"/>
              </w:trPr>
              <w:tc>
                <w:tcPr>
                  <w:tcW w:w="17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污泥指标</w:t>
                  </w:r>
                </w:p>
              </w:tc>
              <w:tc>
                <w:tcPr>
                  <w:tcW w:w="1251" w:type="dxa"/>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检测结果</w:t>
                  </w:r>
                </w:p>
              </w:tc>
              <w:tc>
                <w:tcPr>
                  <w:tcW w:w="3321" w:type="dxa"/>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污泥指标</w:t>
                  </w:r>
                </w:p>
              </w:tc>
              <w:tc>
                <w:tcPr>
                  <w:tcW w:w="1686" w:type="dxa"/>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检测结果</w:t>
                  </w:r>
                </w:p>
              </w:tc>
            </w:tr>
            <w:tr>
              <w:tblPrEx>
                <w:tblCellMar>
                  <w:top w:w="0" w:type="dxa"/>
                  <w:left w:w="108" w:type="dxa"/>
                  <w:bottom w:w="0" w:type="dxa"/>
                  <w:right w:w="108" w:type="dxa"/>
                </w:tblCellMar>
              </w:tblPrEx>
              <w:trPr>
                <w:trHeight w:val="285" w:hRule="atLeast"/>
                <w:jc w:val="center"/>
              </w:trPr>
              <w:tc>
                <w:tcPr>
                  <w:tcW w:w="1760"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pH值</w:t>
                  </w:r>
                </w:p>
              </w:tc>
              <w:tc>
                <w:tcPr>
                  <w:tcW w:w="125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6.8 </w:t>
                  </w:r>
                </w:p>
              </w:tc>
              <w:tc>
                <w:tcPr>
                  <w:tcW w:w="332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苯并（a）芘mg/kg</w:t>
                  </w:r>
                </w:p>
              </w:tc>
              <w:tc>
                <w:tcPr>
                  <w:tcW w:w="1686"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未检出</w:t>
                  </w:r>
                </w:p>
              </w:tc>
            </w:tr>
            <w:tr>
              <w:tblPrEx>
                <w:tblCellMar>
                  <w:top w:w="0" w:type="dxa"/>
                  <w:left w:w="108" w:type="dxa"/>
                  <w:bottom w:w="0" w:type="dxa"/>
                  <w:right w:w="108" w:type="dxa"/>
                </w:tblCellMar>
              </w:tblPrEx>
              <w:trPr>
                <w:trHeight w:val="285" w:hRule="atLeast"/>
                <w:jc w:val="center"/>
              </w:trPr>
              <w:tc>
                <w:tcPr>
                  <w:tcW w:w="1760"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含水率%</w:t>
                  </w:r>
                </w:p>
              </w:tc>
              <w:tc>
                <w:tcPr>
                  <w:tcW w:w="125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79.1 </w:t>
                  </w:r>
                </w:p>
              </w:tc>
              <w:tc>
                <w:tcPr>
                  <w:tcW w:w="332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多环芳烃（PA4Hs）mg/kg</w:t>
                  </w:r>
                </w:p>
              </w:tc>
              <w:tc>
                <w:tcPr>
                  <w:tcW w:w="1686"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14.30 </w:t>
                  </w:r>
                </w:p>
              </w:tc>
            </w:tr>
            <w:tr>
              <w:tblPrEx>
                <w:tblCellMar>
                  <w:top w:w="0" w:type="dxa"/>
                  <w:left w:w="108" w:type="dxa"/>
                  <w:bottom w:w="0" w:type="dxa"/>
                  <w:right w:w="108" w:type="dxa"/>
                </w:tblCellMar>
              </w:tblPrEx>
              <w:trPr>
                <w:trHeight w:val="285" w:hRule="atLeast"/>
                <w:jc w:val="center"/>
              </w:trPr>
              <w:tc>
                <w:tcPr>
                  <w:tcW w:w="1760"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总砷mg/kg</w:t>
                  </w:r>
                </w:p>
              </w:tc>
              <w:tc>
                <w:tcPr>
                  <w:tcW w:w="125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14.5 </w:t>
                  </w:r>
                </w:p>
              </w:tc>
              <w:tc>
                <w:tcPr>
                  <w:tcW w:w="332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可吸附有机卤化物μg/kg</w:t>
                  </w:r>
                </w:p>
              </w:tc>
              <w:tc>
                <w:tcPr>
                  <w:tcW w:w="1686"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273</w:t>
                  </w:r>
                </w:p>
              </w:tc>
            </w:tr>
            <w:tr>
              <w:tblPrEx>
                <w:tblCellMar>
                  <w:top w:w="0" w:type="dxa"/>
                  <w:left w:w="108" w:type="dxa"/>
                  <w:bottom w:w="0" w:type="dxa"/>
                  <w:right w:w="108" w:type="dxa"/>
                </w:tblCellMar>
              </w:tblPrEx>
              <w:trPr>
                <w:trHeight w:val="285" w:hRule="atLeast"/>
                <w:jc w:val="center"/>
              </w:trPr>
              <w:tc>
                <w:tcPr>
                  <w:tcW w:w="1760"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总汞mg/kg</w:t>
                  </w:r>
                </w:p>
              </w:tc>
              <w:tc>
                <w:tcPr>
                  <w:tcW w:w="125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3.63 </w:t>
                  </w:r>
                </w:p>
              </w:tc>
              <w:tc>
                <w:tcPr>
                  <w:tcW w:w="332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矿物油mg/kg</w:t>
                  </w:r>
                </w:p>
              </w:tc>
              <w:tc>
                <w:tcPr>
                  <w:tcW w:w="1686"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1940</w:t>
                  </w:r>
                </w:p>
              </w:tc>
            </w:tr>
            <w:tr>
              <w:tblPrEx>
                <w:tblCellMar>
                  <w:top w:w="0" w:type="dxa"/>
                  <w:left w:w="108" w:type="dxa"/>
                  <w:bottom w:w="0" w:type="dxa"/>
                  <w:right w:w="108" w:type="dxa"/>
                </w:tblCellMar>
              </w:tblPrEx>
              <w:trPr>
                <w:trHeight w:val="285" w:hRule="atLeast"/>
                <w:jc w:val="center"/>
              </w:trPr>
              <w:tc>
                <w:tcPr>
                  <w:tcW w:w="1760"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总铜mg/kg</w:t>
                  </w:r>
                </w:p>
              </w:tc>
              <w:tc>
                <w:tcPr>
                  <w:tcW w:w="125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52.0 </w:t>
                  </w:r>
                </w:p>
              </w:tc>
              <w:tc>
                <w:tcPr>
                  <w:tcW w:w="332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有机物含量%</w:t>
                  </w:r>
                </w:p>
              </w:tc>
              <w:tc>
                <w:tcPr>
                  <w:tcW w:w="1686"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67.4 </w:t>
                  </w:r>
                </w:p>
              </w:tc>
            </w:tr>
            <w:tr>
              <w:tblPrEx>
                <w:tblCellMar>
                  <w:top w:w="0" w:type="dxa"/>
                  <w:left w:w="108" w:type="dxa"/>
                  <w:bottom w:w="0" w:type="dxa"/>
                  <w:right w:w="108" w:type="dxa"/>
                </w:tblCellMar>
              </w:tblPrEx>
              <w:trPr>
                <w:trHeight w:val="285" w:hRule="atLeast"/>
                <w:jc w:val="center"/>
              </w:trPr>
              <w:tc>
                <w:tcPr>
                  <w:tcW w:w="1760"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总锌mg/kg</w:t>
                  </w:r>
                </w:p>
              </w:tc>
              <w:tc>
                <w:tcPr>
                  <w:tcW w:w="125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692 </w:t>
                  </w:r>
                </w:p>
              </w:tc>
              <w:tc>
                <w:tcPr>
                  <w:tcW w:w="332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总氮%</w:t>
                  </w:r>
                </w:p>
              </w:tc>
              <w:tc>
                <w:tcPr>
                  <w:tcW w:w="1686"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5.80 </w:t>
                  </w:r>
                </w:p>
              </w:tc>
            </w:tr>
            <w:tr>
              <w:tblPrEx>
                <w:tblCellMar>
                  <w:top w:w="0" w:type="dxa"/>
                  <w:left w:w="108" w:type="dxa"/>
                  <w:bottom w:w="0" w:type="dxa"/>
                  <w:right w:w="108" w:type="dxa"/>
                </w:tblCellMar>
              </w:tblPrEx>
              <w:trPr>
                <w:trHeight w:val="285" w:hRule="atLeast"/>
                <w:jc w:val="center"/>
              </w:trPr>
              <w:tc>
                <w:tcPr>
                  <w:tcW w:w="1760"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总镍mg/kg</w:t>
                  </w:r>
                </w:p>
              </w:tc>
              <w:tc>
                <w:tcPr>
                  <w:tcW w:w="125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30.6 </w:t>
                  </w:r>
                </w:p>
              </w:tc>
              <w:tc>
                <w:tcPr>
                  <w:tcW w:w="332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总磷（以P</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计，%）</w:t>
                  </w:r>
                </w:p>
              </w:tc>
              <w:tc>
                <w:tcPr>
                  <w:tcW w:w="1686"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7.18 </w:t>
                  </w:r>
                </w:p>
              </w:tc>
            </w:tr>
            <w:tr>
              <w:tblPrEx>
                <w:tblCellMar>
                  <w:top w:w="0" w:type="dxa"/>
                  <w:left w:w="108" w:type="dxa"/>
                  <w:bottom w:w="0" w:type="dxa"/>
                  <w:right w:w="108" w:type="dxa"/>
                </w:tblCellMar>
              </w:tblPrEx>
              <w:trPr>
                <w:trHeight w:val="285" w:hRule="atLeast"/>
                <w:jc w:val="center"/>
              </w:trPr>
              <w:tc>
                <w:tcPr>
                  <w:tcW w:w="1760"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总铅mg/kg</w:t>
                  </w:r>
                </w:p>
              </w:tc>
              <w:tc>
                <w:tcPr>
                  <w:tcW w:w="125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12.5 </w:t>
                  </w:r>
                </w:p>
              </w:tc>
              <w:tc>
                <w:tcPr>
                  <w:tcW w:w="332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总钾（以K</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O计，%）</w:t>
                  </w:r>
                </w:p>
              </w:tc>
              <w:tc>
                <w:tcPr>
                  <w:tcW w:w="1686"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0.709 </w:t>
                  </w:r>
                </w:p>
              </w:tc>
            </w:tr>
            <w:tr>
              <w:tblPrEx>
                <w:tblCellMar>
                  <w:top w:w="0" w:type="dxa"/>
                  <w:left w:w="108" w:type="dxa"/>
                  <w:bottom w:w="0" w:type="dxa"/>
                  <w:right w:w="108" w:type="dxa"/>
                </w:tblCellMar>
              </w:tblPrEx>
              <w:trPr>
                <w:trHeight w:val="285" w:hRule="atLeast"/>
                <w:jc w:val="center"/>
              </w:trPr>
              <w:tc>
                <w:tcPr>
                  <w:tcW w:w="1760"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总铬mg/kg</w:t>
                  </w:r>
                </w:p>
              </w:tc>
              <w:tc>
                <w:tcPr>
                  <w:tcW w:w="125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24.3 </w:t>
                  </w:r>
                </w:p>
              </w:tc>
              <w:tc>
                <w:tcPr>
                  <w:tcW w:w="332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总养分（N+P</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+K</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 %)</w:t>
                  </w:r>
                </w:p>
              </w:tc>
              <w:tc>
                <w:tcPr>
                  <w:tcW w:w="1686"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13.69 </w:t>
                  </w:r>
                </w:p>
              </w:tc>
            </w:tr>
            <w:tr>
              <w:tblPrEx>
                <w:tblCellMar>
                  <w:top w:w="0" w:type="dxa"/>
                  <w:left w:w="108" w:type="dxa"/>
                  <w:bottom w:w="0" w:type="dxa"/>
                  <w:right w:w="108" w:type="dxa"/>
                </w:tblCellMar>
              </w:tblPrEx>
              <w:trPr>
                <w:trHeight w:val="294" w:hRule="atLeast"/>
                <w:jc w:val="center"/>
              </w:trPr>
              <w:tc>
                <w:tcPr>
                  <w:tcW w:w="1760"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总镉mg/kg</w:t>
                  </w:r>
                </w:p>
              </w:tc>
              <w:tc>
                <w:tcPr>
                  <w:tcW w:w="125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0.346 </w:t>
                  </w:r>
                </w:p>
              </w:tc>
              <w:tc>
                <w:tcPr>
                  <w:tcW w:w="3321"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p>
              </w:tc>
              <w:tc>
                <w:tcPr>
                  <w:tcW w:w="1686"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center"/>
                    <w:rPr>
                      <w:rFonts w:hint="default" w:ascii="Times New Roman" w:hAnsi="Times New Roman" w:eastAsia="宋体" w:cs="Times New Roman"/>
                      <w:sz w:val="21"/>
                      <w:szCs w:val="21"/>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eastAsia="宋体..惡猀." w:cs="Times New Roman"/>
                <w:color w:val="auto"/>
                <w:kern w:val="2"/>
                <w:sz w:val="24"/>
                <w:szCs w:val="24"/>
                <w:lang w:val="en-US" w:eastAsia="zh-CN" w:bidi="ar-SA"/>
              </w:rPr>
            </w:pPr>
            <w:r>
              <w:rPr>
                <w:rFonts w:hint="eastAsia" w:ascii="Times New Roman" w:eastAsia="宋体..惡猀." w:cs="Times New Roman"/>
                <w:color w:val="auto"/>
                <w:kern w:val="2"/>
                <w:sz w:val="24"/>
                <w:szCs w:val="24"/>
                <w:lang w:val="en-US" w:eastAsia="zh-CN" w:bidi="ar-SA"/>
              </w:rPr>
              <w:t>铜梁污水处理厂</w:t>
            </w:r>
            <w:r>
              <w:rPr>
                <w:rFonts w:hint="eastAsia" w:ascii="Times New Roman" w:eastAsia="宋体..惡猀." w:cs="Times New Roman" w:hAnsiTheme="minorHAnsi"/>
                <w:color w:val="auto"/>
                <w:kern w:val="2"/>
                <w:sz w:val="24"/>
                <w:szCs w:val="24"/>
                <w:lang w:val="en-US" w:eastAsia="zh-CN" w:bidi="ar-SA"/>
              </w:rPr>
              <w:t>污泥特性检测结果能够满足《城镇污水处理厂污泥泥质》（GB24188-2009）标准要求</w:t>
            </w:r>
            <w:r>
              <w:rPr>
                <w:rFonts w:hint="eastAsia" w:ascii="Times New Roman" w:eastAsia="宋体..惡猀." w:cs="Times New Roman"/>
                <w:color w:val="auto"/>
                <w:kern w:val="2"/>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eastAsia="宋体..惡猀." w:cs="Times New Roman"/>
                <w:b/>
                <w:bCs/>
                <w:color w:val="auto"/>
                <w:kern w:val="2"/>
                <w:sz w:val="24"/>
                <w:szCs w:val="24"/>
                <w:lang w:val="en-US" w:eastAsia="zh-CN" w:bidi="ar-SA"/>
              </w:rPr>
            </w:pPr>
            <w:r>
              <w:rPr>
                <w:rFonts w:hint="eastAsia" w:ascii="Times New Roman" w:eastAsia="宋体..惡猀." w:cs="Times New Roman"/>
                <w:b/>
                <w:bCs/>
                <w:color w:val="auto"/>
                <w:kern w:val="2"/>
                <w:sz w:val="24"/>
                <w:szCs w:val="24"/>
                <w:lang w:val="en-US" w:eastAsia="zh-CN" w:bidi="ar-SA"/>
              </w:rPr>
              <w:t>5、污泥入厂检测程序和具体要求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eastAsia="宋体..惡猀." w:cs="Times New Roman"/>
                <w:color w:val="auto"/>
                <w:kern w:val="2"/>
                <w:sz w:val="24"/>
                <w:szCs w:val="24"/>
                <w:lang w:val="en-US" w:eastAsia="zh-CN" w:bidi="ar-SA"/>
              </w:rPr>
            </w:pPr>
            <w:r>
              <w:rPr>
                <w:rFonts w:hint="eastAsia" w:ascii="Times New Roman" w:eastAsia="宋体..惡猀." w:cs="Times New Roman"/>
                <w:color w:val="auto"/>
                <w:kern w:val="2"/>
                <w:sz w:val="24"/>
                <w:szCs w:val="24"/>
                <w:lang w:val="en-US" w:eastAsia="zh-CN" w:bidi="ar-SA"/>
              </w:rPr>
              <w:t>在项目运行期间，建设单位需对接收的污泥特性指标进行检测，每季度采取委托第三方检测机构对污泥进行抽样检测，以确保所有接收的污泥泥质满足《城镇污水处理厂污泥泥质》（GB24188-2009）标准要求。并详细记录入场污泥原料的检测台账，对于不符合要求的污泥原料不予接收。</w:t>
            </w:r>
          </w:p>
          <w:p>
            <w:pPr>
              <w:autoSpaceDE w:val="0"/>
              <w:autoSpaceDN w:val="0"/>
              <w:adjustRightInd w:val="0"/>
              <w:snapToGrid w:val="0"/>
              <w:spacing w:line="360" w:lineRule="auto"/>
              <w:rPr>
                <w:rFonts w:hint="default" w:ascii="Times New Roman" w:hAnsi="Times New Roman" w:eastAsia="宋体" w:cs="Times New Roman"/>
                <w:color w:val="auto"/>
                <w:kern w:val="0"/>
                <w:sz w:val="24"/>
                <w:szCs w:val="24"/>
                <w:lang w:val="en-US" w:eastAsia="zh-CN"/>
              </w:rPr>
            </w:pPr>
            <w:r>
              <w:rPr>
                <w:rFonts w:ascii="Times New Roman" w:hAnsi="Times New Roman" w:eastAsia="宋体" w:cs="Times New Roman"/>
                <w:b/>
                <w:color w:val="auto"/>
                <w:sz w:val="24"/>
                <w:szCs w:val="24"/>
              </w:rPr>
              <w:t>2.2</w:t>
            </w:r>
            <w:r>
              <w:rPr>
                <w:rFonts w:ascii="Times New Roman" w:hAnsi="Times New Roman" w:eastAsia="宋体" w:cs="Times New Roman"/>
                <w:b/>
                <w:bCs w:val="0"/>
                <w:color w:val="auto"/>
                <w:sz w:val="24"/>
                <w:szCs w:val="24"/>
              </w:rPr>
              <w:t>.</w:t>
            </w:r>
            <w:r>
              <w:rPr>
                <w:rFonts w:hint="eastAsia" w:ascii="Times New Roman" w:hAnsi="Times New Roman" w:eastAsia="宋体" w:cs="Times New Roman"/>
                <w:b/>
                <w:bCs w:val="0"/>
                <w:color w:val="auto"/>
                <w:sz w:val="24"/>
                <w:szCs w:val="24"/>
                <w:lang w:val="en-US" w:eastAsia="zh-CN"/>
              </w:rPr>
              <w:t>6</w:t>
            </w:r>
            <w:r>
              <w:rPr>
                <w:rFonts w:hint="eastAsia" w:ascii="Times New Roman" w:hAnsi="Times New Roman" w:eastAsia="宋体" w:cs="Times New Roman"/>
                <w:b/>
                <w:bCs w:val="0"/>
                <w:color w:val="auto"/>
                <w:kern w:val="0"/>
                <w:sz w:val="24"/>
                <w:szCs w:val="24"/>
                <w:lang w:val="en-US" w:eastAsia="zh-CN"/>
              </w:rPr>
              <w:t xml:space="preserve"> </w:t>
            </w:r>
            <w:r>
              <w:rPr>
                <w:rFonts w:hint="default" w:ascii="Times New Roman" w:hAnsi="Times New Roman" w:eastAsia="宋体" w:cs="Times New Roman"/>
                <w:b/>
                <w:bCs w:val="0"/>
                <w:color w:val="auto"/>
                <w:kern w:val="0"/>
                <w:sz w:val="24"/>
                <w:szCs w:val="24"/>
                <w:lang w:val="en-US" w:eastAsia="zh-CN"/>
              </w:rPr>
              <w:t>运输路线</w:t>
            </w:r>
            <w:r>
              <w:rPr>
                <w:rFonts w:hint="eastAsia" w:ascii="Times New Roman" w:hAnsi="Times New Roman" w:eastAsia="宋体" w:cs="Times New Roman"/>
                <w:b/>
                <w:bCs w:val="0"/>
                <w:color w:val="auto"/>
                <w:kern w:val="0"/>
                <w:sz w:val="24"/>
                <w:szCs w:val="24"/>
                <w:lang w:val="en-US" w:eastAsia="zh-CN"/>
              </w:rPr>
              <w:t>及影响分析</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运输方式</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w:t>
            </w:r>
            <w:r>
              <w:rPr>
                <w:rFonts w:hint="eastAsia" w:ascii="Times New Roman" w:hAnsi="Times New Roman" w:eastAsia="宋体" w:cs="Times New Roman"/>
                <w:color w:val="auto"/>
                <w:kern w:val="0"/>
                <w:sz w:val="24"/>
                <w:szCs w:val="24"/>
                <w:lang w:val="en-US" w:eastAsia="zh-CN"/>
              </w:rPr>
              <w:t>城市生活污泥</w:t>
            </w:r>
            <w:r>
              <w:rPr>
                <w:rFonts w:hint="default" w:ascii="Times New Roman" w:hAnsi="Times New Roman" w:eastAsia="宋体" w:cs="Times New Roman"/>
                <w:color w:val="auto"/>
                <w:kern w:val="0"/>
                <w:sz w:val="24"/>
                <w:szCs w:val="24"/>
                <w:lang w:val="en-US" w:eastAsia="zh-CN"/>
              </w:rPr>
              <w:t>由</w:t>
            </w:r>
            <w:r>
              <w:rPr>
                <w:rFonts w:hint="eastAsia" w:ascii="Times New Roman" w:hAnsi="Times New Roman" w:eastAsia="宋体" w:cs="Times New Roman"/>
                <w:color w:val="auto"/>
                <w:kern w:val="0"/>
                <w:sz w:val="24"/>
                <w:szCs w:val="24"/>
                <w:lang w:val="en-US" w:eastAsia="zh-CN"/>
              </w:rPr>
              <w:t>对应城市污水处理厂采用</w:t>
            </w:r>
            <w:r>
              <w:rPr>
                <w:rFonts w:hint="default" w:ascii="Times New Roman" w:hAnsi="Times New Roman" w:eastAsia="宋体" w:cs="Times New Roman"/>
                <w:color w:val="auto"/>
                <w:kern w:val="0"/>
                <w:sz w:val="24"/>
                <w:szCs w:val="24"/>
                <w:lang w:val="en-US" w:eastAsia="zh-CN"/>
              </w:rPr>
              <w:t>专用密闭罐车运送至</w:t>
            </w:r>
            <w:r>
              <w:rPr>
                <w:rFonts w:hint="eastAsia" w:ascii="Times New Roman" w:hAnsi="Times New Roman" w:eastAsia="宋体" w:cs="Times New Roman"/>
                <w:color w:val="auto"/>
                <w:kern w:val="0"/>
                <w:sz w:val="24"/>
                <w:szCs w:val="24"/>
                <w:lang w:val="en-US" w:eastAsia="zh-CN"/>
              </w:rPr>
              <w:t>本</w:t>
            </w:r>
            <w:r>
              <w:rPr>
                <w:rFonts w:hint="default" w:ascii="Times New Roman" w:hAnsi="Times New Roman" w:eastAsia="宋体" w:cs="Times New Roman"/>
                <w:color w:val="auto"/>
                <w:kern w:val="0"/>
                <w:sz w:val="24"/>
                <w:szCs w:val="24"/>
                <w:lang w:val="en-US" w:eastAsia="zh-CN"/>
              </w:rPr>
              <w:t>厂区内</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项目</w:t>
            </w:r>
            <w:r>
              <w:rPr>
                <w:rFonts w:hint="eastAsia" w:ascii="Times New Roman" w:hAnsi="Times New Roman" w:eastAsia="宋体" w:cs="Times New Roman"/>
                <w:color w:val="auto"/>
                <w:kern w:val="0"/>
                <w:sz w:val="24"/>
                <w:szCs w:val="24"/>
                <w:lang w:val="en-US" w:eastAsia="zh-CN"/>
              </w:rPr>
              <w:t>设备清洗废水与污泥压滤废水由建设单位采用专用罐车运至重庆铜梁城区污水处理厂处理达标后排放；脱水后干污泥由建设单位采用专用密闭车运输至华新盐井水泥，运输方式均</w:t>
            </w:r>
            <w:r>
              <w:rPr>
                <w:rFonts w:hint="default" w:ascii="Times New Roman" w:hAnsi="Times New Roman" w:eastAsia="宋体" w:cs="Times New Roman"/>
                <w:color w:val="auto"/>
                <w:kern w:val="0"/>
                <w:sz w:val="24"/>
                <w:szCs w:val="24"/>
                <w:lang w:val="en-US" w:eastAsia="zh-CN"/>
              </w:rPr>
              <w:t>采用公路运输。</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污泥专用密闭罐车由电液控制系统控制后仓门开启和锁紧密封，并具备自卸功能</w:t>
            </w:r>
            <w:r>
              <w:rPr>
                <w:rFonts w:hint="eastAsia" w:ascii="Times New Roman" w:hAnsi="Times New Roman" w:eastAsia="宋体" w:cs="Times New Roman"/>
                <w:color w:val="auto"/>
                <w:kern w:val="0"/>
                <w:sz w:val="24"/>
                <w:szCs w:val="24"/>
                <w:lang w:val="en-US" w:eastAsia="zh-CN"/>
              </w:rPr>
              <w:t>；污泥专用密闭车及专用罐车均为密闭运输，</w:t>
            </w:r>
            <w:r>
              <w:rPr>
                <w:rFonts w:hint="default" w:ascii="Times New Roman" w:hAnsi="Times New Roman" w:eastAsia="宋体" w:cs="Times New Roman"/>
                <w:color w:val="auto"/>
                <w:kern w:val="0"/>
                <w:sz w:val="24"/>
                <w:szCs w:val="24"/>
                <w:lang w:val="en-US" w:eastAsia="zh-CN"/>
              </w:rPr>
              <w:t>运输过程中污泥</w:t>
            </w:r>
            <w:r>
              <w:rPr>
                <w:rFonts w:hint="eastAsia" w:ascii="Times New Roman" w:hAnsi="Times New Roman" w:eastAsia="宋体" w:cs="Times New Roman"/>
                <w:color w:val="auto"/>
                <w:kern w:val="0"/>
                <w:sz w:val="24"/>
                <w:szCs w:val="24"/>
                <w:lang w:val="en-US" w:eastAsia="zh-CN"/>
              </w:rPr>
              <w:t>及废水均</w:t>
            </w:r>
            <w:r>
              <w:rPr>
                <w:rFonts w:hint="default" w:ascii="Times New Roman" w:hAnsi="Times New Roman" w:eastAsia="宋体" w:cs="Times New Roman"/>
                <w:color w:val="auto"/>
                <w:kern w:val="0"/>
                <w:sz w:val="24"/>
                <w:szCs w:val="24"/>
                <w:lang w:val="en-US" w:eastAsia="zh-CN"/>
              </w:rPr>
              <w:t>装载在密闭</w:t>
            </w:r>
            <w:r>
              <w:rPr>
                <w:rFonts w:hint="eastAsia" w:ascii="Times New Roman" w:hAnsi="Times New Roman" w:eastAsia="宋体" w:cs="Times New Roman"/>
                <w:color w:val="auto"/>
                <w:kern w:val="0"/>
                <w:sz w:val="24"/>
                <w:szCs w:val="24"/>
                <w:lang w:val="en-US" w:eastAsia="zh-CN"/>
              </w:rPr>
              <w:t>容器</w:t>
            </w:r>
            <w:r>
              <w:rPr>
                <w:rFonts w:hint="default" w:ascii="Times New Roman" w:hAnsi="Times New Roman" w:eastAsia="宋体" w:cs="Times New Roman"/>
                <w:color w:val="auto"/>
                <w:kern w:val="0"/>
                <w:sz w:val="24"/>
                <w:szCs w:val="24"/>
                <w:lang w:val="en-US" w:eastAsia="zh-CN"/>
              </w:rPr>
              <w:t>中，不会在运输过程中造成泄露、渗漏和抛洒，同时确保运输过程中不会产生异味。</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val="en-US" w:eastAsia="zh-CN"/>
              </w:rPr>
              <w:t>运输路线</w:t>
            </w:r>
            <w:r>
              <w:rPr>
                <w:rFonts w:hint="eastAsia" w:ascii="Times New Roman" w:hAnsi="Times New Roman" w:eastAsia="宋体" w:cs="Times New Roman"/>
                <w:color w:val="auto"/>
                <w:kern w:val="0"/>
                <w:sz w:val="24"/>
                <w:szCs w:val="24"/>
                <w:lang w:val="en-US" w:eastAsia="zh-CN"/>
              </w:rPr>
              <w:t>及防治措施</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本项目</w:t>
            </w:r>
            <w:r>
              <w:rPr>
                <w:rFonts w:hint="eastAsia" w:ascii="Times New Roman" w:hAnsi="Times New Roman" w:eastAsia="宋体" w:cs="Times New Roman"/>
                <w:color w:val="auto"/>
                <w:kern w:val="0"/>
                <w:sz w:val="24"/>
                <w:szCs w:val="24"/>
                <w:lang w:val="en-US" w:eastAsia="zh-CN"/>
              </w:rPr>
              <w:t>服务范围</w:t>
            </w:r>
            <w:r>
              <w:rPr>
                <w:rFonts w:hint="default" w:ascii="Times New Roman" w:hAnsi="Times New Roman" w:eastAsia="宋体" w:cs="Times New Roman"/>
                <w:color w:val="auto"/>
                <w:kern w:val="0"/>
                <w:sz w:val="24"/>
                <w:szCs w:val="24"/>
                <w:lang w:val="en-US" w:eastAsia="zh-CN"/>
              </w:rPr>
              <w:t>主要分布在</w:t>
            </w:r>
            <w:r>
              <w:rPr>
                <w:rFonts w:hint="eastAsia" w:ascii="Times New Roman" w:hAnsi="Times New Roman" w:eastAsia="宋体" w:cs="Times New Roman"/>
                <w:color w:val="auto"/>
                <w:kern w:val="0"/>
                <w:sz w:val="24"/>
                <w:szCs w:val="24"/>
                <w:lang w:val="en-US" w:eastAsia="zh-CN"/>
              </w:rPr>
              <w:t>铜梁区范围内</w:t>
            </w:r>
            <w:r>
              <w:rPr>
                <w:rFonts w:hint="default" w:ascii="Times New Roman" w:hAnsi="Times New Roman" w:eastAsia="宋体" w:cs="Times New Roman"/>
                <w:color w:val="auto"/>
                <w:kern w:val="0"/>
                <w:sz w:val="24"/>
                <w:szCs w:val="24"/>
                <w:lang w:val="en-US" w:eastAsia="zh-CN"/>
              </w:rPr>
              <w:t>，</w:t>
            </w:r>
            <w:r>
              <w:rPr>
                <w:rFonts w:ascii="Times New Roman" w:hAnsi="Times New Roman" w:eastAsia="宋体" w:cs="Times New Roman"/>
                <w:color w:val="auto"/>
                <w:kern w:val="0"/>
                <w:sz w:val="24"/>
                <w:szCs w:val="24"/>
              </w:rPr>
              <w:t>项目</w:t>
            </w:r>
            <w:r>
              <w:rPr>
                <w:rFonts w:hint="eastAsia" w:ascii="Times New Roman" w:hAnsi="Times New Roman" w:eastAsia="宋体" w:cs="Times New Roman"/>
                <w:color w:val="auto"/>
                <w:kern w:val="0"/>
                <w:sz w:val="24"/>
                <w:szCs w:val="24"/>
                <w:lang w:eastAsia="zh-CN"/>
              </w:rPr>
              <w:t>湿污泥进厂主要</w:t>
            </w:r>
            <w:r>
              <w:rPr>
                <w:rFonts w:ascii="Times New Roman" w:hAnsi="Times New Roman" w:eastAsia="宋体" w:cs="Times New Roman"/>
                <w:color w:val="auto"/>
                <w:kern w:val="0"/>
                <w:sz w:val="24"/>
                <w:szCs w:val="24"/>
              </w:rPr>
              <w:t>运输路线</w:t>
            </w:r>
            <w:r>
              <w:rPr>
                <w:rFonts w:hint="eastAsia" w:ascii="Times New Roman" w:hAnsi="Times New Roman" w:eastAsia="宋体" w:cs="Times New Roman"/>
                <w:color w:val="auto"/>
                <w:kern w:val="0"/>
                <w:sz w:val="24"/>
                <w:szCs w:val="24"/>
                <w:lang w:eastAsia="zh-CN"/>
              </w:rPr>
              <w:t>为广泸高速、铜沿路、永新路等。</w:t>
            </w:r>
            <w:r>
              <w:rPr>
                <w:rFonts w:hint="eastAsia" w:ascii="Times New Roman" w:hAnsi="Times New Roman" w:eastAsia="宋体" w:cs="Times New Roman"/>
                <w:color w:val="auto"/>
                <w:kern w:val="0"/>
                <w:sz w:val="24"/>
                <w:szCs w:val="24"/>
                <w:lang w:val="en-US" w:eastAsia="zh-CN"/>
              </w:rPr>
              <w:t>脱水后干污泥由建设单位采用专用密闭车负责运输至华新盐井水泥，运输路线包括</w:t>
            </w:r>
            <w:r>
              <w:rPr>
                <w:rFonts w:hint="eastAsia" w:ascii="Times New Roman" w:hAnsi="Times New Roman" w:eastAsia="宋体" w:cs="Times New Roman"/>
                <w:color w:val="auto"/>
                <w:kern w:val="0"/>
                <w:sz w:val="24"/>
                <w:szCs w:val="24"/>
                <w:lang w:eastAsia="zh-CN"/>
              </w:rPr>
              <w:t>永新路</w:t>
            </w:r>
            <w:r>
              <w:rPr>
                <w:rFonts w:hint="eastAsia" w:ascii="Times New Roman" w:hAnsi="Times New Roman" w:eastAsia="宋体" w:cs="Times New Roman"/>
                <w:color w:val="auto"/>
                <w:kern w:val="0"/>
                <w:sz w:val="24"/>
                <w:szCs w:val="24"/>
                <w:lang w:val="en-US" w:eastAsia="zh-CN"/>
              </w:rPr>
              <w:t>—铜安高速—三环高速—兰海高速—盐草路，总运输距离约50km。设备清洗废水、除臭系统废水及污泥压滤废水经2个污水池收集后每日通过专用罐车运至重庆铜梁城区污水处理厂处理，运输路线包括</w:t>
            </w:r>
            <w:r>
              <w:rPr>
                <w:rFonts w:hint="eastAsia" w:ascii="Times New Roman" w:hAnsi="Times New Roman" w:eastAsia="宋体" w:cs="Times New Roman"/>
                <w:color w:val="auto"/>
                <w:kern w:val="0"/>
                <w:sz w:val="24"/>
                <w:szCs w:val="24"/>
                <w:lang w:eastAsia="zh-CN"/>
              </w:rPr>
              <w:t>永新路</w:t>
            </w:r>
            <w:r>
              <w:rPr>
                <w:rFonts w:hint="eastAsia" w:ascii="Times New Roman" w:hAnsi="Times New Roman" w:eastAsia="宋体" w:cs="Times New Roman"/>
                <w:color w:val="auto"/>
                <w:kern w:val="0"/>
                <w:sz w:val="24"/>
                <w:szCs w:val="24"/>
                <w:lang w:val="en-US" w:eastAsia="zh-CN"/>
              </w:rPr>
              <w:t>—铜安高速—三环高速—厦成线—乡村道路，总运输距离约23km。</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运输</w:t>
            </w:r>
            <w:r>
              <w:rPr>
                <w:rFonts w:hint="eastAsia" w:ascii="Times New Roman" w:hAnsi="Times New Roman" w:eastAsia="宋体" w:cs="Times New Roman"/>
                <w:color w:val="auto"/>
                <w:kern w:val="0"/>
                <w:sz w:val="24"/>
                <w:szCs w:val="24"/>
                <w:lang w:val="en-US" w:eastAsia="zh-CN"/>
              </w:rPr>
              <w:t>路线</w:t>
            </w:r>
            <w:r>
              <w:rPr>
                <w:rFonts w:hint="default" w:ascii="Times New Roman" w:hAnsi="Times New Roman" w:eastAsia="宋体" w:cs="Times New Roman"/>
                <w:color w:val="auto"/>
                <w:kern w:val="0"/>
                <w:sz w:val="24"/>
                <w:szCs w:val="24"/>
                <w:lang w:val="en-US" w:eastAsia="zh-CN"/>
              </w:rPr>
              <w:t>应尽量避开人员密集区、水源保护区，尽可能选择高速公路、国道或省道，力求线路简短，避开交通拥堵道路，车速适中，并选用路线短、对沿路影响小的运输路线，尽可能减少经过河流水系的次数，避免在运途中产生二次污染。</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3、运输环境影响分析</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污泥</w:t>
            </w:r>
            <w:r>
              <w:rPr>
                <w:rFonts w:hint="eastAsia" w:ascii="Times New Roman" w:hAnsi="Times New Roman" w:eastAsia="宋体" w:cs="Times New Roman"/>
                <w:color w:val="auto"/>
                <w:kern w:val="0"/>
                <w:sz w:val="24"/>
                <w:szCs w:val="24"/>
                <w:lang w:val="en-US" w:eastAsia="zh-CN"/>
              </w:rPr>
              <w:t>及废水运输过程主要会产生少量的臭味及噪声，</w:t>
            </w:r>
            <w:r>
              <w:rPr>
                <w:rFonts w:hint="default" w:ascii="Times New Roman" w:hAnsi="Times New Roman" w:eastAsia="宋体" w:cs="Times New Roman"/>
                <w:color w:val="auto"/>
                <w:kern w:val="0"/>
                <w:sz w:val="24"/>
                <w:szCs w:val="24"/>
                <w:lang w:val="en-US" w:eastAsia="zh-CN"/>
              </w:rPr>
              <w:t>由于运输</w:t>
            </w:r>
            <w:r>
              <w:rPr>
                <w:rFonts w:hint="eastAsia" w:ascii="Times New Roman" w:hAnsi="Times New Roman" w:eastAsia="宋体" w:cs="Times New Roman"/>
                <w:color w:val="auto"/>
                <w:kern w:val="0"/>
                <w:sz w:val="24"/>
                <w:szCs w:val="24"/>
                <w:lang w:val="en-US" w:eastAsia="zh-CN"/>
              </w:rPr>
              <w:t>路线已尽量避开</w:t>
            </w:r>
            <w:r>
              <w:rPr>
                <w:rFonts w:hint="default" w:ascii="Times New Roman" w:hAnsi="Times New Roman" w:eastAsia="宋体" w:cs="Times New Roman"/>
                <w:color w:val="auto"/>
                <w:kern w:val="0"/>
                <w:sz w:val="24"/>
                <w:szCs w:val="24"/>
                <w:lang w:val="en-US" w:eastAsia="zh-CN"/>
              </w:rPr>
              <w:t>人员密集区、水源保护区</w:t>
            </w:r>
            <w:r>
              <w:rPr>
                <w:rFonts w:hint="eastAsia" w:ascii="Times New Roman" w:hAnsi="Times New Roman" w:eastAsia="宋体" w:cs="Times New Roman"/>
                <w:color w:val="auto"/>
                <w:kern w:val="0"/>
                <w:sz w:val="24"/>
                <w:szCs w:val="24"/>
                <w:lang w:val="en-US" w:eastAsia="zh-CN"/>
              </w:rPr>
              <w:t>等敏感区，且</w:t>
            </w:r>
            <w:r>
              <w:rPr>
                <w:rFonts w:hint="default" w:ascii="Times New Roman" w:hAnsi="Times New Roman" w:eastAsia="宋体" w:cs="Times New Roman"/>
                <w:color w:val="auto"/>
                <w:kern w:val="0"/>
                <w:sz w:val="24"/>
                <w:szCs w:val="24"/>
                <w:lang w:val="en-US" w:eastAsia="zh-CN"/>
              </w:rPr>
              <w:t>污泥</w:t>
            </w:r>
            <w:r>
              <w:rPr>
                <w:rFonts w:hint="eastAsia" w:ascii="Times New Roman" w:hAnsi="Times New Roman" w:eastAsia="宋体" w:cs="Times New Roman"/>
                <w:color w:val="auto"/>
                <w:kern w:val="0"/>
                <w:sz w:val="24"/>
                <w:szCs w:val="24"/>
                <w:lang w:val="en-US" w:eastAsia="zh-CN"/>
              </w:rPr>
              <w:t>及废水</w:t>
            </w:r>
            <w:r>
              <w:rPr>
                <w:rFonts w:hint="default" w:ascii="Times New Roman" w:hAnsi="Times New Roman" w:eastAsia="宋体" w:cs="Times New Roman"/>
                <w:color w:val="auto"/>
                <w:kern w:val="0"/>
                <w:sz w:val="24"/>
                <w:szCs w:val="24"/>
                <w:lang w:val="en-US" w:eastAsia="zh-CN"/>
              </w:rPr>
              <w:t>运输过程</w:t>
            </w:r>
            <w:r>
              <w:rPr>
                <w:rFonts w:hint="eastAsia" w:ascii="Times New Roman" w:hAnsi="Times New Roman" w:eastAsia="宋体" w:cs="Times New Roman"/>
                <w:color w:val="auto"/>
                <w:kern w:val="0"/>
                <w:sz w:val="24"/>
                <w:szCs w:val="24"/>
                <w:lang w:val="en-US" w:eastAsia="zh-CN"/>
              </w:rPr>
              <w:t>均</w:t>
            </w:r>
            <w:r>
              <w:rPr>
                <w:rFonts w:hint="default" w:ascii="Times New Roman" w:hAnsi="Times New Roman" w:eastAsia="宋体" w:cs="Times New Roman"/>
                <w:color w:val="auto"/>
                <w:kern w:val="0"/>
                <w:sz w:val="24"/>
                <w:szCs w:val="24"/>
                <w:lang w:val="en-US" w:eastAsia="zh-CN"/>
              </w:rPr>
              <w:t>为密闭方式，</w:t>
            </w:r>
            <w:r>
              <w:rPr>
                <w:rFonts w:hint="eastAsia" w:ascii="Times New Roman" w:hAnsi="Times New Roman" w:eastAsia="宋体" w:cs="Times New Roman"/>
                <w:color w:val="auto"/>
                <w:kern w:val="0"/>
                <w:sz w:val="24"/>
                <w:szCs w:val="24"/>
                <w:lang w:val="en-US" w:eastAsia="zh-CN"/>
              </w:rPr>
              <w:t>通过喷洒除臭剂进一步降低臭气，</w:t>
            </w:r>
            <w:r>
              <w:rPr>
                <w:rFonts w:hint="default" w:ascii="Times New Roman" w:hAnsi="Times New Roman" w:eastAsia="宋体" w:cs="Times New Roman"/>
                <w:color w:val="auto"/>
                <w:kern w:val="0"/>
                <w:sz w:val="24"/>
                <w:szCs w:val="24"/>
                <w:lang w:val="en-US" w:eastAsia="zh-CN"/>
              </w:rPr>
              <w:t>优化车辆运输路线和运输时间</w:t>
            </w:r>
            <w:r>
              <w:rPr>
                <w:rFonts w:hint="eastAsia" w:ascii="Times New Roman" w:hAnsi="Times New Roman" w:eastAsia="宋体" w:cs="Times New Roman"/>
                <w:color w:val="auto"/>
                <w:kern w:val="0"/>
                <w:sz w:val="24"/>
                <w:szCs w:val="24"/>
                <w:lang w:val="en-US" w:eastAsia="zh-CN"/>
              </w:rPr>
              <w:t>，尽量减少运输臭气及噪声对沿线居民等环境保护目标的影响，采取以上措施后项目</w:t>
            </w:r>
            <w:r>
              <w:rPr>
                <w:rFonts w:hint="default" w:ascii="Times New Roman" w:hAnsi="Times New Roman" w:eastAsia="宋体" w:cs="Times New Roman"/>
                <w:color w:val="auto"/>
                <w:kern w:val="0"/>
                <w:sz w:val="24"/>
                <w:szCs w:val="24"/>
                <w:lang w:val="en-US" w:eastAsia="zh-CN"/>
              </w:rPr>
              <w:t>污泥</w:t>
            </w:r>
            <w:r>
              <w:rPr>
                <w:rFonts w:hint="eastAsia" w:ascii="Times New Roman" w:hAnsi="Times New Roman" w:eastAsia="宋体" w:cs="Times New Roman"/>
                <w:color w:val="auto"/>
                <w:kern w:val="0"/>
                <w:sz w:val="24"/>
                <w:szCs w:val="24"/>
                <w:lang w:val="en-US" w:eastAsia="zh-CN"/>
              </w:rPr>
              <w:t>及废水运输</w:t>
            </w:r>
            <w:r>
              <w:rPr>
                <w:rFonts w:hint="default" w:ascii="Times New Roman" w:hAnsi="Times New Roman" w:eastAsia="宋体" w:cs="Times New Roman"/>
                <w:color w:val="auto"/>
                <w:kern w:val="0"/>
                <w:sz w:val="24"/>
                <w:szCs w:val="24"/>
                <w:lang w:val="en-US" w:eastAsia="zh-CN"/>
              </w:rPr>
              <w:t>对运输</w:t>
            </w:r>
            <w:r>
              <w:rPr>
                <w:rFonts w:hint="eastAsia" w:ascii="Times New Roman" w:hAnsi="Times New Roman" w:eastAsia="宋体" w:cs="Times New Roman"/>
                <w:color w:val="auto"/>
                <w:kern w:val="0"/>
                <w:sz w:val="24"/>
                <w:szCs w:val="24"/>
                <w:lang w:val="en-US" w:eastAsia="zh-CN"/>
              </w:rPr>
              <w:t>沿线居民</w:t>
            </w:r>
            <w:r>
              <w:rPr>
                <w:rFonts w:hint="default" w:ascii="Times New Roman" w:hAnsi="Times New Roman" w:eastAsia="宋体" w:cs="Times New Roman"/>
                <w:color w:val="auto"/>
                <w:kern w:val="0"/>
                <w:sz w:val="24"/>
                <w:szCs w:val="24"/>
                <w:lang w:val="en-US" w:eastAsia="zh-CN"/>
              </w:rPr>
              <w:t>及周边</w:t>
            </w:r>
            <w:r>
              <w:rPr>
                <w:rFonts w:hint="eastAsia" w:ascii="Times New Roman" w:hAnsi="Times New Roman" w:eastAsia="宋体" w:cs="Times New Roman"/>
                <w:color w:val="auto"/>
                <w:kern w:val="0"/>
                <w:sz w:val="24"/>
                <w:szCs w:val="24"/>
                <w:lang w:val="en-US" w:eastAsia="zh-CN"/>
              </w:rPr>
              <w:t>环境</w:t>
            </w:r>
            <w:r>
              <w:rPr>
                <w:rFonts w:hint="default" w:ascii="Times New Roman" w:hAnsi="Times New Roman" w:eastAsia="宋体" w:cs="Times New Roman"/>
                <w:color w:val="auto"/>
                <w:kern w:val="0"/>
                <w:sz w:val="24"/>
                <w:szCs w:val="24"/>
                <w:lang w:val="en-US" w:eastAsia="zh-CN"/>
              </w:rPr>
              <w:t>影响</w:t>
            </w:r>
            <w:r>
              <w:rPr>
                <w:rFonts w:hint="eastAsia" w:ascii="Times New Roman" w:hAnsi="Times New Roman" w:eastAsia="宋体" w:cs="Times New Roman"/>
                <w:color w:val="auto"/>
                <w:kern w:val="0"/>
                <w:sz w:val="24"/>
                <w:szCs w:val="24"/>
                <w:lang w:val="en-US" w:eastAsia="zh-CN"/>
              </w:rPr>
              <w:t>较小</w:t>
            </w:r>
            <w:r>
              <w:rPr>
                <w:rFonts w:hint="default" w:ascii="Times New Roman" w:hAnsi="Times New Roman" w:eastAsia="宋体" w:cs="Times New Roman"/>
                <w:color w:val="auto"/>
                <w:kern w:val="0"/>
                <w:sz w:val="24"/>
                <w:szCs w:val="24"/>
                <w:lang w:val="en-US" w:eastAsia="zh-CN"/>
              </w:rPr>
              <w:t>。</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为了防止</w:t>
            </w:r>
            <w:r>
              <w:rPr>
                <w:rFonts w:hint="default" w:ascii="Times New Roman" w:hAnsi="Times New Roman" w:eastAsia="宋体" w:cs="Times New Roman"/>
                <w:color w:val="auto"/>
                <w:kern w:val="0"/>
                <w:sz w:val="24"/>
                <w:szCs w:val="24"/>
                <w:lang w:val="en-US" w:eastAsia="zh-CN"/>
              </w:rPr>
              <w:t>污泥</w:t>
            </w:r>
            <w:r>
              <w:rPr>
                <w:rFonts w:hint="eastAsia" w:ascii="Times New Roman" w:hAnsi="Times New Roman" w:eastAsia="宋体" w:cs="Times New Roman"/>
                <w:color w:val="auto"/>
                <w:kern w:val="0"/>
                <w:sz w:val="24"/>
                <w:szCs w:val="24"/>
                <w:lang w:val="en-US" w:eastAsia="zh-CN"/>
              </w:rPr>
              <w:t>及废水运输过程出现突发环境风险事故，评价要求建设单位</w:t>
            </w:r>
            <w:r>
              <w:rPr>
                <w:rFonts w:hint="default" w:ascii="Times New Roman" w:hAnsi="Times New Roman" w:eastAsia="宋体" w:cs="Times New Roman"/>
                <w:color w:val="auto"/>
                <w:kern w:val="0"/>
                <w:sz w:val="24"/>
                <w:szCs w:val="24"/>
                <w:lang w:val="en-US" w:eastAsia="zh-CN"/>
              </w:rPr>
              <w:t>运输时需配备专职人员，</w:t>
            </w:r>
            <w:r>
              <w:rPr>
                <w:rFonts w:hint="eastAsia" w:ascii="Times New Roman" w:hAnsi="Times New Roman" w:eastAsia="宋体" w:cs="Times New Roman"/>
                <w:color w:val="auto"/>
                <w:kern w:val="0"/>
                <w:sz w:val="24"/>
                <w:szCs w:val="24"/>
                <w:lang w:val="en-US" w:eastAsia="zh-CN"/>
              </w:rPr>
              <w:t>配备相应的收集容器及应急物资，</w:t>
            </w:r>
            <w:r>
              <w:rPr>
                <w:rFonts w:hint="default" w:ascii="Times New Roman" w:hAnsi="Times New Roman" w:eastAsia="宋体" w:cs="Times New Roman"/>
                <w:color w:val="auto"/>
                <w:kern w:val="0"/>
                <w:sz w:val="24"/>
                <w:szCs w:val="24"/>
                <w:lang w:val="en-US" w:eastAsia="zh-CN"/>
              </w:rPr>
              <w:t>制定合理的运输计划和应急预案，统筹安排运输车辆。</w:t>
            </w:r>
          </w:p>
          <w:p>
            <w:pPr>
              <w:spacing w:line="440" w:lineRule="exact"/>
              <w:outlineLvl w:val="1"/>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 xml:space="preserve">2.2.7 </w:t>
            </w:r>
            <w:r>
              <w:rPr>
                <w:rFonts w:ascii="Times New Roman" w:hAnsi="Times New Roman" w:eastAsia="宋体" w:cs="Times New Roman"/>
                <w:b/>
                <w:bCs/>
                <w:sz w:val="24"/>
                <w:szCs w:val="24"/>
              </w:rPr>
              <w:t>物料平衡</w:t>
            </w:r>
            <w:r>
              <w:rPr>
                <w:rFonts w:hint="eastAsia" w:ascii="Times New Roman" w:hAnsi="Times New Roman" w:eastAsia="宋体" w:cs="Times New Roman"/>
                <w:b/>
                <w:bCs/>
                <w:sz w:val="24"/>
                <w:szCs w:val="24"/>
              </w:rPr>
              <w:t>分析</w:t>
            </w:r>
          </w:p>
          <w:p>
            <w:pPr>
              <w:pStyle w:val="29"/>
              <w:spacing w:line="360" w:lineRule="auto"/>
              <w:ind w:firstLine="482" w:firstLineChars="200"/>
              <w:rPr>
                <w:rFonts w:ascii="Times New Roman" w:cs="Times New Roman"/>
                <w:b/>
                <w:color w:val="auto"/>
              </w:rPr>
            </w:pPr>
            <w:r>
              <w:rPr>
                <w:rFonts w:hint="eastAsia" w:ascii="Times New Roman" w:cs="Times New Roman"/>
                <w:b/>
                <w:color w:val="auto"/>
              </w:rPr>
              <w:t>（1）物料</w:t>
            </w:r>
            <w:r>
              <w:rPr>
                <w:rFonts w:ascii="Times New Roman" w:cs="Times New Roman"/>
                <w:b/>
                <w:color w:val="auto"/>
              </w:rPr>
              <w:t>平衡</w:t>
            </w:r>
          </w:p>
          <w:p>
            <w:pPr>
              <w:pStyle w:val="29"/>
              <w:spacing w:line="360" w:lineRule="auto"/>
              <w:ind w:firstLine="480" w:firstLineChars="200"/>
              <w:rPr>
                <w:rFonts w:ascii="Times New Roman" w:cs="Times New Roman"/>
                <w:color w:val="auto"/>
                <w:sz w:val="24"/>
                <w:szCs w:val="24"/>
              </w:rPr>
            </w:pPr>
            <w:r>
              <w:rPr>
                <w:rFonts w:hint="eastAsia" w:ascii="Times New Roman" w:hAnsi="Times New Roman" w:eastAsia="宋体" w:cs="Times New Roman"/>
                <w:color w:val="auto"/>
                <w:kern w:val="0"/>
                <w:sz w:val="24"/>
                <w:szCs w:val="24"/>
                <w:lang w:val="en-US" w:eastAsia="zh-CN"/>
              </w:rPr>
              <w:t>全厂</w:t>
            </w:r>
            <w:r>
              <w:rPr>
                <w:rFonts w:ascii="Times New Roman" w:cs="Times New Roman"/>
                <w:color w:val="auto"/>
              </w:rPr>
              <w:t>物料</w:t>
            </w:r>
            <w:r>
              <w:rPr>
                <w:rFonts w:hint="eastAsia" w:ascii="Times New Roman" w:cs="Times New Roman"/>
                <w:color w:val="auto"/>
              </w:rPr>
              <w:t>平衡</w:t>
            </w:r>
            <w:r>
              <w:rPr>
                <w:rFonts w:ascii="Times New Roman" w:cs="Times New Roman"/>
                <w:color w:val="auto"/>
              </w:rPr>
              <w:t>见</w:t>
            </w:r>
            <w:r>
              <w:rPr>
                <w:rFonts w:hint="eastAsia" w:ascii="Times New Roman" w:cs="Times New Roman"/>
                <w:color w:val="auto"/>
              </w:rPr>
              <w:t>下</w:t>
            </w:r>
            <w:r>
              <w:rPr>
                <w:rFonts w:ascii="Times New Roman" w:cs="Times New Roman"/>
                <w:color w:val="auto"/>
              </w:rPr>
              <w:t>表2</w:t>
            </w:r>
            <w:r>
              <w:rPr>
                <w:rFonts w:hint="eastAsia" w:ascii="Times New Roman" w:cs="Times New Roman"/>
                <w:color w:val="auto"/>
                <w:lang w:val="en-US" w:eastAsia="zh-CN"/>
              </w:rPr>
              <w:t>.2</w:t>
            </w:r>
            <w:r>
              <w:rPr>
                <w:rFonts w:ascii="Times New Roman" w:cs="Times New Roman"/>
                <w:color w:val="auto"/>
              </w:rPr>
              <w:t>-</w:t>
            </w:r>
            <w:r>
              <w:rPr>
                <w:rFonts w:hint="eastAsia" w:ascii="Times New Roman" w:cs="Times New Roman"/>
                <w:color w:val="auto"/>
                <w:lang w:val="en-US" w:eastAsia="zh-CN"/>
              </w:rPr>
              <w:t>11及图2.2.1</w:t>
            </w:r>
            <w:r>
              <w:rPr>
                <w:rFonts w:hint="eastAsia" w:ascii="Times New Roman" w:cs="Times New Roman"/>
                <w:color w:val="auto"/>
              </w:rPr>
              <w:t>所</w:t>
            </w:r>
            <w:r>
              <w:rPr>
                <w:rFonts w:hint="eastAsia" w:ascii="Times New Roman" w:cs="Times New Roman"/>
                <w:color w:val="auto"/>
                <w:sz w:val="24"/>
                <w:szCs w:val="24"/>
              </w:rPr>
              <w:t>示</w:t>
            </w:r>
            <w:r>
              <w:rPr>
                <w:rFonts w:ascii="Times New Roman" w:cs="Times New Roman"/>
                <w:color w:val="auto"/>
                <w:sz w:val="24"/>
                <w:szCs w:val="24"/>
              </w:rPr>
              <w:t>。</w:t>
            </w:r>
          </w:p>
          <w:p>
            <w:pPr>
              <w:pStyle w:val="29"/>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表2</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11</w:t>
            </w:r>
            <w:r>
              <w:rPr>
                <w:rFonts w:hint="default" w:ascii="Times New Roman" w:hAnsi="Times New Roman" w:eastAsia="宋体" w:cs="Times New Roman"/>
                <w:b/>
                <w:color w:val="auto"/>
                <w:sz w:val="24"/>
                <w:szCs w:val="24"/>
                <w:lang w:val="en-US" w:eastAsia="zh-CN"/>
              </w:rPr>
              <w:t xml:space="preserve"> </w:t>
            </w:r>
            <w:r>
              <w:rPr>
                <w:rFonts w:hint="eastAsia" w:ascii="Times New Roman" w:hAnsi="Times New Roman" w:eastAsia="宋体" w:cs="Times New Roman"/>
                <w:b/>
                <w:color w:val="auto"/>
                <w:sz w:val="24"/>
                <w:szCs w:val="24"/>
                <w:lang w:eastAsia="zh-CN"/>
              </w:rPr>
              <w:t>本项目</w:t>
            </w:r>
            <w:r>
              <w:rPr>
                <w:rFonts w:hint="eastAsia" w:ascii="Times New Roman" w:hAnsi="Times New Roman" w:eastAsia="宋体" w:cs="Times New Roman"/>
                <w:b/>
                <w:color w:val="auto"/>
                <w:sz w:val="24"/>
                <w:szCs w:val="24"/>
                <w:lang w:val="en-US" w:eastAsia="zh-CN"/>
              </w:rPr>
              <w:t>全</w:t>
            </w:r>
            <w:r>
              <w:rPr>
                <w:rFonts w:hint="default" w:ascii="Times New Roman" w:hAnsi="Times New Roman" w:eastAsia="宋体" w:cs="Times New Roman"/>
                <w:b/>
                <w:color w:val="auto"/>
                <w:sz w:val="24"/>
                <w:szCs w:val="24"/>
                <w:lang w:val="en-US" w:eastAsia="zh-CN"/>
              </w:rPr>
              <w:t>厂</w:t>
            </w:r>
            <w:r>
              <w:rPr>
                <w:rFonts w:hint="default" w:ascii="Times New Roman" w:hAnsi="Times New Roman" w:eastAsia="宋体" w:cs="Times New Roman"/>
                <w:b/>
                <w:color w:val="auto"/>
                <w:sz w:val="24"/>
                <w:szCs w:val="24"/>
              </w:rPr>
              <w:t>物料平衡表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5"/>
              <w:gridCol w:w="949"/>
              <w:gridCol w:w="3697"/>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74" w:type="pct"/>
                  <w:gridSpan w:val="2"/>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投入量（t/a）</w:t>
                  </w:r>
                </w:p>
              </w:tc>
              <w:tc>
                <w:tcPr>
                  <w:tcW w:w="3125" w:type="pct"/>
                  <w:gridSpan w:val="2"/>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产出量（t/a）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88" w:type="pct"/>
                  <w:vAlign w:val="center"/>
                </w:tcPr>
                <w:p>
                  <w:pPr>
                    <w:jc w:val="center"/>
                    <w:outlineLvl w:val="1"/>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污泥</w:t>
                  </w:r>
                  <w:r>
                    <w:rPr>
                      <w:rFonts w:hint="eastAsia" w:ascii="Times New Roman" w:hAnsi="Times New Roman" w:eastAsia="宋体" w:cs="Times New Roman"/>
                      <w:color w:val="auto"/>
                      <w:szCs w:val="21"/>
                      <w:lang w:eastAsia="zh-CN"/>
                    </w:rPr>
                    <w:t>（含水率</w:t>
                  </w:r>
                  <w:r>
                    <w:rPr>
                      <w:rFonts w:hint="eastAsia" w:ascii="Times New Roman" w:hAnsi="Times New Roman" w:eastAsia="宋体" w:cs="Times New Roman"/>
                      <w:color w:val="auto"/>
                      <w:szCs w:val="21"/>
                      <w:lang w:val="en-US" w:eastAsia="zh-CN"/>
                    </w:rPr>
                    <w:t>80%</w:t>
                  </w:r>
                  <w:r>
                    <w:rPr>
                      <w:rFonts w:hint="eastAsia" w:ascii="Times New Roman" w:hAnsi="Times New Roman" w:eastAsia="宋体" w:cs="Times New Roman"/>
                      <w:color w:val="auto"/>
                      <w:szCs w:val="21"/>
                      <w:lang w:eastAsia="zh-CN"/>
                    </w:rPr>
                    <w:t>）</w:t>
                  </w:r>
                </w:p>
              </w:tc>
              <w:tc>
                <w:tcPr>
                  <w:tcW w:w="586"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39600</w:t>
                  </w:r>
                </w:p>
              </w:tc>
              <w:tc>
                <w:tcPr>
                  <w:tcW w:w="2284" w:type="pct"/>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干污泥（用于华新盐井水泥利用，</w:t>
                  </w:r>
                  <w:r>
                    <w:rPr>
                      <w:rFonts w:hint="eastAsia" w:ascii="Times New Roman" w:hAnsi="Times New Roman" w:eastAsia="宋体" w:cs="Times New Roman"/>
                      <w:color w:val="auto"/>
                      <w:szCs w:val="21"/>
                      <w:lang w:eastAsia="zh-CN"/>
                    </w:rPr>
                    <w:t>含水率</w:t>
                  </w:r>
                  <w:r>
                    <w:rPr>
                      <w:rFonts w:hint="eastAsia" w:ascii="Times New Roman" w:hAnsi="Times New Roman" w:eastAsia="宋体" w:cs="Times New Roman"/>
                      <w:color w:val="auto"/>
                      <w:szCs w:val="21"/>
                      <w:lang w:val="en-US" w:eastAsia="zh-CN"/>
                    </w:rPr>
                    <w:t>50%</w:t>
                  </w:r>
                  <w:r>
                    <w:rPr>
                      <w:rFonts w:hint="eastAsia" w:ascii="Times New Roman" w:hAnsi="Times New Roman" w:eastAsia="宋体" w:cs="Times New Roman"/>
                      <w:szCs w:val="21"/>
                      <w:lang w:val="en-US" w:eastAsia="zh-CN"/>
                    </w:rPr>
                    <w:t>）</w:t>
                  </w:r>
                </w:p>
              </w:tc>
              <w:tc>
                <w:tcPr>
                  <w:tcW w:w="84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88" w:type="pct"/>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秸秆、木屑和菌包</w:t>
                  </w:r>
                </w:p>
              </w:tc>
              <w:tc>
                <w:tcPr>
                  <w:tcW w:w="586" w:type="pct"/>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2200</w:t>
                  </w:r>
                </w:p>
              </w:tc>
              <w:tc>
                <w:tcPr>
                  <w:tcW w:w="2284" w:type="pct"/>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绿化营养土（包含返混料）</w:t>
                  </w:r>
                </w:p>
              </w:tc>
              <w:tc>
                <w:tcPr>
                  <w:tcW w:w="84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3933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88" w:type="pct"/>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rPr>
                    <w:t>生物发酵菌剂</w:t>
                  </w:r>
                </w:p>
              </w:tc>
              <w:tc>
                <w:tcPr>
                  <w:tcW w:w="586" w:type="pct"/>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2284" w:type="pct"/>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污泥压滤废水</w:t>
                  </w:r>
                </w:p>
              </w:tc>
              <w:tc>
                <w:tcPr>
                  <w:tcW w:w="840"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88" w:type="pct"/>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返混料</w:t>
                  </w:r>
                </w:p>
              </w:tc>
              <w:tc>
                <w:tcPr>
                  <w:tcW w:w="586" w:type="pct"/>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6600</w:t>
                  </w:r>
                </w:p>
              </w:tc>
              <w:tc>
                <w:tcPr>
                  <w:tcW w:w="2284" w:type="pct"/>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污泥储存、破壁、脱水</w:t>
                  </w:r>
                  <w:r>
                    <w:rPr>
                      <w:rFonts w:hint="eastAsia" w:ascii="Times New Roman" w:hAnsi="Times New Roman" w:eastAsia="宋体" w:cs="Times New Roman"/>
                      <w:szCs w:val="21"/>
                      <w:lang w:val="en-US" w:eastAsia="zh-CN"/>
                    </w:rPr>
                    <w:t>臭气</w:t>
                  </w:r>
                  <w:r>
                    <w:rPr>
                      <w:rFonts w:hint="eastAsia" w:ascii="Times New Roman" w:hAnsi="Times New Roman" w:eastAsia="宋体" w:cs="Times New Roman"/>
                      <w:szCs w:val="21"/>
                      <w:lang w:eastAsia="zh-CN"/>
                    </w:rPr>
                    <w:t>产生量</w:t>
                  </w:r>
                </w:p>
              </w:tc>
              <w:tc>
                <w:tcPr>
                  <w:tcW w:w="840"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88" w:type="pct"/>
                  <w:vAlign w:val="center"/>
                </w:tcPr>
                <w:p>
                  <w:pPr>
                    <w:jc w:val="center"/>
                    <w:outlineLvl w:val="1"/>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污泥改性剂</w:t>
                  </w:r>
                </w:p>
              </w:tc>
              <w:tc>
                <w:tcPr>
                  <w:tcW w:w="586" w:type="pct"/>
                  <w:vAlign w:val="center"/>
                </w:tcPr>
                <w:p>
                  <w:pPr>
                    <w:jc w:val="center"/>
                    <w:outlineLvl w:val="1"/>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2284" w:type="pct"/>
                  <w:vAlign w:val="center"/>
                </w:tcPr>
                <w:p>
                  <w:pPr>
                    <w:adjustRightInd w:val="0"/>
                    <w:snapToGrid w:val="0"/>
                    <w:jc w:val="center"/>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干污泥储存</w:t>
                  </w:r>
                  <w:r>
                    <w:rPr>
                      <w:rFonts w:hint="eastAsia" w:ascii="Times New Roman" w:hAnsi="Times New Roman" w:eastAsia="宋体" w:cs="Times New Roman"/>
                      <w:szCs w:val="21"/>
                      <w:lang w:val="en-US" w:eastAsia="zh-CN"/>
                    </w:rPr>
                    <w:t>臭气</w:t>
                  </w:r>
                  <w:r>
                    <w:rPr>
                      <w:rFonts w:hint="eastAsia" w:ascii="Times New Roman" w:hAnsi="Times New Roman" w:eastAsia="宋体" w:cs="Times New Roman"/>
                      <w:szCs w:val="21"/>
                      <w:lang w:eastAsia="zh-CN"/>
                    </w:rPr>
                    <w:t>产生量</w:t>
                  </w:r>
                </w:p>
              </w:tc>
              <w:tc>
                <w:tcPr>
                  <w:tcW w:w="84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88" w:type="pct"/>
                  <w:vAlign w:val="center"/>
                </w:tcPr>
                <w:p>
                  <w:pPr>
                    <w:jc w:val="center"/>
                    <w:outlineLvl w:val="1"/>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w:t>
                  </w:r>
                </w:p>
              </w:tc>
              <w:tc>
                <w:tcPr>
                  <w:tcW w:w="586" w:type="pct"/>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400</w:t>
                  </w:r>
                </w:p>
              </w:tc>
              <w:tc>
                <w:tcPr>
                  <w:tcW w:w="2284" w:type="pct"/>
                  <w:vAlign w:val="center"/>
                </w:tcPr>
                <w:p>
                  <w:pPr>
                    <w:adjustRightInd w:val="0"/>
                    <w:snapToGrid w:val="0"/>
                    <w:jc w:val="center"/>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污泥</w:t>
                  </w:r>
                  <w:r>
                    <w:rPr>
                      <w:rFonts w:hint="default" w:ascii="Times New Roman" w:hAnsi="Times New Roman" w:eastAsia="宋体" w:cs="Times New Roman"/>
                      <w:b w:val="0"/>
                      <w:bCs/>
                      <w:color w:val="auto"/>
                      <w:kern w:val="0"/>
                      <w:sz w:val="21"/>
                      <w:szCs w:val="21"/>
                      <w:lang w:val="en-US" w:eastAsia="zh-CN"/>
                    </w:rPr>
                    <w:t>进料、混料</w:t>
                  </w:r>
                  <w:r>
                    <w:rPr>
                      <w:rFonts w:hint="eastAsia" w:ascii="Times New Roman" w:hAnsi="Times New Roman" w:eastAsia="宋体" w:cs="Times New Roman"/>
                      <w:szCs w:val="21"/>
                      <w:lang w:val="en-US" w:eastAsia="zh-CN"/>
                    </w:rPr>
                    <w:t>臭气</w:t>
                  </w:r>
                  <w:r>
                    <w:rPr>
                      <w:rFonts w:hint="eastAsia" w:ascii="Times New Roman" w:hAnsi="Times New Roman" w:eastAsia="宋体" w:cs="Times New Roman"/>
                      <w:szCs w:val="21"/>
                      <w:lang w:eastAsia="zh-CN"/>
                    </w:rPr>
                    <w:t>产生量</w:t>
                  </w:r>
                </w:p>
              </w:tc>
              <w:tc>
                <w:tcPr>
                  <w:tcW w:w="84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88" w:type="pct"/>
                  <w:vAlign w:val="center"/>
                </w:tcPr>
                <w:p>
                  <w:pPr>
                    <w:jc w:val="center"/>
                    <w:outlineLvl w:val="1"/>
                    <w:rPr>
                      <w:rFonts w:hint="eastAsia" w:ascii="Times New Roman" w:hAnsi="Times New Roman" w:eastAsia="宋体" w:cs="Times New Roman"/>
                      <w:color w:val="auto"/>
                      <w:kern w:val="2"/>
                      <w:sz w:val="21"/>
                      <w:szCs w:val="21"/>
                      <w:lang w:val="en-US" w:eastAsia="zh-CN" w:bidi="ar-SA"/>
                    </w:rPr>
                  </w:pPr>
                </w:p>
              </w:tc>
              <w:tc>
                <w:tcPr>
                  <w:tcW w:w="586" w:type="pct"/>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2284" w:type="pct"/>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b w:val="0"/>
                      <w:bCs/>
                      <w:color w:val="auto"/>
                      <w:kern w:val="0"/>
                      <w:sz w:val="21"/>
                      <w:szCs w:val="21"/>
                      <w:lang w:val="en-US" w:eastAsia="zh-CN"/>
                    </w:rPr>
                    <w:t>污泥布料、发酵</w:t>
                  </w:r>
                  <w:r>
                    <w:rPr>
                      <w:rFonts w:hint="eastAsia" w:ascii="Times New Roman" w:hAnsi="Times New Roman" w:eastAsia="宋体" w:cs="Times New Roman"/>
                      <w:szCs w:val="21"/>
                      <w:lang w:val="en-US" w:eastAsia="zh-CN"/>
                    </w:rPr>
                    <w:t>臭气</w:t>
                  </w:r>
                  <w:r>
                    <w:rPr>
                      <w:rFonts w:hint="eastAsia" w:ascii="Times New Roman" w:hAnsi="Times New Roman" w:eastAsia="宋体" w:cs="Times New Roman"/>
                      <w:szCs w:val="21"/>
                      <w:lang w:eastAsia="zh-CN"/>
                    </w:rPr>
                    <w:t>产生量</w:t>
                  </w:r>
                </w:p>
              </w:tc>
              <w:tc>
                <w:tcPr>
                  <w:tcW w:w="840" w:type="pct"/>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88" w:type="pct"/>
                  <w:vAlign w:val="center"/>
                </w:tcPr>
                <w:p>
                  <w:pPr>
                    <w:jc w:val="center"/>
                    <w:outlineLvl w:val="1"/>
                    <w:rPr>
                      <w:rFonts w:hint="eastAsia" w:ascii="Times New Roman" w:hAnsi="Times New Roman" w:eastAsia="宋体" w:cs="Times New Roman"/>
                      <w:color w:val="auto"/>
                      <w:kern w:val="2"/>
                      <w:sz w:val="21"/>
                      <w:szCs w:val="21"/>
                      <w:lang w:val="en-US" w:eastAsia="zh-CN" w:bidi="ar-SA"/>
                    </w:rPr>
                  </w:pPr>
                </w:p>
              </w:tc>
              <w:tc>
                <w:tcPr>
                  <w:tcW w:w="586" w:type="pct"/>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2284" w:type="pct"/>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蒸发损耗量</w:t>
                  </w:r>
                </w:p>
              </w:tc>
              <w:tc>
                <w:tcPr>
                  <w:tcW w:w="840" w:type="pct"/>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190</w:t>
                  </w:r>
                  <w:r>
                    <w:rPr>
                      <w:rFonts w:hint="eastAsia"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88" w:type="pc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合计</w:t>
                  </w:r>
                </w:p>
              </w:tc>
              <w:tc>
                <w:tcPr>
                  <w:tcW w:w="586" w:type="pct"/>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4884</w:t>
                  </w:r>
                  <w:r>
                    <w:rPr>
                      <w:rFonts w:hint="eastAsia" w:ascii="Times New Roman" w:hAnsi="Times New Roman" w:eastAsia="宋体" w:cs="Times New Roman"/>
                      <w:szCs w:val="21"/>
                      <w:lang w:val="en-US" w:eastAsia="zh-CN"/>
                    </w:rPr>
                    <w:t>1</w:t>
                  </w:r>
                </w:p>
              </w:tc>
              <w:tc>
                <w:tcPr>
                  <w:tcW w:w="2284" w:type="pc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合计</w:t>
                  </w:r>
                </w:p>
              </w:tc>
              <w:tc>
                <w:tcPr>
                  <w:tcW w:w="840" w:type="pct"/>
                  <w:vAlign w:val="center"/>
                </w:tcPr>
                <w:p>
                  <w:pPr>
                    <w:adjustRightInd w:val="0"/>
                    <w:snapToGrid w:val="0"/>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4884</w:t>
                  </w:r>
                  <w:r>
                    <w:rPr>
                      <w:rFonts w:hint="eastAsia" w:ascii="Times New Roman" w:hAnsi="Times New Roman" w:eastAsia="宋体" w:cs="Times New Roman"/>
                      <w:szCs w:val="21"/>
                      <w:lang w:val="en-US" w:eastAsia="zh-CN"/>
                    </w:rPr>
                    <w:t>1</w:t>
                  </w:r>
                </w:p>
              </w:tc>
            </w:tr>
          </w:tbl>
          <w:p>
            <w:pPr>
              <w:pStyle w:val="29"/>
              <w:spacing w:line="360" w:lineRule="auto"/>
              <w:jc w:val="center"/>
              <w:rPr>
                <w:rFonts w:ascii="Calibri" w:hAnsi="Calibri"/>
                <w:color w:val="auto"/>
                <w:sz w:val="21"/>
              </w:rPr>
            </w:pPr>
            <w:r>
              <w:rPr>
                <w:rFonts w:ascii="Calibri" w:hAnsi="Calibri"/>
                <w:color w:val="auto"/>
                <w:sz w:val="21"/>
              </w:rPr>
              <w:object>
                <v:shape id="_x0000_i1025" o:spt="75" type="#_x0000_t75" style="height:173.35pt;width:411.2pt;" o:ole="t" filled="f" o:preferrelative="t" stroked="f" coordsize="21600,21600">
                  <v:path/>
                  <v:fill on="f" focussize="0,0"/>
                  <v:stroke on="f"/>
                  <v:imagedata r:id="rId13" cropleft="2668f" cropright="-979f" o:title=""/>
                  <o:lock v:ext="edit" aspectratio="t"/>
                  <w10:wrap type="none"/>
                  <w10:anchorlock/>
                </v:shape>
                <o:OLEObject Type="Embed" ProgID="Visio.Drawing.11" ShapeID="_x0000_i1025" DrawAspect="Content" ObjectID="_1468075725" r:id="rId12">
                  <o:LockedField>false</o:LockedField>
                </o:OLEObject>
              </w:object>
            </w:r>
          </w:p>
          <w:p>
            <w:pPr>
              <w:pStyle w:val="29"/>
              <w:spacing w:line="360" w:lineRule="auto"/>
              <w:jc w:val="center"/>
              <w:rPr>
                <w:rFonts w:hint="eastAsia" w:ascii="Calibri" w:hAnsi="Calibri"/>
                <w:b/>
                <w:bCs/>
                <w:color w:val="auto"/>
                <w:sz w:val="24"/>
                <w:szCs w:val="24"/>
                <w:lang w:val="en-US" w:eastAsia="zh-CN"/>
              </w:rPr>
            </w:pPr>
            <w:r>
              <w:rPr>
                <w:rFonts w:hint="eastAsia" w:ascii="Times New Roman" w:cs="Times New Roman"/>
                <w:b/>
                <w:bCs/>
                <w:color w:val="auto"/>
                <w:sz w:val="24"/>
                <w:szCs w:val="24"/>
                <w:lang w:val="en-US" w:eastAsia="zh-CN"/>
              </w:rPr>
              <w:t>图2.2.1   本项目</w:t>
            </w:r>
            <w:r>
              <w:rPr>
                <w:rFonts w:hint="eastAsia" w:ascii="Calibri" w:hAnsi="Calibri"/>
                <w:b/>
                <w:bCs/>
                <w:color w:val="auto"/>
                <w:sz w:val="24"/>
                <w:szCs w:val="24"/>
                <w:lang w:eastAsia="zh-CN"/>
              </w:rPr>
              <w:t>物料平衡图</w:t>
            </w:r>
            <w:r>
              <w:rPr>
                <w:rFonts w:hint="eastAsia" w:ascii="Calibri" w:hAnsi="Calibri"/>
                <w:b/>
                <w:bCs/>
                <w:color w:val="auto"/>
                <w:sz w:val="24"/>
                <w:szCs w:val="24"/>
                <w:lang w:val="en-US" w:eastAsia="zh-CN"/>
              </w:rPr>
              <w:t xml:space="preserve">  单位：t/a</w:t>
            </w:r>
          </w:p>
          <w:p>
            <w:pPr>
              <w:spacing w:line="440" w:lineRule="exact"/>
              <w:outlineLvl w:val="1"/>
              <w:rPr>
                <w:rFonts w:ascii="Times New Roman" w:hAnsi="Times New Roman" w:eastAsia="宋体" w:cs="Times New Roman"/>
                <w:b/>
                <w:sz w:val="24"/>
                <w:szCs w:val="24"/>
              </w:rPr>
            </w:pPr>
            <w:r>
              <w:rPr>
                <w:rFonts w:ascii="Times New Roman" w:hAnsi="Times New Roman" w:eastAsia="宋体" w:cs="Times New Roman"/>
                <w:b/>
                <w:sz w:val="24"/>
                <w:szCs w:val="24"/>
              </w:rPr>
              <w:t>2.2.</w:t>
            </w:r>
            <w:r>
              <w:rPr>
                <w:rFonts w:hint="eastAsia" w:ascii="Times New Roman" w:hAnsi="Times New Roman" w:eastAsia="宋体" w:cs="Times New Roman"/>
                <w:b/>
                <w:sz w:val="24"/>
                <w:szCs w:val="24"/>
                <w:lang w:val="en-US" w:eastAsia="zh-CN"/>
              </w:rPr>
              <w:t>8</w:t>
            </w:r>
            <w:r>
              <w:rPr>
                <w:rFonts w:ascii="Times New Roman" w:hAnsi="Times New Roman" w:eastAsia="宋体" w:cs="Times New Roman"/>
                <w:b/>
                <w:sz w:val="24"/>
                <w:szCs w:val="24"/>
              </w:rPr>
              <w:t xml:space="preserve"> 水平衡</w:t>
            </w:r>
          </w:p>
          <w:p>
            <w:pPr>
              <w:spacing w:line="440" w:lineRule="exact"/>
              <w:ind w:firstLine="480" w:firstLineChars="200"/>
              <w:outlineLvl w:val="1"/>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sz w:val="24"/>
                <w:szCs w:val="24"/>
                <w:lang w:eastAsia="zh-CN"/>
              </w:rPr>
              <w:t>本项目不新增劳动定</w:t>
            </w:r>
            <w:r>
              <w:rPr>
                <w:rFonts w:hint="eastAsia" w:ascii="Times New Roman" w:hAnsi="Times New Roman" w:eastAsia="宋体" w:cs="Times New Roman"/>
                <w:bCs/>
                <w:color w:val="auto"/>
                <w:sz w:val="24"/>
                <w:szCs w:val="24"/>
                <w:lang w:eastAsia="zh-CN"/>
              </w:rPr>
              <w:t>员，不新增</w:t>
            </w:r>
            <w:r>
              <w:rPr>
                <w:rFonts w:hint="eastAsia" w:ascii="Times New Roman" w:hAnsi="Times New Roman" w:eastAsia="宋体" w:cs="Times New Roman"/>
                <w:bCs/>
                <w:color w:val="auto"/>
                <w:sz w:val="24"/>
                <w:szCs w:val="24"/>
              </w:rPr>
              <w:t>生活用水</w:t>
            </w:r>
            <w:r>
              <w:rPr>
                <w:rFonts w:hint="eastAsia" w:ascii="Times New Roman" w:hAnsi="Times New Roman" w:eastAsia="宋体" w:cs="Times New Roman"/>
                <w:bCs/>
                <w:color w:val="auto"/>
                <w:sz w:val="24"/>
                <w:szCs w:val="24"/>
                <w:lang w:eastAsia="zh-CN"/>
              </w:rPr>
              <w:t>，主要用水包括</w:t>
            </w:r>
            <w:r>
              <w:rPr>
                <w:rFonts w:hint="eastAsia" w:ascii="Times New Roman" w:hAnsi="Times New Roman" w:eastAsia="宋体" w:cs="Times New Roman"/>
                <w:bCs/>
                <w:sz w:val="24"/>
                <w:szCs w:val="24"/>
                <w:lang w:val="en-US" w:eastAsia="zh-CN"/>
              </w:rPr>
              <w:t>污泥改性剂用水、</w:t>
            </w:r>
            <w:r>
              <w:rPr>
                <w:rFonts w:hint="eastAsia" w:ascii="Times New Roman" w:hAnsi="Times New Roman" w:eastAsia="宋体" w:cs="Times New Roman"/>
                <w:color w:val="auto"/>
                <w:sz w:val="24"/>
                <w:szCs w:val="24"/>
                <w:lang w:eastAsia="zh-CN"/>
              </w:rPr>
              <w:t>设备清洗用水</w:t>
            </w:r>
            <w:r>
              <w:rPr>
                <w:rFonts w:hint="eastAsia" w:ascii="Times New Roman" w:hAnsi="Times New Roman" w:eastAsia="宋体" w:cs="Times New Roman"/>
                <w:bCs/>
                <w:color w:val="auto"/>
                <w:sz w:val="24"/>
                <w:szCs w:val="24"/>
                <w:lang w:eastAsia="zh-CN"/>
              </w:rPr>
              <w:t>。车间地面</w:t>
            </w:r>
            <w:r>
              <w:rPr>
                <w:rFonts w:hint="default" w:ascii="Times New Roman" w:hAnsi="Times New Roman" w:eastAsia="宋体" w:cs="Times New Roman"/>
                <w:color w:val="auto"/>
                <w:sz w:val="24"/>
                <w:szCs w:val="24"/>
              </w:rPr>
              <w:t>清洁</w:t>
            </w:r>
            <w:r>
              <w:rPr>
                <w:rFonts w:hint="eastAsia" w:ascii="Times New Roman" w:hAnsi="Times New Roman" w:eastAsia="宋体" w:cs="Times New Roman"/>
                <w:color w:val="auto"/>
                <w:sz w:val="24"/>
                <w:szCs w:val="24"/>
                <w:lang w:eastAsia="zh-CN"/>
              </w:rPr>
              <w:t>采用干式清洁工艺，不用水。</w:t>
            </w:r>
          </w:p>
          <w:p>
            <w:pPr>
              <w:spacing w:line="440" w:lineRule="exact"/>
              <w:ind w:firstLine="480" w:firstLineChars="200"/>
              <w:outlineLvl w:val="1"/>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污泥改性剂用水：根据业主提供资料，污泥改性剂需要用水配置，药剂与水的配置比例为1:10，而污泥改性剂年用量为40t，则污泥改性剂配置用水量为400t/a。</w:t>
            </w:r>
          </w:p>
          <w:p>
            <w:pPr>
              <w:spacing w:line="440" w:lineRule="exact"/>
              <w:ind w:firstLine="480" w:firstLineChars="200"/>
              <w:outlineLvl w:val="1"/>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设备清洗用水：污泥脱水设备使用过程中滤袋需要进行清洗，根据业主提供资料，设备清洗用水量约</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330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lang w:eastAsia="zh-CN"/>
              </w:rPr>
              <w:t>，该部分废水</w:t>
            </w:r>
            <w:r>
              <w:rPr>
                <w:rFonts w:hint="eastAsia" w:ascii="Times New Roman" w:hAnsi="Times New Roman" w:eastAsia="宋体" w:cs="Times New Roman"/>
                <w:color w:val="auto"/>
                <w:sz w:val="24"/>
                <w:szCs w:val="24"/>
                <w:lang w:val="en-US" w:eastAsia="zh-CN"/>
              </w:rPr>
              <w:t>依托现有生化池收集处理后用于厂区绿化或作农肥，不外排</w:t>
            </w:r>
            <w:r>
              <w:rPr>
                <w:rFonts w:hint="eastAsia" w:ascii="Times New Roman" w:hAnsi="Times New Roman" w:eastAsia="宋体" w:cs="Times New Roman"/>
                <w:color w:val="auto"/>
                <w:sz w:val="24"/>
                <w:szCs w:val="24"/>
                <w:lang w:eastAsia="zh-CN"/>
              </w:rPr>
              <w:t>。</w:t>
            </w:r>
          </w:p>
          <w:p>
            <w:pPr>
              <w:spacing w:line="440" w:lineRule="exact"/>
              <w:ind w:firstLine="480" w:firstLineChars="200"/>
              <w:outlineLvl w:val="1"/>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color w:val="auto"/>
                <w:sz w:val="24"/>
                <w:szCs w:val="24"/>
                <w:lang w:eastAsia="zh-CN"/>
              </w:rPr>
              <w:t>本项目</w:t>
            </w:r>
            <w:r>
              <w:rPr>
                <w:rFonts w:ascii="Times New Roman" w:hAnsi="Times New Roman" w:eastAsia="宋体" w:cs="Times New Roman"/>
                <w:bCs/>
                <w:sz w:val="24"/>
                <w:szCs w:val="24"/>
              </w:rPr>
              <w:t>水平衡图见下图</w:t>
            </w:r>
            <w:r>
              <w:rPr>
                <w:rFonts w:hint="eastAsia" w:ascii="Times New Roman" w:hAnsi="Times New Roman" w:eastAsia="宋体" w:cs="Times New Roman"/>
                <w:bCs/>
                <w:sz w:val="24"/>
                <w:szCs w:val="24"/>
              </w:rPr>
              <w:t>2</w:t>
            </w:r>
            <w:r>
              <w:rPr>
                <w:rFonts w:hint="eastAsia" w:ascii="Times New Roman" w:hAnsi="Times New Roman" w:eastAsia="宋体" w:cs="Times New Roman"/>
                <w:bCs/>
                <w:sz w:val="24"/>
                <w:szCs w:val="24"/>
                <w:lang w:val="en-US" w:eastAsia="zh-CN"/>
              </w:rPr>
              <w:t>.2.6</w:t>
            </w:r>
            <w:r>
              <w:rPr>
                <w:rFonts w:hint="eastAsia" w:ascii="Times New Roman" w:hAnsi="Times New Roman" w:eastAsia="宋体" w:cs="Times New Roman"/>
                <w:bCs/>
                <w:sz w:val="24"/>
                <w:szCs w:val="24"/>
                <w:lang w:eastAsia="zh-CN"/>
              </w:rPr>
              <w:t>。</w:t>
            </w:r>
          </w:p>
          <w:p>
            <w:pPr>
              <w:pStyle w:val="29"/>
              <w:jc w:val="center"/>
              <w:rPr>
                <w:rFonts w:ascii="Times New Roman" w:cs="Times New Roman"/>
                <w:b/>
                <w:bCs/>
                <w:color w:val="auto"/>
                <w:sz w:val="21"/>
                <w:szCs w:val="21"/>
                <w:highlight w:val="yellow"/>
              </w:rPr>
            </w:pPr>
            <w:r>
              <w:rPr>
                <w:color w:val="auto"/>
              </w:rPr>
              <w:object>
                <v:shape id="_x0000_i1026" o:spt="75" type="#_x0000_t75" style="height:176.65pt;width:303.2pt;" o:ole="t" filled="f" o:preferrelative="t" stroked="f" coordsize="21600,21600">
                  <v:path/>
                  <v:fill on="f" focussize="0,0"/>
                  <v:stroke on="f"/>
                  <v:imagedata r:id="rId15" o:title=""/>
                  <o:lock v:ext="edit" aspectratio="t"/>
                  <w10:wrap type="none"/>
                  <w10:anchorlock/>
                </v:shape>
                <o:OLEObject Type="Embed" ProgID="Visio.Drawing.11" ShapeID="_x0000_i1026" DrawAspect="Content" ObjectID="_1468075726" r:id="rId14">
                  <o:LockedField>false</o:LockedField>
                </o:OLEObject>
              </w:object>
            </w:r>
          </w:p>
          <w:p>
            <w:pPr>
              <w:pStyle w:val="29"/>
              <w:ind w:firstLine="482" w:firstLineChars="200"/>
              <w:jc w:val="center"/>
              <w:rPr>
                <w:rFonts w:hint="eastAsia" w:ascii="Times New Roman" w:cs="Times New Roman"/>
                <w:b/>
                <w:color w:val="auto"/>
                <w:sz w:val="24"/>
                <w:szCs w:val="24"/>
              </w:rPr>
            </w:pPr>
            <w:r>
              <w:rPr>
                <w:rFonts w:hint="eastAsia" w:ascii="Times New Roman" w:cs="Times New Roman"/>
                <w:b/>
                <w:bCs/>
                <w:color w:val="auto"/>
                <w:sz w:val="24"/>
                <w:szCs w:val="24"/>
              </w:rPr>
              <w:t>图2</w:t>
            </w:r>
            <w:r>
              <w:rPr>
                <w:rFonts w:hint="eastAsia" w:ascii="Times New Roman" w:cs="Times New Roman"/>
                <w:b/>
                <w:bCs/>
                <w:color w:val="auto"/>
                <w:sz w:val="24"/>
                <w:szCs w:val="24"/>
                <w:lang w:val="en-US" w:eastAsia="zh-CN"/>
              </w:rPr>
              <w:t>.2.2</w:t>
            </w:r>
            <w:r>
              <w:rPr>
                <w:rFonts w:hint="eastAsia" w:ascii="Times New Roman" w:cs="Times New Roman"/>
                <w:b/>
                <w:bCs/>
                <w:color w:val="auto"/>
                <w:sz w:val="24"/>
                <w:szCs w:val="24"/>
              </w:rPr>
              <w:t xml:space="preserve"> </w:t>
            </w:r>
            <w:r>
              <w:rPr>
                <w:rFonts w:hint="eastAsia" w:ascii="Times New Roman" w:cs="Times New Roman"/>
                <w:b/>
                <w:bCs/>
                <w:color w:val="auto"/>
                <w:sz w:val="24"/>
                <w:szCs w:val="24"/>
                <w:lang w:eastAsia="zh-CN"/>
              </w:rPr>
              <w:t>本项目</w:t>
            </w:r>
            <w:r>
              <w:rPr>
                <w:rFonts w:hint="eastAsia" w:ascii="Times New Roman" w:cs="Times New Roman"/>
                <w:b/>
                <w:bCs/>
                <w:color w:val="auto"/>
                <w:sz w:val="24"/>
                <w:szCs w:val="24"/>
              </w:rPr>
              <w:t>水平衡图</w:t>
            </w:r>
            <w:r>
              <w:rPr>
                <w:rFonts w:hint="eastAsia" w:ascii="Times New Roman" w:cs="Times New Roman"/>
                <w:b/>
                <w:color w:val="auto"/>
                <w:sz w:val="24"/>
                <w:szCs w:val="24"/>
              </w:rPr>
              <w:t>（单位：m</w:t>
            </w:r>
            <w:r>
              <w:rPr>
                <w:rFonts w:hint="eastAsia" w:ascii="Times New Roman" w:cs="Times New Roman"/>
                <w:b/>
                <w:color w:val="auto"/>
                <w:sz w:val="24"/>
                <w:szCs w:val="24"/>
                <w:vertAlign w:val="superscript"/>
              </w:rPr>
              <w:t>3</w:t>
            </w:r>
            <w:r>
              <w:rPr>
                <w:rFonts w:hint="eastAsia" w:ascii="Times New Roman" w:cs="Times New Roman"/>
                <w:b/>
                <w:color w:val="auto"/>
                <w:sz w:val="24"/>
                <w:szCs w:val="24"/>
              </w:rPr>
              <w:t>/d）</w:t>
            </w:r>
          </w:p>
          <w:p>
            <w:pPr>
              <w:pStyle w:val="8"/>
              <w:ind w:left="0" w:leftChars="0" w:firstLine="0" w:firstLineChars="0"/>
            </w:pPr>
          </w:p>
          <w:p>
            <w:pPr>
              <w:pStyle w:val="29"/>
              <w:jc w:val="center"/>
              <w:rPr>
                <w:rFonts w:ascii="Times New Roman" w:cs="Times New Roman"/>
                <w:b/>
                <w:bCs/>
                <w:color w:val="auto"/>
                <w:sz w:val="21"/>
                <w:szCs w:val="21"/>
                <w:highlight w:val="yellow"/>
              </w:rPr>
            </w:pPr>
            <w:r>
              <w:rPr>
                <w:color w:val="auto"/>
              </w:rPr>
              <w:object>
                <v:shape id="_x0000_i1027" o:spt="75" type="#_x0000_t75" style="height:251.65pt;width:365.25pt;" o:ole="t" filled="f" o:preferrelative="t" stroked="f" coordsize="21600,21600">
                  <v:path/>
                  <v:fill on="f" focussize="0,0"/>
                  <v:stroke on="f"/>
                  <v:imagedata r:id="rId17" o:title=""/>
                  <o:lock v:ext="edit" aspectratio="t"/>
                  <w10:wrap type="none"/>
                  <w10:anchorlock/>
                </v:shape>
                <o:OLEObject Type="Embed" ProgID="Visio.Drawing.11" ShapeID="_x0000_i1027" DrawAspect="Content" ObjectID="_1468075727" r:id="rId16">
                  <o:LockedField>false</o:LockedField>
                </o:OLEObject>
              </w:object>
            </w:r>
          </w:p>
          <w:p>
            <w:pPr>
              <w:pStyle w:val="29"/>
              <w:ind w:firstLine="482" w:firstLineChars="200"/>
              <w:jc w:val="center"/>
              <w:rPr>
                <w:rFonts w:hint="eastAsia" w:ascii="Times New Roman" w:cs="Times New Roman"/>
                <w:b/>
                <w:color w:val="auto"/>
                <w:sz w:val="24"/>
                <w:szCs w:val="24"/>
              </w:rPr>
            </w:pPr>
            <w:r>
              <w:rPr>
                <w:rFonts w:hint="eastAsia" w:ascii="Times New Roman" w:cs="Times New Roman"/>
                <w:b/>
                <w:bCs/>
                <w:color w:val="auto"/>
                <w:sz w:val="24"/>
                <w:szCs w:val="24"/>
              </w:rPr>
              <w:t>图2</w:t>
            </w:r>
            <w:r>
              <w:rPr>
                <w:rFonts w:hint="eastAsia" w:ascii="Times New Roman" w:cs="Times New Roman"/>
                <w:b/>
                <w:bCs/>
                <w:color w:val="auto"/>
                <w:sz w:val="24"/>
                <w:szCs w:val="24"/>
                <w:lang w:val="en-US" w:eastAsia="zh-CN"/>
              </w:rPr>
              <w:t>.2.3</w:t>
            </w:r>
            <w:r>
              <w:rPr>
                <w:rFonts w:hint="eastAsia" w:ascii="Times New Roman" w:cs="Times New Roman"/>
                <w:b/>
                <w:bCs/>
                <w:color w:val="auto"/>
                <w:sz w:val="24"/>
                <w:szCs w:val="24"/>
              </w:rPr>
              <w:t xml:space="preserve"> </w:t>
            </w:r>
            <w:r>
              <w:rPr>
                <w:rFonts w:hint="eastAsia" w:ascii="Times New Roman" w:cs="Times New Roman"/>
                <w:b/>
                <w:bCs/>
                <w:color w:val="auto"/>
                <w:sz w:val="24"/>
                <w:szCs w:val="24"/>
                <w:lang w:eastAsia="zh-CN"/>
              </w:rPr>
              <w:t>本项目改扩建后全厂</w:t>
            </w:r>
            <w:r>
              <w:rPr>
                <w:rFonts w:hint="eastAsia" w:ascii="Times New Roman" w:cs="Times New Roman"/>
                <w:b/>
                <w:bCs/>
                <w:color w:val="auto"/>
                <w:sz w:val="24"/>
                <w:szCs w:val="24"/>
              </w:rPr>
              <w:t>水平衡图</w:t>
            </w:r>
            <w:r>
              <w:rPr>
                <w:rFonts w:hint="eastAsia" w:ascii="Times New Roman" w:cs="Times New Roman"/>
                <w:b/>
                <w:color w:val="auto"/>
                <w:sz w:val="24"/>
                <w:szCs w:val="24"/>
              </w:rPr>
              <w:t>（单位：m</w:t>
            </w:r>
            <w:r>
              <w:rPr>
                <w:rFonts w:hint="eastAsia" w:ascii="Times New Roman" w:cs="Times New Roman"/>
                <w:b/>
                <w:color w:val="auto"/>
                <w:sz w:val="24"/>
                <w:szCs w:val="24"/>
                <w:vertAlign w:val="superscript"/>
              </w:rPr>
              <w:t>3</w:t>
            </w:r>
            <w:r>
              <w:rPr>
                <w:rFonts w:hint="eastAsia" w:ascii="Times New Roman" w:cs="Times New Roman"/>
                <w:b/>
                <w:color w:val="auto"/>
                <w:sz w:val="24"/>
                <w:szCs w:val="24"/>
              </w:rPr>
              <w:t>/d）</w:t>
            </w:r>
          </w:p>
          <w:p>
            <w:pPr>
              <w:adjustRightInd w:val="0"/>
              <w:snapToGrid w:val="0"/>
              <w:spacing w:line="440" w:lineRule="exact"/>
              <w:outlineLvl w:val="1"/>
              <w:rPr>
                <w:rFonts w:ascii="Times New Roman" w:hAnsi="Times New Roman" w:eastAsia="宋体" w:cs="Times New Roman"/>
                <w:b/>
                <w:sz w:val="24"/>
                <w:szCs w:val="24"/>
              </w:rPr>
            </w:pPr>
          </w:p>
          <w:p>
            <w:pPr>
              <w:adjustRightInd w:val="0"/>
              <w:snapToGrid w:val="0"/>
              <w:spacing w:line="440" w:lineRule="exact"/>
              <w:outlineLvl w:val="1"/>
              <w:rPr>
                <w:rFonts w:ascii="Times New Roman" w:hAnsi="Times New Roman" w:eastAsia="宋体" w:cs="Times New Roman"/>
                <w:b/>
                <w:sz w:val="24"/>
                <w:szCs w:val="24"/>
              </w:rPr>
            </w:pPr>
            <w:r>
              <w:rPr>
                <w:rFonts w:ascii="Times New Roman" w:hAnsi="Times New Roman" w:eastAsia="宋体" w:cs="Times New Roman"/>
                <w:b/>
                <w:sz w:val="24"/>
                <w:szCs w:val="24"/>
              </w:rPr>
              <w:t>2.2.</w:t>
            </w:r>
            <w:r>
              <w:rPr>
                <w:rFonts w:hint="eastAsia" w:ascii="Times New Roman" w:hAnsi="Times New Roman" w:eastAsia="宋体" w:cs="Times New Roman"/>
                <w:b/>
                <w:sz w:val="24"/>
                <w:szCs w:val="24"/>
                <w:lang w:val="en-US" w:eastAsia="zh-CN"/>
              </w:rPr>
              <w:t>9</w:t>
            </w:r>
            <w:r>
              <w:rPr>
                <w:rFonts w:ascii="Times New Roman" w:hAnsi="Times New Roman" w:eastAsia="宋体" w:cs="Times New Roman"/>
                <w:b/>
                <w:sz w:val="24"/>
                <w:szCs w:val="24"/>
              </w:rPr>
              <w:t xml:space="preserve"> 劳动定员及工作制度</w:t>
            </w:r>
          </w:p>
          <w:p>
            <w:pPr>
              <w:autoSpaceDE w:val="0"/>
              <w:autoSpaceDN w:val="0"/>
              <w:adjustRightInd w:val="0"/>
              <w:snapToGrid w:val="0"/>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bCs/>
                <w:color w:val="auto"/>
                <w:sz w:val="24"/>
                <w:szCs w:val="24"/>
                <w:lang w:val="en-US" w:eastAsia="zh-CN"/>
              </w:rPr>
              <w:t>项目不新增劳动定员，就餐依托厂区现有食堂；本项目不新增劳动定员，依托现有厂区人员（16人）；年工作330天，其中有220天仅对污泥进行压滤脱水处理后送至</w:t>
            </w:r>
            <w:r>
              <w:rPr>
                <w:rFonts w:hint="eastAsia" w:ascii="Times New Roman" w:hAnsi="Times New Roman" w:eastAsia="宋体" w:cs="Times New Roman"/>
                <w:color w:val="auto"/>
                <w:kern w:val="0"/>
                <w:sz w:val="24"/>
                <w:szCs w:val="24"/>
                <w:lang w:val="en-US" w:eastAsia="zh-CN"/>
              </w:rPr>
              <w:t>华新盐井水泥进行综合利用</w:t>
            </w:r>
            <w:r>
              <w:rPr>
                <w:rFonts w:hint="eastAsia" w:ascii="Times New Roman" w:hAnsi="Times New Roman" w:eastAsia="宋体" w:cs="Times New Roman"/>
                <w:bCs/>
                <w:color w:val="auto"/>
                <w:sz w:val="24"/>
                <w:szCs w:val="24"/>
                <w:lang w:val="en-US" w:eastAsia="zh-CN"/>
              </w:rPr>
              <w:t>，剩余110天（华新盐井水泥停窑期间）对污泥进行压滤脱水处理后</w:t>
            </w:r>
            <w:r>
              <w:rPr>
                <w:rFonts w:hint="eastAsia" w:ascii="Times New Roman" w:hAnsi="Times New Roman" w:eastAsia="宋体" w:cs="Times New Roman"/>
                <w:color w:val="auto"/>
                <w:kern w:val="0"/>
                <w:sz w:val="24"/>
                <w:szCs w:val="24"/>
                <w:lang w:val="en-US" w:eastAsia="zh-CN"/>
              </w:rPr>
              <w:t>依托现有园林绿化营养土发酵生产线进行综合利用。</w:t>
            </w:r>
            <w:r>
              <w:rPr>
                <w:rFonts w:hint="eastAsia" w:ascii="Times New Roman" w:hAnsi="Times New Roman" w:eastAsia="宋体" w:cs="Times New Roman"/>
                <w:bCs/>
                <w:color w:val="auto"/>
                <w:sz w:val="24"/>
                <w:szCs w:val="24"/>
                <w:lang w:val="en-US" w:eastAsia="zh-CN"/>
              </w:rPr>
              <w:t>发酵工序每天工作24h，门卫采用2班制，其他工序采取一班制，每班工作8h</w:t>
            </w:r>
            <w:r>
              <w:rPr>
                <w:rFonts w:ascii="Times New Roman" w:hAnsi="Times New Roman" w:eastAsia="宋体" w:cs="Times New Roman"/>
                <w:kern w:val="0"/>
                <w:sz w:val="24"/>
                <w:szCs w:val="24"/>
              </w:rPr>
              <w:t>。</w:t>
            </w:r>
          </w:p>
          <w:p>
            <w:pPr>
              <w:autoSpaceDE w:val="0"/>
              <w:autoSpaceDN w:val="0"/>
              <w:adjustRightInd w:val="0"/>
              <w:snapToGrid w:val="0"/>
              <w:spacing w:line="440" w:lineRule="exact"/>
              <w:rPr>
                <w:rFonts w:ascii="Times New Roman" w:hAnsi="Times New Roman" w:eastAsia="宋体" w:cs="Times New Roman"/>
                <w:b/>
                <w:bCs/>
                <w:color w:val="auto"/>
                <w:kern w:val="0"/>
                <w:sz w:val="24"/>
                <w:szCs w:val="24"/>
              </w:rPr>
            </w:pPr>
            <w:r>
              <w:rPr>
                <w:rFonts w:ascii="Times New Roman" w:hAnsi="Times New Roman" w:eastAsia="宋体" w:cs="Times New Roman"/>
                <w:b/>
                <w:bCs/>
                <w:kern w:val="0"/>
                <w:sz w:val="24"/>
                <w:szCs w:val="24"/>
              </w:rPr>
              <w:t>2.2.</w:t>
            </w:r>
            <w:r>
              <w:rPr>
                <w:rFonts w:hint="eastAsia" w:ascii="Times New Roman" w:hAnsi="Times New Roman" w:eastAsia="宋体" w:cs="Times New Roman"/>
                <w:b/>
                <w:bCs/>
                <w:kern w:val="0"/>
                <w:sz w:val="24"/>
                <w:szCs w:val="24"/>
                <w:lang w:val="en-US" w:eastAsia="zh-CN"/>
              </w:rPr>
              <w:t>10</w:t>
            </w:r>
            <w:r>
              <w:rPr>
                <w:rFonts w:ascii="Times New Roman" w:hAnsi="Times New Roman" w:eastAsia="宋体" w:cs="Times New Roman"/>
                <w:b/>
                <w:bCs/>
                <w:kern w:val="0"/>
                <w:sz w:val="24"/>
                <w:szCs w:val="24"/>
              </w:rPr>
              <w:t xml:space="preserve"> 项目总平面布置</w:t>
            </w:r>
          </w:p>
          <w:p>
            <w:pPr>
              <w:autoSpaceDE w:val="0"/>
              <w:autoSpaceDN w:val="0"/>
              <w:adjustRightInd w:val="0"/>
              <w:snapToGrid w:val="0"/>
              <w:spacing w:line="440" w:lineRule="exact"/>
              <w:ind w:firstLine="480" w:firstLineChars="200"/>
              <w:rPr>
                <w:rFonts w:hint="default" w:ascii="Times New Roman" w:hAnsi="Times New Roman" w:eastAsia="宋体" w:cs="Times New Roman"/>
                <w:bCs/>
                <w:color w:val="auto"/>
                <w:sz w:val="24"/>
                <w:szCs w:val="24"/>
                <w:lang w:val="en-US" w:eastAsia="zh-CN"/>
              </w:rPr>
            </w:pPr>
            <w:r>
              <w:rPr>
                <w:rFonts w:ascii="Times New Roman" w:hAnsi="Times New Roman" w:eastAsia="宋体" w:cs="Times New Roman"/>
                <w:color w:val="auto"/>
                <w:kern w:val="0"/>
                <w:sz w:val="24"/>
                <w:szCs w:val="24"/>
              </w:rPr>
              <w:t>本项目位于</w:t>
            </w:r>
            <w:r>
              <w:rPr>
                <w:rFonts w:hint="eastAsia" w:ascii="Times New Roman" w:hAnsi="Times New Roman" w:eastAsia="宋体" w:cs="Times New Roman"/>
                <w:color w:val="auto"/>
                <w:kern w:val="0"/>
                <w:sz w:val="24"/>
                <w:szCs w:val="24"/>
                <w:lang w:eastAsia="zh-CN"/>
              </w:rPr>
              <w:t>重庆市铜梁区侣俸镇凤飞村</w:t>
            </w:r>
            <w:r>
              <w:rPr>
                <w:rFonts w:ascii="Times New Roman" w:hAnsi="Times New Roman" w:eastAsia="宋体" w:cs="Times New Roman"/>
                <w:color w:val="auto"/>
                <w:kern w:val="0"/>
                <w:sz w:val="24"/>
                <w:szCs w:val="24"/>
              </w:rPr>
              <w:t>，</w:t>
            </w:r>
            <w:r>
              <w:rPr>
                <w:rFonts w:hint="eastAsia" w:ascii="Times New Roman" w:hAnsi="Times New Roman" w:eastAsia="宋体" w:cs="Times New Roman"/>
                <w:bCs/>
                <w:color w:val="auto"/>
                <w:sz w:val="24"/>
                <w:szCs w:val="24"/>
                <w:lang w:val="en-US" w:eastAsia="zh-CN"/>
              </w:rPr>
              <w:t>现有发酵及成品车间位于厂区中部，厂区东南侧为</w:t>
            </w:r>
            <w:r>
              <w:rPr>
                <w:rFonts w:hint="eastAsia" w:ascii="Times New Roman" w:hAnsi="Times New Roman" w:eastAsia="宋体" w:cs="Times New Roman"/>
                <w:color w:val="auto"/>
                <w:kern w:val="0"/>
                <w:sz w:val="24"/>
                <w:szCs w:val="24"/>
                <w:lang w:val="en-US" w:eastAsia="zh-CN"/>
              </w:rPr>
              <w:t>现有辅料车间</w:t>
            </w:r>
            <w:r>
              <w:rPr>
                <w:rFonts w:hint="eastAsia" w:ascii="Times New Roman" w:hAnsi="Times New Roman" w:eastAsia="宋体" w:cs="Times New Roman"/>
                <w:bCs/>
                <w:color w:val="auto"/>
                <w:sz w:val="24"/>
                <w:szCs w:val="24"/>
                <w:lang w:val="en-US" w:eastAsia="zh-CN"/>
              </w:rPr>
              <w:t>，本次</w:t>
            </w:r>
            <w:r>
              <w:rPr>
                <w:rFonts w:hint="eastAsia" w:ascii="Times New Roman" w:hAnsi="Times New Roman" w:eastAsia="宋体" w:cs="Times New Roman"/>
                <w:color w:val="auto"/>
                <w:kern w:val="0"/>
                <w:sz w:val="24"/>
                <w:szCs w:val="24"/>
                <w:lang w:val="en-US" w:eastAsia="zh-CN"/>
              </w:rPr>
              <w:t>利用现有辅料车间改建为污泥脱水车间，并</w:t>
            </w:r>
            <w:r>
              <w:rPr>
                <w:rFonts w:hint="eastAsia" w:ascii="Times New Roman" w:hAnsi="Times New Roman" w:eastAsia="宋体" w:cs="Times New Roman"/>
                <w:bCs/>
                <w:color w:val="auto"/>
                <w:sz w:val="24"/>
                <w:szCs w:val="24"/>
                <w:lang w:val="en-US" w:eastAsia="zh-CN"/>
              </w:rPr>
              <w:t>在</w:t>
            </w:r>
            <w:r>
              <w:rPr>
                <w:rFonts w:hint="eastAsia" w:ascii="Times New Roman" w:hAnsi="Times New Roman" w:eastAsia="宋体" w:cs="Times New Roman"/>
                <w:color w:val="auto"/>
                <w:kern w:val="0"/>
                <w:sz w:val="24"/>
                <w:szCs w:val="24"/>
                <w:lang w:val="en-US" w:eastAsia="zh-CN"/>
              </w:rPr>
              <w:t>现有辅料车间东南侧</w:t>
            </w:r>
            <w:r>
              <w:rPr>
                <w:rFonts w:hint="eastAsia" w:ascii="Times New Roman" w:hAnsi="Times New Roman" w:eastAsia="宋体" w:cs="Times New Roman"/>
                <w:bCs/>
                <w:color w:val="auto"/>
                <w:sz w:val="24"/>
                <w:szCs w:val="24"/>
                <w:lang w:val="en-US" w:eastAsia="zh-CN"/>
              </w:rPr>
              <w:t>空地及</w:t>
            </w:r>
            <w:r>
              <w:rPr>
                <w:rFonts w:hint="eastAsia" w:ascii="Times New Roman" w:hAnsi="Times New Roman" w:eastAsia="宋体" w:cs="Times New Roman"/>
                <w:color w:val="auto"/>
                <w:kern w:val="0"/>
                <w:sz w:val="24"/>
                <w:szCs w:val="24"/>
                <w:lang w:val="en-US" w:eastAsia="zh-CN"/>
              </w:rPr>
              <w:t>东侧</w:t>
            </w:r>
            <w:r>
              <w:rPr>
                <w:rFonts w:hint="eastAsia" w:ascii="Times New Roman" w:hAnsi="Times New Roman" w:eastAsia="宋体" w:cs="Times New Roman"/>
                <w:bCs/>
                <w:color w:val="auto"/>
                <w:sz w:val="24"/>
                <w:szCs w:val="24"/>
                <w:lang w:val="en-US" w:eastAsia="zh-CN"/>
              </w:rPr>
              <w:t>空地分别新建1个湿污泥储存间和1个污水池及柴油发电机房。项目改建后，在发酵及成品车间内进料区北侧区域设置1个辅料储存区和1个干污泥储存区。</w:t>
            </w:r>
          </w:p>
          <w:p>
            <w:pPr>
              <w:autoSpaceDE w:val="0"/>
              <w:autoSpaceDN w:val="0"/>
              <w:adjustRightInd w:val="0"/>
              <w:snapToGrid w:val="0"/>
              <w:spacing w:line="440" w:lineRule="exact"/>
              <w:ind w:firstLine="480" w:firstLineChars="200"/>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color w:val="auto"/>
                <w:kern w:val="0"/>
                <w:sz w:val="24"/>
                <w:szCs w:val="24"/>
                <w:lang w:val="en-US" w:eastAsia="zh-CN"/>
              </w:rPr>
              <w:t>现有综合楼位于厂区西侧，厂区东侧北部及南部分别设置有1个出入口。</w:t>
            </w:r>
            <w:r>
              <w:rPr>
                <w:rFonts w:ascii="Times New Roman" w:hAnsi="Times New Roman" w:eastAsia="宋体" w:cs="Times New Roman"/>
                <w:color w:val="auto"/>
                <w:kern w:val="0"/>
                <w:sz w:val="24"/>
                <w:szCs w:val="24"/>
              </w:rPr>
              <w:t>项目生产区及办公区进行了有效分离，可以有效</w:t>
            </w:r>
            <w:r>
              <w:rPr>
                <w:rFonts w:ascii="Times New Roman" w:hAnsi="Times New Roman" w:eastAsia="宋体" w:cs="Times New Roman"/>
                <w:kern w:val="0"/>
                <w:sz w:val="24"/>
                <w:szCs w:val="24"/>
              </w:rPr>
              <w:t>避免相互干扰和交叉污染。生产区</w:t>
            </w:r>
            <w:r>
              <w:rPr>
                <w:rFonts w:hint="eastAsia" w:ascii="Times New Roman" w:hAnsi="Times New Roman" w:eastAsia="宋体" w:cs="Times New Roman"/>
                <w:kern w:val="0"/>
                <w:sz w:val="24"/>
                <w:szCs w:val="24"/>
                <w:lang w:val="en-US" w:eastAsia="zh-CN"/>
              </w:rPr>
              <w:t>各设施按工艺顺序布置，工艺流畅。</w:t>
            </w:r>
          </w:p>
          <w:p>
            <w:pPr>
              <w:autoSpaceDE w:val="0"/>
              <w:autoSpaceDN w:val="0"/>
              <w:adjustRightInd w:val="0"/>
              <w:snapToGrid w:val="0"/>
              <w:spacing w:line="440" w:lineRule="exact"/>
              <w:ind w:firstLine="480" w:firstLineChars="200"/>
              <w:rPr>
                <w:rFonts w:hint="eastAsia" w:ascii="Times New Roman" w:hAnsi="Times New Roman" w:eastAsia="宋体" w:cs="Times New Roman"/>
                <w:b/>
                <w:bCs/>
                <w:kern w:val="0"/>
                <w:sz w:val="24"/>
                <w:szCs w:val="24"/>
                <w:lang w:eastAsia="zh-CN"/>
              </w:rPr>
            </w:pPr>
            <w:r>
              <w:rPr>
                <w:rFonts w:hint="eastAsia" w:ascii="Times New Roman" w:hAnsi="Times New Roman" w:eastAsia="宋体" w:cs="Times New Roman"/>
                <w:kern w:val="0"/>
                <w:sz w:val="24"/>
                <w:szCs w:val="24"/>
                <w:lang w:eastAsia="zh-CN"/>
              </w:rPr>
              <w:t>综上所述</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CN"/>
              </w:rPr>
              <w:t>本</w:t>
            </w:r>
            <w:r>
              <w:rPr>
                <w:rFonts w:ascii="Times New Roman" w:hAnsi="Times New Roman" w:eastAsia="宋体" w:cs="Times New Roman"/>
                <w:kern w:val="0"/>
                <w:sz w:val="24"/>
                <w:szCs w:val="24"/>
              </w:rPr>
              <w:t>项目建成后厂区</w:t>
            </w:r>
            <w:r>
              <w:rPr>
                <w:rFonts w:hint="eastAsia" w:ascii="Times New Roman" w:hAnsi="Times New Roman" w:eastAsia="宋体" w:cs="Times New Roman"/>
                <w:kern w:val="0"/>
                <w:sz w:val="24"/>
                <w:szCs w:val="24"/>
                <w:lang w:eastAsia="zh-CN"/>
              </w:rPr>
              <w:t>总</w:t>
            </w:r>
            <w:r>
              <w:rPr>
                <w:rFonts w:ascii="Times New Roman" w:hAnsi="Times New Roman" w:eastAsia="宋体" w:cs="Times New Roman"/>
                <w:kern w:val="0"/>
                <w:sz w:val="24"/>
                <w:szCs w:val="24"/>
              </w:rPr>
              <w:t>平面布局</w:t>
            </w:r>
            <w:r>
              <w:rPr>
                <w:rFonts w:hint="eastAsia" w:ascii="Times New Roman" w:hAnsi="Times New Roman" w:eastAsia="宋体" w:cs="Times New Roman"/>
                <w:kern w:val="0"/>
                <w:sz w:val="24"/>
                <w:szCs w:val="24"/>
                <w:lang w:eastAsia="zh-CN"/>
              </w:rPr>
              <w:t>合理</w:t>
            </w:r>
            <w:r>
              <w:rPr>
                <w:rFonts w:ascii="Times New Roman" w:hAnsi="Times New Roman" w:eastAsia="宋体" w:cs="Times New Roman"/>
                <w:kern w:val="0"/>
                <w:sz w:val="24"/>
                <w:szCs w:val="24"/>
              </w:rPr>
              <w:t>，项目总平面布置见</w:t>
            </w:r>
            <w:r>
              <w:rPr>
                <w:rFonts w:ascii="Times New Roman" w:hAnsi="Times New Roman" w:eastAsia="宋体" w:cs="Times New Roman"/>
                <w:b/>
                <w:kern w:val="0"/>
                <w:sz w:val="24"/>
                <w:szCs w:val="24"/>
              </w:rPr>
              <w:t>附图2。</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4"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工艺流程和产排污环节</w:t>
            </w:r>
          </w:p>
        </w:tc>
        <w:tc>
          <w:tcPr>
            <w:tcW w:w="8317" w:type="dxa"/>
            <w:vAlign w:val="top"/>
          </w:tcPr>
          <w:p>
            <w:pPr>
              <w:autoSpaceDE w:val="0"/>
              <w:autoSpaceDN w:val="0"/>
              <w:spacing w:line="440" w:lineRule="exact"/>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2</w:t>
            </w:r>
            <w:r>
              <w:rPr>
                <w:rFonts w:ascii="Times New Roman" w:hAnsi="Times New Roman" w:eastAsia="宋体" w:cs="Times New Roman"/>
                <w:b/>
                <w:bCs/>
                <w:kern w:val="0"/>
                <w:sz w:val="24"/>
                <w:szCs w:val="24"/>
              </w:rPr>
              <w:t>.2</w:t>
            </w:r>
            <w:r>
              <w:rPr>
                <w:rFonts w:hint="eastAsia" w:ascii="Times New Roman" w:hAnsi="Times New Roman" w:eastAsia="宋体" w:cs="Times New Roman"/>
                <w:b/>
                <w:bCs/>
                <w:kern w:val="0"/>
                <w:sz w:val="24"/>
                <w:szCs w:val="24"/>
              </w:rPr>
              <w:t>工艺流程和产排污环节</w:t>
            </w:r>
          </w:p>
          <w:p>
            <w:pPr>
              <w:autoSpaceDE w:val="0"/>
              <w:autoSpaceDN w:val="0"/>
              <w:spacing w:line="440" w:lineRule="exact"/>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2</w:t>
            </w:r>
            <w:r>
              <w:rPr>
                <w:rFonts w:ascii="Times New Roman" w:hAnsi="Times New Roman" w:eastAsia="宋体" w:cs="Times New Roman"/>
                <w:b/>
                <w:bCs/>
                <w:kern w:val="0"/>
                <w:sz w:val="24"/>
                <w:szCs w:val="24"/>
              </w:rPr>
              <w:t>.2.</w:t>
            </w:r>
            <w:r>
              <w:rPr>
                <w:rFonts w:hint="eastAsia" w:ascii="Times New Roman" w:hAnsi="Times New Roman" w:eastAsia="宋体" w:cs="Times New Roman"/>
                <w:b/>
                <w:bCs/>
                <w:kern w:val="0"/>
                <w:sz w:val="24"/>
                <w:szCs w:val="24"/>
                <w:lang w:val="en-US" w:eastAsia="zh-CN"/>
              </w:rPr>
              <w:t>1  施工期</w:t>
            </w:r>
            <w:r>
              <w:rPr>
                <w:rFonts w:hint="eastAsia" w:ascii="Times New Roman" w:hAnsi="Times New Roman" w:eastAsia="宋体" w:cs="Times New Roman"/>
                <w:b/>
                <w:bCs/>
                <w:kern w:val="0"/>
                <w:sz w:val="24"/>
                <w:szCs w:val="24"/>
              </w:rPr>
              <w:t>工艺流程和产排污</w:t>
            </w:r>
          </w:p>
          <w:p>
            <w:pPr>
              <w:spacing w:line="440" w:lineRule="exact"/>
              <w:ind w:firstLine="480" w:firstLineChars="200"/>
              <w:outlineLvl w:val="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w:t>
            </w:r>
            <w:r>
              <w:rPr>
                <w:rFonts w:hint="eastAsia" w:ascii="Times New Roman" w:hAnsi="Times New Roman" w:eastAsia="宋体" w:cs="Times New Roman"/>
                <w:color w:val="auto"/>
                <w:kern w:val="0"/>
                <w:sz w:val="24"/>
                <w:szCs w:val="24"/>
                <w:lang w:eastAsia="zh-CN"/>
              </w:rPr>
              <w:t>利用</w:t>
            </w:r>
            <w:r>
              <w:rPr>
                <w:rFonts w:hint="eastAsia" w:ascii="Times New Roman" w:hAnsi="Times New Roman" w:eastAsia="宋体" w:cs="Times New Roman"/>
                <w:color w:val="auto"/>
                <w:kern w:val="0"/>
                <w:sz w:val="24"/>
                <w:szCs w:val="24"/>
                <w:lang w:val="en-US" w:eastAsia="zh-CN"/>
              </w:rPr>
              <w:t>现有辅料车间改建为污泥脱水车间，</w:t>
            </w:r>
            <w:r>
              <w:rPr>
                <w:rFonts w:hint="eastAsia" w:ascii="Times New Roman" w:hAnsi="Times New Roman" w:eastAsia="宋体" w:cs="Times New Roman"/>
                <w:bCs/>
                <w:color w:val="auto"/>
                <w:sz w:val="24"/>
                <w:szCs w:val="24"/>
                <w:lang w:val="en-US" w:eastAsia="zh-CN"/>
              </w:rPr>
              <w:t>新建1个湿污泥储存间和1个污水池及柴油发电机房</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rPr>
              <w:t>施工主要包括场地平整、基础工程、结构施工、设备安装等</w:t>
            </w:r>
            <w:r>
              <w:rPr>
                <w:rFonts w:ascii="Times New Roman" w:hAnsi="Times New Roman" w:eastAsia="宋体" w:cs="Times New Roman"/>
                <w:color w:val="auto"/>
                <w:kern w:val="0"/>
                <w:sz w:val="24"/>
                <w:szCs w:val="24"/>
              </w:rPr>
              <w:t>。施工期产污流程见下图所示</w:t>
            </w:r>
            <w:r>
              <w:rPr>
                <w:rFonts w:ascii="Times New Roman" w:hAnsi="Times New Roman" w:eastAsia="宋体" w:cs="Times New Roman"/>
                <w:kern w:val="0"/>
                <w:sz w:val="24"/>
                <w:szCs w:val="24"/>
              </w:rPr>
              <w:t>。</w:t>
            </w:r>
          </w:p>
          <w:p>
            <w:pPr>
              <w:jc w:val="center"/>
              <w:rPr>
                <w:color w:val="FF0000"/>
              </w:rPr>
            </w:pPr>
            <w:r>
              <w:rPr>
                <w:color w:val="auto"/>
              </w:rPr>
              <w:object>
                <v:shape id="_x0000_i1028" o:spt="75" type="#_x0000_t75" style="height:111.15pt;width:389.35pt;" o:ole="t" filled="f" o:preferrelative="t" stroked="f" coordsize="21600,21600">
                  <v:path/>
                  <v:fill on="f" focussize="0,0"/>
                  <v:stroke on="f"/>
                  <v:imagedata r:id="rId19" o:title=""/>
                  <o:lock v:ext="edit" aspectratio="t"/>
                  <w10:wrap type="none"/>
                  <w10:anchorlock/>
                </v:shape>
                <o:OLEObject Type="Embed" ProgID="Visio.Drawing.11" ShapeID="_x0000_i1028" DrawAspect="Content" ObjectID="_1468075728" r:id="rId18">
                  <o:LockedField>false</o:LockedField>
                </o:OLEObject>
              </w:object>
            </w:r>
          </w:p>
          <w:p>
            <w:pPr>
              <w:jc w:val="center"/>
              <w:rPr>
                <w:rFonts w:ascii="Times New Roman" w:hAnsi="Times New Roman" w:eastAsia="宋体" w:cs="Times New Roman"/>
                <w:b/>
                <w:sz w:val="24"/>
                <w:szCs w:val="24"/>
              </w:rPr>
            </w:pPr>
            <w:r>
              <w:rPr>
                <w:rFonts w:ascii="Times New Roman" w:hAnsi="Times New Roman" w:eastAsia="宋体" w:cs="Times New Roman"/>
                <w:b/>
                <w:sz w:val="24"/>
                <w:szCs w:val="24"/>
              </w:rPr>
              <w:t>图2</w:t>
            </w:r>
            <w:r>
              <w:rPr>
                <w:rFonts w:hint="eastAsia" w:ascii="Times New Roman" w:hAnsi="Times New Roman" w:eastAsia="宋体" w:cs="Times New Roman"/>
                <w:b/>
                <w:sz w:val="24"/>
                <w:szCs w:val="24"/>
                <w:lang w:val="en-US" w:eastAsia="zh-CN"/>
              </w:rPr>
              <w:t>.2.3</w:t>
            </w:r>
            <w:r>
              <w:rPr>
                <w:rFonts w:ascii="Times New Roman" w:hAnsi="Times New Roman" w:eastAsia="宋体" w:cs="Times New Roman"/>
                <w:b/>
                <w:sz w:val="24"/>
                <w:szCs w:val="24"/>
              </w:rPr>
              <w:t xml:space="preserve">  项目施工期工艺流程及产污环节图</w:t>
            </w:r>
          </w:p>
          <w:p>
            <w:pPr>
              <w:autoSpaceDE w:val="0"/>
              <w:autoSpaceDN w:val="0"/>
              <w:spacing w:line="440" w:lineRule="exact"/>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w:t>
            </w:r>
            <w:r>
              <w:rPr>
                <w:rFonts w:hint="eastAsia" w:ascii="Times New Roman" w:hAnsi="Times New Roman" w:eastAsia="宋体" w:cs="Times New Roman"/>
                <w:b/>
                <w:bCs/>
                <w:kern w:val="0"/>
                <w:sz w:val="24"/>
                <w:szCs w:val="24"/>
                <w:lang w:val="en-US" w:eastAsia="zh-CN"/>
              </w:rPr>
              <w:t>2.2</w:t>
            </w:r>
            <w:r>
              <w:rPr>
                <w:rFonts w:ascii="Times New Roman" w:hAnsi="Times New Roman" w:eastAsia="宋体" w:cs="Times New Roman"/>
                <w:b/>
                <w:bCs/>
                <w:kern w:val="0"/>
                <w:sz w:val="24"/>
                <w:szCs w:val="24"/>
              </w:rPr>
              <w:t xml:space="preserve"> 运营期生产工艺流程及产污环节</w:t>
            </w:r>
          </w:p>
          <w:p>
            <w:pPr>
              <w:spacing w:line="440" w:lineRule="exact"/>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sz w:val="24"/>
                <w:szCs w:val="24"/>
                <w:lang w:val="en-US" w:eastAsia="zh-CN"/>
              </w:rPr>
              <w:t>根据业主提供资料，本项目仅对城市生活污泥进行脱水处理，使其含水率由80%降低至50%~60%</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color w:val="auto"/>
                <w:kern w:val="0"/>
                <w:sz w:val="24"/>
                <w:szCs w:val="24"/>
                <w:lang w:val="en-US" w:eastAsia="zh-CN"/>
              </w:rPr>
              <w:t>脱水后污泥主要提供给华新盐井水泥进行综合利用</w:t>
            </w:r>
            <w:r>
              <w:rPr>
                <w:rFonts w:hint="eastAsia" w:ascii="Times New Roman" w:hAnsi="Times New Roman" w:eastAsia="宋体" w:cs="Times New Roman"/>
                <w:bCs/>
                <w:color w:val="auto"/>
                <w:sz w:val="24"/>
                <w:szCs w:val="24"/>
                <w:lang w:val="en-US" w:eastAsia="zh-CN"/>
              </w:rPr>
              <w:t>；在华新盐井水泥停窑期间，</w:t>
            </w:r>
            <w:r>
              <w:rPr>
                <w:rFonts w:hint="eastAsia" w:ascii="Times New Roman" w:hAnsi="Times New Roman" w:eastAsia="宋体" w:cs="Times New Roman"/>
                <w:color w:val="auto"/>
                <w:kern w:val="0"/>
                <w:sz w:val="24"/>
                <w:szCs w:val="24"/>
                <w:lang w:val="en-US" w:eastAsia="zh-CN"/>
              </w:rPr>
              <w:t>脱水后污泥依托现有绿化营养土发酵生产线进行综合利用。</w:t>
            </w:r>
          </w:p>
          <w:p>
            <w:pPr>
              <w:jc w:val="center"/>
              <w:rPr>
                <w:rFonts w:ascii="Calibri" w:hAnsi="Calibri"/>
                <w:color w:val="auto"/>
                <w:sz w:val="21"/>
              </w:rPr>
            </w:pPr>
            <w:r>
              <w:rPr>
                <w:rFonts w:ascii="Calibri" w:hAnsi="Calibri"/>
                <w:color w:val="auto"/>
                <w:sz w:val="21"/>
              </w:rPr>
              <w:object>
                <v:shape id="_x0000_i1029" o:spt="75" type="#_x0000_t75" style="height:172.85pt;width:403.65pt;" o:ole="t" filled="f" o:preferrelative="t" stroked="f" coordsize="21600,21600">
                  <v:path/>
                  <v:fill on="f" focussize="0,0"/>
                  <v:stroke on="f"/>
                  <v:imagedata r:id="rId21" cropleft="2668f" cropright="-979f" o:title=""/>
                  <o:lock v:ext="edit" aspectratio="t"/>
                  <w10:wrap type="none"/>
                  <w10:anchorlock/>
                </v:shape>
                <o:OLEObject Type="Embed" ProgID="Visio.Drawing.11" ShapeID="_x0000_i1029" DrawAspect="Content" ObjectID="_1468075729" r:id="rId20">
                  <o:LockedField>false</o:LockedField>
                </o:OLEObject>
              </w:object>
            </w:r>
            <w:r>
              <w:rPr>
                <w:rFonts w:ascii="Times New Roman" w:hAnsi="Times New Roman" w:eastAsia="宋体" w:cs="Times New Roman"/>
                <w:b/>
                <w:bCs/>
                <w:color w:val="auto"/>
                <w:sz w:val="24"/>
                <w:szCs w:val="24"/>
              </w:rPr>
              <w:t>图</w:t>
            </w:r>
            <w:r>
              <w:rPr>
                <w:rFonts w:hint="eastAsia" w:ascii="Times New Roman" w:hAnsi="Times New Roman" w:eastAsia="宋体" w:cs="Times New Roman"/>
                <w:b/>
                <w:bCs/>
                <w:color w:val="auto"/>
                <w:sz w:val="24"/>
                <w:szCs w:val="24"/>
                <w:lang w:val="en-US" w:eastAsia="zh-CN"/>
              </w:rPr>
              <w:t>2.2.4</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eastAsia="zh-CN"/>
              </w:rPr>
              <w:t>本项目</w:t>
            </w:r>
            <w:r>
              <w:rPr>
                <w:rFonts w:hint="eastAsia" w:ascii="Times New Roman" w:hAnsi="Times New Roman" w:eastAsia="宋体" w:cs="Times New Roman"/>
                <w:b/>
                <w:bCs/>
                <w:color w:val="auto"/>
                <w:sz w:val="24"/>
                <w:szCs w:val="24"/>
                <w:lang w:val="en-US" w:eastAsia="zh-CN"/>
              </w:rPr>
              <w:t>污泥脱水及发酵</w:t>
            </w:r>
            <w:r>
              <w:rPr>
                <w:rFonts w:hint="eastAsia" w:ascii="Times New Roman" w:hAnsi="Times New Roman" w:eastAsia="宋体" w:cs="Times New Roman"/>
                <w:b/>
                <w:bCs/>
                <w:color w:val="auto"/>
                <w:sz w:val="24"/>
                <w:szCs w:val="24"/>
                <w:lang w:val="zh-CN" w:eastAsia="zh-CN"/>
              </w:rPr>
              <w:t>生产</w:t>
            </w:r>
            <w:r>
              <w:rPr>
                <w:rFonts w:ascii="Times New Roman" w:hAnsi="Times New Roman" w:eastAsia="宋体" w:cs="Times New Roman"/>
                <w:b/>
                <w:bCs/>
                <w:color w:val="auto"/>
                <w:sz w:val="24"/>
                <w:szCs w:val="24"/>
              </w:rPr>
              <w:t>工艺流程及产生环节图</w:t>
            </w:r>
          </w:p>
          <w:p>
            <w:pPr>
              <w:tabs>
                <w:tab w:val="left" w:pos="1970"/>
              </w:tabs>
              <w:spacing w:line="440" w:lineRule="exact"/>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color w:val="auto"/>
                <w:sz w:val="24"/>
                <w:szCs w:val="24"/>
                <w:lang w:val="en-US" w:eastAsia="zh-CN"/>
              </w:rPr>
              <w:t>1、污泥深度脱水</w:t>
            </w:r>
            <w:r>
              <w:rPr>
                <w:rFonts w:ascii="Times New Roman" w:hAnsi="Times New Roman" w:eastAsia="宋体" w:cs="Times New Roman"/>
                <w:b/>
                <w:bCs/>
                <w:sz w:val="24"/>
                <w:szCs w:val="24"/>
              </w:rPr>
              <w:t>工艺流程</w:t>
            </w:r>
          </w:p>
          <w:p>
            <w:pPr>
              <w:spacing w:line="360" w:lineRule="auto"/>
              <w:ind w:firstLine="480" w:firstLineChars="200"/>
              <w:jc w:val="both"/>
              <w:rPr>
                <w:rFonts w:hint="default" w:ascii="Times New Roman" w:hAnsi="Times New Roman" w:eastAsia="宋体" w:cs="Times New Roman"/>
                <w:b w:val="0"/>
                <w:bCs/>
                <w:color w:val="auto"/>
                <w:sz w:val="24"/>
                <w:lang w:val="zh-CN" w:eastAsia="zh-CN"/>
              </w:rPr>
            </w:pPr>
            <w:r>
              <w:rPr>
                <w:rFonts w:hint="eastAsia" w:ascii="Times New Roman" w:hAnsi="Times New Roman" w:eastAsia="宋体" w:cs="Times New Roman"/>
                <w:b w:val="0"/>
                <w:bCs/>
                <w:color w:val="auto"/>
                <w:sz w:val="24"/>
                <w:lang w:val="zh-CN" w:eastAsia="zh-CN"/>
              </w:rPr>
              <w:t>（</w:t>
            </w:r>
            <w:r>
              <w:rPr>
                <w:rFonts w:hint="eastAsia" w:ascii="Times New Roman" w:hAnsi="Times New Roman" w:eastAsia="宋体" w:cs="Times New Roman"/>
                <w:b w:val="0"/>
                <w:bCs/>
                <w:color w:val="auto"/>
                <w:sz w:val="24"/>
                <w:lang w:val="en-US" w:eastAsia="zh-CN"/>
              </w:rPr>
              <w:t>1</w:t>
            </w:r>
            <w:r>
              <w:rPr>
                <w:rFonts w:hint="eastAsia" w:ascii="Times New Roman" w:hAnsi="Times New Roman" w:eastAsia="宋体" w:cs="Times New Roman"/>
                <w:b w:val="0"/>
                <w:bCs/>
                <w:color w:val="auto"/>
                <w:sz w:val="24"/>
                <w:lang w:val="zh-CN" w:eastAsia="zh-CN"/>
              </w:rPr>
              <w:t>）</w:t>
            </w:r>
            <w:r>
              <w:rPr>
                <w:rFonts w:hint="eastAsia" w:ascii="Times New Roman" w:hAnsi="Times New Roman" w:eastAsia="宋体" w:cs="Times New Roman"/>
                <w:b w:val="0"/>
                <w:bCs/>
                <w:color w:val="auto"/>
                <w:sz w:val="24"/>
                <w:lang w:val="en-US" w:eastAsia="zh-CN"/>
              </w:rPr>
              <w:t>储存、破壁</w:t>
            </w:r>
          </w:p>
          <w:p>
            <w:pPr>
              <w:spacing w:line="360" w:lineRule="auto"/>
              <w:ind w:firstLine="480" w:firstLineChars="200"/>
              <w:jc w:val="both"/>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城镇生活污泥由产生单位运至厂区湿污泥储存间的污泥料仓内，首先打开湿污泥储存间卷帘门，通过污泥罐车将污泥泵入密闭污泥料仓进行中转储存，</w:t>
            </w:r>
            <w:r>
              <w:rPr>
                <w:rFonts w:hint="default" w:ascii="Times New Roman" w:hAnsi="Times New Roman" w:eastAsia="宋体" w:cs="Times New Roman"/>
                <w:b w:val="0"/>
                <w:bCs/>
                <w:color w:val="auto"/>
                <w:sz w:val="24"/>
                <w:lang w:val="en-US" w:eastAsia="zh-CN"/>
              </w:rPr>
              <w:t>卸料</w:t>
            </w:r>
            <w:r>
              <w:rPr>
                <w:rFonts w:hint="eastAsia" w:ascii="Times New Roman" w:hAnsi="Times New Roman" w:eastAsia="宋体" w:cs="Times New Roman"/>
                <w:b w:val="0"/>
                <w:bCs/>
                <w:color w:val="auto"/>
                <w:sz w:val="24"/>
                <w:lang w:val="en-US" w:eastAsia="zh-CN"/>
              </w:rPr>
              <w:t>时</w:t>
            </w:r>
            <w:r>
              <w:rPr>
                <w:rFonts w:hint="default" w:ascii="Times New Roman" w:hAnsi="Times New Roman" w:eastAsia="宋体" w:cs="Times New Roman"/>
                <w:b w:val="0"/>
                <w:bCs/>
                <w:color w:val="auto"/>
                <w:sz w:val="24"/>
                <w:lang w:val="en-US" w:eastAsia="zh-CN"/>
              </w:rPr>
              <w:t>，打开料仓仓盖</w:t>
            </w:r>
            <w:r>
              <w:rPr>
                <w:rFonts w:hint="eastAsia" w:ascii="Times New Roman" w:hAnsi="Times New Roman" w:eastAsia="宋体" w:cs="Times New Roman"/>
                <w:b w:val="0"/>
                <w:bCs/>
                <w:color w:val="auto"/>
                <w:sz w:val="24"/>
                <w:lang w:val="en-US" w:eastAsia="zh-CN"/>
              </w:rPr>
              <w:t>卸料口，并接入卸料管道</w:t>
            </w:r>
            <w:r>
              <w:rPr>
                <w:rFonts w:hint="default" w:ascii="Times New Roman" w:hAnsi="Times New Roman" w:eastAsia="宋体" w:cs="Times New Roman"/>
                <w:b w:val="0"/>
                <w:bCs/>
                <w:color w:val="auto"/>
                <w:sz w:val="24"/>
                <w:lang w:val="en-US" w:eastAsia="zh-CN"/>
              </w:rPr>
              <w:t>，完成卸料后，</w:t>
            </w:r>
            <w:r>
              <w:rPr>
                <w:rFonts w:hint="eastAsia" w:ascii="Times New Roman" w:hAnsi="Times New Roman" w:eastAsia="宋体" w:cs="Times New Roman"/>
                <w:b w:val="0"/>
                <w:bCs/>
                <w:color w:val="auto"/>
                <w:sz w:val="24"/>
                <w:lang w:val="en-US" w:eastAsia="zh-CN"/>
              </w:rPr>
              <w:t>关</w:t>
            </w:r>
            <w:r>
              <w:rPr>
                <w:rFonts w:hint="default" w:ascii="Times New Roman" w:hAnsi="Times New Roman" w:eastAsia="宋体" w:cs="Times New Roman"/>
                <w:b w:val="0"/>
                <w:bCs/>
                <w:color w:val="auto"/>
                <w:sz w:val="24"/>
                <w:lang w:val="en-US" w:eastAsia="zh-CN"/>
              </w:rPr>
              <w:t>闭仓盖</w:t>
            </w:r>
            <w:r>
              <w:rPr>
                <w:rFonts w:hint="eastAsia" w:ascii="Times New Roman" w:hAnsi="Times New Roman" w:eastAsia="宋体" w:cs="Times New Roman"/>
                <w:b w:val="0"/>
                <w:bCs/>
                <w:color w:val="auto"/>
                <w:sz w:val="24"/>
                <w:lang w:val="en-US" w:eastAsia="zh-CN"/>
              </w:rPr>
              <w:t>卸料口，然后污泥罐车使出车间，并关闭储存间卷帘门。</w:t>
            </w:r>
          </w:p>
          <w:p>
            <w:pPr>
              <w:spacing w:line="360" w:lineRule="auto"/>
              <w:ind w:firstLine="480" w:firstLineChars="200"/>
              <w:jc w:val="both"/>
              <w:rPr>
                <w:rFonts w:hint="default" w:ascii="Times New Roman" w:hAnsi="Times New Roman" w:eastAsia="宋体" w:cs="Times New Roman"/>
                <w:b w:val="0"/>
                <w:bCs/>
                <w:color w:val="auto"/>
                <w:sz w:val="24"/>
                <w:lang w:val="zh-CN" w:eastAsia="zh-CN"/>
              </w:rPr>
            </w:pPr>
            <w:r>
              <w:rPr>
                <w:rFonts w:hint="default" w:ascii="Times New Roman" w:hAnsi="Times New Roman" w:eastAsia="宋体" w:cs="Times New Roman"/>
                <w:b w:val="0"/>
                <w:bCs/>
                <w:color w:val="auto"/>
                <w:sz w:val="24"/>
                <w:lang w:val="zh-CN" w:eastAsia="zh-CN"/>
              </w:rPr>
              <w:t>破壁装置放置在污泥料仓下边，污泥料仓</w:t>
            </w:r>
            <w:r>
              <w:rPr>
                <w:rFonts w:hint="eastAsia" w:ascii="Times New Roman" w:hAnsi="Times New Roman" w:eastAsia="宋体" w:cs="Times New Roman"/>
                <w:b w:val="0"/>
                <w:bCs/>
                <w:color w:val="auto"/>
                <w:sz w:val="24"/>
                <w:lang w:val="zh-CN" w:eastAsia="zh-CN"/>
              </w:rPr>
              <w:t>仅作为中转储存仓，污泥不长时间储存，污泥卸料完成后直接</w:t>
            </w:r>
            <w:r>
              <w:rPr>
                <w:rFonts w:hint="default" w:ascii="Times New Roman" w:hAnsi="Times New Roman" w:eastAsia="宋体" w:cs="Times New Roman"/>
                <w:b w:val="0"/>
                <w:bCs/>
                <w:color w:val="auto"/>
                <w:sz w:val="24"/>
                <w:lang w:val="zh-CN" w:eastAsia="zh-CN"/>
              </w:rPr>
              <w:t>通过预压螺旋将污泥输送到破壁装置进行破壁处理</w:t>
            </w:r>
            <w:r>
              <w:rPr>
                <w:rFonts w:hint="eastAsia" w:ascii="Times New Roman" w:hAnsi="Times New Roman" w:eastAsia="宋体" w:cs="Times New Roman"/>
                <w:b w:val="0"/>
                <w:bCs/>
                <w:color w:val="auto"/>
                <w:sz w:val="24"/>
                <w:lang w:val="zh-CN" w:eastAsia="zh-CN"/>
              </w:rPr>
              <w:t>，污泥改性剂</w:t>
            </w:r>
            <w:r>
              <w:rPr>
                <w:rFonts w:hint="default" w:ascii="Times New Roman" w:hAnsi="Times New Roman" w:eastAsia="宋体" w:cs="Times New Roman"/>
                <w:b w:val="0"/>
                <w:bCs/>
                <w:color w:val="auto"/>
                <w:sz w:val="24"/>
                <w:lang w:val="zh-CN" w:eastAsia="zh-CN"/>
              </w:rPr>
              <w:t>通过药剂泵定量注入预压螺旋内</w:t>
            </w:r>
            <w:r>
              <w:rPr>
                <w:rFonts w:hint="eastAsia" w:ascii="Times New Roman" w:hAnsi="Times New Roman" w:eastAsia="宋体" w:cs="Times New Roman"/>
                <w:b w:val="0"/>
                <w:bCs/>
                <w:color w:val="auto"/>
                <w:sz w:val="24"/>
                <w:lang w:val="zh-CN" w:eastAsia="zh-CN"/>
              </w:rPr>
              <w:t>与污泥一并进入</w:t>
            </w:r>
            <w:r>
              <w:rPr>
                <w:rFonts w:hint="default" w:ascii="Times New Roman" w:hAnsi="Times New Roman" w:eastAsia="宋体" w:cs="Times New Roman"/>
                <w:b w:val="0"/>
                <w:bCs/>
                <w:color w:val="auto"/>
                <w:sz w:val="24"/>
                <w:lang w:val="zh-CN" w:eastAsia="zh-CN"/>
              </w:rPr>
              <w:t>破壁装置</w:t>
            </w:r>
            <w:r>
              <w:rPr>
                <w:rFonts w:hint="eastAsia" w:ascii="Times New Roman" w:hAnsi="Times New Roman" w:eastAsia="宋体" w:cs="Times New Roman"/>
                <w:b w:val="0"/>
                <w:bCs/>
                <w:color w:val="auto"/>
                <w:sz w:val="24"/>
                <w:lang w:val="zh-CN" w:eastAsia="zh-CN"/>
              </w:rPr>
              <w:t>进行混合</w:t>
            </w:r>
            <w:r>
              <w:rPr>
                <w:rFonts w:hint="default" w:ascii="Times New Roman" w:hAnsi="Times New Roman" w:eastAsia="宋体" w:cs="Times New Roman"/>
                <w:b w:val="0"/>
                <w:bCs/>
                <w:color w:val="auto"/>
                <w:sz w:val="24"/>
                <w:lang w:val="zh-CN" w:eastAsia="zh-CN"/>
              </w:rPr>
              <w:t>破壁，</w:t>
            </w:r>
            <w:r>
              <w:rPr>
                <w:rFonts w:hint="eastAsia" w:ascii="Times New Roman" w:hAnsi="Times New Roman" w:eastAsia="宋体" w:cs="Times New Roman"/>
                <w:b w:val="0"/>
                <w:bCs/>
                <w:color w:val="auto"/>
                <w:sz w:val="24"/>
                <w:lang w:val="zh-CN" w:eastAsia="zh-CN"/>
              </w:rPr>
              <w:t>污泥改性剂</w:t>
            </w:r>
            <w:r>
              <w:rPr>
                <w:rFonts w:hint="default" w:ascii="Times New Roman" w:hAnsi="Times New Roman" w:eastAsia="宋体" w:cs="Times New Roman"/>
                <w:b w:val="0"/>
                <w:bCs/>
                <w:color w:val="auto"/>
                <w:sz w:val="24"/>
                <w:lang w:val="zh-CN" w:eastAsia="zh-CN"/>
              </w:rPr>
              <w:t>采用市场常规药剂液态聚合氯化铝。</w:t>
            </w:r>
          </w:p>
          <w:p>
            <w:pPr>
              <w:spacing w:line="360" w:lineRule="auto"/>
              <w:ind w:firstLine="480" w:firstLineChars="200"/>
              <w:jc w:val="both"/>
              <w:rPr>
                <w:rFonts w:hint="eastAsia" w:ascii="Times New Roman" w:hAnsi="Times New Roman" w:eastAsia="宋体" w:cs="Times New Roman"/>
                <w:b w:val="0"/>
                <w:bCs/>
                <w:color w:val="auto"/>
                <w:sz w:val="24"/>
                <w:lang w:val="zh-CN" w:eastAsia="zh-CN"/>
              </w:rPr>
            </w:pPr>
            <w:r>
              <w:rPr>
                <w:rFonts w:hint="eastAsia" w:ascii="Times New Roman" w:hAnsi="Times New Roman" w:eastAsia="宋体" w:cs="Times New Roman"/>
                <w:b w:val="0"/>
                <w:bCs/>
                <w:color w:val="auto"/>
                <w:sz w:val="24"/>
                <w:lang w:val="zh-CN" w:eastAsia="zh-CN"/>
              </w:rPr>
              <w:t>污泥改性原理：较强的架桥吸附性能，在水解过程中，伴随发生凝聚，吸附和沉淀等物理化学过程，铝离子水解形成胶体羟基聚合物或氢氧化物沉淀，通过静电粘附、网捕等作用，改变大颗粒污泥的稳定性，卷扫小颗粒污泥，形成有一定承载力的絮体颗粒，聚合氯化铝作为絮凝剂，沉降速度快、污泥颗粒大、污泥体积小且密实。</w:t>
            </w:r>
          </w:p>
          <w:p>
            <w:pPr>
              <w:spacing w:line="360" w:lineRule="auto"/>
              <w:ind w:firstLine="480" w:firstLineChars="200"/>
              <w:jc w:val="both"/>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color w:val="auto"/>
                <w:kern w:val="0"/>
                <w:sz w:val="24"/>
                <w:szCs w:val="24"/>
                <w:lang w:val="en-US" w:eastAsia="zh-CN"/>
              </w:rPr>
              <w:t>该</w:t>
            </w:r>
            <w:r>
              <w:rPr>
                <w:rFonts w:hint="eastAsia" w:ascii="Times New Roman" w:hAnsi="Times New Roman" w:eastAsia="宋体" w:cs="Times New Roman"/>
                <w:b w:val="0"/>
                <w:bCs/>
                <w:color w:val="auto"/>
                <w:sz w:val="24"/>
                <w:lang w:val="en-US" w:eastAsia="zh-CN"/>
              </w:rPr>
              <w:t>储存、破壁过程会产生臭气G1。</w:t>
            </w:r>
          </w:p>
          <w:p>
            <w:pPr>
              <w:spacing w:line="360" w:lineRule="auto"/>
              <w:ind w:firstLine="480" w:firstLineChars="200"/>
              <w:jc w:val="both"/>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（2）脱水</w:t>
            </w:r>
          </w:p>
          <w:p>
            <w:pPr>
              <w:spacing w:line="360" w:lineRule="auto"/>
              <w:ind w:firstLine="480" w:firstLineChars="200"/>
              <w:jc w:val="both"/>
              <w:rPr>
                <w:rFonts w:hint="default" w:ascii="Times New Roman" w:hAnsi="Times New Roman" w:eastAsia="宋体" w:cs="Times New Roman"/>
                <w:b w:val="0"/>
                <w:bCs/>
                <w:color w:val="auto"/>
                <w:sz w:val="24"/>
                <w:lang w:val="zh-CN" w:eastAsia="zh-CN"/>
              </w:rPr>
            </w:pPr>
            <w:r>
              <w:rPr>
                <w:rFonts w:hint="default" w:ascii="Times New Roman" w:hAnsi="Times New Roman" w:eastAsia="宋体" w:cs="Times New Roman"/>
                <w:b w:val="0"/>
                <w:bCs/>
                <w:color w:val="auto"/>
                <w:sz w:val="24"/>
                <w:lang w:val="zh-CN" w:eastAsia="zh-CN"/>
              </w:rPr>
              <w:t>破壁后的湿污泥</w:t>
            </w:r>
            <w:r>
              <w:rPr>
                <w:rFonts w:hint="eastAsia" w:ascii="Times New Roman" w:hAnsi="Times New Roman" w:eastAsia="宋体" w:cs="Times New Roman"/>
                <w:b w:val="0"/>
                <w:bCs/>
                <w:color w:val="auto"/>
                <w:sz w:val="24"/>
                <w:lang w:val="zh-CN" w:eastAsia="zh-CN"/>
              </w:rPr>
              <w:t>通过提升螺旋输送机</w:t>
            </w:r>
            <w:r>
              <w:rPr>
                <w:rFonts w:hint="default" w:ascii="Times New Roman" w:hAnsi="Times New Roman" w:eastAsia="宋体" w:cs="Times New Roman"/>
                <w:b w:val="0"/>
                <w:bCs/>
                <w:color w:val="auto"/>
                <w:sz w:val="24"/>
                <w:lang w:val="zh-CN" w:eastAsia="zh-CN"/>
              </w:rPr>
              <w:t>输送到</w:t>
            </w:r>
            <w:r>
              <w:rPr>
                <w:rFonts w:hint="eastAsia" w:ascii="Times New Roman" w:hAnsi="Times New Roman" w:eastAsia="宋体" w:cs="Times New Roman"/>
                <w:b w:val="0"/>
                <w:bCs/>
                <w:color w:val="auto"/>
                <w:sz w:val="24"/>
                <w:lang w:val="zh-CN" w:eastAsia="zh-CN"/>
              </w:rPr>
              <w:t>污泥脱水车间污泥深度脱水系统的</w:t>
            </w:r>
            <w:r>
              <w:rPr>
                <w:rFonts w:hint="default" w:ascii="Times New Roman" w:hAnsi="Times New Roman" w:eastAsia="宋体" w:cs="Times New Roman"/>
                <w:b w:val="0"/>
                <w:bCs/>
                <w:color w:val="auto"/>
                <w:sz w:val="24"/>
                <w:lang w:val="zh-CN" w:eastAsia="zh-CN"/>
              </w:rPr>
              <w:t>布料装置，将污泥均匀摊薄在带有自动旋转功能的滤布上，并层层自动叠加在榨笼内</w:t>
            </w:r>
            <w:r>
              <w:rPr>
                <w:rFonts w:hint="eastAsia" w:ascii="Times New Roman" w:hAnsi="Times New Roman" w:eastAsia="宋体" w:cs="Times New Roman"/>
                <w:b w:val="0"/>
                <w:bCs/>
                <w:color w:val="auto"/>
                <w:sz w:val="24"/>
                <w:lang w:val="zh-CN" w:eastAsia="zh-CN"/>
              </w:rPr>
              <w:t>，</w:t>
            </w:r>
            <w:r>
              <w:rPr>
                <w:rFonts w:hint="default" w:ascii="Times New Roman" w:hAnsi="Times New Roman" w:eastAsia="宋体" w:cs="Times New Roman"/>
                <w:b w:val="0"/>
                <w:bCs/>
                <w:color w:val="auto"/>
                <w:sz w:val="24"/>
                <w:lang w:val="zh-CN" w:eastAsia="zh-CN"/>
              </w:rPr>
              <w:t>布满湿污泥的榨笼通过移位系统推送到</w:t>
            </w:r>
            <w:r>
              <w:rPr>
                <w:rFonts w:hint="eastAsia" w:ascii="Times New Roman" w:hAnsi="Times New Roman" w:eastAsia="宋体" w:cs="Times New Roman"/>
                <w:b w:val="0"/>
                <w:bCs/>
                <w:color w:val="auto"/>
                <w:sz w:val="24"/>
                <w:lang w:val="zh-CN" w:eastAsia="zh-CN"/>
              </w:rPr>
              <w:t>压滤</w:t>
            </w:r>
            <w:r>
              <w:rPr>
                <w:rFonts w:hint="default" w:ascii="Times New Roman" w:hAnsi="Times New Roman" w:eastAsia="宋体" w:cs="Times New Roman"/>
                <w:b w:val="0"/>
                <w:bCs/>
                <w:color w:val="auto"/>
                <w:sz w:val="24"/>
                <w:lang w:val="zh-CN" w:eastAsia="zh-CN"/>
              </w:rPr>
              <w:t>工序</w:t>
            </w:r>
            <w:r>
              <w:rPr>
                <w:rFonts w:hint="eastAsia" w:ascii="Times New Roman" w:hAnsi="Times New Roman" w:eastAsia="宋体" w:cs="Times New Roman"/>
                <w:b w:val="0"/>
                <w:bCs/>
                <w:color w:val="auto"/>
                <w:sz w:val="24"/>
                <w:lang w:val="zh-CN" w:eastAsia="zh-CN"/>
              </w:rPr>
              <w:t>进行压榨</w:t>
            </w:r>
            <w:r>
              <w:rPr>
                <w:rFonts w:hint="default" w:ascii="Times New Roman" w:hAnsi="Times New Roman" w:eastAsia="宋体" w:cs="Times New Roman"/>
                <w:b w:val="0"/>
                <w:bCs/>
                <w:color w:val="auto"/>
                <w:sz w:val="24"/>
                <w:lang w:val="zh-CN" w:eastAsia="zh-CN"/>
              </w:rPr>
              <w:t>，达到设计的</w:t>
            </w:r>
            <w:r>
              <w:rPr>
                <w:rFonts w:hint="eastAsia" w:ascii="Times New Roman" w:hAnsi="Times New Roman" w:eastAsia="宋体" w:cs="Times New Roman"/>
                <w:b w:val="0"/>
                <w:bCs/>
                <w:color w:val="auto"/>
                <w:sz w:val="24"/>
                <w:lang w:val="zh-CN" w:eastAsia="zh-CN"/>
              </w:rPr>
              <w:t>压滤</w:t>
            </w:r>
            <w:r>
              <w:rPr>
                <w:rFonts w:hint="default" w:ascii="Times New Roman" w:hAnsi="Times New Roman" w:eastAsia="宋体" w:cs="Times New Roman"/>
                <w:b w:val="0"/>
                <w:bCs/>
                <w:color w:val="auto"/>
                <w:sz w:val="24"/>
                <w:lang w:val="zh-CN" w:eastAsia="zh-CN"/>
              </w:rPr>
              <w:t>时间后，再由位移系统自动拉回到初始位置（此位置既是布料位置，也是出料位置）。这种半干污泥通过出料系统，由滤布裹着污泥从榨笼中连续不断的带出来，落到输送皮带上，输送到</w:t>
            </w:r>
            <w:r>
              <w:rPr>
                <w:rFonts w:hint="eastAsia" w:ascii="Times New Roman" w:hAnsi="Times New Roman" w:eastAsia="宋体" w:cs="Times New Roman"/>
                <w:b w:val="0"/>
                <w:bCs/>
                <w:color w:val="auto"/>
                <w:sz w:val="24"/>
                <w:lang w:val="zh-CN" w:eastAsia="zh-CN"/>
              </w:rPr>
              <w:t>发酵及成品车间进料区</w:t>
            </w:r>
            <w:r>
              <w:rPr>
                <w:rFonts w:hint="default" w:ascii="Times New Roman" w:hAnsi="Times New Roman" w:eastAsia="宋体" w:cs="Times New Roman"/>
                <w:b w:val="0"/>
                <w:bCs/>
                <w:color w:val="auto"/>
                <w:sz w:val="24"/>
                <w:lang w:val="zh-CN" w:eastAsia="zh-CN"/>
              </w:rPr>
              <w:t>污泥料仓</w:t>
            </w:r>
            <w:r>
              <w:rPr>
                <w:rFonts w:hint="eastAsia" w:ascii="Times New Roman" w:hAnsi="Times New Roman" w:eastAsia="宋体" w:cs="Times New Roman"/>
                <w:b w:val="0"/>
                <w:bCs/>
                <w:color w:val="auto"/>
                <w:sz w:val="24"/>
                <w:lang w:val="zh-CN" w:eastAsia="zh-CN"/>
              </w:rPr>
              <w:t>或干污泥储存区</w:t>
            </w:r>
            <w:r>
              <w:rPr>
                <w:rFonts w:hint="default" w:ascii="Times New Roman" w:hAnsi="Times New Roman" w:eastAsia="宋体" w:cs="Times New Roman"/>
                <w:b w:val="0"/>
                <w:bCs/>
                <w:color w:val="auto"/>
                <w:sz w:val="24"/>
                <w:lang w:val="zh-CN" w:eastAsia="zh-CN"/>
              </w:rPr>
              <w:t>。</w:t>
            </w:r>
          </w:p>
          <w:p>
            <w:pPr>
              <w:spacing w:line="360" w:lineRule="auto"/>
              <w:ind w:firstLine="480" w:firstLineChars="200"/>
              <w:jc w:val="both"/>
              <w:rPr>
                <w:rFonts w:hint="eastAsia" w:ascii="Times New Roman" w:hAnsi="Times New Roman" w:eastAsia="宋体" w:cs="Times New Roman"/>
                <w:b w:val="0"/>
                <w:bCs/>
                <w:color w:val="auto"/>
                <w:sz w:val="24"/>
                <w:lang w:val="zh-CN" w:eastAsia="zh-CN"/>
              </w:rPr>
            </w:pPr>
            <w:r>
              <w:rPr>
                <w:rFonts w:hint="default" w:ascii="Times New Roman" w:hAnsi="Times New Roman" w:eastAsia="宋体" w:cs="Times New Roman"/>
                <w:b w:val="0"/>
                <w:bCs/>
                <w:color w:val="auto"/>
                <w:sz w:val="24"/>
                <w:lang w:val="zh-CN" w:eastAsia="zh-CN"/>
              </w:rPr>
              <w:t>压滤部分主要包括100吨压机、300吨压机、框篮、滤布。100吨与300吨压机利用液压系统提供的高压，通过压盘对逐层铺于滤布中的药泥在框篮内进行超高压压滤，通过超高压压力对污泥进行挤压脱水。超高压压滤分为两部分，经过铺料工序铺好的污泥先进入100吨压机工位，对其进行初步压滤脱水</w:t>
            </w:r>
            <w:r>
              <w:rPr>
                <w:rFonts w:hint="eastAsia" w:ascii="Times New Roman" w:hAnsi="Times New Roman" w:eastAsia="宋体" w:cs="Times New Roman"/>
                <w:b w:val="0"/>
                <w:bCs/>
                <w:color w:val="auto"/>
                <w:sz w:val="24"/>
                <w:lang w:val="zh-CN" w:eastAsia="zh-CN"/>
              </w:rPr>
              <w:t>，初步压滤脱水后污泥含水率约为</w:t>
            </w:r>
            <w:r>
              <w:rPr>
                <w:rFonts w:hint="eastAsia" w:ascii="Times New Roman" w:hAnsi="Times New Roman" w:eastAsia="宋体" w:cs="Times New Roman"/>
                <w:b w:val="0"/>
                <w:bCs/>
                <w:color w:val="auto"/>
                <w:sz w:val="24"/>
                <w:lang w:val="en-US" w:eastAsia="zh-CN"/>
              </w:rPr>
              <w:t>60%</w:t>
            </w:r>
            <w:r>
              <w:rPr>
                <w:rFonts w:hint="default" w:ascii="Times New Roman" w:hAnsi="Times New Roman" w:eastAsia="宋体" w:cs="Times New Roman"/>
                <w:b w:val="0"/>
                <w:bCs/>
                <w:color w:val="auto"/>
                <w:sz w:val="24"/>
                <w:lang w:val="zh-CN" w:eastAsia="zh-CN"/>
              </w:rPr>
              <w:t>，经初压后的污泥再进入300吨压机工位进行深度的压滤脱水，实现含水率降低至5</w:t>
            </w:r>
            <w:r>
              <w:rPr>
                <w:rFonts w:hint="eastAsia" w:ascii="Times New Roman" w:hAnsi="Times New Roman" w:eastAsia="宋体" w:cs="Times New Roman"/>
                <w:b w:val="0"/>
                <w:bCs/>
                <w:color w:val="auto"/>
                <w:sz w:val="24"/>
                <w:lang w:val="en-US" w:eastAsia="zh-CN"/>
              </w:rPr>
              <w:t>0</w:t>
            </w:r>
            <w:r>
              <w:rPr>
                <w:rFonts w:hint="default" w:ascii="Times New Roman" w:hAnsi="Times New Roman" w:eastAsia="宋体" w:cs="Times New Roman"/>
                <w:b w:val="0"/>
                <w:bCs/>
                <w:color w:val="auto"/>
                <w:sz w:val="24"/>
                <w:lang w:val="zh-CN" w:eastAsia="zh-CN"/>
              </w:rPr>
              <w:t>%</w:t>
            </w:r>
            <w:r>
              <w:rPr>
                <w:rFonts w:hint="eastAsia" w:ascii="Times New Roman" w:hAnsi="Times New Roman" w:eastAsia="宋体" w:cs="Times New Roman"/>
                <w:b w:val="0"/>
                <w:bCs/>
                <w:color w:val="auto"/>
                <w:sz w:val="24"/>
                <w:lang w:val="zh-CN" w:eastAsia="zh-CN"/>
              </w:rPr>
              <w:t>。</w:t>
            </w:r>
          </w:p>
          <w:p>
            <w:pPr>
              <w:spacing w:line="360" w:lineRule="auto"/>
              <w:ind w:firstLine="480" w:firstLineChars="200"/>
              <w:jc w:val="both"/>
              <w:rPr>
                <w:rFonts w:hint="default" w:ascii="Times New Roman" w:hAnsi="Times New Roman" w:eastAsia="宋体" w:cs="Times New Roman"/>
                <w:b w:val="0"/>
                <w:bCs/>
                <w:color w:val="auto"/>
                <w:sz w:val="24"/>
                <w:lang w:val="zh-CN" w:eastAsia="zh-CN"/>
              </w:rPr>
            </w:pPr>
            <w:r>
              <w:rPr>
                <w:rFonts w:hint="eastAsia" w:ascii="Times New Roman" w:hAnsi="Times New Roman" w:eastAsia="宋体" w:cs="Times New Roman"/>
                <w:b w:val="0"/>
                <w:bCs/>
                <w:color w:val="auto"/>
                <w:sz w:val="24"/>
                <w:lang w:val="zh-CN" w:eastAsia="zh-CN"/>
              </w:rPr>
              <w:t>当华新盐井水泥正常生产时，</w:t>
            </w:r>
            <w:r>
              <w:rPr>
                <w:rFonts w:hint="eastAsia" w:ascii="Times New Roman" w:hAnsi="Times New Roman" w:eastAsia="宋体" w:cs="Times New Roman"/>
                <w:b w:val="0"/>
                <w:bCs/>
                <w:color w:val="auto"/>
                <w:sz w:val="24"/>
                <w:lang w:val="en-US" w:eastAsia="zh-CN"/>
              </w:rPr>
              <w:t>此时污泥经过两次压滤能将</w:t>
            </w:r>
            <w:r>
              <w:rPr>
                <w:rFonts w:hint="eastAsia" w:ascii="Times New Roman" w:hAnsi="Times New Roman" w:eastAsia="宋体" w:cs="Times New Roman"/>
                <w:b w:val="0"/>
                <w:bCs/>
                <w:color w:val="auto"/>
                <w:sz w:val="24"/>
                <w:lang w:val="zh-CN" w:eastAsia="zh-CN"/>
              </w:rPr>
              <w:t>含水率控制在</w:t>
            </w:r>
            <w:r>
              <w:rPr>
                <w:rFonts w:hint="eastAsia" w:ascii="Times New Roman" w:hAnsi="Times New Roman" w:eastAsia="宋体" w:cs="Times New Roman"/>
                <w:b w:val="0"/>
                <w:bCs/>
                <w:color w:val="auto"/>
                <w:sz w:val="24"/>
                <w:lang w:val="en-US" w:eastAsia="zh-CN"/>
              </w:rPr>
              <w:t>50%；</w:t>
            </w:r>
            <w:r>
              <w:rPr>
                <w:rFonts w:hint="eastAsia" w:ascii="Times New Roman" w:hAnsi="Times New Roman" w:eastAsia="宋体" w:cs="Times New Roman"/>
                <w:b w:val="0"/>
                <w:bCs/>
                <w:color w:val="auto"/>
                <w:sz w:val="24"/>
                <w:lang w:val="zh-CN" w:eastAsia="zh-CN"/>
              </w:rPr>
              <w:t>当华新盐井水泥停窑检修时，本项目污泥脱水后含水率控制在</w:t>
            </w:r>
            <w:r>
              <w:rPr>
                <w:rFonts w:hint="eastAsia" w:ascii="Times New Roman" w:hAnsi="Times New Roman" w:eastAsia="宋体" w:cs="Times New Roman"/>
                <w:b w:val="0"/>
                <w:bCs/>
                <w:color w:val="auto"/>
                <w:sz w:val="24"/>
                <w:lang w:val="en-US" w:eastAsia="zh-CN"/>
              </w:rPr>
              <w:t>60%，此时通过调节安装在100吨和300吨之间的切换阀，使污泥</w:t>
            </w:r>
            <w:r>
              <w:rPr>
                <w:rFonts w:hint="default" w:ascii="Times New Roman" w:hAnsi="Times New Roman" w:eastAsia="宋体" w:cs="Times New Roman"/>
                <w:b w:val="0"/>
                <w:bCs/>
                <w:color w:val="auto"/>
                <w:sz w:val="24"/>
                <w:lang w:val="zh-CN" w:eastAsia="zh-CN"/>
              </w:rPr>
              <w:t>进入100吨压机工位</w:t>
            </w:r>
            <w:r>
              <w:rPr>
                <w:rFonts w:hint="eastAsia" w:ascii="Times New Roman" w:hAnsi="Times New Roman" w:eastAsia="宋体" w:cs="Times New Roman"/>
                <w:b w:val="0"/>
                <w:bCs/>
                <w:color w:val="auto"/>
                <w:sz w:val="24"/>
                <w:lang w:val="zh-CN" w:eastAsia="zh-CN"/>
              </w:rPr>
              <w:t>初步压滤后直接进入出料系统，不再进入</w:t>
            </w:r>
            <w:r>
              <w:rPr>
                <w:rFonts w:hint="default" w:ascii="Times New Roman" w:hAnsi="Times New Roman" w:eastAsia="宋体" w:cs="Times New Roman"/>
                <w:b w:val="0"/>
                <w:bCs/>
                <w:color w:val="auto"/>
                <w:sz w:val="24"/>
                <w:lang w:val="zh-CN" w:eastAsia="zh-CN"/>
              </w:rPr>
              <w:t>300吨压机工位进行深度的压滤脱水</w:t>
            </w:r>
            <w:r>
              <w:rPr>
                <w:rFonts w:hint="eastAsia" w:ascii="Times New Roman" w:hAnsi="Times New Roman" w:eastAsia="宋体" w:cs="Times New Roman"/>
                <w:b w:val="0"/>
                <w:bCs/>
                <w:color w:val="auto"/>
                <w:sz w:val="24"/>
                <w:lang w:val="zh-CN" w:eastAsia="zh-CN"/>
              </w:rPr>
              <w:t>。</w:t>
            </w:r>
          </w:p>
          <w:p>
            <w:pPr>
              <w:spacing w:line="360" w:lineRule="auto"/>
              <w:ind w:firstLine="480" w:firstLineChars="200"/>
              <w:jc w:val="both"/>
              <w:rPr>
                <w:rFonts w:hint="eastAsia" w:ascii="Times New Roman" w:hAnsi="Times New Roman" w:eastAsia="宋体" w:cs="Times New Roman"/>
                <w:b w:val="0"/>
                <w:bCs/>
                <w:color w:val="auto"/>
                <w:sz w:val="24"/>
                <w:lang w:val="zh-CN" w:eastAsia="zh-CN"/>
              </w:rPr>
            </w:pPr>
            <w:r>
              <w:rPr>
                <w:rFonts w:hint="default" w:ascii="Times New Roman" w:hAnsi="Times New Roman" w:eastAsia="宋体" w:cs="Times New Roman"/>
                <w:b w:val="0"/>
                <w:bCs/>
                <w:color w:val="auto"/>
                <w:sz w:val="24"/>
                <w:lang w:val="zh-CN" w:eastAsia="zh-CN"/>
              </w:rPr>
              <w:t>经过超高压压滤脱水后形成的泥饼，在拨料机的处理下，泥饼逐层脱落，脱落后的泥饼进入下料口，由此出去的泥饼进入输送机内，由输送机将泥饼输送至指定位置完成一个生产循环，在拨料的同时，脱去泥饼的滤布重新被卷曲在辊轴上，拨料完成进入铺料工位开始下一个生产循环</w:t>
            </w:r>
            <w:r>
              <w:rPr>
                <w:rFonts w:hint="eastAsia" w:ascii="Times New Roman" w:hAnsi="Times New Roman" w:eastAsia="宋体" w:cs="Times New Roman"/>
                <w:b w:val="0"/>
                <w:bCs/>
                <w:color w:val="auto"/>
                <w:sz w:val="24"/>
                <w:lang w:val="zh-CN" w:eastAsia="zh-CN"/>
              </w:rPr>
              <w:t>。</w:t>
            </w:r>
          </w:p>
          <w:p>
            <w:pPr>
              <w:spacing w:line="360" w:lineRule="auto"/>
              <w:ind w:firstLine="480" w:firstLineChars="200"/>
              <w:jc w:val="both"/>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zh-CN" w:eastAsia="zh-CN"/>
              </w:rPr>
              <w:t>此过程会产生</w:t>
            </w:r>
            <w:r>
              <w:rPr>
                <w:rFonts w:hint="eastAsia" w:ascii="Times New Roman" w:hAnsi="Times New Roman" w:eastAsia="宋体" w:cs="Times New Roman"/>
                <w:b w:val="0"/>
                <w:bCs/>
                <w:color w:val="auto"/>
                <w:sz w:val="24"/>
                <w:lang w:val="en-US" w:eastAsia="zh-CN"/>
              </w:rPr>
              <w:t>臭气G2</w:t>
            </w:r>
            <w:r>
              <w:rPr>
                <w:rFonts w:hint="default" w:ascii="Times New Roman" w:hAnsi="Times New Roman" w:eastAsia="宋体" w:cs="Times New Roman"/>
                <w:b w:val="0"/>
                <w:bCs/>
                <w:color w:val="auto"/>
                <w:sz w:val="24"/>
                <w:lang w:val="zh-CN" w:eastAsia="zh-CN"/>
              </w:rPr>
              <w:t>、噪声</w:t>
            </w:r>
            <w:r>
              <w:rPr>
                <w:rFonts w:hint="eastAsia" w:ascii="Times New Roman" w:hAnsi="Times New Roman" w:eastAsia="宋体" w:cs="Times New Roman"/>
                <w:b w:val="0"/>
                <w:bCs/>
                <w:color w:val="auto"/>
                <w:sz w:val="24"/>
                <w:lang w:val="en-US" w:eastAsia="zh-CN"/>
              </w:rPr>
              <w:t>N及污泥压滤废水W1</w:t>
            </w:r>
            <w:r>
              <w:rPr>
                <w:rFonts w:hint="eastAsia" w:ascii="Times New Roman" w:hAnsi="Times New Roman" w:eastAsia="宋体" w:cs="Times New Roman"/>
                <w:b w:val="0"/>
                <w:bCs/>
                <w:color w:val="auto"/>
                <w:sz w:val="24"/>
                <w:lang w:val="zh-CN" w:eastAsia="zh-CN"/>
              </w:rPr>
              <w:t>，</w:t>
            </w:r>
            <w:r>
              <w:rPr>
                <w:rFonts w:hint="eastAsia" w:ascii="Times New Roman" w:hAnsi="Times New Roman" w:eastAsia="宋体" w:cs="Times New Roman"/>
                <w:b w:val="0"/>
                <w:bCs/>
                <w:color w:val="auto"/>
                <w:sz w:val="24"/>
                <w:lang w:val="en-US" w:eastAsia="zh-CN"/>
              </w:rPr>
              <w:t>污泥压滤废水采用污水池收集后每日采用专用罐车运至重庆铜梁城区污水处理厂处理达标排放，污水池储存废水过程会产生臭气G8。</w:t>
            </w:r>
          </w:p>
          <w:p>
            <w:pPr>
              <w:spacing w:line="360" w:lineRule="auto"/>
              <w:ind w:firstLine="480" w:firstLineChars="200"/>
              <w:jc w:val="both"/>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zh-CN" w:eastAsia="zh-CN"/>
              </w:rPr>
              <w:t>（</w:t>
            </w:r>
            <w:r>
              <w:rPr>
                <w:rFonts w:hint="eastAsia" w:ascii="Times New Roman" w:hAnsi="Times New Roman" w:eastAsia="宋体" w:cs="Times New Roman"/>
                <w:b w:val="0"/>
                <w:bCs/>
                <w:color w:val="auto"/>
                <w:sz w:val="24"/>
                <w:lang w:val="en-US" w:eastAsia="zh-CN"/>
              </w:rPr>
              <w:t>3</w:t>
            </w:r>
            <w:r>
              <w:rPr>
                <w:rFonts w:hint="default" w:ascii="Times New Roman" w:hAnsi="Times New Roman" w:eastAsia="宋体" w:cs="Times New Roman"/>
                <w:b w:val="0"/>
                <w:bCs/>
                <w:color w:val="auto"/>
                <w:sz w:val="24"/>
                <w:lang w:val="zh-CN" w:eastAsia="zh-CN"/>
              </w:rPr>
              <w:t>）</w:t>
            </w:r>
            <w:r>
              <w:rPr>
                <w:rFonts w:hint="eastAsia" w:ascii="Times New Roman" w:hAnsi="Times New Roman" w:eastAsia="宋体" w:cs="Times New Roman"/>
                <w:b w:val="0"/>
                <w:bCs/>
                <w:color w:val="auto"/>
                <w:sz w:val="24"/>
                <w:lang w:val="en-US" w:eastAsia="zh-CN"/>
              </w:rPr>
              <w:t>脱水后污泥储存</w:t>
            </w:r>
          </w:p>
          <w:p>
            <w:pPr>
              <w:spacing w:line="360" w:lineRule="auto"/>
              <w:ind w:firstLine="480" w:firstLineChars="200"/>
              <w:jc w:val="both"/>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zh-CN" w:eastAsia="zh-CN"/>
              </w:rPr>
              <w:t>当华新盐井水泥正常生产时，</w:t>
            </w:r>
            <w:r>
              <w:rPr>
                <w:rFonts w:hint="eastAsia" w:ascii="Times New Roman" w:hAnsi="Times New Roman" w:eastAsia="宋体" w:cs="Times New Roman"/>
                <w:b w:val="0"/>
                <w:bCs/>
                <w:color w:val="auto"/>
                <w:sz w:val="24"/>
                <w:lang w:val="en-US" w:eastAsia="zh-CN"/>
              </w:rPr>
              <w:t>脱水后污泥通过出料系统输送至</w:t>
            </w:r>
            <w:r>
              <w:rPr>
                <w:rFonts w:hint="eastAsia" w:ascii="Times New Roman" w:hAnsi="Times New Roman" w:eastAsia="宋体" w:cs="Times New Roman"/>
                <w:b w:val="0"/>
                <w:bCs/>
                <w:color w:val="auto"/>
                <w:sz w:val="24"/>
                <w:lang w:val="zh-CN" w:eastAsia="zh-CN"/>
              </w:rPr>
              <w:t>发酵及成品车间进料区干污泥储存区</w:t>
            </w:r>
            <w:r>
              <w:rPr>
                <w:rFonts w:hint="eastAsia" w:ascii="Times New Roman" w:hAnsi="Times New Roman" w:eastAsia="宋体" w:cs="Times New Roman"/>
                <w:b w:val="0"/>
                <w:bCs/>
                <w:color w:val="auto"/>
                <w:sz w:val="24"/>
                <w:lang w:val="en-US" w:eastAsia="zh-CN"/>
              </w:rPr>
              <w:t>，然后定期送至</w:t>
            </w:r>
            <w:r>
              <w:rPr>
                <w:rFonts w:hint="eastAsia" w:ascii="Times New Roman" w:hAnsi="Times New Roman" w:eastAsia="宋体" w:cs="Times New Roman"/>
                <w:b w:val="0"/>
                <w:bCs/>
                <w:color w:val="auto"/>
                <w:sz w:val="24"/>
                <w:lang w:val="zh-CN" w:eastAsia="zh-CN"/>
              </w:rPr>
              <w:t>华新盐井水泥综合利用</w:t>
            </w:r>
            <w:r>
              <w:rPr>
                <w:rFonts w:hint="eastAsia" w:ascii="Times New Roman" w:hAnsi="Times New Roman" w:eastAsia="宋体" w:cs="Times New Roman"/>
                <w:bCs/>
                <w:color w:val="auto"/>
                <w:sz w:val="24"/>
                <w:szCs w:val="24"/>
                <w:lang w:val="en-US" w:eastAsia="zh-CN"/>
              </w:rPr>
              <w:t>，每2天由建设单</w:t>
            </w:r>
            <w:r>
              <w:rPr>
                <w:rFonts w:hint="eastAsia" w:ascii="Times New Roman" w:hAnsi="Times New Roman" w:eastAsia="宋体" w:cs="Times New Roman"/>
                <w:b w:val="0"/>
                <w:bCs/>
                <w:color w:val="auto"/>
                <w:sz w:val="24"/>
                <w:lang w:val="en-US" w:eastAsia="zh-CN"/>
              </w:rPr>
              <w:t>位运至华新盐井水泥。</w:t>
            </w:r>
            <w:r>
              <w:rPr>
                <w:rFonts w:hint="eastAsia" w:ascii="Times New Roman" w:hAnsi="Times New Roman" w:eastAsia="宋体" w:cs="Times New Roman"/>
                <w:b w:val="0"/>
                <w:bCs/>
                <w:color w:val="auto"/>
                <w:sz w:val="24"/>
                <w:lang w:val="zh-CN" w:eastAsia="zh-CN"/>
              </w:rPr>
              <w:t>当华新盐井水泥停窑检修时，脱水后污泥</w:t>
            </w:r>
            <w:r>
              <w:rPr>
                <w:rFonts w:hint="eastAsia" w:ascii="Times New Roman" w:hAnsi="Times New Roman" w:eastAsia="宋体" w:cs="Times New Roman"/>
                <w:b w:val="0"/>
                <w:bCs/>
                <w:color w:val="auto"/>
                <w:sz w:val="24"/>
                <w:lang w:val="en-US" w:eastAsia="zh-CN"/>
              </w:rPr>
              <w:t>通过出料系统输送至</w:t>
            </w:r>
            <w:r>
              <w:rPr>
                <w:rFonts w:hint="eastAsia" w:ascii="Times New Roman" w:hAnsi="Times New Roman" w:eastAsia="宋体" w:cs="Times New Roman"/>
                <w:b w:val="0"/>
                <w:bCs/>
                <w:color w:val="auto"/>
                <w:sz w:val="24"/>
                <w:lang w:val="zh-CN" w:eastAsia="zh-CN"/>
              </w:rPr>
              <w:t>发酵及成品车间进料区污泥料仓进行混料，不储存。</w:t>
            </w:r>
          </w:p>
          <w:p>
            <w:pPr>
              <w:spacing w:line="360" w:lineRule="auto"/>
              <w:ind w:firstLine="480" w:firstLineChars="200"/>
              <w:jc w:val="both"/>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该储存</w:t>
            </w:r>
            <w:r>
              <w:rPr>
                <w:rFonts w:hint="default" w:ascii="Times New Roman" w:hAnsi="Times New Roman" w:eastAsia="宋体" w:cs="Times New Roman"/>
                <w:b w:val="0"/>
                <w:bCs/>
                <w:color w:val="auto"/>
                <w:sz w:val="24"/>
                <w:lang w:val="zh-CN" w:eastAsia="zh-CN"/>
              </w:rPr>
              <w:t>过程会产生</w:t>
            </w:r>
            <w:r>
              <w:rPr>
                <w:rFonts w:hint="eastAsia" w:ascii="Times New Roman" w:hAnsi="Times New Roman" w:eastAsia="宋体" w:cs="Times New Roman"/>
                <w:b w:val="0"/>
                <w:bCs/>
                <w:color w:val="auto"/>
                <w:sz w:val="24"/>
                <w:lang w:val="en-US" w:eastAsia="zh-CN"/>
              </w:rPr>
              <w:t>臭气G3。</w:t>
            </w:r>
          </w:p>
          <w:p>
            <w:pPr>
              <w:spacing w:line="360" w:lineRule="auto"/>
              <w:ind w:firstLine="482" w:firstLineChars="200"/>
              <w:jc w:val="both"/>
              <w:rPr>
                <w:rFonts w:hint="default"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2、现有绿化营养土发酵生产线生产工艺</w:t>
            </w:r>
          </w:p>
          <w:p>
            <w:pPr>
              <w:spacing w:line="360" w:lineRule="auto"/>
              <w:ind w:firstLine="480" w:firstLineChars="200"/>
              <w:jc w:val="both"/>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现有园林绿化营养土发酵生产线生产工艺主要包括进料、混料、布料、发酵及出料，具体工艺介绍如下：</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b w:val="0"/>
                <w:bCs/>
                <w:color w:val="auto"/>
                <w:sz w:val="24"/>
                <w:lang w:val="en-US" w:eastAsia="zh-CN"/>
              </w:rPr>
              <w:t>进料</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b w:val="0"/>
                <w:bCs/>
                <w:color w:val="auto"/>
                <w:sz w:val="24"/>
                <w:lang w:val="zh-CN" w:eastAsia="zh-CN"/>
              </w:rPr>
              <w:t>发酵及成品车间进料区</w:t>
            </w:r>
            <w:r>
              <w:rPr>
                <w:rFonts w:hint="eastAsia" w:ascii="Times New Roman" w:hAnsi="Times New Roman" w:eastAsia="宋体" w:cs="Times New Roman"/>
                <w:color w:val="auto"/>
                <w:kern w:val="0"/>
                <w:sz w:val="24"/>
                <w:szCs w:val="24"/>
                <w:lang w:val="en-US" w:eastAsia="zh-CN"/>
              </w:rPr>
              <w:t>内分别设置有1个污泥料仓、1个辅料料仓和1个返混料仓，3个料仓均通过进料井与发酵车间连接，进料井顶部设有液压门，除接收原辅料时开启，其他时间均为密闭状态；脱水后污泥当天全部进入好氧发酵槽内。</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本项目采用秸秆、锯末、菌包等作为堆肥辅料，均采用外购破碎后的成品辅料（粒径≤30mm），项目不需要进行破碎，可直接使用。</w:t>
            </w:r>
          </w:p>
          <w:p>
            <w:pPr>
              <w:spacing w:line="360" w:lineRule="auto"/>
              <w:ind w:firstLine="480" w:firstLineChars="200"/>
              <w:jc w:val="both"/>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污泥在料仓中转</w:t>
            </w:r>
            <w:r>
              <w:rPr>
                <w:rFonts w:hint="eastAsia" w:ascii="Times New Roman" w:hAnsi="Times New Roman" w:eastAsia="宋体" w:cs="Times New Roman"/>
                <w:b w:val="0"/>
                <w:bCs/>
                <w:color w:val="auto"/>
                <w:sz w:val="24"/>
                <w:lang w:val="en-US" w:eastAsia="zh-CN"/>
              </w:rPr>
              <w:t>过程会产生臭气G4。</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（2）混料</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污泥料仓、返混料仓、辅料料仓下均配置卸料螺旋，通过出料螺旋和定量输送机自动将污泥（60％含水率）、返混料（40％含水率）和有机辅料（20％含水率）按照3：3：1的比例通过输送机运至混料机中充分混合，使物料达到适宜的含水率和孔隙度，并保证混合料具有松散的结构，达到堆肥所需的自由空域要求，混料后物料含水率约45.7％，同时将生物发酵菌剂按比例加入混料机充分混合。</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污泥在混料</w:t>
            </w:r>
            <w:r>
              <w:rPr>
                <w:rFonts w:hint="eastAsia" w:ascii="Times New Roman" w:hAnsi="Times New Roman" w:eastAsia="宋体" w:cs="Times New Roman"/>
                <w:b w:val="0"/>
                <w:bCs/>
                <w:color w:val="auto"/>
                <w:sz w:val="24"/>
                <w:lang w:val="en-US" w:eastAsia="zh-CN"/>
              </w:rPr>
              <w:t>过程会产生臭气G5和噪声N。</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（3）布料</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从混料机出来的混合料经输送机自动转运至发酵区进料端，布料机通过轨道、机械臂前后左右移动将输送机送来的混合料均匀铺设至发酵槽指定发酵区，完成自动布料过程，由中控系统启动发酵过程监测和控制程序；布料阶段均位于密闭发酵车间内。</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b w:val="0"/>
                <w:bCs/>
                <w:color w:val="auto"/>
                <w:sz w:val="24"/>
                <w:lang w:val="en-US" w:eastAsia="zh-CN"/>
              </w:rPr>
              <w:t>该过程会产生臭气G6和噪声N。</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（4）发酵</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发酵车间内设置有5座发酵槽，单座发酵槽尺寸为长×宽×高=64×5×2.2m，容积3520m</w:t>
            </w:r>
            <w:r>
              <w:rPr>
                <w:rFonts w:hint="eastAsia" w:ascii="Times New Roman" w:hAnsi="Times New Roman" w:eastAsia="宋体"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发酵槽内设置有轨道，翻抛机通过轨道进行上下左右移动按照程序自动对混合料进行翻抛发酵，采用高温好氧发酵工艺，属于连续发酵方式，堆料高度为2.2m，污泥发酵天数约为15d，每天翻抛1次，每次翻抛将物料往出料方向移动约4.27m，使混合料不断向发酵槽末端滚动，最后一天到成品车间入口完成发酵。发酵过程中温度为55~70℃，发酵不需要加热。</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发酵槽内不设置专用供氧设施，通过翻抛机翻抛以及废气排风机形成微负压进行供氧，发酵程序启动后，采用正压鼓风送气模式，发酵初期，好氧微生物迅速增殖，堆体温度迅速升高，3天后发酵进入高温期。发酵设备中不设置加热装置，仅靠物料本身发酵发热形成的高温，通过自动监测和控制系统控制发酵堆体在55℃~70℃的高温阶段维持不少于6天，以达到充分杀灭病原菌和杂草种子，实现物料的无害化和稳定化的目的。降温阶段大约6天，高温阶段必然造成微生物的死亡，因此高温阶段之后将自然进入降温阶段，逐步降低至室温。</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b w:val="0"/>
                <w:bCs/>
                <w:color w:val="auto"/>
                <w:sz w:val="24"/>
                <w:lang w:val="en-US" w:eastAsia="zh-CN"/>
              </w:rPr>
              <w:t>该过程会产生臭气G7和噪声N。</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（5）出料</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随着发酵周期的推进，混合料发酵至14天时被翻抛机位移至发酵区末端，发酵后期满15天后发酵控制系统提示发酵过程结束，由翻抛机将自动腐熟物料从发酵区取出并通过输送机转运至成品车间，一部分腐熟物料作为返混料循环使用助于下一次发酵过程的进行，另一部分作为成品外运进行资源化利用。</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b w:val="0"/>
                <w:bCs/>
                <w:color w:val="auto"/>
                <w:sz w:val="24"/>
                <w:lang w:val="en-US" w:eastAsia="zh-CN"/>
              </w:rPr>
              <w:t>该过程会产生噪声N。</w:t>
            </w:r>
          </w:p>
          <w:p>
            <w:pPr>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（6）成品：经过好氧发酵后的成品送入成品车间暂存堆放，最终作为园林绿化营养土外售。</w:t>
            </w:r>
          </w:p>
          <w:p>
            <w:pPr>
              <w:spacing w:line="360" w:lineRule="auto"/>
              <w:ind w:firstLine="480" w:firstLineChars="200"/>
              <w:jc w:val="both"/>
              <w:rPr>
                <w:rFonts w:ascii="Times New Roman" w:hAnsi="Times New Roman" w:eastAsia="宋体" w:cs="Times New Roman"/>
                <w:kern w:val="0"/>
                <w:sz w:val="24"/>
                <w:szCs w:val="24"/>
              </w:rPr>
            </w:pP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与项目有关的原有环境污染问题</w:t>
            </w:r>
          </w:p>
        </w:tc>
        <w:tc>
          <w:tcPr>
            <w:tcW w:w="8317" w:type="dxa"/>
          </w:tcPr>
          <w:p>
            <w:pPr>
              <w:autoSpaceDE w:val="0"/>
              <w:autoSpaceDN w:val="0"/>
              <w:adjustRightInd w:val="0"/>
              <w:snapToGrid w:val="0"/>
              <w:spacing w:line="440" w:lineRule="exac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w:t>
            </w:r>
            <w:r>
              <w:rPr>
                <w:rFonts w:hint="eastAsia" w:ascii="Times New Roman" w:hAnsi="Times New Roman" w:eastAsia="宋体" w:cs="Times New Roman"/>
                <w:b/>
                <w:bCs/>
                <w:kern w:val="0"/>
                <w:sz w:val="24"/>
                <w:szCs w:val="24"/>
                <w:lang w:val="en-US" w:eastAsia="zh-CN"/>
              </w:rPr>
              <w:t>3</w:t>
            </w:r>
            <w:r>
              <w:rPr>
                <w:rFonts w:ascii="Times New Roman" w:hAnsi="Times New Roman" w:eastAsia="宋体" w:cs="Times New Roman"/>
                <w:b/>
                <w:bCs/>
                <w:kern w:val="0"/>
                <w:sz w:val="24"/>
                <w:szCs w:val="24"/>
              </w:rPr>
              <w:t xml:space="preserve"> 项目有关的原有环境污染问题</w:t>
            </w:r>
          </w:p>
          <w:p>
            <w:pPr>
              <w:autoSpaceDE w:val="0"/>
              <w:autoSpaceDN w:val="0"/>
              <w:adjustRightInd w:val="0"/>
              <w:snapToGrid w:val="0"/>
              <w:spacing w:line="440" w:lineRule="exact"/>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2.3.1 现有工程基本概况</w:t>
            </w:r>
          </w:p>
          <w:p>
            <w:pPr>
              <w:autoSpaceDE w:val="0"/>
              <w:autoSpaceDN w:val="0"/>
              <w:adjustRightInd w:val="0"/>
              <w:snapToGrid w:val="0"/>
              <w:spacing w:line="440" w:lineRule="exact"/>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现有</w:t>
            </w:r>
            <w:r>
              <w:rPr>
                <w:rFonts w:hint="eastAsia" w:ascii="Times New Roman" w:hAnsi="Times New Roman" w:eastAsia="宋体" w:cs="Times New Roman"/>
                <w:color w:val="auto"/>
                <w:kern w:val="0"/>
                <w:sz w:val="24"/>
                <w:szCs w:val="24"/>
                <w:lang w:eastAsia="zh-CN"/>
              </w:rPr>
              <w:t>项目位于重庆市铜梁区侣俸镇凤飞村，</w:t>
            </w:r>
            <w:r>
              <w:rPr>
                <w:rFonts w:hint="eastAsia" w:ascii="Times New Roman" w:hAnsi="Times New Roman" w:eastAsia="宋体" w:cs="Times New Roman"/>
                <w:kern w:val="0"/>
                <w:sz w:val="24"/>
                <w:szCs w:val="24"/>
                <w:lang w:val="en-US" w:eastAsia="zh-CN"/>
              </w:rPr>
              <w:t>2021年，重庆玄天湖旅游投资开发有限公司委托重庆舒清节能环保科技有限公司编制了《</w:t>
            </w:r>
            <w:r>
              <w:rPr>
                <w:rFonts w:hint="eastAsia" w:ascii="Times New Roman" w:hAnsi="Times New Roman" w:eastAsia="宋体" w:cs="Times New Roman"/>
                <w:kern w:val="0"/>
                <w:sz w:val="24"/>
                <w:szCs w:val="24"/>
                <w:lang w:eastAsia="zh-CN"/>
              </w:rPr>
              <w:t>铜梁区污泥无害化处置项目环境影响报告表</w:t>
            </w:r>
            <w:r>
              <w:rPr>
                <w:rFonts w:hint="eastAsia" w:ascii="Times New Roman" w:hAnsi="Times New Roman" w:eastAsia="宋体" w:cs="Times New Roman"/>
                <w:kern w:val="0"/>
                <w:sz w:val="24"/>
                <w:szCs w:val="24"/>
                <w:lang w:val="en-US" w:eastAsia="zh-CN"/>
              </w:rPr>
              <w:t>》，并于2021年8月3日</w:t>
            </w:r>
            <w:r>
              <w:rPr>
                <w:rFonts w:hint="eastAsia" w:ascii="Times New Roman" w:hAnsi="Times New Roman" w:eastAsia="宋体" w:cs="Times New Roman"/>
                <w:kern w:val="0"/>
                <w:sz w:val="24"/>
                <w:szCs w:val="24"/>
                <w:lang w:eastAsia="zh-CN"/>
              </w:rPr>
              <w:t>取得重庆市铜梁区生态环境局关于“铜梁区污泥无害化处置项目”的环境影响评价批准书（渝（铜）环准【</w:t>
            </w:r>
            <w:r>
              <w:rPr>
                <w:rFonts w:hint="eastAsia" w:ascii="Times New Roman" w:hAnsi="Times New Roman" w:eastAsia="宋体" w:cs="Times New Roman"/>
                <w:kern w:val="0"/>
                <w:sz w:val="24"/>
                <w:szCs w:val="24"/>
                <w:lang w:val="en-US" w:eastAsia="zh-CN"/>
              </w:rPr>
              <w:t>2021</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79号</w:t>
            </w:r>
            <w:r>
              <w:rPr>
                <w:rFonts w:hint="eastAsia" w:ascii="Times New Roman" w:hAnsi="Times New Roman" w:eastAsia="宋体" w:cs="Times New Roman"/>
                <w:kern w:val="0"/>
                <w:sz w:val="24"/>
                <w:szCs w:val="24"/>
                <w:lang w:eastAsia="zh-CN"/>
              </w:rPr>
              <w:t>），现有项目建设内容及项目组成见下表：</w:t>
            </w:r>
          </w:p>
          <w:p>
            <w:pPr>
              <w:autoSpaceDE w:val="0"/>
              <w:autoSpaceDN w:val="0"/>
              <w:adjustRightInd w:val="0"/>
              <w:snapToGrid w:val="0"/>
              <w:spacing w:line="440" w:lineRule="exact"/>
              <w:ind w:firstLine="482" w:firstLineChars="200"/>
              <w:jc w:val="center"/>
              <w:rPr>
                <w:rFonts w:ascii="Times New Roman" w:hAnsi="Times New Roman" w:eastAsia="宋体" w:cs="Times New Roman"/>
                <w:color w:val="auto"/>
                <w:kern w:val="0"/>
                <w:sz w:val="24"/>
                <w:szCs w:val="24"/>
              </w:rPr>
            </w:pPr>
            <w:r>
              <w:rPr>
                <w:rFonts w:hint="eastAsia" w:ascii="Times New Roman" w:hAnsi="Times New Roman" w:eastAsia="宋体" w:cs="Times New Roman"/>
                <w:b/>
                <w:bCs/>
                <w:color w:val="auto"/>
                <w:kern w:val="0"/>
                <w:sz w:val="24"/>
                <w:szCs w:val="24"/>
              </w:rPr>
              <w:t>表2.3-1  现有工程组成一览表</w:t>
            </w:r>
          </w:p>
          <w:tbl>
            <w:tblPr>
              <w:tblStyle w:val="20"/>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766"/>
              <w:gridCol w:w="1149"/>
              <w:gridCol w:w="1031"/>
              <w:gridCol w:w="3723"/>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8" w:type="dxa"/>
                  <w:vMerge w:val="restart"/>
                  <w:vAlign w:val="center"/>
                </w:tcPr>
                <w:p>
                  <w:pPr>
                    <w:pStyle w:val="86"/>
                    <w:spacing w:line="240" w:lineRule="auto"/>
                    <w:rPr>
                      <w:rFonts w:ascii="Times New Roman" w:hAnsi="Times New Roman" w:eastAsia="宋体" w:cs="Times New Roman"/>
                      <w:b/>
                      <w:color w:val="auto"/>
                    </w:rPr>
                  </w:pPr>
                  <w:r>
                    <w:rPr>
                      <w:rFonts w:ascii="Times New Roman" w:hAnsi="Times New Roman" w:eastAsia="宋体" w:cs="Times New Roman"/>
                      <w:b/>
                      <w:color w:val="auto"/>
                    </w:rPr>
                    <w:t>序号</w:t>
                  </w:r>
                </w:p>
              </w:tc>
              <w:tc>
                <w:tcPr>
                  <w:tcW w:w="766" w:type="dxa"/>
                  <w:vMerge w:val="restart"/>
                  <w:vAlign w:val="center"/>
                </w:tcPr>
                <w:p>
                  <w:pPr>
                    <w:pStyle w:val="86"/>
                    <w:spacing w:line="240" w:lineRule="auto"/>
                    <w:rPr>
                      <w:rFonts w:ascii="Times New Roman" w:hAnsi="Times New Roman" w:eastAsia="宋体" w:cs="Times New Roman"/>
                      <w:b/>
                      <w:color w:val="auto"/>
                    </w:rPr>
                  </w:pPr>
                  <w:r>
                    <w:rPr>
                      <w:rFonts w:ascii="Times New Roman" w:hAnsi="Times New Roman" w:eastAsia="宋体" w:cs="Times New Roman"/>
                      <w:b/>
                      <w:color w:val="auto"/>
                    </w:rPr>
                    <w:t>类别</w:t>
                  </w:r>
                </w:p>
              </w:tc>
              <w:tc>
                <w:tcPr>
                  <w:tcW w:w="1149" w:type="dxa"/>
                  <w:vMerge w:val="restart"/>
                  <w:vAlign w:val="center"/>
                </w:tcPr>
                <w:p>
                  <w:pPr>
                    <w:pStyle w:val="86"/>
                    <w:spacing w:line="240" w:lineRule="auto"/>
                    <w:rPr>
                      <w:rFonts w:ascii="Times New Roman" w:hAnsi="Times New Roman" w:eastAsia="宋体" w:cs="Times New Roman"/>
                      <w:b/>
                      <w:color w:val="auto"/>
                    </w:rPr>
                  </w:pPr>
                  <w:r>
                    <w:rPr>
                      <w:rFonts w:ascii="Times New Roman" w:hAnsi="Times New Roman" w:eastAsia="宋体" w:cs="Times New Roman"/>
                      <w:b/>
                      <w:color w:val="auto"/>
                    </w:rPr>
                    <w:t>建设内容</w:t>
                  </w:r>
                </w:p>
              </w:tc>
              <w:tc>
                <w:tcPr>
                  <w:tcW w:w="4754" w:type="dxa"/>
                  <w:gridSpan w:val="2"/>
                  <w:vMerge w:val="restart"/>
                  <w:vAlign w:val="center"/>
                </w:tcPr>
                <w:p>
                  <w:pPr>
                    <w:pStyle w:val="86"/>
                    <w:spacing w:line="240" w:lineRule="auto"/>
                    <w:rPr>
                      <w:rFonts w:ascii="Times New Roman" w:hAnsi="Times New Roman" w:eastAsia="宋体" w:cs="Times New Roman"/>
                      <w:b/>
                      <w:color w:val="auto"/>
                    </w:rPr>
                  </w:pPr>
                  <w:r>
                    <w:rPr>
                      <w:rFonts w:ascii="Times New Roman" w:hAnsi="Times New Roman" w:eastAsia="宋体" w:cs="Times New Roman"/>
                      <w:b/>
                      <w:color w:val="auto"/>
                    </w:rPr>
                    <w:t>规模</w:t>
                  </w:r>
                </w:p>
              </w:tc>
              <w:tc>
                <w:tcPr>
                  <w:tcW w:w="841" w:type="dxa"/>
                  <w:vMerge w:val="restart"/>
                  <w:vAlign w:val="center"/>
                </w:tcPr>
                <w:p>
                  <w:pPr>
                    <w:pStyle w:val="86"/>
                    <w:spacing w:line="240" w:lineRule="auto"/>
                    <w:rPr>
                      <w:rFonts w:ascii="Times New Roman" w:hAnsi="Times New Roman" w:eastAsia="宋体" w:cs="Times New Roman"/>
                      <w:b/>
                      <w:color w:val="auto"/>
                    </w:rPr>
                  </w:pPr>
                  <w:r>
                    <w:rPr>
                      <w:rFonts w:ascii="Times New Roman" w:hAnsi="Times New Roman" w:eastAsia="宋体" w:cs="Times New Roman"/>
                      <w:b/>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8" w:type="dxa"/>
                  <w:vMerge w:val="continue"/>
                  <w:vAlign w:val="center"/>
                </w:tcPr>
                <w:p>
                  <w:pPr>
                    <w:pStyle w:val="86"/>
                    <w:spacing w:line="240" w:lineRule="auto"/>
                    <w:rPr>
                      <w:rFonts w:ascii="Times New Roman" w:hAnsi="Times New Roman" w:eastAsia="宋体" w:cs="Times New Roman"/>
                      <w:b/>
                      <w:color w:val="auto"/>
                    </w:rPr>
                  </w:pPr>
                </w:p>
              </w:tc>
              <w:tc>
                <w:tcPr>
                  <w:tcW w:w="766" w:type="dxa"/>
                  <w:vMerge w:val="continue"/>
                  <w:vAlign w:val="center"/>
                </w:tcPr>
                <w:p>
                  <w:pPr>
                    <w:pStyle w:val="86"/>
                    <w:spacing w:line="240" w:lineRule="auto"/>
                    <w:rPr>
                      <w:rFonts w:ascii="Times New Roman" w:hAnsi="Times New Roman" w:eastAsia="宋体" w:cs="Times New Roman"/>
                      <w:b/>
                      <w:color w:val="auto"/>
                    </w:rPr>
                  </w:pPr>
                </w:p>
              </w:tc>
              <w:tc>
                <w:tcPr>
                  <w:tcW w:w="1149" w:type="dxa"/>
                  <w:vMerge w:val="continue"/>
                  <w:vAlign w:val="center"/>
                </w:tcPr>
                <w:p>
                  <w:pPr>
                    <w:pStyle w:val="86"/>
                    <w:spacing w:line="240" w:lineRule="auto"/>
                    <w:rPr>
                      <w:rFonts w:ascii="Times New Roman" w:hAnsi="Times New Roman" w:eastAsia="宋体" w:cs="Times New Roman"/>
                      <w:b/>
                      <w:color w:val="auto"/>
                    </w:rPr>
                  </w:pPr>
                </w:p>
              </w:tc>
              <w:tc>
                <w:tcPr>
                  <w:tcW w:w="4754" w:type="dxa"/>
                  <w:gridSpan w:val="2"/>
                  <w:vMerge w:val="continue"/>
                  <w:vAlign w:val="center"/>
                </w:tcPr>
                <w:p>
                  <w:pPr>
                    <w:pStyle w:val="86"/>
                    <w:spacing w:line="240" w:lineRule="auto"/>
                    <w:rPr>
                      <w:rFonts w:ascii="Times New Roman" w:hAnsi="Times New Roman" w:eastAsia="宋体" w:cs="Times New Roman"/>
                      <w:b/>
                      <w:color w:val="auto"/>
                    </w:rPr>
                  </w:pPr>
                </w:p>
              </w:tc>
              <w:tc>
                <w:tcPr>
                  <w:tcW w:w="841" w:type="dxa"/>
                  <w:vMerge w:val="continue"/>
                  <w:vAlign w:val="center"/>
                </w:tcPr>
                <w:p>
                  <w:pPr>
                    <w:pStyle w:val="86"/>
                    <w:spacing w:line="240" w:lineRule="auto"/>
                    <w:rPr>
                      <w:rFonts w:ascii="Times New Roman" w:hAnsi="Times New Roman" w:eastAsia="宋体" w:cs="Times New Roman"/>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668" w:type="dxa"/>
                  <w:vMerge w:val="restart"/>
                  <w:vAlign w:val="center"/>
                </w:tcPr>
                <w:p>
                  <w:pPr>
                    <w:pStyle w:val="86"/>
                    <w:spacing w:line="240" w:lineRule="auto"/>
                    <w:rPr>
                      <w:rFonts w:ascii="Times New Roman" w:hAnsi="Times New Roman" w:eastAsia="宋体" w:cs="Times New Roman"/>
                      <w:color w:val="auto"/>
                    </w:rPr>
                  </w:pPr>
                  <w:r>
                    <w:rPr>
                      <w:rFonts w:ascii="Times New Roman" w:hAnsi="Times New Roman" w:eastAsia="宋体" w:cs="Times New Roman"/>
                      <w:color w:val="auto"/>
                    </w:rPr>
                    <w:t>1</w:t>
                  </w:r>
                </w:p>
              </w:tc>
              <w:tc>
                <w:tcPr>
                  <w:tcW w:w="766" w:type="dxa"/>
                  <w:vMerge w:val="restart"/>
                  <w:vAlign w:val="center"/>
                </w:tcPr>
                <w:p>
                  <w:pPr>
                    <w:pStyle w:val="86"/>
                    <w:spacing w:line="240" w:lineRule="auto"/>
                    <w:rPr>
                      <w:rFonts w:ascii="Times New Roman" w:hAnsi="Times New Roman" w:eastAsia="宋体" w:cs="Times New Roman"/>
                      <w:color w:val="auto"/>
                    </w:rPr>
                  </w:pPr>
                  <w:r>
                    <w:rPr>
                      <w:rFonts w:ascii="Times New Roman" w:hAnsi="Times New Roman" w:eastAsia="宋体" w:cs="Times New Roman"/>
                      <w:color w:val="auto"/>
                    </w:rPr>
                    <w:t>主体</w:t>
                  </w:r>
                </w:p>
                <w:p>
                  <w:pPr>
                    <w:pStyle w:val="86"/>
                    <w:spacing w:line="240" w:lineRule="auto"/>
                    <w:rPr>
                      <w:rFonts w:ascii="Times New Roman" w:hAnsi="Times New Roman" w:eastAsia="宋体" w:cs="Times New Roman"/>
                      <w:color w:val="auto"/>
                    </w:rPr>
                  </w:pPr>
                  <w:r>
                    <w:rPr>
                      <w:rFonts w:ascii="Times New Roman" w:hAnsi="Times New Roman" w:eastAsia="宋体" w:cs="Times New Roman"/>
                      <w:color w:val="auto"/>
                    </w:rPr>
                    <w:t>工程</w:t>
                  </w:r>
                </w:p>
              </w:tc>
              <w:tc>
                <w:tcPr>
                  <w:tcW w:w="1149" w:type="dxa"/>
                  <w:vAlign w:val="center"/>
                </w:tcPr>
                <w:p>
                  <w:pPr>
                    <w:pStyle w:val="86"/>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发酵及成品车间</w:t>
                  </w:r>
                </w:p>
              </w:tc>
              <w:tc>
                <w:tcPr>
                  <w:tcW w:w="4754" w:type="dxa"/>
                  <w:gridSpan w:val="2"/>
                  <w:vAlign w:val="center"/>
                </w:tcPr>
                <w:p>
                  <w:pPr>
                    <w:pStyle w:val="86"/>
                    <w:spacing w:line="240" w:lineRule="auto"/>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kern w:val="0"/>
                      <w:sz w:val="21"/>
                      <w:szCs w:val="21"/>
                      <w:lang w:val="en-US" w:eastAsia="zh-CN"/>
                    </w:rPr>
                    <w:t>1F/-1F，-1F为鼓风机房及消防泵房等，1F为进料、混料、发酵、成品车间，</w:t>
                  </w:r>
                  <w:r>
                    <w:rPr>
                      <w:rFonts w:hint="eastAsia" w:ascii="Times New Roman" w:hAnsi="Times New Roman" w:eastAsia="宋体" w:cs="Times New Roman"/>
                      <w:color w:val="auto"/>
                      <w:kern w:val="2"/>
                      <w:sz w:val="21"/>
                      <w:szCs w:val="21"/>
                      <w:lang w:val="en-US" w:eastAsia="zh-CN" w:bidi="ar-SA"/>
                    </w:rPr>
                    <w:t>总</w:t>
                  </w:r>
                  <w:r>
                    <w:rPr>
                      <w:rFonts w:hint="eastAsia" w:ascii="Times New Roman" w:hAnsi="Times New Roman" w:eastAsia="宋体" w:cs="Times New Roman"/>
                      <w:color w:val="auto"/>
                      <w:lang w:val="en-US" w:eastAsia="zh-CN"/>
                    </w:rPr>
                    <w:t>占地面积 3520.96m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kern w:val="2"/>
                      <w:sz w:val="21"/>
                      <w:szCs w:val="21"/>
                      <w:lang w:val="en-US" w:eastAsia="zh-CN" w:bidi="ar-SA"/>
                    </w:rPr>
                    <w:t>总</w:t>
                  </w:r>
                  <w:r>
                    <w:rPr>
                      <w:rFonts w:hint="eastAsia" w:ascii="Times New Roman" w:hAnsi="Times New Roman" w:eastAsia="宋体" w:cs="Times New Roman"/>
                      <w:color w:val="auto"/>
                      <w:lang w:val="en-US" w:eastAsia="zh-CN"/>
                    </w:rPr>
                    <w:t>建筑面积3965.94m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kern w:val="2"/>
                      <w:sz w:val="21"/>
                      <w:szCs w:val="21"/>
                      <w:lang w:val="en-US" w:eastAsia="zh-CN" w:bidi="ar-SA"/>
                    </w:rPr>
                    <w:t>其中进料及混料区空间尺寸为33.6m×16.8m×6.6m，发酵区空间尺寸为64m×30m×6.6m。</w:t>
                  </w:r>
                </w:p>
                <w:p>
                  <w:pPr>
                    <w:pStyle w:val="86"/>
                    <w:spacing w:line="240" w:lineRule="auto"/>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lang w:val="en-US" w:eastAsia="zh-CN"/>
                    </w:rPr>
                    <w:t>建设1条发酵生产线；生产线主要包含进料、混料、发酵、成品堆放等环节；生产线主要设备设施：污泥料仓、返混料仓、辅料料仓、混料机、布料机、输送机、发酵槽等，设备内设有自动控制系统，进行自动鼓风、翻抛和输送</w:t>
                  </w:r>
                </w:p>
              </w:tc>
              <w:tc>
                <w:tcPr>
                  <w:tcW w:w="84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668" w:type="dxa"/>
                  <w:vMerge w:val="continue"/>
                  <w:vAlign w:val="center"/>
                </w:tcPr>
                <w:p>
                  <w:pPr>
                    <w:pStyle w:val="86"/>
                    <w:spacing w:line="240" w:lineRule="auto"/>
                    <w:rPr>
                      <w:rFonts w:ascii="Times New Roman" w:hAnsi="Times New Roman" w:eastAsia="宋体" w:cs="Times New Roman"/>
                      <w:color w:val="auto"/>
                    </w:rPr>
                  </w:pPr>
                </w:p>
              </w:tc>
              <w:tc>
                <w:tcPr>
                  <w:tcW w:w="766" w:type="dxa"/>
                  <w:vMerge w:val="continue"/>
                  <w:vAlign w:val="center"/>
                </w:tcPr>
                <w:p>
                  <w:pPr>
                    <w:pStyle w:val="86"/>
                    <w:spacing w:line="240" w:lineRule="auto"/>
                    <w:rPr>
                      <w:rFonts w:ascii="Times New Roman" w:hAnsi="Times New Roman" w:eastAsia="宋体" w:cs="Times New Roman"/>
                      <w:color w:val="auto"/>
                    </w:rPr>
                  </w:pPr>
                </w:p>
              </w:tc>
              <w:tc>
                <w:tcPr>
                  <w:tcW w:w="1149" w:type="dxa"/>
                  <w:vAlign w:val="center"/>
                </w:tcPr>
                <w:p>
                  <w:pPr>
                    <w:pStyle w:val="86"/>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rPr>
                    <w:t>辅料车间</w:t>
                  </w:r>
                </w:p>
              </w:tc>
              <w:tc>
                <w:tcPr>
                  <w:tcW w:w="4754" w:type="dxa"/>
                  <w:gridSpan w:val="2"/>
                  <w:vAlign w:val="center"/>
                </w:tcPr>
                <w:p>
                  <w:pPr>
                    <w:pStyle w:val="86"/>
                    <w:spacing w:line="240" w:lineRule="auto"/>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rPr>
                    <w:t>占地面积250.24</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rPr>
                    <w:t>，建筑面积250.24</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kern w:val="0"/>
                      <w:sz w:val="21"/>
                      <w:szCs w:val="21"/>
                      <w:lang w:val="en-US" w:eastAsia="zh-CN"/>
                    </w:rPr>
                    <w:t>1F，建筑高度为8.4m，</w:t>
                  </w:r>
                  <w:r>
                    <w:rPr>
                      <w:rFonts w:hint="eastAsia" w:ascii="Times New Roman" w:hAnsi="Times New Roman" w:eastAsia="宋体" w:cs="Times New Roman"/>
                      <w:color w:val="auto"/>
                    </w:rPr>
                    <w:t>用于外购的秸秆堆存</w:t>
                  </w:r>
                </w:p>
              </w:tc>
              <w:tc>
                <w:tcPr>
                  <w:tcW w:w="84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68" w:type="dxa"/>
                  <w:vMerge w:val="restart"/>
                  <w:vAlign w:val="center"/>
                </w:tcPr>
                <w:p>
                  <w:pPr>
                    <w:pStyle w:val="86"/>
                    <w:spacing w:line="240" w:lineRule="auto"/>
                    <w:rPr>
                      <w:rFonts w:ascii="Times New Roman" w:hAnsi="Times New Roman" w:eastAsia="宋体" w:cs="Times New Roman"/>
                      <w:color w:val="auto"/>
                    </w:rPr>
                  </w:pPr>
                  <w:r>
                    <w:rPr>
                      <w:rFonts w:ascii="Times New Roman" w:hAnsi="Times New Roman" w:eastAsia="宋体" w:cs="Times New Roman"/>
                      <w:color w:val="auto"/>
                    </w:rPr>
                    <w:t>2</w:t>
                  </w:r>
                </w:p>
              </w:tc>
              <w:tc>
                <w:tcPr>
                  <w:tcW w:w="766" w:type="dxa"/>
                  <w:vMerge w:val="restart"/>
                  <w:vAlign w:val="center"/>
                </w:tcPr>
                <w:p>
                  <w:pPr>
                    <w:pStyle w:val="86"/>
                    <w:spacing w:line="240" w:lineRule="auto"/>
                    <w:rPr>
                      <w:rFonts w:ascii="Times New Roman" w:hAnsi="Times New Roman" w:eastAsia="宋体" w:cs="Times New Roman"/>
                      <w:color w:val="auto"/>
                    </w:rPr>
                  </w:pPr>
                  <w:r>
                    <w:rPr>
                      <w:rFonts w:ascii="Times New Roman" w:hAnsi="Times New Roman" w:eastAsia="宋体" w:cs="Times New Roman"/>
                      <w:color w:val="auto"/>
                    </w:rPr>
                    <w:t>辅助</w:t>
                  </w:r>
                </w:p>
                <w:p>
                  <w:pPr>
                    <w:pStyle w:val="86"/>
                    <w:spacing w:line="240" w:lineRule="auto"/>
                    <w:rPr>
                      <w:rFonts w:ascii="Times New Roman" w:hAnsi="Times New Roman" w:eastAsia="宋体" w:cs="Times New Roman"/>
                      <w:color w:val="auto"/>
                    </w:rPr>
                  </w:pPr>
                  <w:r>
                    <w:rPr>
                      <w:rFonts w:ascii="Times New Roman" w:hAnsi="Times New Roman" w:eastAsia="宋体" w:cs="Times New Roman"/>
                      <w:color w:val="auto"/>
                    </w:rPr>
                    <w:t>工程</w:t>
                  </w:r>
                </w:p>
              </w:tc>
              <w:tc>
                <w:tcPr>
                  <w:tcW w:w="1149" w:type="dxa"/>
                  <w:vAlign w:val="center"/>
                </w:tcPr>
                <w:p>
                  <w:pPr>
                    <w:pStyle w:val="86"/>
                    <w:spacing w:line="240"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综合楼</w:t>
                  </w:r>
                </w:p>
              </w:tc>
              <w:tc>
                <w:tcPr>
                  <w:tcW w:w="4754" w:type="dxa"/>
                  <w:gridSpan w:val="2"/>
                  <w:vAlign w:val="center"/>
                </w:tcPr>
                <w:p>
                  <w:pPr>
                    <w:pStyle w:val="86"/>
                    <w:spacing w:line="240" w:lineRule="auto"/>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lang w:eastAsia="zh-CN"/>
                    </w:rPr>
                    <w:t>利用原新复中学3层综合楼装修，设置办公、食堂区域</w:t>
                  </w:r>
                </w:p>
              </w:tc>
              <w:tc>
                <w:tcPr>
                  <w:tcW w:w="84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68" w:type="dxa"/>
                  <w:vMerge w:val="continue"/>
                  <w:vAlign w:val="center"/>
                </w:tcPr>
                <w:p>
                  <w:pPr>
                    <w:pStyle w:val="86"/>
                    <w:spacing w:line="240" w:lineRule="auto"/>
                    <w:rPr>
                      <w:rFonts w:ascii="Times New Roman" w:hAnsi="Times New Roman" w:eastAsia="宋体" w:cs="Times New Roman"/>
                      <w:color w:val="auto"/>
                    </w:rPr>
                  </w:pPr>
                </w:p>
              </w:tc>
              <w:tc>
                <w:tcPr>
                  <w:tcW w:w="766" w:type="dxa"/>
                  <w:vMerge w:val="continue"/>
                  <w:vAlign w:val="center"/>
                </w:tcPr>
                <w:p>
                  <w:pPr>
                    <w:pStyle w:val="86"/>
                    <w:spacing w:line="240" w:lineRule="auto"/>
                    <w:rPr>
                      <w:rFonts w:ascii="Times New Roman" w:hAnsi="Times New Roman" w:eastAsia="宋体" w:cs="Times New Roman"/>
                      <w:color w:val="auto"/>
                    </w:rPr>
                  </w:pPr>
                </w:p>
              </w:tc>
              <w:tc>
                <w:tcPr>
                  <w:tcW w:w="1149" w:type="dxa"/>
                  <w:vAlign w:val="center"/>
                </w:tcPr>
                <w:p>
                  <w:pPr>
                    <w:pStyle w:val="86"/>
                    <w:spacing w:line="240" w:lineRule="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门卫室</w:t>
                  </w:r>
                </w:p>
              </w:tc>
              <w:tc>
                <w:tcPr>
                  <w:tcW w:w="4754" w:type="dxa"/>
                  <w:gridSpan w:val="2"/>
                  <w:vAlign w:val="center"/>
                </w:tcPr>
                <w:p>
                  <w:pPr>
                    <w:pStyle w:val="86"/>
                    <w:spacing w:line="240" w:lineRule="auto"/>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依托现有厂区</w:t>
                  </w:r>
                  <w:r>
                    <w:rPr>
                      <w:rFonts w:hint="default" w:ascii="Times New Roman" w:hAnsi="Times New Roman" w:eastAsia="宋体" w:cs="Times New Roman"/>
                      <w:color w:val="auto"/>
                      <w:sz w:val="21"/>
                      <w:szCs w:val="21"/>
                    </w:rPr>
                    <w:t>门卫室</w:t>
                  </w:r>
                  <w:r>
                    <w:rPr>
                      <w:rFonts w:hint="eastAsia" w:ascii="Times New Roman" w:hAnsi="Times New Roman" w:eastAsia="宋体" w:cs="Times New Roman"/>
                      <w:color w:val="auto"/>
                      <w:sz w:val="21"/>
                      <w:szCs w:val="21"/>
                      <w:lang w:eastAsia="zh-CN"/>
                    </w:rPr>
                    <w:t>，建筑面积17.15</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841" w:type="dxa"/>
                  <w:vAlign w:val="center"/>
                </w:tcPr>
                <w:p>
                  <w:pPr>
                    <w:pStyle w:val="86"/>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68" w:type="dxa"/>
                  <w:vMerge w:val="restart"/>
                  <w:vAlign w:val="center"/>
                </w:tcPr>
                <w:p>
                  <w:pPr>
                    <w:pStyle w:val="86"/>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3</w:t>
                  </w:r>
                </w:p>
              </w:tc>
              <w:tc>
                <w:tcPr>
                  <w:tcW w:w="766" w:type="dxa"/>
                  <w:vMerge w:val="restart"/>
                  <w:vAlign w:val="center"/>
                </w:tcPr>
                <w:p>
                  <w:pPr>
                    <w:pStyle w:val="86"/>
                    <w:spacing w:line="240" w:lineRule="auto"/>
                    <w:rPr>
                      <w:rFonts w:ascii="Times New Roman" w:hAnsi="Times New Roman" w:eastAsia="宋体" w:cs="Times New Roman"/>
                      <w:color w:val="auto"/>
                    </w:rPr>
                  </w:pPr>
                  <w:r>
                    <w:rPr>
                      <w:rFonts w:ascii="Times New Roman" w:hAnsi="Times New Roman" w:eastAsia="宋体" w:cs="Times New Roman"/>
                      <w:color w:val="auto"/>
                    </w:rPr>
                    <w:t>公用</w:t>
                  </w:r>
                </w:p>
                <w:p>
                  <w:pPr>
                    <w:pStyle w:val="86"/>
                    <w:spacing w:line="240" w:lineRule="auto"/>
                    <w:rPr>
                      <w:rFonts w:ascii="Times New Roman" w:hAnsi="Times New Roman" w:eastAsia="宋体" w:cs="Times New Roman"/>
                      <w:color w:val="auto"/>
                    </w:rPr>
                  </w:pPr>
                  <w:r>
                    <w:rPr>
                      <w:rFonts w:ascii="Times New Roman" w:hAnsi="Times New Roman" w:eastAsia="宋体" w:cs="Times New Roman"/>
                      <w:color w:val="auto"/>
                    </w:rPr>
                    <w:t>工程</w:t>
                  </w:r>
                </w:p>
              </w:tc>
              <w:tc>
                <w:tcPr>
                  <w:tcW w:w="1149" w:type="dxa"/>
                  <w:vAlign w:val="center"/>
                </w:tcPr>
                <w:p>
                  <w:pPr>
                    <w:pStyle w:val="86"/>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供水</w:t>
                  </w:r>
                </w:p>
              </w:tc>
              <w:tc>
                <w:tcPr>
                  <w:tcW w:w="4754" w:type="dxa"/>
                  <w:gridSpan w:val="2"/>
                  <w:vAlign w:val="center"/>
                </w:tcPr>
                <w:p>
                  <w:pPr>
                    <w:pStyle w:val="86"/>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厂区给水主要来自于周边市政供水干管，用于生活、生产及消防</w:t>
                  </w:r>
                </w:p>
              </w:tc>
              <w:tc>
                <w:tcPr>
                  <w:tcW w:w="84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68" w:type="dxa"/>
                  <w:vMerge w:val="continue"/>
                  <w:vAlign w:val="center"/>
                </w:tcPr>
                <w:p>
                  <w:pPr>
                    <w:pStyle w:val="86"/>
                    <w:spacing w:line="240" w:lineRule="auto"/>
                    <w:rPr>
                      <w:rFonts w:ascii="Times New Roman" w:hAnsi="Times New Roman" w:eastAsia="宋体" w:cs="Times New Roman"/>
                      <w:color w:val="auto"/>
                    </w:rPr>
                  </w:pPr>
                </w:p>
              </w:tc>
              <w:tc>
                <w:tcPr>
                  <w:tcW w:w="766" w:type="dxa"/>
                  <w:vMerge w:val="continue"/>
                  <w:vAlign w:val="center"/>
                </w:tcPr>
                <w:p>
                  <w:pPr>
                    <w:pStyle w:val="86"/>
                    <w:spacing w:line="240" w:lineRule="auto"/>
                    <w:rPr>
                      <w:rFonts w:ascii="Times New Roman" w:hAnsi="Times New Roman" w:eastAsia="宋体" w:cs="Times New Roman"/>
                      <w:color w:val="auto"/>
                    </w:rPr>
                  </w:pPr>
                </w:p>
              </w:tc>
              <w:tc>
                <w:tcPr>
                  <w:tcW w:w="1149" w:type="dxa"/>
                  <w:vAlign w:val="center"/>
                </w:tcPr>
                <w:p>
                  <w:pPr>
                    <w:pStyle w:val="86"/>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排水</w:t>
                  </w:r>
                </w:p>
              </w:tc>
              <w:tc>
                <w:tcPr>
                  <w:tcW w:w="4754" w:type="dxa"/>
                  <w:gridSpan w:val="2"/>
                  <w:vAlign w:val="center"/>
                </w:tcPr>
                <w:p>
                  <w:pPr>
                    <w:pStyle w:val="86"/>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厂区排水采用雨污分流制。</w:t>
                  </w:r>
                </w:p>
                <w:p>
                  <w:pPr>
                    <w:pStyle w:val="86"/>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厂区雨水由雨水管道收集后排入厂外雨水沟；</w:t>
                  </w:r>
                  <w:r>
                    <w:rPr>
                      <w:rFonts w:hint="default" w:ascii="Times New Roman" w:hAnsi="Times New Roman" w:eastAsia="宋体" w:cs="Times New Roman"/>
                      <w:color w:val="auto"/>
                      <w:sz w:val="21"/>
                      <w:szCs w:val="21"/>
                      <w:lang w:val="en-US" w:eastAsia="zh-CN"/>
                    </w:rPr>
                    <w:t>食堂废水经隔油后与生活污水经生化池收集处理后进入发酵工序消耗，不外排。除臭系统洗涤水循环使用，每季度更换一次，定期交重庆市铜梁排水有限责任公司处理达标后排放</w:t>
                  </w:r>
                </w:p>
              </w:tc>
              <w:tc>
                <w:tcPr>
                  <w:tcW w:w="84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68" w:type="dxa"/>
                  <w:vMerge w:val="continue"/>
                  <w:vAlign w:val="center"/>
                </w:tcPr>
                <w:p>
                  <w:pPr>
                    <w:pStyle w:val="86"/>
                    <w:spacing w:line="240" w:lineRule="auto"/>
                    <w:rPr>
                      <w:rFonts w:ascii="Times New Roman" w:hAnsi="Times New Roman" w:eastAsia="宋体" w:cs="Times New Roman"/>
                      <w:color w:val="auto"/>
                    </w:rPr>
                  </w:pPr>
                </w:p>
              </w:tc>
              <w:tc>
                <w:tcPr>
                  <w:tcW w:w="766" w:type="dxa"/>
                  <w:vMerge w:val="continue"/>
                  <w:vAlign w:val="center"/>
                </w:tcPr>
                <w:p>
                  <w:pPr>
                    <w:pStyle w:val="86"/>
                    <w:spacing w:line="240" w:lineRule="auto"/>
                    <w:rPr>
                      <w:rFonts w:ascii="Times New Roman" w:hAnsi="Times New Roman" w:eastAsia="宋体" w:cs="Times New Roman"/>
                      <w:color w:val="auto"/>
                    </w:rPr>
                  </w:pPr>
                </w:p>
              </w:tc>
              <w:tc>
                <w:tcPr>
                  <w:tcW w:w="1149" w:type="dxa"/>
                  <w:vAlign w:val="center"/>
                </w:tcPr>
                <w:p>
                  <w:pPr>
                    <w:pStyle w:val="86"/>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供电</w:t>
                  </w:r>
                </w:p>
              </w:tc>
              <w:tc>
                <w:tcPr>
                  <w:tcW w:w="4754" w:type="dxa"/>
                  <w:gridSpan w:val="2"/>
                  <w:vAlign w:val="center"/>
                </w:tcPr>
                <w:p>
                  <w:pPr>
                    <w:pStyle w:val="86"/>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依托</w:t>
                  </w:r>
                  <w:r>
                    <w:rPr>
                      <w:rFonts w:hint="default" w:ascii="Times New Roman" w:hAnsi="Times New Roman" w:eastAsia="宋体" w:cs="Times New Roman"/>
                      <w:color w:val="auto"/>
                      <w:sz w:val="21"/>
                      <w:szCs w:val="21"/>
                      <w:lang w:eastAsia="zh-CN"/>
                    </w:rPr>
                    <w:t>市</w:t>
                  </w:r>
                  <w:r>
                    <w:rPr>
                      <w:rFonts w:hint="default" w:ascii="Times New Roman" w:hAnsi="Times New Roman" w:eastAsia="宋体" w:cs="Times New Roman"/>
                      <w:color w:val="auto"/>
                      <w:sz w:val="21"/>
                      <w:szCs w:val="21"/>
                      <w:lang w:val="en-US" w:eastAsia="zh-CN"/>
                    </w:rPr>
                    <w:t>政</w:t>
                  </w:r>
                  <w:r>
                    <w:rPr>
                      <w:rFonts w:hint="default" w:ascii="Times New Roman" w:hAnsi="Times New Roman" w:eastAsia="宋体" w:cs="Times New Roman"/>
                      <w:color w:val="auto"/>
                      <w:sz w:val="21"/>
                      <w:szCs w:val="21"/>
                    </w:rPr>
                    <w:t>供电</w:t>
                  </w:r>
                  <w:r>
                    <w:rPr>
                      <w:rFonts w:hint="default" w:ascii="Times New Roman" w:hAnsi="Times New Roman" w:eastAsia="宋体" w:cs="Times New Roman"/>
                      <w:color w:val="auto"/>
                      <w:sz w:val="21"/>
                      <w:szCs w:val="21"/>
                      <w:lang w:eastAsia="zh-CN"/>
                    </w:rPr>
                    <w:t>系统</w:t>
                  </w:r>
                </w:p>
              </w:tc>
              <w:tc>
                <w:tcPr>
                  <w:tcW w:w="841" w:type="dxa"/>
                  <w:vAlign w:val="center"/>
                </w:tcPr>
                <w:p>
                  <w:pPr>
                    <w:pStyle w:val="86"/>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68" w:type="dxa"/>
                  <w:vMerge w:val="continue"/>
                  <w:vAlign w:val="center"/>
                </w:tcPr>
                <w:p>
                  <w:pPr>
                    <w:pStyle w:val="86"/>
                    <w:spacing w:line="240" w:lineRule="auto"/>
                    <w:rPr>
                      <w:rFonts w:ascii="Times New Roman" w:hAnsi="Times New Roman" w:eastAsia="宋体" w:cs="Times New Roman"/>
                      <w:color w:val="auto"/>
                    </w:rPr>
                  </w:pPr>
                </w:p>
              </w:tc>
              <w:tc>
                <w:tcPr>
                  <w:tcW w:w="766" w:type="dxa"/>
                  <w:vMerge w:val="continue"/>
                  <w:vAlign w:val="center"/>
                </w:tcPr>
                <w:p>
                  <w:pPr>
                    <w:pStyle w:val="86"/>
                    <w:spacing w:line="240" w:lineRule="auto"/>
                    <w:rPr>
                      <w:rFonts w:ascii="Times New Roman" w:hAnsi="Times New Roman" w:eastAsia="宋体" w:cs="Times New Roman"/>
                      <w:color w:val="auto"/>
                    </w:rPr>
                  </w:pPr>
                </w:p>
              </w:tc>
              <w:tc>
                <w:tcPr>
                  <w:tcW w:w="1149" w:type="dxa"/>
                  <w:vAlign w:val="center"/>
                </w:tcPr>
                <w:p>
                  <w:pPr>
                    <w:pStyle w:val="86"/>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供气</w:t>
                  </w:r>
                </w:p>
              </w:tc>
              <w:tc>
                <w:tcPr>
                  <w:tcW w:w="4754" w:type="dxa"/>
                  <w:gridSpan w:val="2"/>
                  <w:vAlign w:val="center"/>
                </w:tcPr>
                <w:p>
                  <w:pPr>
                    <w:pStyle w:val="86"/>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依托市政燃气管网</w:t>
                  </w:r>
                </w:p>
              </w:tc>
              <w:tc>
                <w:tcPr>
                  <w:tcW w:w="84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668" w:type="dxa"/>
                  <w:vMerge w:val="restart"/>
                  <w:vAlign w:val="center"/>
                </w:tcPr>
                <w:p>
                  <w:pPr>
                    <w:pStyle w:val="86"/>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4</w:t>
                  </w:r>
                </w:p>
              </w:tc>
              <w:tc>
                <w:tcPr>
                  <w:tcW w:w="766" w:type="dxa"/>
                  <w:vMerge w:val="restart"/>
                  <w:vAlign w:val="center"/>
                </w:tcPr>
                <w:p>
                  <w:pPr>
                    <w:pStyle w:val="86"/>
                    <w:spacing w:line="240" w:lineRule="auto"/>
                    <w:rPr>
                      <w:rFonts w:ascii="Times New Roman" w:hAnsi="Times New Roman" w:eastAsia="宋体" w:cs="Times New Roman"/>
                      <w:color w:val="auto"/>
                    </w:rPr>
                  </w:pPr>
                  <w:r>
                    <w:rPr>
                      <w:rFonts w:ascii="Times New Roman" w:hAnsi="Times New Roman" w:eastAsia="宋体" w:cs="Times New Roman"/>
                      <w:color w:val="auto"/>
                    </w:rPr>
                    <w:t>环保</w:t>
                  </w:r>
                </w:p>
                <w:p>
                  <w:pPr>
                    <w:pStyle w:val="86"/>
                    <w:spacing w:line="240" w:lineRule="auto"/>
                    <w:rPr>
                      <w:rFonts w:ascii="Times New Roman" w:hAnsi="Times New Roman" w:eastAsia="宋体" w:cs="Times New Roman"/>
                      <w:color w:val="auto"/>
                    </w:rPr>
                  </w:pPr>
                  <w:r>
                    <w:rPr>
                      <w:rFonts w:ascii="Times New Roman" w:hAnsi="Times New Roman" w:eastAsia="宋体" w:cs="Times New Roman"/>
                      <w:color w:val="auto"/>
                    </w:rPr>
                    <w:t>工程</w:t>
                  </w:r>
                </w:p>
              </w:tc>
              <w:tc>
                <w:tcPr>
                  <w:tcW w:w="1149" w:type="dxa"/>
                  <w:vAlign w:val="center"/>
                </w:tcPr>
                <w:p>
                  <w:pPr>
                    <w:pStyle w:val="86"/>
                    <w:spacing w:line="240" w:lineRule="auto"/>
                    <w:rPr>
                      <w:rFonts w:ascii="Times New Roman" w:hAnsi="Times New Roman" w:eastAsia="宋体" w:cs="Times New Roman"/>
                      <w:color w:val="auto"/>
                    </w:rPr>
                  </w:pPr>
                  <w:r>
                    <w:rPr>
                      <w:rFonts w:ascii="Times New Roman" w:hAnsi="Times New Roman" w:eastAsia="宋体" w:cs="Times New Roman"/>
                      <w:color w:val="auto"/>
                    </w:rPr>
                    <w:t>废水工程</w:t>
                  </w:r>
                </w:p>
              </w:tc>
              <w:tc>
                <w:tcPr>
                  <w:tcW w:w="4754" w:type="dxa"/>
                  <w:gridSpan w:val="2"/>
                  <w:vAlign w:val="center"/>
                </w:tcPr>
                <w:p>
                  <w:pPr>
                    <w:pStyle w:val="86"/>
                    <w:spacing w:line="240" w:lineRule="auto"/>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新建收集池1座，容积45m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，用于收集生活污水、生产废水；新建隔油池1座，处理能力2m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/d；新建生化池</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rPr>
                    <w:t>座，处理能力10m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/d，采用“pH 调节+沉淀+好氧+絮凝沉淀”工艺；</w:t>
                  </w:r>
                  <w:r>
                    <w:rPr>
                      <w:rFonts w:hint="default" w:ascii="Times New Roman" w:hAnsi="Times New Roman" w:eastAsia="宋体" w:cs="Times New Roman"/>
                      <w:color w:val="auto"/>
                      <w:sz w:val="21"/>
                      <w:szCs w:val="21"/>
                      <w:lang w:val="en-US" w:eastAsia="zh-CN"/>
                    </w:rPr>
                    <w:t>食堂废水经隔油后与生活污水经生化池收集处理后进入发酵工序消耗，不外排。除臭系统洗涤水循环使用，每季度更换一次，定期交重庆市铜梁排水有限责任公司处理达标后排放</w:t>
                  </w:r>
                </w:p>
              </w:tc>
              <w:tc>
                <w:tcPr>
                  <w:tcW w:w="84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668" w:type="dxa"/>
                  <w:vMerge w:val="continue"/>
                  <w:vAlign w:val="center"/>
                </w:tcPr>
                <w:p>
                  <w:pPr>
                    <w:pStyle w:val="86"/>
                    <w:spacing w:line="240" w:lineRule="auto"/>
                    <w:rPr>
                      <w:rFonts w:ascii="Times New Roman" w:hAnsi="Times New Roman" w:eastAsia="宋体" w:cs="Times New Roman"/>
                      <w:color w:val="auto"/>
                    </w:rPr>
                  </w:pPr>
                </w:p>
              </w:tc>
              <w:tc>
                <w:tcPr>
                  <w:tcW w:w="766" w:type="dxa"/>
                  <w:vMerge w:val="continue"/>
                  <w:vAlign w:val="center"/>
                </w:tcPr>
                <w:p>
                  <w:pPr>
                    <w:pStyle w:val="86"/>
                    <w:spacing w:line="240" w:lineRule="auto"/>
                    <w:rPr>
                      <w:rFonts w:ascii="Times New Roman" w:hAnsi="Times New Roman" w:eastAsia="宋体" w:cs="Times New Roman"/>
                      <w:color w:val="auto"/>
                    </w:rPr>
                  </w:pPr>
                </w:p>
              </w:tc>
              <w:tc>
                <w:tcPr>
                  <w:tcW w:w="1149" w:type="dxa"/>
                  <w:vMerge w:val="restart"/>
                  <w:vAlign w:val="center"/>
                </w:tcPr>
                <w:p>
                  <w:pPr>
                    <w:pStyle w:val="86"/>
                    <w:spacing w:line="240" w:lineRule="auto"/>
                    <w:rPr>
                      <w:rFonts w:ascii="Times New Roman" w:hAnsi="Times New Roman" w:eastAsia="宋体" w:cs="Times New Roman"/>
                      <w:color w:val="auto"/>
                    </w:rPr>
                  </w:pPr>
                  <w:r>
                    <w:rPr>
                      <w:rFonts w:ascii="Times New Roman" w:hAnsi="Times New Roman" w:eastAsia="宋体" w:cs="Times New Roman"/>
                      <w:color w:val="auto"/>
                    </w:rPr>
                    <w:t>废气治理工程</w:t>
                  </w:r>
                </w:p>
              </w:tc>
              <w:tc>
                <w:tcPr>
                  <w:tcW w:w="103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lang w:val="zh-CN"/>
                    </w:rPr>
                    <w:t>除臭系统</w:t>
                  </w:r>
                </w:p>
              </w:tc>
              <w:tc>
                <w:tcPr>
                  <w:tcW w:w="3723" w:type="dxa"/>
                  <w:vAlign w:val="center"/>
                </w:tcPr>
                <w:p>
                  <w:pPr>
                    <w:pStyle w:val="86"/>
                    <w:spacing w:line="240" w:lineRule="auto"/>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进料车间、混料车间、发酵车间密闭，定时抽风换气；抽风换气产生的废气引至两套发酵臭气处理系统（两级化学洗涤）处理后由2个15m 排气筒排放</w:t>
                  </w:r>
                </w:p>
              </w:tc>
              <w:tc>
                <w:tcPr>
                  <w:tcW w:w="84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668" w:type="dxa"/>
                  <w:vMerge w:val="continue"/>
                  <w:vAlign w:val="center"/>
                </w:tcPr>
                <w:p>
                  <w:pPr>
                    <w:pStyle w:val="86"/>
                    <w:spacing w:line="240" w:lineRule="auto"/>
                    <w:rPr>
                      <w:rFonts w:ascii="Times New Roman" w:hAnsi="Times New Roman" w:eastAsia="宋体" w:cs="Times New Roman"/>
                      <w:color w:val="auto"/>
                    </w:rPr>
                  </w:pPr>
                </w:p>
              </w:tc>
              <w:tc>
                <w:tcPr>
                  <w:tcW w:w="766" w:type="dxa"/>
                  <w:vMerge w:val="continue"/>
                  <w:vAlign w:val="center"/>
                </w:tcPr>
                <w:p>
                  <w:pPr>
                    <w:pStyle w:val="86"/>
                    <w:spacing w:line="240" w:lineRule="auto"/>
                    <w:rPr>
                      <w:rFonts w:ascii="Times New Roman" w:hAnsi="Times New Roman" w:eastAsia="宋体" w:cs="Times New Roman"/>
                      <w:color w:val="auto"/>
                    </w:rPr>
                  </w:pPr>
                </w:p>
              </w:tc>
              <w:tc>
                <w:tcPr>
                  <w:tcW w:w="1149" w:type="dxa"/>
                  <w:vMerge w:val="continue"/>
                  <w:vAlign w:val="center"/>
                </w:tcPr>
                <w:p>
                  <w:pPr>
                    <w:pStyle w:val="86"/>
                    <w:spacing w:line="240" w:lineRule="auto"/>
                    <w:rPr>
                      <w:rFonts w:ascii="Times New Roman" w:hAnsi="Times New Roman" w:eastAsia="宋体" w:cs="Times New Roman"/>
                      <w:color w:val="auto"/>
                    </w:rPr>
                  </w:pPr>
                </w:p>
              </w:tc>
              <w:tc>
                <w:tcPr>
                  <w:tcW w:w="1031" w:type="dxa"/>
                  <w:vAlign w:val="center"/>
                </w:tcPr>
                <w:p>
                  <w:pPr>
                    <w:pStyle w:val="86"/>
                    <w:spacing w:line="240" w:lineRule="auto"/>
                    <w:rPr>
                      <w:rFonts w:ascii="Times New Roman" w:hAnsi="Times New Roman" w:eastAsia="宋体" w:cs="Times New Roman"/>
                      <w:color w:val="auto"/>
                      <w:lang w:val="zh-CN"/>
                    </w:rPr>
                  </w:pPr>
                  <w:r>
                    <w:rPr>
                      <w:rFonts w:hint="eastAsia" w:ascii="Times New Roman" w:hAnsi="Times New Roman" w:eastAsia="宋体" w:cs="Times New Roman"/>
                      <w:color w:val="auto"/>
                      <w:lang w:val="zh-CN"/>
                    </w:rPr>
                    <w:t>油烟</w:t>
                  </w:r>
                </w:p>
              </w:tc>
              <w:tc>
                <w:tcPr>
                  <w:tcW w:w="3723" w:type="dxa"/>
                  <w:vAlign w:val="center"/>
                </w:tcPr>
                <w:p>
                  <w:pPr>
                    <w:pStyle w:val="86"/>
                    <w:spacing w:line="240" w:lineRule="auto"/>
                    <w:jc w:val="both"/>
                    <w:rPr>
                      <w:rFonts w:ascii="Times New Roman" w:hAnsi="Times New Roman" w:eastAsia="宋体" w:cs="Times New Roman"/>
                      <w:color w:val="auto"/>
                      <w:lang w:val="zh-CN"/>
                    </w:rPr>
                  </w:pPr>
                  <w:r>
                    <w:rPr>
                      <w:rFonts w:hint="eastAsia" w:ascii="Times New Roman" w:hAnsi="Times New Roman" w:eastAsia="宋体" w:cs="Times New Roman"/>
                      <w:color w:val="auto"/>
                      <w:lang w:val="zh-CN"/>
                    </w:rPr>
                    <w:t>食堂产生的油烟经油烟净化器处理后，通过楼顶排放</w:t>
                  </w:r>
                </w:p>
              </w:tc>
              <w:tc>
                <w:tcPr>
                  <w:tcW w:w="84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vMerge w:val="continue"/>
                  <w:vAlign w:val="center"/>
                </w:tcPr>
                <w:p>
                  <w:pPr>
                    <w:pStyle w:val="86"/>
                    <w:spacing w:line="240" w:lineRule="auto"/>
                    <w:rPr>
                      <w:rFonts w:ascii="Times New Roman" w:hAnsi="Times New Roman" w:eastAsia="宋体" w:cs="Times New Roman"/>
                      <w:color w:val="auto"/>
                    </w:rPr>
                  </w:pPr>
                </w:p>
              </w:tc>
              <w:tc>
                <w:tcPr>
                  <w:tcW w:w="766" w:type="dxa"/>
                  <w:vMerge w:val="continue"/>
                  <w:vAlign w:val="center"/>
                </w:tcPr>
                <w:p>
                  <w:pPr>
                    <w:pStyle w:val="86"/>
                    <w:spacing w:line="240" w:lineRule="auto"/>
                    <w:rPr>
                      <w:rFonts w:ascii="Times New Roman" w:hAnsi="Times New Roman" w:eastAsia="宋体" w:cs="Times New Roman"/>
                      <w:color w:val="auto"/>
                    </w:rPr>
                  </w:pPr>
                </w:p>
              </w:tc>
              <w:tc>
                <w:tcPr>
                  <w:tcW w:w="1149" w:type="dxa"/>
                  <w:vMerge w:val="continue"/>
                  <w:vAlign w:val="center"/>
                </w:tcPr>
                <w:p>
                  <w:pPr>
                    <w:pStyle w:val="86"/>
                    <w:spacing w:line="240" w:lineRule="auto"/>
                    <w:rPr>
                      <w:rFonts w:ascii="Times New Roman" w:hAnsi="Times New Roman" w:eastAsia="宋体" w:cs="Times New Roman"/>
                      <w:color w:val="auto"/>
                    </w:rPr>
                  </w:pPr>
                </w:p>
              </w:tc>
              <w:tc>
                <w:tcPr>
                  <w:tcW w:w="1031" w:type="dxa"/>
                  <w:vAlign w:val="center"/>
                </w:tcPr>
                <w:p>
                  <w:pPr>
                    <w:pStyle w:val="86"/>
                    <w:spacing w:line="240" w:lineRule="auto"/>
                    <w:rPr>
                      <w:rFonts w:ascii="Times New Roman" w:hAnsi="Times New Roman" w:eastAsia="宋体" w:cs="Times New Roman"/>
                      <w:color w:val="auto"/>
                      <w:lang w:val="zh-CN"/>
                    </w:rPr>
                  </w:pPr>
                  <w:r>
                    <w:rPr>
                      <w:rFonts w:hint="eastAsia" w:ascii="Times New Roman" w:hAnsi="Times New Roman" w:eastAsia="宋体" w:cs="Times New Roman"/>
                      <w:color w:val="auto"/>
                      <w:lang w:val="zh-CN"/>
                    </w:rPr>
                    <w:t>应急柴油发电机</w:t>
                  </w:r>
                </w:p>
              </w:tc>
              <w:tc>
                <w:tcPr>
                  <w:tcW w:w="3723" w:type="dxa"/>
                  <w:vAlign w:val="center"/>
                </w:tcPr>
                <w:p>
                  <w:pPr>
                    <w:pStyle w:val="86"/>
                    <w:spacing w:line="240" w:lineRule="auto"/>
                    <w:jc w:val="both"/>
                    <w:rPr>
                      <w:rFonts w:ascii="Times New Roman" w:hAnsi="Times New Roman" w:eastAsia="宋体" w:cs="Times New Roman"/>
                      <w:color w:val="auto"/>
                      <w:lang w:val="zh-CN"/>
                    </w:rPr>
                  </w:pPr>
                  <w:r>
                    <w:rPr>
                      <w:rFonts w:hint="eastAsia" w:ascii="Times New Roman" w:hAnsi="Times New Roman" w:eastAsia="宋体" w:cs="Times New Roman"/>
                      <w:color w:val="auto"/>
                      <w:lang w:val="zh-CN"/>
                    </w:rPr>
                    <w:t>应急柴油发电机组烟气通过烟道高空排放</w:t>
                  </w:r>
                </w:p>
              </w:tc>
              <w:tc>
                <w:tcPr>
                  <w:tcW w:w="84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68" w:type="dxa"/>
                  <w:vMerge w:val="continue"/>
                  <w:vAlign w:val="center"/>
                </w:tcPr>
                <w:p>
                  <w:pPr>
                    <w:pStyle w:val="86"/>
                    <w:spacing w:line="240" w:lineRule="auto"/>
                    <w:rPr>
                      <w:rFonts w:ascii="Times New Roman" w:hAnsi="Times New Roman" w:eastAsia="宋体" w:cs="Times New Roman"/>
                      <w:color w:val="auto"/>
                    </w:rPr>
                  </w:pPr>
                </w:p>
              </w:tc>
              <w:tc>
                <w:tcPr>
                  <w:tcW w:w="766" w:type="dxa"/>
                  <w:vMerge w:val="continue"/>
                  <w:vAlign w:val="center"/>
                </w:tcPr>
                <w:p>
                  <w:pPr>
                    <w:pStyle w:val="86"/>
                    <w:spacing w:line="240" w:lineRule="auto"/>
                    <w:rPr>
                      <w:rFonts w:ascii="Times New Roman" w:hAnsi="Times New Roman" w:eastAsia="宋体" w:cs="Times New Roman"/>
                      <w:color w:val="auto"/>
                    </w:rPr>
                  </w:pPr>
                </w:p>
              </w:tc>
              <w:tc>
                <w:tcPr>
                  <w:tcW w:w="1149"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噪声治理</w:t>
                  </w:r>
                </w:p>
              </w:tc>
              <w:tc>
                <w:tcPr>
                  <w:tcW w:w="4754" w:type="dxa"/>
                  <w:gridSpan w:val="2"/>
                  <w:vAlign w:val="center"/>
                </w:tcPr>
                <w:p>
                  <w:pPr>
                    <w:pStyle w:val="86"/>
                    <w:spacing w:line="240" w:lineRule="auto"/>
                    <w:jc w:val="both"/>
                    <w:rPr>
                      <w:rFonts w:hint="eastAsia" w:ascii="Times New Roman" w:hAnsi="Times New Roman" w:eastAsia="宋体" w:cs="Times New Roman"/>
                      <w:color w:val="auto"/>
                      <w:lang w:val="zh-CN"/>
                    </w:rPr>
                  </w:pPr>
                  <w:r>
                    <w:rPr>
                      <w:rFonts w:hint="eastAsia" w:ascii="Times New Roman" w:hAnsi="Times New Roman" w:eastAsia="宋体" w:cs="Times New Roman"/>
                      <w:color w:val="auto"/>
                      <w:lang w:val="zh-CN"/>
                    </w:rPr>
                    <w:t>厂区合理布局、周边绿化、厂房隔声；设置专用应急柴油发电机房，设备基础减振</w:t>
                  </w:r>
                </w:p>
              </w:tc>
              <w:tc>
                <w:tcPr>
                  <w:tcW w:w="841" w:type="dxa"/>
                  <w:vAlign w:val="center"/>
                </w:tcPr>
                <w:p>
                  <w:pPr>
                    <w:pStyle w:val="86"/>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68" w:type="dxa"/>
                  <w:vMerge w:val="continue"/>
                  <w:vAlign w:val="center"/>
                </w:tcPr>
                <w:p>
                  <w:pPr>
                    <w:pStyle w:val="86"/>
                    <w:spacing w:line="240" w:lineRule="auto"/>
                    <w:rPr>
                      <w:rFonts w:ascii="Times New Roman" w:hAnsi="Times New Roman" w:eastAsia="宋体" w:cs="Times New Roman"/>
                      <w:color w:val="auto"/>
                    </w:rPr>
                  </w:pPr>
                </w:p>
              </w:tc>
              <w:tc>
                <w:tcPr>
                  <w:tcW w:w="766" w:type="dxa"/>
                  <w:vMerge w:val="continue"/>
                  <w:vAlign w:val="center"/>
                </w:tcPr>
                <w:p>
                  <w:pPr>
                    <w:pStyle w:val="86"/>
                    <w:spacing w:line="240" w:lineRule="auto"/>
                    <w:rPr>
                      <w:rFonts w:ascii="Times New Roman" w:hAnsi="Times New Roman" w:eastAsia="宋体" w:cs="Times New Roman"/>
                      <w:color w:val="auto"/>
                    </w:rPr>
                  </w:pPr>
                </w:p>
              </w:tc>
              <w:tc>
                <w:tcPr>
                  <w:tcW w:w="1149"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lang w:val="zh-CN"/>
                    </w:rPr>
                    <w:t>生活垃圾</w:t>
                  </w:r>
                </w:p>
              </w:tc>
              <w:tc>
                <w:tcPr>
                  <w:tcW w:w="4754" w:type="dxa"/>
                  <w:gridSpan w:val="2"/>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lang w:val="zh-CN"/>
                    </w:rPr>
                    <w:t>厂区设置生活垃圾桶等</w:t>
                  </w:r>
                </w:p>
              </w:tc>
              <w:tc>
                <w:tcPr>
                  <w:tcW w:w="84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68" w:type="dxa"/>
                  <w:vMerge w:val="continue"/>
                  <w:vAlign w:val="center"/>
                </w:tcPr>
                <w:p>
                  <w:pPr>
                    <w:pStyle w:val="86"/>
                    <w:spacing w:line="240" w:lineRule="auto"/>
                    <w:rPr>
                      <w:rFonts w:ascii="Times New Roman" w:hAnsi="Times New Roman" w:eastAsia="宋体" w:cs="Times New Roman"/>
                      <w:color w:val="auto"/>
                    </w:rPr>
                  </w:pPr>
                </w:p>
              </w:tc>
              <w:tc>
                <w:tcPr>
                  <w:tcW w:w="766" w:type="dxa"/>
                  <w:vMerge w:val="continue"/>
                  <w:vAlign w:val="center"/>
                </w:tcPr>
                <w:p>
                  <w:pPr>
                    <w:pStyle w:val="86"/>
                    <w:spacing w:line="240" w:lineRule="auto"/>
                    <w:rPr>
                      <w:rFonts w:ascii="Times New Roman" w:hAnsi="Times New Roman" w:eastAsia="宋体" w:cs="Times New Roman"/>
                      <w:color w:val="auto"/>
                    </w:rPr>
                  </w:pPr>
                </w:p>
              </w:tc>
              <w:tc>
                <w:tcPr>
                  <w:tcW w:w="1149"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固体废物</w:t>
                  </w:r>
                </w:p>
              </w:tc>
              <w:tc>
                <w:tcPr>
                  <w:tcW w:w="4754" w:type="dxa"/>
                  <w:gridSpan w:val="2"/>
                  <w:vAlign w:val="center"/>
                </w:tcPr>
                <w:p>
                  <w:pPr>
                    <w:pStyle w:val="86"/>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zh-CN"/>
                    </w:rPr>
                    <w:t>设置</w:t>
                  </w:r>
                  <w:r>
                    <w:rPr>
                      <w:rFonts w:hint="eastAsia" w:ascii="Times New Roman" w:hAnsi="Times New Roman" w:eastAsia="宋体" w:cs="Times New Roman"/>
                      <w:color w:val="auto"/>
                      <w:lang w:val="en-US" w:eastAsia="zh-CN"/>
                    </w:rPr>
                    <w:t>1个</w:t>
                  </w:r>
                  <w:r>
                    <w:rPr>
                      <w:rFonts w:hint="eastAsia" w:ascii="Times New Roman" w:hAnsi="Times New Roman" w:eastAsia="宋体" w:cs="Times New Roman"/>
                      <w:color w:val="auto"/>
                      <w:lang w:val="zh-CN"/>
                    </w:rPr>
                    <w:t>危废暂存间，位于辅料车间，面积5m</w:t>
                  </w:r>
                  <w:r>
                    <w:rPr>
                      <w:rFonts w:hint="eastAsia" w:ascii="Times New Roman" w:hAnsi="Times New Roman" w:eastAsia="宋体" w:cs="Times New Roman"/>
                      <w:color w:val="auto"/>
                      <w:vertAlign w:val="superscript"/>
                      <w:lang w:val="zh-CN"/>
                    </w:rPr>
                    <w:t>2</w:t>
                  </w:r>
                  <w:r>
                    <w:rPr>
                      <w:rFonts w:hint="eastAsia" w:ascii="Times New Roman" w:hAnsi="Times New Roman" w:eastAsia="宋体" w:cs="Times New Roman"/>
                      <w:color w:val="auto"/>
                      <w:lang w:val="zh-CN"/>
                    </w:rPr>
                    <w:t>，</w:t>
                  </w:r>
                  <w:r>
                    <w:rPr>
                      <w:rFonts w:hint="eastAsia" w:ascii="Times New Roman" w:hAnsi="Times New Roman" w:eastAsia="宋体" w:cs="Times New Roman"/>
                      <w:color w:val="auto"/>
                      <w:szCs w:val="21"/>
                    </w:rPr>
                    <w:t>废含油棉纱、手套</w:t>
                  </w:r>
                  <w:r>
                    <w:rPr>
                      <w:rFonts w:hint="eastAsia" w:ascii="Times New Roman" w:hAnsi="Times New Roman" w:eastAsia="宋体" w:cs="Times New Roman"/>
                      <w:color w:val="auto"/>
                      <w:szCs w:val="21"/>
                      <w:lang w:eastAsia="zh-CN"/>
                    </w:rPr>
                    <w:t>及废</w:t>
                  </w:r>
                  <w:r>
                    <w:rPr>
                      <w:rFonts w:hint="eastAsia" w:ascii="Times New Roman" w:hAnsi="Times New Roman" w:eastAsia="宋体" w:cs="Times New Roman"/>
                      <w:color w:val="auto"/>
                      <w:szCs w:val="21"/>
                      <w:lang w:val="en-US" w:eastAsia="zh-CN"/>
                    </w:rPr>
                    <w:t>液压油定期交有资质单位处置</w:t>
                  </w:r>
                </w:p>
              </w:tc>
              <w:tc>
                <w:tcPr>
                  <w:tcW w:w="841" w:type="dxa"/>
                  <w:vAlign w:val="center"/>
                </w:tcPr>
                <w:p>
                  <w:pPr>
                    <w:pStyle w:val="86"/>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已建</w:t>
                  </w:r>
                </w:p>
              </w:tc>
            </w:tr>
          </w:tbl>
          <w:p>
            <w:pPr>
              <w:autoSpaceDE w:val="0"/>
              <w:autoSpaceDN w:val="0"/>
              <w:adjustRightInd w:val="0"/>
              <w:snapToGrid w:val="0"/>
              <w:spacing w:line="440" w:lineRule="exact"/>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2.3.2 主要产品及产能</w:t>
            </w:r>
          </w:p>
          <w:p>
            <w:pPr>
              <w:autoSpaceDE w:val="0"/>
              <w:autoSpaceDN w:val="0"/>
              <w:adjustRightInd w:val="0"/>
              <w:snapToGrid w:val="0"/>
              <w:spacing w:line="440" w:lineRule="exact"/>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拟建项目采用高温好氧发酵工艺，生活污泥全部来自重庆市铜梁区乡镇的生活污水处理厂，含水率≤80%。</w:t>
            </w:r>
          </w:p>
          <w:p>
            <w:pPr>
              <w:autoSpaceDE w:val="0"/>
              <w:autoSpaceDN w:val="0"/>
              <w:adjustRightInd w:val="0"/>
              <w:snapToGrid w:val="0"/>
              <w:spacing w:line="440" w:lineRule="exact"/>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发酵后最终成品产品为园林绿化营养土，产品年生产量12309t（含水率≤40%），用于资源化利用，满足《城镇污水处理厂污泥处置 园林绿化用泥质》（GB/T23486-2009 ）标准。</w:t>
            </w:r>
          </w:p>
          <w:p>
            <w:pPr>
              <w:autoSpaceDE w:val="0"/>
              <w:autoSpaceDN w:val="0"/>
              <w:adjustRightInd w:val="0"/>
              <w:snapToGrid w:val="0"/>
              <w:spacing w:line="440" w:lineRule="exact"/>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2.3.3 主要生产设备</w:t>
            </w:r>
          </w:p>
          <w:p>
            <w:pPr>
              <w:autoSpaceDE w:val="0"/>
              <w:autoSpaceDN w:val="0"/>
              <w:adjustRightInd w:val="0"/>
              <w:snapToGrid w:val="0"/>
              <w:spacing w:line="440" w:lineRule="exact"/>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项目主要生产设施及设施参数见下表：</w:t>
            </w:r>
          </w:p>
          <w:p>
            <w:pPr>
              <w:spacing w:line="440" w:lineRule="exact"/>
              <w:ind w:firstLine="472" w:firstLineChars="196"/>
              <w:jc w:val="center"/>
              <w:outlineLvl w:val="1"/>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表2</w:t>
            </w:r>
            <w:r>
              <w:rPr>
                <w:rFonts w:hint="eastAsia" w:ascii="Times New Roman" w:hAnsi="Times New Roman" w:eastAsia="宋体" w:cs="Times New Roman"/>
                <w:b/>
                <w:bCs/>
                <w:color w:val="auto"/>
                <w:sz w:val="24"/>
                <w:szCs w:val="24"/>
                <w:lang w:val="en-US" w:eastAsia="zh-CN"/>
              </w:rPr>
              <w:t>.3</w:t>
            </w:r>
            <w:r>
              <w:rPr>
                <w:rFonts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2</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eastAsia="zh-CN"/>
              </w:rPr>
              <w:t>项目</w:t>
            </w:r>
            <w:r>
              <w:rPr>
                <w:rFonts w:hint="eastAsia" w:ascii="Times New Roman" w:hAnsi="Times New Roman" w:eastAsia="宋体" w:cs="Times New Roman"/>
                <w:b/>
                <w:bCs/>
                <w:color w:val="auto"/>
                <w:sz w:val="24"/>
                <w:szCs w:val="24"/>
                <w:lang w:val="en-US" w:eastAsia="zh-CN"/>
              </w:rPr>
              <w:t>主要生产设备</w:t>
            </w:r>
            <w:r>
              <w:rPr>
                <w:rFonts w:ascii="Times New Roman" w:hAnsi="Times New Roman" w:eastAsia="宋体" w:cs="Times New Roman"/>
                <w:b/>
                <w:bCs/>
                <w:color w:val="auto"/>
                <w:sz w:val="24"/>
                <w:szCs w:val="24"/>
              </w:rPr>
              <w:t>一览表</w:t>
            </w:r>
          </w:p>
          <w:tbl>
            <w:tblPr>
              <w:tblStyle w:val="20"/>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59"/>
              <w:gridCol w:w="3448"/>
              <w:gridCol w:w="718"/>
              <w:gridCol w:w="706"/>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22" w:type="dxa"/>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eastAsia="zh-CN"/>
                    </w:rPr>
                  </w:pPr>
                  <w:r>
                    <w:rPr>
                      <w:rFonts w:hint="eastAsia" w:ascii="Times New Roman" w:hAnsi="Times New Roman" w:eastAsia="宋体" w:cs="Times New Roman"/>
                      <w:snapToGrid w:val="0"/>
                      <w:color w:val="auto"/>
                      <w:spacing w:val="4"/>
                      <w:kern w:val="0"/>
                      <w:sz w:val="21"/>
                      <w:szCs w:val="21"/>
                      <w:lang w:eastAsia="zh-CN"/>
                    </w:rPr>
                    <w:t>序号</w:t>
                  </w:r>
                </w:p>
              </w:tc>
              <w:tc>
                <w:tcPr>
                  <w:tcW w:w="1259" w:type="dxa"/>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eastAsia="zh-CN"/>
                    </w:rPr>
                  </w:pPr>
                  <w:r>
                    <w:rPr>
                      <w:rFonts w:ascii="Times New Roman" w:hAnsi="Times New Roman" w:eastAsia="宋体" w:cs="Times New Roman"/>
                      <w:szCs w:val="21"/>
                    </w:rPr>
                    <w:t>设备名称</w:t>
                  </w:r>
                </w:p>
              </w:tc>
              <w:tc>
                <w:tcPr>
                  <w:tcW w:w="3448" w:type="dxa"/>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规格参数</w:t>
                  </w:r>
                </w:p>
              </w:tc>
              <w:tc>
                <w:tcPr>
                  <w:tcW w:w="718" w:type="dxa"/>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eastAsia="zh-CN"/>
                    </w:rPr>
                  </w:pPr>
                  <w:r>
                    <w:rPr>
                      <w:rFonts w:hint="eastAsia" w:ascii="Times New Roman" w:hAnsi="Times New Roman" w:eastAsia="宋体" w:cs="Times New Roman"/>
                      <w:snapToGrid w:val="0"/>
                      <w:color w:val="auto"/>
                      <w:spacing w:val="4"/>
                      <w:kern w:val="0"/>
                      <w:sz w:val="21"/>
                      <w:szCs w:val="21"/>
                      <w:lang w:val="en-US" w:eastAsia="zh-CN" w:bidi="ar-SA"/>
                    </w:rPr>
                    <w:t>单位</w:t>
                  </w:r>
                </w:p>
              </w:tc>
              <w:tc>
                <w:tcPr>
                  <w:tcW w:w="70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color w:val="auto"/>
                      <w:spacing w:val="4"/>
                      <w:kern w:val="0"/>
                      <w:sz w:val="21"/>
                      <w:szCs w:val="21"/>
                      <w:lang w:val="en-US" w:eastAsia="zh-CN" w:bidi="ar-SA"/>
                    </w:rPr>
                  </w:pPr>
                  <w:r>
                    <w:rPr>
                      <w:rFonts w:ascii="Times New Roman" w:hAnsi="Times New Roman" w:eastAsia="宋体" w:cs="Times New Roman"/>
                      <w:szCs w:val="21"/>
                    </w:rPr>
                    <w:t>数量</w:t>
                  </w:r>
                </w:p>
              </w:tc>
              <w:tc>
                <w:tcPr>
                  <w:tcW w:w="1144" w:type="dxa"/>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1</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rPr>
                  </w:pPr>
                  <w:r>
                    <w:rPr>
                      <w:rFonts w:hint="default" w:ascii="Times New Roman" w:hAnsi="Times New Roman" w:eastAsia="宋体" w:cs="Times New Roman"/>
                      <w:snapToGrid w:val="0"/>
                      <w:color w:val="auto"/>
                      <w:spacing w:val="4"/>
                      <w:kern w:val="0"/>
                      <w:sz w:val="21"/>
                      <w:szCs w:val="21"/>
                      <w:lang w:val="en-US"/>
                    </w:rPr>
                    <w:t>辅料料仓</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料仓容积约20m</w:t>
                  </w:r>
                  <w:r>
                    <w:rPr>
                      <w:rFonts w:hint="eastAsia" w:ascii="Times New Roman" w:hAnsi="Times New Roman" w:eastAsia="宋体" w:cs="Times New Roman"/>
                      <w:snapToGrid w:val="0"/>
                      <w:color w:val="auto"/>
                      <w:spacing w:val="4"/>
                      <w:kern w:val="0"/>
                      <w:sz w:val="21"/>
                      <w:szCs w:val="21"/>
                      <w:vertAlign w:val="superscript"/>
                      <w:lang w:val="en-US" w:eastAsia="zh-CN" w:bidi="ar-SA"/>
                    </w:rPr>
                    <w:t>3</w:t>
                  </w:r>
                  <w:r>
                    <w:rPr>
                      <w:rFonts w:hint="eastAsia" w:ascii="Times New Roman" w:hAnsi="Times New Roman" w:eastAsia="宋体" w:cs="Times New Roman"/>
                      <w:snapToGrid w:val="0"/>
                      <w:color w:val="auto"/>
                      <w:spacing w:val="4"/>
                      <w:kern w:val="0"/>
                      <w:sz w:val="21"/>
                      <w:szCs w:val="21"/>
                      <w:lang w:val="en-US" w:eastAsia="zh-CN" w:bidi="ar-SA"/>
                    </w:rPr>
                    <w:t xml:space="preserve">，仓体直径3900mm </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706"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spacing w:val="4"/>
                      <w:kern w:val="0"/>
                      <w:sz w:val="21"/>
                      <w:szCs w:val="21"/>
                      <w:lang w:val="en-US"/>
                    </w:rPr>
                    <w:t>辅料</w:t>
                  </w:r>
                  <w:r>
                    <w:rPr>
                      <w:rFonts w:hint="eastAsia" w:ascii="Times New Roman" w:hAnsi="Times New Roman" w:eastAsia="宋体" w:cs="Times New Roman"/>
                      <w:snapToGrid w:val="0"/>
                      <w:color w:val="auto"/>
                      <w:spacing w:val="4"/>
                      <w:kern w:val="0"/>
                      <w:sz w:val="21"/>
                      <w:szCs w:val="21"/>
                      <w:lang w:val="en-US" w:eastAsia="zh-CN"/>
                    </w:rPr>
                    <w:t>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2</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rPr>
                  </w:pPr>
                  <w:r>
                    <w:rPr>
                      <w:rFonts w:hint="default" w:ascii="Times New Roman" w:hAnsi="Times New Roman" w:eastAsia="宋体" w:cs="Times New Roman"/>
                      <w:snapToGrid w:val="0"/>
                      <w:color w:val="auto"/>
                      <w:spacing w:val="4"/>
                      <w:kern w:val="0"/>
                      <w:sz w:val="21"/>
                      <w:szCs w:val="21"/>
                      <w:lang w:val="en-US"/>
                    </w:rPr>
                    <w:t>返混料仓</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料仓容积约20m</w:t>
                  </w:r>
                  <w:r>
                    <w:rPr>
                      <w:rFonts w:hint="eastAsia" w:ascii="Times New Roman" w:hAnsi="Times New Roman" w:eastAsia="宋体" w:cs="Times New Roman"/>
                      <w:snapToGrid w:val="0"/>
                      <w:color w:val="auto"/>
                      <w:spacing w:val="4"/>
                      <w:kern w:val="0"/>
                      <w:sz w:val="21"/>
                      <w:szCs w:val="21"/>
                      <w:vertAlign w:val="superscript"/>
                      <w:lang w:val="en-US" w:eastAsia="zh-CN" w:bidi="ar-SA"/>
                    </w:rPr>
                    <w:t>3</w:t>
                  </w:r>
                  <w:r>
                    <w:rPr>
                      <w:rFonts w:hint="eastAsia" w:ascii="Times New Roman" w:hAnsi="Times New Roman" w:eastAsia="宋体" w:cs="Times New Roman"/>
                      <w:snapToGrid w:val="0"/>
                      <w:color w:val="auto"/>
                      <w:spacing w:val="4"/>
                      <w:kern w:val="0"/>
                      <w:sz w:val="21"/>
                      <w:szCs w:val="21"/>
                      <w:lang w:val="en-US" w:eastAsia="zh-CN" w:bidi="ar-SA"/>
                    </w:rPr>
                    <w:t xml:space="preserve">，仓体直径3900mm </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706"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spacing w:val="4"/>
                      <w:kern w:val="0"/>
                      <w:sz w:val="21"/>
                      <w:szCs w:val="21"/>
                      <w:lang w:val="en-US"/>
                    </w:rPr>
                    <w:t>返混料</w:t>
                  </w:r>
                  <w:r>
                    <w:rPr>
                      <w:rFonts w:hint="eastAsia" w:ascii="Times New Roman" w:hAnsi="Times New Roman" w:eastAsia="宋体" w:cs="Times New Roman"/>
                      <w:snapToGrid w:val="0"/>
                      <w:color w:val="auto"/>
                      <w:spacing w:val="4"/>
                      <w:kern w:val="0"/>
                      <w:sz w:val="21"/>
                      <w:szCs w:val="21"/>
                      <w:lang w:val="en-US" w:eastAsia="zh-CN"/>
                    </w:rPr>
                    <w:t>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3</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rPr>
                  </w:pPr>
                  <w:r>
                    <w:rPr>
                      <w:rFonts w:hint="default" w:ascii="Times New Roman" w:hAnsi="Times New Roman" w:eastAsia="宋体" w:cs="Times New Roman"/>
                      <w:snapToGrid w:val="0"/>
                      <w:color w:val="auto"/>
                      <w:spacing w:val="4"/>
                      <w:kern w:val="0"/>
                      <w:sz w:val="21"/>
                      <w:szCs w:val="21"/>
                      <w:lang w:val="en-US"/>
                    </w:rPr>
                    <w:t>污泥料仓</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料仓容积约20m</w:t>
                  </w:r>
                  <w:r>
                    <w:rPr>
                      <w:rFonts w:hint="eastAsia" w:ascii="Times New Roman" w:hAnsi="Times New Roman" w:eastAsia="宋体" w:cs="Times New Roman"/>
                      <w:snapToGrid w:val="0"/>
                      <w:color w:val="auto"/>
                      <w:spacing w:val="4"/>
                      <w:kern w:val="0"/>
                      <w:sz w:val="21"/>
                      <w:szCs w:val="21"/>
                      <w:vertAlign w:val="superscript"/>
                      <w:lang w:val="en-US" w:eastAsia="zh-CN" w:bidi="ar-SA"/>
                    </w:rPr>
                    <w:t>3</w:t>
                  </w:r>
                  <w:r>
                    <w:rPr>
                      <w:rFonts w:hint="eastAsia" w:ascii="Times New Roman" w:hAnsi="Times New Roman" w:eastAsia="宋体" w:cs="Times New Roman"/>
                      <w:snapToGrid w:val="0"/>
                      <w:color w:val="auto"/>
                      <w:spacing w:val="4"/>
                      <w:kern w:val="0"/>
                      <w:sz w:val="21"/>
                      <w:szCs w:val="21"/>
                      <w:lang w:val="en-US" w:eastAsia="zh-CN" w:bidi="ar-SA"/>
                    </w:rPr>
                    <w:t xml:space="preserve">，仓体直径3900mm </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706"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spacing w:val="4"/>
                      <w:kern w:val="0"/>
                      <w:sz w:val="21"/>
                      <w:szCs w:val="21"/>
                      <w:lang w:val="en-US"/>
                    </w:rPr>
                    <w:t>污泥</w:t>
                  </w:r>
                  <w:r>
                    <w:rPr>
                      <w:rFonts w:hint="eastAsia" w:ascii="Times New Roman" w:hAnsi="Times New Roman" w:eastAsia="宋体" w:cs="Times New Roman"/>
                      <w:snapToGrid w:val="0"/>
                      <w:color w:val="auto"/>
                      <w:spacing w:val="4"/>
                      <w:kern w:val="0"/>
                      <w:sz w:val="21"/>
                      <w:szCs w:val="21"/>
                      <w:lang w:val="en-US" w:eastAsia="zh-CN"/>
                    </w:rPr>
                    <w:t>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4</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rPr>
                  </w:pPr>
                  <w:r>
                    <w:rPr>
                      <w:rFonts w:hint="default" w:ascii="Times New Roman" w:hAnsi="Times New Roman" w:eastAsia="宋体" w:cs="Times New Roman"/>
                      <w:snapToGrid w:val="0"/>
                      <w:color w:val="auto"/>
                      <w:spacing w:val="4"/>
                      <w:kern w:val="0"/>
                      <w:sz w:val="21"/>
                      <w:szCs w:val="21"/>
                      <w:lang w:val="en-US"/>
                    </w:rPr>
                    <w:t>混料机</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处理能力≥60m</w:t>
                  </w:r>
                  <w:r>
                    <w:rPr>
                      <w:rFonts w:hint="eastAsia" w:ascii="Times New Roman" w:hAnsi="Times New Roman" w:eastAsia="宋体" w:cs="Times New Roman"/>
                      <w:snapToGrid w:val="0"/>
                      <w:color w:val="auto"/>
                      <w:spacing w:val="4"/>
                      <w:kern w:val="0"/>
                      <w:sz w:val="21"/>
                      <w:szCs w:val="21"/>
                      <w:vertAlign w:val="superscript"/>
                      <w:lang w:val="en-US" w:eastAsia="zh-CN" w:bidi="ar-SA"/>
                    </w:rPr>
                    <w:t>3</w:t>
                  </w:r>
                  <w:r>
                    <w:rPr>
                      <w:rFonts w:hint="eastAsia" w:ascii="Times New Roman" w:hAnsi="Times New Roman" w:eastAsia="宋体" w:cs="Times New Roman"/>
                      <w:snapToGrid w:val="0"/>
                      <w:color w:val="auto"/>
                      <w:spacing w:val="4"/>
                      <w:kern w:val="0"/>
                      <w:sz w:val="21"/>
                      <w:szCs w:val="21"/>
                      <w:lang w:val="en-US" w:eastAsia="zh-CN" w:bidi="ar-SA"/>
                    </w:rPr>
                    <w:t>/h，功率15kw</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706"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混料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5</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rPr>
                  </w:pPr>
                  <w:r>
                    <w:rPr>
                      <w:rFonts w:hint="default" w:ascii="Times New Roman" w:hAnsi="Times New Roman" w:eastAsia="宋体" w:cs="Times New Roman"/>
                      <w:snapToGrid w:val="0"/>
                      <w:color w:val="auto"/>
                      <w:spacing w:val="4"/>
                      <w:kern w:val="0"/>
                      <w:sz w:val="21"/>
                      <w:szCs w:val="21"/>
                      <w:lang w:val="en-US"/>
                    </w:rPr>
                    <w:t>布料机</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输送量≥60m</w:t>
                  </w:r>
                  <w:r>
                    <w:rPr>
                      <w:rFonts w:hint="eastAsia" w:ascii="Times New Roman" w:hAnsi="Times New Roman" w:eastAsia="宋体" w:cs="Times New Roman"/>
                      <w:snapToGrid w:val="0"/>
                      <w:color w:val="auto"/>
                      <w:spacing w:val="4"/>
                      <w:kern w:val="0"/>
                      <w:sz w:val="21"/>
                      <w:szCs w:val="21"/>
                      <w:vertAlign w:val="superscript"/>
                      <w:lang w:val="en-US" w:eastAsia="zh-CN" w:bidi="ar-SA"/>
                    </w:rPr>
                    <w:t>3</w:t>
                  </w:r>
                  <w:r>
                    <w:rPr>
                      <w:rFonts w:hint="eastAsia" w:ascii="Times New Roman" w:hAnsi="Times New Roman" w:eastAsia="宋体" w:cs="Times New Roman"/>
                      <w:snapToGrid w:val="0"/>
                      <w:color w:val="auto"/>
                      <w:spacing w:val="4"/>
                      <w:kern w:val="0"/>
                      <w:sz w:val="21"/>
                      <w:szCs w:val="21"/>
                      <w:lang w:val="en-US" w:eastAsia="zh-CN" w:bidi="ar-SA"/>
                    </w:rPr>
                    <w:t>/h</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706"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spacing w:val="4"/>
                      <w:kern w:val="0"/>
                      <w:sz w:val="21"/>
                      <w:szCs w:val="21"/>
                      <w:lang w:val="en-US"/>
                    </w:rPr>
                    <w:t>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6</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rPr>
                  </w:pPr>
                  <w:r>
                    <w:rPr>
                      <w:rFonts w:hint="eastAsia" w:ascii="Times New Roman" w:hAnsi="Times New Roman" w:eastAsia="宋体" w:cs="Times New Roman"/>
                      <w:snapToGrid w:val="0"/>
                      <w:color w:val="auto"/>
                      <w:spacing w:val="4"/>
                      <w:kern w:val="0"/>
                      <w:sz w:val="21"/>
                      <w:szCs w:val="21"/>
                      <w:lang w:val="en-US" w:eastAsia="zh-CN"/>
                    </w:rPr>
                    <w:t>刮板</w:t>
                  </w:r>
                  <w:r>
                    <w:rPr>
                      <w:rFonts w:hint="default" w:ascii="Times New Roman" w:hAnsi="Times New Roman" w:eastAsia="宋体" w:cs="Times New Roman"/>
                      <w:snapToGrid w:val="0"/>
                      <w:color w:val="auto"/>
                      <w:spacing w:val="4"/>
                      <w:kern w:val="0"/>
                      <w:sz w:val="21"/>
                      <w:szCs w:val="21"/>
                      <w:lang w:val="en-US"/>
                    </w:rPr>
                    <w:t>输送机</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输送量≥60m</w:t>
                  </w:r>
                  <w:r>
                    <w:rPr>
                      <w:rFonts w:hint="eastAsia" w:ascii="Times New Roman" w:hAnsi="Times New Roman" w:eastAsia="宋体" w:cs="Times New Roman"/>
                      <w:snapToGrid w:val="0"/>
                      <w:color w:val="auto"/>
                      <w:spacing w:val="4"/>
                      <w:kern w:val="0"/>
                      <w:sz w:val="21"/>
                      <w:szCs w:val="21"/>
                      <w:vertAlign w:val="superscript"/>
                      <w:lang w:val="en-US" w:eastAsia="zh-CN" w:bidi="ar-SA"/>
                    </w:rPr>
                    <w:t>3</w:t>
                  </w:r>
                  <w:r>
                    <w:rPr>
                      <w:rFonts w:hint="eastAsia" w:ascii="Times New Roman" w:hAnsi="Times New Roman" w:eastAsia="宋体" w:cs="Times New Roman"/>
                      <w:snapToGrid w:val="0"/>
                      <w:color w:val="auto"/>
                      <w:spacing w:val="4"/>
                      <w:kern w:val="0"/>
                      <w:sz w:val="21"/>
                      <w:szCs w:val="21"/>
                      <w:lang w:val="en-US" w:eastAsia="zh-CN" w:bidi="ar-SA"/>
                    </w:rPr>
                    <w:t>/h</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套</w:t>
                  </w:r>
                </w:p>
              </w:tc>
              <w:tc>
                <w:tcPr>
                  <w:tcW w:w="706"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7</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rPr>
                  </w:pPr>
                  <w:r>
                    <w:rPr>
                      <w:rFonts w:hint="eastAsia" w:ascii="Times New Roman" w:hAnsi="Times New Roman" w:eastAsia="宋体" w:cs="Times New Roman"/>
                      <w:snapToGrid w:val="0"/>
                      <w:color w:val="auto"/>
                      <w:spacing w:val="4"/>
                      <w:kern w:val="0"/>
                      <w:sz w:val="21"/>
                      <w:szCs w:val="21"/>
                      <w:lang w:val="en-US" w:eastAsia="zh-CN"/>
                    </w:rPr>
                    <w:t>皮带</w:t>
                  </w:r>
                  <w:r>
                    <w:rPr>
                      <w:rFonts w:hint="default" w:ascii="Times New Roman" w:hAnsi="Times New Roman" w:eastAsia="宋体" w:cs="Times New Roman"/>
                      <w:snapToGrid w:val="0"/>
                      <w:color w:val="auto"/>
                      <w:spacing w:val="4"/>
                      <w:kern w:val="0"/>
                      <w:sz w:val="21"/>
                      <w:szCs w:val="21"/>
                      <w:lang w:val="en-US"/>
                    </w:rPr>
                    <w:t>输送机</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输送量≥60m</w:t>
                  </w:r>
                  <w:r>
                    <w:rPr>
                      <w:rFonts w:hint="eastAsia" w:ascii="Times New Roman" w:hAnsi="Times New Roman" w:eastAsia="宋体" w:cs="Times New Roman"/>
                      <w:snapToGrid w:val="0"/>
                      <w:color w:val="auto"/>
                      <w:spacing w:val="4"/>
                      <w:kern w:val="0"/>
                      <w:sz w:val="21"/>
                      <w:szCs w:val="21"/>
                      <w:vertAlign w:val="superscript"/>
                      <w:lang w:val="en-US" w:eastAsia="zh-CN" w:bidi="ar-SA"/>
                    </w:rPr>
                    <w:t>3</w:t>
                  </w:r>
                  <w:r>
                    <w:rPr>
                      <w:rFonts w:hint="eastAsia" w:ascii="Times New Roman" w:hAnsi="Times New Roman" w:eastAsia="宋体" w:cs="Times New Roman"/>
                      <w:snapToGrid w:val="0"/>
                      <w:color w:val="auto"/>
                      <w:spacing w:val="4"/>
                      <w:kern w:val="0"/>
                      <w:sz w:val="21"/>
                      <w:szCs w:val="21"/>
                      <w:lang w:val="en-US" w:eastAsia="zh-CN" w:bidi="ar-SA"/>
                    </w:rPr>
                    <w:t>/h</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套</w:t>
                  </w:r>
                </w:p>
              </w:tc>
              <w:tc>
                <w:tcPr>
                  <w:tcW w:w="706"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8</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rPr>
                    <w:t>翻抛机</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翻抛量≥400m</w:t>
                  </w:r>
                  <w:r>
                    <w:rPr>
                      <w:rFonts w:hint="eastAsia" w:ascii="Times New Roman" w:hAnsi="Times New Roman" w:eastAsia="宋体" w:cs="Times New Roman"/>
                      <w:snapToGrid w:val="0"/>
                      <w:color w:val="auto"/>
                      <w:spacing w:val="4"/>
                      <w:kern w:val="0"/>
                      <w:sz w:val="21"/>
                      <w:szCs w:val="21"/>
                      <w:vertAlign w:val="superscript"/>
                      <w:lang w:val="en-US" w:eastAsia="zh-CN" w:bidi="ar-SA"/>
                    </w:rPr>
                    <w:t>3</w:t>
                  </w:r>
                  <w:r>
                    <w:rPr>
                      <w:rFonts w:hint="eastAsia" w:ascii="Times New Roman" w:hAnsi="Times New Roman" w:eastAsia="宋体" w:cs="Times New Roman"/>
                      <w:snapToGrid w:val="0"/>
                      <w:color w:val="auto"/>
                      <w:spacing w:val="4"/>
                      <w:kern w:val="0"/>
                      <w:sz w:val="21"/>
                      <w:szCs w:val="21"/>
                      <w:lang w:val="en-US" w:eastAsia="zh-CN" w:bidi="ar-SA"/>
                    </w:rPr>
                    <w:t>/h</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706"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rPr>
                    <w:t>翻抛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9</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rPr>
                    <w:t>移行车</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7.5kw</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706"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10</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rPr>
                    <w:t>1#鼓风机</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功率7.5kw</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706"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11</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rPr>
                    <w:t>2#鼓风机</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功率7.5kw</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706"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12</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rPr>
                  </w:pPr>
                  <w:r>
                    <w:rPr>
                      <w:rFonts w:hint="default" w:ascii="Times New Roman" w:hAnsi="Times New Roman" w:eastAsia="宋体" w:cs="Times New Roman"/>
                      <w:snapToGrid w:val="0"/>
                      <w:color w:val="auto"/>
                      <w:spacing w:val="4"/>
                      <w:kern w:val="0"/>
                      <w:sz w:val="21"/>
                      <w:szCs w:val="21"/>
                      <w:lang w:val="en-US"/>
                    </w:rPr>
                    <w:t>除臭系统</w:t>
                  </w:r>
                </w:p>
              </w:tc>
              <w:tc>
                <w:tcPr>
                  <w:tcW w:w="344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单套设计风机风量为62500m</w:t>
                  </w:r>
                  <w:r>
                    <w:rPr>
                      <w:rFonts w:hint="eastAsia" w:ascii="Times New Roman" w:hAnsi="Times New Roman" w:eastAsia="宋体" w:cs="Times New Roman"/>
                      <w:snapToGrid w:val="0"/>
                      <w:color w:val="auto"/>
                      <w:spacing w:val="4"/>
                      <w:kern w:val="0"/>
                      <w:sz w:val="21"/>
                      <w:szCs w:val="21"/>
                      <w:vertAlign w:val="superscript"/>
                      <w:lang w:val="en-US" w:eastAsia="zh-CN" w:bidi="ar-SA"/>
                    </w:rPr>
                    <w:t>3</w:t>
                  </w:r>
                  <w:r>
                    <w:rPr>
                      <w:rFonts w:hint="eastAsia" w:ascii="Times New Roman" w:hAnsi="Times New Roman" w:eastAsia="宋体" w:cs="Times New Roman"/>
                      <w:snapToGrid w:val="0"/>
                      <w:color w:val="auto"/>
                      <w:spacing w:val="4"/>
                      <w:kern w:val="0"/>
                      <w:sz w:val="21"/>
                      <w:szCs w:val="21"/>
                      <w:lang w:val="en-US" w:eastAsia="zh-CN" w:bidi="ar-SA"/>
                    </w:rPr>
                    <w:t>/h</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套</w:t>
                  </w:r>
                </w:p>
              </w:tc>
              <w:tc>
                <w:tcPr>
                  <w:tcW w:w="706"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spacing w:val="4"/>
                      <w:kern w:val="0"/>
                      <w:sz w:val="21"/>
                      <w:szCs w:val="21"/>
                      <w:lang w:val="en-US"/>
                    </w:rPr>
                    <w:t>除臭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13</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rPr>
                  </w:pPr>
                  <w:r>
                    <w:rPr>
                      <w:rFonts w:hint="default" w:ascii="Times New Roman" w:hAnsi="Times New Roman" w:eastAsia="宋体" w:cs="Times New Roman"/>
                      <w:snapToGrid w:val="0"/>
                      <w:color w:val="auto"/>
                      <w:spacing w:val="4"/>
                      <w:kern w:val="0"/>
                      <w:sz w:val="21"/>
                      <w:szCs w:val="21"/>
                      <w:lang w:val="en-US"/>
                    </w:rPr>
                    <w:t>自卸车</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5T</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706"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14</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rPr>
                  </w:pPr>
                  <w:r>
                    <w:rPr>
                      <w:rFonts w:hint="default" w:ascii="Times New Roman" w:hAnsi="Times New Roman" w:eastAsia="宋体" w:cs="Times New Roman"/>
                      <w:snapToGrid w:val="0"/>
                      <w:color w:val="auto"/>
                      <w:spacing w:val="4"/>
                      <w:kern w:val="0"/>
                      <w:sz w:val="21"/>
                      <w:szCs w:val="21"/>
                      <w:lang w:val="en-US"/>
                    </w:rPr>
                    <w:t>自卸车</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2T</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706"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eastAsia="zh-CN"/>
                    </w:rPr>
                  </w:pPr>
                  <w:r>
                    <w:rPr>
                      <w:rFonts w:hint="eastAsia" w:ascii="Times New Roman" w:hAnsi="Times New Roman" w:eastAsia="宋体" w:cs="Times New Roman"/>
                      <w:snapToGrid w:val="0"/>
                      <w:color w:val="auto"/>
                      <w:spacing w:val="4"/>
                      <w:kern w:val="0"/>
                      <w:sz w:val="21"/>
                      <w:szCs w:val="21"/>
                      <w:lang w:val="en-US" w:eastAsia="zh-CN"/>
                    </w:rPr>
                    <w:t>15</w:t>
                  </w:r>
                </w:p>
              </w:tc>
              <w:tc>
                <w:tcPr>
                  <w:tcW w:w="1259"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napToGrid w:val="0"/>
                      <w:color w:val="auto"/>
                      <w:spacing w:val="4"/>
                      <w:kern w:val="0"/>
                      <w:sz w:val="21"/>
                      <w:szCs w:val="21"/>
                      <w:lang w:val="en-US"/>
                    </w:rPr>
                  </w:pPr>
                  <w:r>
                    <w:rPr>
                      <w:rFonts w:hint="default" w:ascii="Times New Roman" w:hAnsi="Times New Roman" w:eastAsia="宋体" w:cs="Times New Roman"/>
                      <w:snapToGrid w:val="0"/>
                      <w:color w:val="auto"/>
                      <w:spacing w:val="4"/>
                      <w:kern w:val="0"/>
                      <w:sz w:val="21"/>
                      <w:szCs w:val="21"/>
                      <w:lang w:val="en-US"/>
                    </w:rPr>
                    <w:t>小型铲车装载机</w:t>
                  </w:r>
                </w:p>
              </w:tc>
              <w:tc>
                <w:tcPr>
                  <w:tcW w:w="3448"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snapToGrid w:val="0"/>
                      <w:color w:val="auto"/>
                      <w:spacing w:val="4"/>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2T</w:t>
                  </w:r>
                </w:p>
              </w:tc>
              <w:tc>
                <w:tcPr>
                  <w:tcW w:w="718"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706" w:type="dxa"/>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144" w:type="dxa"/>
                  <w:tcBorders>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 w:val="21"/>
                      <w:szCs w:val="21"/>
                      <w:lang w:val="en-US" w:eastAsia="zh-CN"/>
                    </w:rPr>
                  </w:pPr>
                </w:p>
              </w:tc>
            </w:tr>
          </w:tbl>
          <w:p>
            <w:pPr>
              <w:adjustRightInd w:val="0"/>
              <w:snapToGrid w:val="0"/>
              <w:spacing w:line="440" w:lineRule="exact"/>
              <w:outlineLvl w:val="1"/>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2.3.</w:t>
            </w:r>
            <w:r>
              <w:rPr>
                <w:rFonts w:hint="eastAsia"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rPr>
              <w:t xml:space="preserve"> 现有工程原辅材料</w:t>
            </w:r>
          </w:p>
          <w:p>
            <w:pPr>
              <w:autoSpaceDE w:val="0"/>
              <w:autoSpaceDN w:val="0"/>
              <w:adjustRightInd w:val="0"/>
              <w:snapToGrid w:val="0"/>
              <w:spacing w:line="440" w:lineRule="exact"/>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bCs/>
                <w:color w:val="auto"/>
                <w:sz w:val="24"/>
                <w:szCs w:val="24"/>
              </w:rPr>
              <w:t>现有工程主要原辅材料消耗详见下表</w:t>
            </w:r>
            <w:r>
              <w:rPr>
                <w:rFonts w:hint="eastAsia" w:ascii="Times New Roman" w:hAnsi="Times New Roman" w:eastAsia="宋体" w:cs="Times New Roman"/>
                <w:bCs/>
                <w:color w:val="auto"/>
                <w:sz w:val="24"/>
                <w:szCs w:val="24"/>
                <w:lang w:eastAsia="zh-CN"/>
              </w:rPr>
              <w:t>：</w:t>
            </w:r>
          </w:p>
          <w:p>
            <w:pPr>
              <w:spacing w:line="440" w:lineRule="exact"/>
              <w:ind w:firstLine="482" w:firstLineChars="200"/>
              <w:jc w:val="center"/>
              <w:outlineLvl w:val="1"/>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表2</w:t>
            </w:r>
            <w:r>
              <w:rPr>
                <w:rFonts w:hint="eastAsia" w:ascii="Times New Roman" w:hAnsi="Times New Roman" w:eastAsia="宋体" w:cs="Times New Roman"/>
                <w:b/>
                <w:bCs/>
                <w:color w:val="auto"/>
                <w:sz w:val="24"/>
                <w:szCs w:val="24"/>
              </w:rPr>
              <w:t>.3</w:t>
            </w:r>
            <w:r>
              <w:rPr>
                <w:rFonts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3</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现有工程</w:t>
            </w:r>
            <w:r>
              <w:rPr>
                <w:rFonts w:ascii="Times New Roman" w:hAnsi="Times New Roman" w:eastAsia="宋体" w:cs="Times New Roman"/>
                <w:b/>
                <w:bCs/>
                <w:color w:val="auto"/>
                <w:sz w:val="24"/>
                <w:szCs w:val="24"/>
              </w:rPr>
              <w:t>主要原辅材料消耗量一览表</w:t>
            </w:r>
          </w:p>
          <w:tbl>
            <w:tblPr>
              <w:tblStyle w:val="20"/>
              <w:tblW w:w="7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26"/>
              <w:gridCol w:w="1230"/>
              <w:gridCol w:w="1405"/>
              <w:gridCol w:w="1609"/>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722"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序号</w:t>
                  </w:r>
                </w:p>
              </w:tc>
              <w:tc>
                <w:tcPr>
                  <w:tcW w:w="826"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种类</w:t>
                  </w:r>
                </w:p>
              </w:tc>
              <w:tc>
                <w:tcPr>
                  <w:tcW w:w="1230"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名称</w:t>
                  </w:r>
                </w:p>
              </w:tc>
              <w:tc>
                <w:tcPr>
                  <w:tcW w:w="1405" w:type="dxa"/>
                  <w:shd w:val="clear" w:color="auto" w:fill="auto"/>
                  <w:vAlign w:val="center"/>
                </w:tcPr>
                <w:p>
                  <w:pPr>
                    <w:jc w:val="center"/>
                    <w:outlineLvl w:val="1"/>
                    <w:rPr>
                      <w:rFonts w:ascii="Times New Roman" w:hAnsi="Times New Roman" w:eastAsia="宋体" w:cs="Times New Roman"/>
                      <w:color w:val="auto"/>
                      <w:szCs w:val="21"/>
                    </w:rPr>
                  </w:pPr>
                  <w:r>
                    <w:rPr>
                      <w:rFonts w:hint="eastAsia" w:ascii="Times New Roman" w:hAnsi="Times New Roman" w:eastAsia="宋体" w:cs="Times New Roman"/>
                      <w:color w:val="auto"/>
                      <w:szCs w:val="21"/>
                    </w:rPr>
                    <w:t>年</w:t>
                  </w:r>
                  <w:r>
                    <w:rPr>
                      <w:rFonts w:ascii="Times New Roman" w:hAnsi="Times New Roman" w:eastAsia="宋体" w:cs="Times New Roman"/>
                      <w:color w:val="auto"/>
                      <w:szCs w:val="21"/>
                    </w:rPr>
                    <w:t>消耗量t/a</w:t>
                  </w:r>
                </w:p>
              </w:tc>
              <w:tc>
                <w:tcPr>
                  <w:tcW w:w="1609"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最大储存量t/a</w:t>
                  </w:r>
                </w:p>
              </w:tc>
              <w:tc>
                <w:tcPr>
                  <w:tcW w:w="2090"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722"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826" w:type="dxa"/>
                  <w:shd w:val="clear" w:color="auto" w:fill="auto"/>
                  <w:vAlign w:val="center"/>
                </w:tcPr>
                <w:p>
                  <w:pPr>
                    <w:jc w:val="center"/>
                    <w:outlineLvl w:val="1"/>
                    <w:rPr>
                      <w:rFonts w:ascii="Times New Roman" w:hAnsi="Times New Roman" w:eastAsia="宋体" w:cs="Times New Roman"/>
                      <w:color w:val="auto"/>
                      <w:szCs w:val="21"/>
                    </w:rPr>
                  </w:pPr>
                  <w:r>
                    <w:rPr>
                      <w:rFonts w:hint="eastAsia" w:ascii="Times New Roman" w:hAnsi="Times New Roman" w:eastAsia="宋体" w:cs="Times New Roman"/>
                      <w:color w:val="auto"/>
                      <w:szCs w:val="21"/>
                    </w:rPr>
                    <w:t>主要</w:t>
                  </w:r>
                  <w:r>
                    <w:rPr>
                      <w:rFonts w:ascii="Times New Roman" w:hAnsi="Times New Roman" w:eastAsia="宋体" w:cs="Times New Roman"/>
                      <w:color w:val="auto"/>
                      <w:szCs w:val="21"/>
                    </w:rPr>
                    <w:t>原料</w:t>
                  </w:r>
                </w:p>
              </w:tc>
              <w:tc>
                <w:tcPr>
                  <w:tcW w:w="1230" w:type="dxa"/>
                  <w:shd w:val="clear" w:color="auto" w:fill="auto"/>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生活污泥</w:t>
                  </w:r>
                </w:p>
              </w:tc>
              <w:tc>
                <w:tcPr>
                  <w:tcW w:w="1405" w:type="dxa"/>
                  <w:shd w:val="clear" w:color="auto" w:fill="auto"/>
                  <w:vAlign w:val="center"/>
                </w:tcPr>
                <w:p>
                  <w:pPr>
                    <w:pStyle w:val="97"/>
                    <w:ind w:firstLine="0" w:firstLineChars="0"/>
                    <w:rPr>
                      <w:rFonts w:hint="default" w:ascii="Times New Roman" w:hAnsi="Times New Roman" w:eastAsiaTheme="minorEastAsia" w:cstheme="minorBidi"/>
                      <w:kern w:val="2"/>
                      <w:sz w:val="21"/>
                      <w:szCs w:val="22"/>
                      <w:lang w:val="en-US" w:eastAsia="zh-CN" w:bidi="ar-SA"/>
                    </w:rPr>
                  </w:pPr>
                  <w:r>
                    <w:rPr>
                      <w:rFonts w:hint="eastAsia" w:ascii="Times New Roman" w:hAnsi="Times New Roman" w:cstheme="minorBidi"/>
                      <w:kern w:val="2"/>
                      <w:sz w:val="21"/>
                      <w:szCs w:val="22"/>
                      <w:lang w:val="en-US" w:eastAsia="zh-CN" w:bidi="ar-SA"/>
                    </w:rPr>
                    <w:t>26640</w:t>
                  </w:r>
                </w:p>
              </w:tc>
              <w:tc>
                <w:tcPr>
                  <w:tcW w:w="1609" w:type="dxa"/>
                  <w:shd w:val="clear" w:color="auto" w:fill="auto"/>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当天处理</w:t>
                  </w:r>
                </w:p>
              </w:tc>
              <w:tc>
                <w:tcPr>
                  <w:tcW w:w="2090" w:type="dxa"/>
                  <w:shd w:val="clear" w:color="auto" w:fill="auto"/>
                  <w:vAlign w:val="center"/>
                </w:tcPr>
                <w:p>
                  <w:pPr>
                    <w:jc w:val="center"/>
                    <w:outlineLvl w:val="1"/>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含水率≤80%的生活污泥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2" w:type="dxa"/>
                  <w:shd w:val="clear" w:color="auto" w:fill="auto"/>
                  <w:vAlign w:val="center"/>
                </w:tcPr>
                <w:p>
                  <w:pPr>
                    <w:jc w:val="center"/>
                    <w:outlineLvl w:val="1"/>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2</w:t>
                  </w:r>
                </w:p>
              </w:tc>
              <w:tc>
                <w:tcPr>
                  <w:tcW w:w="826" w:type="dxa"/>
                  <w:vMerge w:val="restart"/>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辅料</w:t>
                  </w:r>
                </w:p>
              </w:tc>
              <w:tc>
                <w:tcPr>
                  <w:tcW w:w="1230" w:type="dxa"/>
                  <w:shd w:val="clear" w:color="auto" w:fill="auto"/>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辅料</w:t>
                  </w:r>
                </w:p>
              </w:tc>
              <w:tc>
                <w:tcPr>
                  <w:tcW w:w="1405"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4662</w:t>
                  </w:r>
                </w:p>
              </w:tc>
              <w:tc>
                <w:tcPr>
                  <w:tcW w:w="1609" w:type="dxa"/>
                  <w:shd w:val="clear" w:color="auto" w:fill="auto"/>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98</w:t>
                  </w:r>
                </w:p>
              </w:tc>
              <w:tc>
                <w:tcPr>
                  <w:tcW w:w="2090" w:type="dxa"/>
                  <w:shd w:val="clear" w:color="auto" w:fill="auto"/>
                  <w:vAlign w:val="center"/>
                </w:tcPr>
                <w:p>
                  <w:pPr>
                    <w:jc w:val="center"/>
                    <w:outlineLvl w:val="1"/>
                    <w:rPr>
                      <w:rFonts w:ascii="Times New Roman" w:hAnsi="Times New Roman" w:eastAsia="宋体" w:cs="Times New Roman"/>
                      <w:color w:val="auto"/>
                      <w:szCs w:val="21"/>
                    </w:rPr>
                  </w:pPr>
                  <w:r>
                    <w:rPr>
                      <w:rFonts w:hint="eastAsia" w:ascii="Times New Roman" w:hAnsi="Times New Roman" w:eastAsia="宋体" w:cs="Times New Roman"/>
                      <w:color w:val="auto"/>
                      <w:szCs w:val="21"/>
                    </w:rPr>
                    <w:t>含水率 20%；其中秸秆约占80%，木屑和菌包约占20%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2" w:type="dxa"/>
                  <w:shd w:val="clear" w:color="auto" w:fill="auto"/>
                  <w:vAlign w:val="center"/>
                </w:tcPr>
                <w:p>
                  <w:pPr>
                    <w:jc w:val="center"/>
                    <w:outlineLvl w:val="1"/>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3</w:t>
                  </w:r>
                </w:p>
              </w:tc>
              <w:tc>
                <w:tcPr>
                  <w:tcW w:w="826" w:type="dxa"/>
                  <w:vMerge w:val="continue"/>
                  <w:shd w:val="clear" w:color="auto" w:fill="auto"/>
                  <w:vAlign w:val="center"/>
                </w:tcPr>
                <w:p>
                  <w:pPr>
                    <w:jc w:val="center"/>
                    <w:outlineLvl w:val="1"/>
                    <w:rPr>
                      <w:rFonts w:ascii="Times New Roman" w:hAnsi="Times New Roman" w:eastAsia="宋体" w:cs="Times New Roman"/>
                      <w:color w:val="auto"/>
                      <w:szCs w:val="21"/>
                    </w:rPr>
                  </w:pPr>
                </w:p>
              </w:tc>
              <w:tc>
                <w:tcPr>
                  <w:tcW w:w="1230" w:type="dxa"/>
                  <w:shd w:val="clear" w:color="auto" w:fill="auto"/>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硫酸</w:t>
                  </w:r>
                </w:p>
              </w:tc>
              <w:tc>
                <w:tcPr>
                  <w:tcW w:w="1405"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93</w:t>
                  </w:r>
                </w:p>
              </w:tc>
              <w:tc>
                <w:tcPr>
                  <w:tcW w:w="1609" w:type="dxa"/>
                  <w:shd w:val="clear" w:color="auto" w:fill="auto"/>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2090" w:type="dxa"/>
                  <w:shd w:val="clear" w:color="auto" w:fill="auto"/>
                  <w:vAlign w:val="center"/>
                </w:tcPr>
                <w:p>
                  <w:pPr>
                    <w:jc w:val="center"/>
                    <w:outlineLvl w:val="1"/>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98%浓度，臭气处理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2" w:type="dxa"/>
                  <w:shd w:val="clear" w:color="auto" w:fill="auto"/>
                  <w:vAlign w:val="center"/>
                </w:tcPr>
                <w:p>
                  <w:pPr>
                    <w:jc w:val="center"/>
                    <w:outlineLvl w:val="1"/>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4</w:t>
                  </w:r>
                </w:p>
              </w:tc>
              <w:tc>
                <w:tcPr>
                  <w:tcW w:w="826" w:type="dxa"/>
                  <w:vMerge w:val="continue"/>
                  <w:shd w:val="clear" w:color="auto" w:fill="auto"/>
                  <w:vAlign w:val="center"/>
                </w:tcPr>
                <w:p>
                  <w:pPr>
                    <w:jc w:val="center"/>
                    <w:outlineLvl w:val="1"/>
                    <w:rPr>
                      <w:rFonts w:ascii="Times New Roman" w:hAnsi="Times New Roman" w:eastAsia="宋体" w:cs="Times New Roman"/>
                      <w:color w:val="auto"/>
                      <w:szCs w:val="21"/>
                    </w:rPr>
                  </w:pPr>
                </w:p>
              </w:tc>
              <w:tc>
                <w:tcPr>
                  <w:tcW w:w="1230" w:type="dxa"/>
                  <w:shd w:val="clear" w:color="auto" w:fill="auto"/>
                  <w:vAlign w:val="center"/>
                </w:tcPr>
                <w:p>
                  <w:pPr>
                    <w:widowControl/>
                    <w:jc w:val="center"/>
                    <w:textAlignment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次氯酸钠</w:t>
                  </w:r>
                </w:p>
              </w:tc>
              <w:tc>
                <w:tcPr>
                  <w:tcW w:w="1405"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c>
                <w:tcPr>
                  <w:tcW w:w="1609"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w:t>
                  </w:r>
                </w:p>
              </w:tc>
              <w:tc>
                <w:tcPr>
                  <w:tcW w:w="2090" w:type="dxa"/>
                  <w:shd w:val="clear" w:color="auto" w:fill="auto"/>
                  <w:vAlign w:val="center"/>
                </w:tcPr>
                <w:p>
                  <w:pPr>
                    <w:jc w:val="center"/>
                    <w:outlineLvl w:val="1"/>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臭气处理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2" w:type="dxa"/>
                  <w:shd w:val="clear" w:color="auto" w:fill="auto"/>
                  <w:vAlign w:val="center"/>
                </w:tcPr>
                <w:p>
                  <w:pPr>
                    <w:jc w:val="center"/>
                    <w:outlineLvl w:val="1"/>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5</w:t>
                  </w:r>
                </w:p>
              </w:tc>
              <w:tc>
                <w:tcPr>
                  <w:tcW w:w="826" w:type="dxa"/>
                  <w:vMerge w:val="continue"/>
                  <w:shd w:val="clear" w:color="auto" w:fill="auto"/>
                  <w:vAlign w:val="center"/>
                </w:tcPr>
                <w:p>
                  <w:pPr>
                    <w:jc w:val="center"/>
                    <w:outlineLvl w:val="1"/>
                    <w:rPr>
                      <w:rFonts w:ascii="Times New Roman" w:hAnsi="Times New Roman" w:eastAsia="宋体" w:cs="Times New Roman"/>
                      <w:color w:val="auto"/>
                      <w:szCs w:val="21"/>
                    </w:rPr>
                  </w:pPr>
                </w:p>
              </w:tc>
              <w:tc>
                <w:tcPr>
                  <w:tcW w:w="1230" w:type="dxa"/>
                  <w:shd w:val="clear" w:color="auto" w:fill="auto"/>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汽油</w:t>
                  </w:r>
                </w:p>
              </w:tc>
              <w:tc>
                <w:tcPr>
                  <w:tcW w:w="1405"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Cs w:val="21"/>
                      <w:lang w:val="en-US" w:eastAsia="zh-CN" w:bidi="ar"/>
                    </w:rPr>
                    <w:t>4.2</w:t>
                  </w:r>
                </w:p>
              </w:tc>
              <w:tc>
                <w:tcPr>
                  <w:tcW w:w="1609" w:type="dxa"/>
                  <w:shd w:val="clear" w:color="auto" w:fill="auto"/>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Cs w:val="21"/>
                      <w:lang w:val="en-US" w:eastAsia="zh-CN" w:bidi="ar"/>
                    </w:rPr>
                    <w:t>不存储</w:t>
                  </w:r>
                </w:p>
              </w:tc>
              <w:tc>
                <w:tcPr>
                  <w:tcW w:w="2090" w:type="dxa"/>
                  <w:shd w:val="clear" w:color="auto" w:fill="auto"/>
                  <w:vAlign w:val="center"/>
                </w:tcPr>
                <w:p>
                  <w:pPr>
                    <w:jc w:val="center"/>
                    <w:outlineLvl w:val="1"/>
                    <w:rPr>
                      <w:rFonts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22" w:type="dxa"/>
                  <w:shd w:val="clear" w:color="auto" w:fill="auto"/>
                  <w:vAlign w:val="center"/>
                </w:tcPr>
                <w:p>
                  <w:pPr>
                    <w:jc w:val="center"/>
                    <w:outlineLvl w:val="1"/>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6</w:t>
                  </w:r>
                </w:p>
              </w:tc>
              <w:tc>
                <w:tcPr>
                  <w:tcW w:w="826" w:type="dxa"/>
                  <w:vMerge w:val="continue"/>
                  <w:shd w:val="clear" w:color="auto" w:fill="auto"/>
                  <w:vAlign w:val="center"/>
                </w:tcPr>
                <w:p>
                  <w:pPr>
                    <w:jc w:val="center"/>
                    <w:outlineLvl w:val="1"/>
                    <w:rPr>
                      <w:rFonts w:ascii="Times New Roman" w:hAnsi="Times New Roman" w:eastAsia="宋体" w:cs="Times New Roman"/>
                      <w:color w:val="auto"/>
                      <w:szCs w:val="21"/>
                    </w:rPr>
                  </w:pPr>
                </w:p>
              </w:tc>
              <w:tc>
                <w:tcPr>
                  <w:tcW w:w="1230" w:type="dxa"/>
                  <w:shd w:val="clear" w:color="auto" w:fill="auto"/>
                  <w:vAlign w:val="center"/>
                </w:tcPr>
                <w:p>
                  <w:pPr>
                    <w:jc w:val="center"/>
                    <w:outlineLvl w:val="1"/>
                    <w:rPr>
                      <w:rFonts w:ascii="Times New Roman" w:hAnsi="Times New Roman" w:eastAsia="宋体" w:cs="Times New Roman"/>
                      <w:color w:val="auto"/>
                      <w:szCs w:val="21"/>
                    </w:rPr>
                  </w:pPr>
                  <w:r>
                    <w:rPr>
                      <w:rFonts w:hint="eastAsia" w:ascii="Times New Roman" w:hAnsi="Times New Roman" w:eastAsia="宋体" w:cs="Times New Roman"/>
                      <w:color w:val="auto"/>
                      <w:szCs w:val="21"/>
                    </w:rPr>
                    <w:t>液压油</w:t>
                  </w:r>
                </w:p>
              </w:tc>
              <w:tc>
                <w:tcPr>
                  <w:tcW w:w="1405" w:type="dxa"/>
                  <w:shd w:val="clear" w:color="auto" w:fill="auto"/>
                  <w:vAlign w:val="center"/>
                </w:tcPr>
                <w:p>
                  <w:pPr>
                    <w:jc w:val="center"/>
                    <w:outlineLvl w:val="1"/>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c>
                <w:tcPr>
                  <w:tcW w:w="1609" w:type="dxa"/>
                  <w:shd w:val="clear" w:color="auto" w:fill="auto"/>
                  <w:vAlign w:val="center"/>
                </w:tcPr>
                <w:p>
                  <w:pPr>
                    <w:jc w:val="center"/>
                    <w:outlineLvl w:val="1"/>
                    <w:rPr>
                      <w:rFonts w:ascii="Times New Roman" w:hAnsi="Times New Roman" w:eastAsia="宋体" w:cs="Times New Roman"/>
                      <w:color w:val="auto"/>
                      <w:szCs w:val="21"/>
                    </w:rPr>
                  </w:pPr>
                  <w:r>
                    <w:rPr>
                      <w:rFonts w:hint="eastAsia" w:ascii="Times New Roman" w:hAnsi="Times New Roman" w:eastAsia="宋体" w:cs="Times New Roman"/>
                      <w:color w:val="auto"/>
                      <w:szCs w:val="21"/>
                    </w:rPr>
                    <w:t>0（及时购买）</w:t>
                  </w:r>
                </w:p>
              </w:tc>
              <w:tc>
                <w:tcPr>
                  <w:tcW w:w="2090" w:type="dxa"/>
                  <w:shd w:val="clear" w:color="auto" w:fill="auto"/>
                  <w:vAlign w:val="center"/>
                </w:tcPr>
                <w:p>
                  <w:pPr>
                    <w:jc w:val="center"/>
                    <w:outlineLvl w:val="1"/>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设备维护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22" w:type="dxa"/>
                  <w:shd w:val="clear" w:color="auto" w:fill="auto"/>
                  <w:vAlign w:val="center"/>
                </w:tcPr>
                <w:p>
                  <w:pPr>
                    <w:jc w:val="center"/>
                    <w:outlineLvl w:val="1"/>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7</w:t>
                  </w:r>
                </w:p>
              </w:tc>
              <w:tc>
                <w:tcPr>
                  <w:tcW w:w="826" w:type="dxa"/>
                  <w:vMerge w:val="continue"/>
                  <w:shd w:val="clear" w:color="auto" w:fill="auto"/>
                  <w:vAlign w:val="center"/>
                </w:tcPr>
                <w:p>
                  <w:pPr>
                    <w:jc w:val="center"/>
                    <w:outlineLvl w:val="1"/>
                    <w:rPr>
                      <w:rFonts w:ascii="Times New Roman" w:hAnsi="Times New Roman" w:eastAsia="宋体" w:cs="Times New Roman"/>
                      <w:color w:val="auto"/>
                      <w:szCs w:val="21"/>
                    </w:rPr>
                  </w:pPr>
                </w:p>
              </w:tc>
              <w:tc>
                <w:tcPr>
                  <w:tcW w:w="1230" w:type="dxa"/>
                  <w:shd w:val="clear" w:color="auto" w:fill="auto"/>
                  <w:vAlign w:val="center"/>
                </w:tcPr>
                <w:p>
                  <w:pPr>
                    <w:jc w:val="center"/>
                    <w:outlineLvl w:val="1"/>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柴油</w:t>
                  </w:r>
                </w:p>
              </w:tc>
              <w:tc>
                <w:tcPr>
                  <w:tcW w:w="1405" w:type="dxa"/>
                  <w:shd w:val="clear" w:color="auto" w:fill="auto"/>
                  <w:vAlign w:val="center"/>
                </w:tcPr>
                <w:p>
                  <w:pPr>
                    <w:jc w:val="center"/>
                    <w:outlineLvl w:val="1"/>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609" w:type="dxa"/>
                  <w:shd w:val="clear" w:color="auto" w:fill="auto"/>
                  <w:vAlign w:val="center"/>
                </w:tcPr>
                <w:p>
                  <w:pPr>
                    <w:jc w:val="center"/>
                    <w:outlineLvl w:val="1"/>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0.86</w:t>
                  </w:r>
                </w:p>
              </w:tc>
              <w:tc>
                <w:tcPr>
                  <w:tcW w:w="2090" w:type="dxa"/>
                  <w:shd w:val="clear" w:color="auto" w:fill="auto"/>
                  <w:vAlign w:val="center"/>
                </w:tcPr>
                <w:p>
                  <w:pPr>
                    <w:jc w:val="center"/>
                    <w:outlineLvl w:val="1"/>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应急柴油发电机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22" w:type="dxa"/>
                  <w:shd w:val="clear" w:color="auto" w:fill="auto"/>
                  <w:vAlign w:val="center"/>
                </w:tcPr>
                <w:p>
                  <w:pPr>
                    <w:jc w:val="center"/>
                    <w:outlineLvl w:val="1"/>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8</w:t>
                  </w:r>
                </w:p>
              </w:tc>
              <w:tc>
                <w:tcPr>
                  <w:tcW w:w="826" w:type="dxa"/>
                  <w:vMerge w:val="continue"/>
                  <w:shd w:val="clear" w:color="auto" w:fill="auto"/>
                  <w:vAlign w:val="center"/>
                </w:tcPr>
                <w:p>
                  <w:pPr>
                    <w:jc w:val="center"/>
                    <w:outlineLvl w:val="1"/>
                    <w:rPr>
                      <w:rFonts w:ascii="Times New Roman" w:hAnsi="Times New Roman" w:eastAsia="宋体" w:cs="Times New Roman"/>
                      <w:color w:val="auto"/>
                      <w:szCs w:val="21"/>
                    </w:rPr>
                  </w:pPr>
                </w:p>
              </w:tc>
              <w:tc>
                <w:tcPr>
                  <w:tcW w:w="1230" w:type="dxa"/>
                  <w:shd w:val="clear" w:color="auto" w:fill="auto"/>
                  <w:vAlign w:val="center"/>
                </w:tcPr>
                <w:p>
                  <w:pPr>
                    <w:jc w:val="center"/>
                    <w:outlineLvl w:val="1"/>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机油</w:t>
                  </w:r>
                </w:p>
              </w:tc>
              <w:tc>
                <w:tcPr>
                  <w:tcW w:w="1405" w:type="dxa"/>
                  <w:shd w:val="clear" w:color="auto" w:fill="auto"/>
                  <w:vAlign w:val="center"/>
                </w:tcPr>
                <w:p>
                  <w:pPr>
                    <w:jc w:val="center"/>
                    <w:outlineLvl w:val="1"/>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1609" w:type="dxa"/>
                  <w:shd w:val="clear" w:color="auto" w:fill="auto"/>
                  <w:vAlign w:val="center"/>
                </w:tcPr>
                <w:p>
                  <w:pPr>
                    <w:jc w:val="center"/>
                    <w:outlineLvl w:val="1"/>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0（及时购买）</w:t>
                  </w:r>
                </w:p>
              </w:tc>
              <w:tc>
                <w:tcPr>
                  <w:tcW w:w="2090" w:type="dxa"/>
                  <w:shd w:val="clear" w:color="auto" w:fill="auto"/>
                  <w:vAlign w:val="center"/>
                </w:tcPr>
                <w:p>
                  <w:pPr>
                    <w:jc w:val="center"/>
                    <w:outlineLvl w:val="1"/>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设备维护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2" w:type="dxa"/>
                  <w:shd w:val="clear" w:color="auto" w:fill="auto"/>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w:t>
                  </w:r>
                </w:p>
              </w:tc>
              <w:tc>
                <w:tcPr>
                  <w:tcW w:w="826" w:type="dxa"/>
                  <w:vMerge w:val="restart"/>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能源</w:t>
                  </w:r>
                </w:p>
              </w:tc>
              <w:tc>
                <w:tcPr>
                  <w:tcW w:w="1230"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水</w:t>
                  </w:r>
                </w:p>
              </w:tc>
              <w:tc>
                <w:tcPr>
                  <w:tcW w:w="1405" w:type="dxa"/>
                  <w:shd w:val="clear" w:color="auto" w:fill="auto"/>
                  <w:vAlign w:val="center"/>
                </w:tcPr>
                <w:p>
                  <w:pPr>
                    <w:jc w:val="center"/>
                    <w:outlineLvl w:val="1"/>
                    <w:rPr>
                      <w:rFonts w:ascii="Times New Roman" w:hAnsi="Times New Roman" w:eastAsia="宋体" w:cs="Times New Roman"/>
                      <w:color w:val="auto"/>
                      <w:szCs w:val="21"/>
                    </w:rPr>
                  </w:pPr>
                  <w:r>
                    <w:rPr>
                      <w:rFonts w:hint="eastAsia" w:ascii="Times New Roman" w:hAnsi="Times New Roman" w:eastAsia="宋体"/>
                      <w:lang w:val="en-US" w:eastAsia="zh-CN"/>
                    </w:rPr>
                    <w:t>990</w:t>
                  </w:r>
                  <w:r>
                    <w:rPr>
                      <w:rFonts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/a</w:t>
                  </w:r>
                </w:p>
              </w:tc>
              <w:tc>
                <w:tcPr>
                  <w:tcW w:w="1609"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2090" w:type="dxa"/>
                  <w:shd w:val="clear" w:color="auto" w:fill="auto"/>
                  <w:vAlign w:val="center"/>
                </w:tcPr>
                <w:p>
                  <w:pPr>
                    <w:jc w:val="center"/>
                    <w:outlineLvl w:val="1"/>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shd w:val="clear" w:color="auto" w:fill="auto"/>
                  <w:vAlign w:val="center"/>
                </w:tcPr>
                <w:p>
                  <w:pPr>
                    <w:jc w:val="center"/>
                    <w:outlineLvl w:val="1"/>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826" w:type="dxa"/>
                  <w:vMerge w:val="continue"/>
                  <w:shd w:val="clear" w:color="auto" w:fill="auto"/>
                  <w:vAlign w:val="center"/>
                </w:tcPr>
                <w:p>
                  <w:pPr>
                    <w:jc w:val="center"/>
                    <w:outlineLvl w:val="1"/>
                    <w:rPr>
                      <w:rFonts w:ascii="Times New Roman" w:hAnsi="Times New Roman" w:eastAsia="宋体" w:cs="Times New Roman"/>
                      <w:color w:val="auto"/>
                      <w:szCs w:val="21"/>
                    </w:rPr>
                  </w:pPr>
                </w:p>
              </w:tc>
              <w:tc>
                <w:tcPr>
                  <w:tcW w:w="1230" w:type="dxa"/>
                  <w:shd w:val="clear" w:color="auto" w:fill="auto"/>
                  <w:vAlign w:val="center"/>
                </w:tcPr>
                <w:p>
                  <w:pPr>
                    <w:jc w:val="center"/>
                    <w:outlineLvl w:val="1"/>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天然气</w:t>
                  </w:r>
                </w:p>
              </w:tc>
              <w:tc>
                <w:tcPr>
                  <w:tcW w:w="1405" w:type="dxa"/>
                  <w:shd w:val="clear" w:color="auto" w:fill="auto"/>
                  <w:vAlign w:val="center"/>
                </w:tcPr>
                <w:p>
                  <w:pPr>
                    <w:jc w:val="center"/>
                    <w:outlineLvl w:val="1"/>
                    <w:rPr>
                      <w:rFonts w:hint="default" w:ascii="Times New Roman" w:hAnsi="Times New Roman" w:eastAsiaTheme="minorEastAsia"/>
                      <w:lang w:val="en-US" w:eastAsia="zh-CN"/>
                    </w:rPr>
                  </w:pPr>
                  <w:r>
                    <w:rPr>
                      <w:rFonts w:hint="eastAsia" w:ascii="Times New Roman" w:hAnsi="Times New Roman"/>
                      <w:lang w:val="en-US" w:eastAsia="zh-CN"/>
                    </w:rPr>
                    <w:t>1460</w:t>
                  </w:r>
                  <w:r>
                    <w:rPr>
                      <w:rFonts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/a</w:t>
                  </w:r>
                </w:p>
              </w:tc>
              <w:tc>
                <w:tcPr>
                  <w:tcW w:w="1609"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2090" w:type="dxa"/>
                  <w:shd w:val="clear" w:color="auto" w:fill="auto"/>
                  <w:vAlign w:val="center"/>
                </w:tcPr>
                <w:p>
                  <w:pPr>
                    <w:jc w:val="center"/>
                    <w:outlineLvl w:val="1"/>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2" w:type="dxa"/>
                  <w:shd w:val="clear" w:color="auto" w:fill="auto"/>
                  <w:vAlign w:val="center"/>
                </w:tcPr>
                <w:p>
                  <w:pPr>
                    <w:jc w:val="cente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w:t>
                  </w:r>
                </w:p>
              </w:tc>
              <w:tc>
                <w:tcPr>
                  <w:tcW w:w="826" w:type="dxa"/>
                  <w:vMerge w:val="continue"/>
                  <w:shd w:val="clear" w:color="auto" w:fill="auto"/>
                  <w:vAlign w:val="center"/>
                </w:tcPr>
                <w:p>
                  <w:pPr>
                    <w:jc w:val="center"/>
                    <w:outlineLvl w:val="1"/>
                    <w:rPr>
                      <w:rFonts w:ascii="Times New Roman" w:hAnsi="Times New Roman" w:eastAsia="宋体" w:cs="Times New Roman"/>
                      <w:color w:val="auto"/>
                      <w:szCs w:val="21"/>
                    </w:rPr>
                  </w:pPr>
                </w:p>
              </w:tc>
              <w:tc>
                <w:tcPr>
                  <w:tcW w:w="1230"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电</w:t>
                  </w:r>
                </w:p>
              </w:tc>
              <w:tc>
                <w:tcPr>
                  <w:tcW w:w="1405" w:type="dxa"/>
                  <w:shd w:val="clear" w:color="auto" w:fill="auto"/>
                  <w:vAlign w:val="center"/>
                </w:tcPr>
                <w:p>
                  <w:pPr>
                    <w:jc w:val="center"/>
                    <w:outlineLvl w:val="1"/>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290</w:t>
                  </w:r>
                  <w:r>
                    <w:rPr>
                      <w:rFonts w:ascii="Times New Roman" w:hAnsi="Times New Roman" w:eastAsia="宋体" w:cs="Times New Roman"/>
                      <w:color w:val="auto"/>
                      <w:szCs w:val="21"/>
                    </w:rPr>
                    <w:t>万度/a</w:t>
                  </w:r>
                </w:p>
              </w:tc>
              <w:tc>
                <w:tcPr>
                  <w:tcW w:w="1609" w:type="dxa"/>
                  <w:shd w:val="clear" w:color="auto" w:fill="auto"/>
                  <w:vAlign w:val="center"/>
                </w:tcPr>
                <w:p>
                  <w:pPr>
                    <w:jc w:val="center"/>
                    <w:outlineLvl w:val="1"/>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2090" w:type="dxa"/>
                  <w:shd w:val="clear" w:color="auto" w:fill="auto"/>
                  <w:vAlign w:val="center"/>
                </w:tcPr>
                <w:p>
                  <w:pPr>
                    <w:jc w:val="center"/>
                    <w:outlineLvl w:val="1"/>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w:t>
                  </w:r>
                </w:p>
              </w:tc>
            </w:tr>
          </w:tbl>
          <w:p>
            <w:pPr>
              <w:adjustRightInd w:val="0"/>
              <w:snapToGrid w:val="0"/>
              <w:spacing w:line="360" w:lineRule="auto"/>
              <w:outlineLvl w:val="1"/>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rPr>
              <w:t>2.3.</w:t>
            </w:r>
            <w:r>
              <w:rPr>
                <w:rFonts w:hint="eastAsia" w:ascii="Times New Roman" w:hAnsi="Times New Roman" w:eastAsia="宋体" w:cs="Times New Roman"/>
                <w:b/>
                <w:bCs/>
                <w:color w:val="auto"/>
                <w:sz w:val="24"/>
                <w:szCs w:val="24"/>
                <w:lang w:val="en-US" w:eastAsia="zh-CN"/>
              </w:rPr>
              <w:t>5</w:t>
            </w:r>
            <w:r>
              <w:rPr>
                <w:rFonts w:hint="eastAsia" w:ascii="Times New Roman" w:hAnsi="Times New Roman" w:eastAsia="宋体" w:cs="Times New Roman"/>
                <w:b/>
                <w:bCs/>
                <w:color w:val="auto"/>
                <w:sz w:val="24"/>
                <w:szCs w:val="24"/>
              </w:rPr>
              <w:t xml:space="preserve"> 现有工程</w:t>
            </w:r>
            <w:r>
              <w:rPr>
                <w:rFonts w:ascii="Times New Roman" w:hAnsi="Times New Roman" w:eastAsia="宋体" w:cs="Times New Roman"/>
                <w:b/>
                <w:bCs/>
                <w:color w:val="auto"/>
                <w:sz w:val="24"/>
                <w:szCs w:val="24"/>
              </w:rPr>
              <w:t>生产工艺及产污环节</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sz w:val="24"/>
                <w:szCs w:val="24"/>
              </w:rPr>
              <w:t>现有工程</w:t>
            </w:r>
            <w:r>
              <w:rPr>
                <w:rFonts w:hint="eastAsia" w:ascii="Times New Roman" w:hAnsi="Times New Roman" w:eastAsia="宋体" w:cs="Times New Roman"/>
                <w:color w:val="auto"/>
                <w:sz w:val="24"/>
                <w:szCs w:val="24"/>
                <w:lang w:val="zh-CN"/>
              </w:rPr>
              <w:t>绿化营养土生产工艺包括</w:t>
            </w:r>
            <w:r>
              <w:rPr>
                <w:rFonts w:hint="eastAsia" w:ascii="Times New Roman" w:hAnsi="Times New Roman" w:eastAsia="宋体" w:cs="Times New Roman"/>
                <w:color w:val="auto"/>
                <w:sz w:val="24"/>
                <w:szCs w:val="24"/>
                <w:lang w:val="zh-CN" w:eastAsia="zh-CN"/>
              </w:rPr>
              <w:t>进料、混料、发酵、成品堆放等环节</w:t>
            </w:r>
            <w:r>
              <w:rPr>
                <w:rFonts w:hint="eastAsia" w:ascii="Times New Roman" w:hAnsi="Times New Roman" w:eastAsia="宋体" w:cs="Times New Roman"/>
                <w:color w:val="auto"/>
                <w:sz w:val="24"/>
                <w:szCs w:val="24"/>
                <w:lang w:val="zh-CN"/>
              </w:rPr>
              <w:t>，</w:t>
            </w:r>
            <w:r>
              <w:rPr>
                <w:rFonts w:hint="eastAsia" w:ascii="Times New Roman" w:hAnsi="Times New Roman" w:eastAsia="宋体" w:cs="Times New Roman"/>
                <w:bCs/>
                <w:color w:val="auto"/>
                <w:sz w:val="24"/>
                <w:szCs w:val="24"/>
              </w:rPr>
              <w:t>生产工艺及产污环节详见图2.2-2</w:t>
            </w:r>
            <w:r>
              <w:rPr>
                <w:rFonts w:ascii="Times New Roman" w:hAnsi="Times New Roman" w:eastAsia="宋体" w:cs="Times New Roman"/>
                <w:bCs/>
                <w:color w:val="auto"/>
                <w:sz w:val="24"/>
                <w:szCs w:val="24"/>
              </w:rPr>
              <w:t>。</w:t>
            </w:r>
          </w:p>
          <w:p>
            <w:pPr>
              <w:adjustRightInd w:val="0"/>
              <w:snapToGrid w:val="0"/>
              <w:spacing w:line="360" w:lineRule="auto"/>
              <w:outlineLvl w:val="1"/>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2.3.6 现有工程</w:t>
            </w:r>
            <w:r>
              <w:rPr>
                <w:rFonts w:ascii="Times New Roman" w:hAnsi="Times New Roman" w:eastAsia="宋体" w:cs="Times New Roman"/>
                <w:b/>
                <w:bCs/>
                <w:color w:val="auto"/>
                <w:sz w:val="24"/>
                <w:szCs w:val="24"/>
              </w:rPr>
              <w:t>污染物</w:t>
            </w:r>
            <w:r>
              <w:rPr>
                <w:rFonts w:hint="eastAsia" w:ascii="Times New Roman" w:hAnsi="Times New Roman" w:eastAsia="宋体" w:cs="Times New Roman"/>
                <w:b/>
                <w:bCs/>
                <w:color w:val="auto"/>
                <w:sz w:val="24"/>
                <w:szCs w:val="24"/>
              </w:rPr>
              <w:t>排放</w:t>
            </w:r>
            <w:r>
              <w:rPr>
                <w:rFonts w:ascii="Times New Roman" w:hAnsi="Times New Roman" w:eastAsia="宋体" w:cs="Times New Roman"/>
                <w:b/>
                <w:bCs/>
                <w:color w:val="auto"/>
                <w:sz w:val="24"/>
                <w:szCs w:val="24"/>
              </w:rPr>
              <w:t>情况及污染防治措施</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bCs/>
                <w:color w:val="auto"/>
                <w:sz w:val="24"/>
                <w:szCs w:val="24"/>
                <w:lang w:eastAsia="zh-CN"/>
              </w:rPr>
              <w:t>本评价根据</w:t>
            </w:r>
            <w:r>
              <w:rPr>
                <w:rFonts w:hint="eastAsia" w:ascii="Times New Roman" w:hAnsi="Times New Roman" w:eastAsia="宋体" w:cs="Times New Roman"/>
                <w:bCs/>
                <w:color w:val="auto"/>
                <w:sz w:val="24"/>
                <w:szCs w:val="24"/>
                <w:lang w:val="en-US" w:eastAsia="zh-CN"/>
              </w:rPr>
              <w:t>2022年7月和2023年3月</w:t>
            </w:r>
            <w:r>
              <w:rPr>
                <w:rFonts w:hint="eastAsia" w:ascii="Times New Roman" w:hAnsi="Times New Roman" w:eastAsia="宋体" w:cs="Times New Roman"/>
                <w:bCs/>
                <w:color w:val="auto"/>
                <w:sz w:val="24"/>
                <w:szCs w:val="24"/>
                <w:lang w:eastAsia="zh-CN"/>
              </w:rPr>
              <w:t>重庆博信检测技术有限公司对企业的监测报告（</w:t>
            </w:r>
            <w:r>
              <w:rPr>
                <w:rFonts w:hint="eastAsia" w:ascii="Times New Roman" w:hAnsi="Times New Roman" w:eastAsia="宋体" w:cs="Times New Roman"/>
                <w:sz w:val="24"/>
                <w:szCs w:val="24"/>
                <w:lang w:eastAsia="zh-CN"/>
              </w:rPr>
              <w:t>博环（检）字【</w:t>
            </w:r>
            <w:r>
              <w:rPr>
                <w:rFonts w:hint="eastAsia" w:ascii="Times New Roman" w:hAnsi="Times New Roman" w:eastAsia="宋体" w:cs="Times New Roman"/>
                <w:sz w:val="24"/>
                <w:szCs w:val="24"/>
                <w:lang w:val="en-US" w:eastAsia="zh-CN"/>
              </w:rPr>
              <w:t>2022</w:t>
            </w:r>
            <w:r>
              <w:rPr>
                <w:rFonts w:hint="eastAsia" w:ascii="Times New Roman" w:hAnsi="Times New Roman" w:eastAsia="宋体" w:cs="Times New Roman"/>
                <w:sz w:val="24"/>
                <w:szCs w:val="24"/>
                <w:lang w:eastAsia="zh-CN"/>
              </w:rPr>
              <w:t>】第</w:t>
            </w:r>
            <w:r>
              <w:rPr>
                <w:rFonts w:hint="eastAsia" w:ascii="Times New Roman" w:hAnsi="Times New Roman" w:eastAsia="宋体" w:cs="Times New Roman"/>
                <w:sz w:val="24"/>
                <w:szCs w:val="24"/>
                <w:lang w:val="en-US" w:eastAsia="zh-CN"/>
              </w:rPr>
              <w:t>WT1086号、</w:t>
            </w:r>
            <w:r>
              <w:rPr>
                <w:rFonts w:hint="eastAsia" w:ascii="Times New Roman" w:hAnsi="Times New Roman" w:eastAsia="宋体" w:cs="Times New Roman"/>
                <w:sz w:val="24"/>
                <w:szCs w:val="24"/>
                <w:lang w:eastAsia="zh-CN"/>
              </w:rPr>
              <w:t>博环（检）字【</w:t>
            </w:r>
            <w:r>
              <w:rPr>
                <w:rFonts w:hint="eastAsia" w:ascii="Times New Roman" w:hAnsi="Times New Roman" w:eastAsia="宋体" w:cs="Times New Roman"/>
                <w:sz w:val="24"/>
                <w:szCs w:val="24"/>
                <w:lang w:val="en-US" w:eastAsia="zh-CN"/>
              </w:rPr>
              <w:t>2023</w:t>
            </w:r>
            <w:r>
              <w:rPr>
                <w:rFonts w:hint="eastAsia" w:ascii="Times New Roman" w:hAnsi="Times New Roman" w:eastAsia="宋体" w:cs="Times New Roman"/>
                <w:sz w:val="24"/>
                <w:szCs w:val="24"/>
                <w:lang w:eastAsia="zh-CN"/>
              </w:rPr>
              <w:t>】第</w:t>
            </w:r>
            <w:r>
              <w:rPr>
                <w:rFonts w:hint="eastAsia" w:ascii="Times New Roman" w:hAnsi="Times New Roman" w:eastAsia="宋体" w:cs="Times New Roman"/>
                <w:sz w:val="24"/>
                <w:szCs w:val="24"/>
                <w:lang w:val="en-US" w:eastAsia="zh-CN"/>
              </w:rPr>
              <w:t>WT0347号</w:t>
            </w:r>
            <w:r>
              <w:rPr>
                <w:rFonts w:hint="eastAsia" w:ascii="Times New Roman" w:hAnsi="Times New Roman" w:eastAsia="宋体" w:cs="Times New Roman"/>
                <w:bCs/>
                <w:color w:val="auto"/>
                <w:sz w:val="24"/>
                <w:szCs w:val="24"/>
                <w:lang w:eastAsia="zh-CN"/>
              </w:rPr>
              <w:t>）计算现有工程各污染物实际排放量。由于企业</w:t>
            </w:r>
            <w:r>
              <w:rPr>
                <w:rFonts w:hint="eastAsia" w:ascii="Times New Roman" w:hAnsi="Times New Roman" w:eastAsia="宋体" w:cs="Times New Roman"/>
                <w:bCs/>
                <w:color w:val="auto"/>
                <w:sz w:val="24"/>
                <w:szCs w:val="24"/>
              </w:rPr>
              <w:t>排污许可</w:t>
            </w:r>
            <w:r>
              <w:rPr>
                <w:rFonts w:hint="eastAsia" w:ascii="Times New Roman" w:hAnsi="Times New Roman" w:eastAsia="宋体" w:cs="Times New Roman"/>
                <w:bCs/>
                <w:color w:val="auto"/>
                <w:sz w:val="24"/>
                <w:szCs w:val="24"/>
                <w:lang w:eastAsia="zh-CN"/>
              </w:rPr>
              <w:t>证无污染物具体许可排放量</w:t>
            </w:r>
            <w:r>
              <w:rPr>
                <w:rFonts w:hint="eastAsia" w:ascii="Times New Roman" w:hAnsi="Times New Roman" w:eastAsia="宋体" w:cs="Times New Roman"/>
                <w:bCs/>
                <w:color w:val="auto"/>
                <w:sz w:val="24"/>
                <w:szCs w:val="24"/>
              </w:rPr>
              <w:t>，</w:t>
            </w:r>
            <w:r>
              <w:rPr>
                <w:rFonts w:hint="eastAsia" w:ascii="Times New Roman" w:hAnsi="Times New Roman" w:eastAsia="宋体" w:cs="Times New Roman"/>
                <w:color w:val="auto"/>
                <w:kern w:val="0"/>
                <w:sz w:val="24"/>
                <w:szCs w:val="24"/>
              </w:rPr>
              <w:t>因此，</w:t>
            </w:r>
            <w:r>
              <w:rPr>
                <w:rFonts w:hint="eastAsia" w:ascii="Times New Roman" w:hAnsi="Times New Roman" w:eastAsia="宋体" w:cs="Times New Roman"/>
                <w:bCs/>
                <w:color w:val="auto"/>
                <w:sz w:val="24"/>
                <w:szCs w:val="24"/>
                <w:lang w:val="en-US" w:eastAsia="zh-CN"/>
              </w:rPr>
              <w:t>评价</w:t>
            </w:r>
            <w:r>
              <w:rPr>
                <w:rFonts w:hint="eastAsia" w:ascii="Times New Roman" w:hAnsi="Times New Roman" w:eastAsia="宋体" w:cs="Times New Roman"/>
                <w:bCs/>
                <w:color w:val="auto"/>
                <w:sz w:val="24"/>
                <w:szCs w:val="24"/>
                <w:lang w:eastAsia="zh-CN"/>
              </w:rPr>
              <w:t>现有工程</w:t>
            </w:r>
            <w:r>
              <w:rPr>
                <w:rFonts w:hint="eastAsia" w:ascii="Times New Roman" w:hAnsi="Times New Roman" w:eastAsia="宋体" w:cs="Times New Roman"/>
                <w:color w:val="auto"/>
                <w:kern w:val="0"/>
                <w:sz w:val="24"/>
                <w:szCs w:val="24"/>
              </w:rPr>
              <w:t>各污染物</w:t>
            </w:r>
            <w:r>
              <w:rPr>
                <w:rFonts w:hint="eastAsia" w:ascii="Times New Roman" w:hAnsi="Times New Roman" w:eastAsia="宋体" w:cs="Times New Roman"/>
                <w:color w:val="auto"/>
                <w:kern w:val="0"/>
                <w:sz w:val="24"/>
                <w:szCs w:val="24"/>
                <w:lang w:eastAsia="zh-CN"/>
              </w:rPr>
              <w:t>允许</w:t>
            </w:r>
            <w:r>
              <w:rPr>
                <w:rFonts w:hint="eastAsia" w:ascii="Times New Roman" w:hAnsi="Times New Roman" w:eastAsia="宋体" w:cs="Times New Roman"/>
                <w:bCs/>
                <w:color w:val="auto"/>
                <w:sz w:val="24"/>
                <w:szCs w:val="24"/>
                <w:lang w:eastAsia="zh-CN"/>
              </w:rPr>
              <w:t>排放量主要来源于</w:t>
            </w:r>
            <w:r>
              <w:rPr>
                <w:rFonts w:hint="eastAsia" w:ascii="Times New Roman" w:hAnsi="Times New Roman" w:eastAsia="宋体" w:cs="Times New Roman"/>
                <w:color w:val="auto"/>
                <w:kern w:val="0"/>
                <w:sz w:val="24"/>
                <w:szCs w:val="24"/>
                <w:lang w:eastAsia="zh-CN"/>
              </w:rPr>
              <w:t>《铜梁区污泥无害化处置项目环境影响报告表》及其批复内容</w:t>
            </w:r>
            <w:r>
              <w:rPr>
                <w:rFonts w:hint="eastAsia" w:ascii="Times New Roman" w:hAnsi="Times New Roman" w:eastAsia="宋体" w:cs="Times New Roman"/>
                <w:bCs/>
                <w:color w:val="auto"/>
                <w:sz w:val="24"/>
                <w:szCs w:val="24"/>
                <w:lang w:eastAsia="zh-CN"/>
              </w:rPr>
              <w:t>。</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1、废气</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（1）进料、混料、布料、发酵臭气</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设置1条发酵生产线，生活污泥处理规模80t/d，年处理生活污泥量约26640t；拟建项目运营过程中进料区、混料车间、发酵车间（含布料区、发酵区等）密闭，并定期进行整体抽风换气，抽出废气引入除臭系统进行处理后排放。污泥恶臭气体NH</w:t>
            </w:r>
            <w:r>
              <w:rPr>
                <w:rFonts w:hint="eastAsia" w:ascii="Times New Roman" w:hAnsi="Times New Roman" w:eastAsia="宋体" w:cs="Times New Roman"/>
                <w:color w:val="auto"/>
                <w:kern w:val="0"/>
                <w:sz w:val="24"/>
                <w:szCs w:val="24"/>
                <w:vertAlign w:val="subscript"/>
                <w:lang w:val="en-US" w:eastAsia="zh-CN"/>
              </w:rPr>
              <w:t>3</w:t>
            </w:r>
            <w:r>
              <w:rPr>
                <w:rFonts w:hint="eastAsia" w:ascii="Times New Roman" w:hAnsi="Times New Roman" w:eastAsia="宋体" w:cs="Times New Roman"/>
                <w:color w:val="auto"/>
                <w:kern w:val="0"/>
                <w:sz w:val="24"/>
                <w:szCs w:val="24"/>
                <w:lang w:val="en-US" w:eastAsia="zh-CN"/>
              </w:rPr>
              <w:t>产生系数为0.031kg/t-污泥，恶臭气体H</w:t>
            </w:r>
            <w:r>
              <w:rPr>
                <w:rFonts w:hint="eastAsia" w:ascii="Times New Roman" w:hAnsi="Times New Roman" w:eastAsia="宋体" w:cs="Times New Roman"/>
                <w:color w:val="auto"/>
                <w:kern w:val="0"/>
                <w:sz w:val="24"/>
                <w:szCs w:val="24"/>
                <w:vertAlign w:val="subscript"/>
                <w:lang w:val="en-US" w:eastAsia="zh-CN"/>
              </w:rPr>
              <w:t>2</w:t>
            </w:r>
            <w:r>
              <w:rPr>
                <w:rFonts w:hint="eastAsia" w:ascii="Times New Roman" w:hAnsi="Times New Roman" w:eastAsia="宋体" w:cs="Times New Roman"/>
                <w:color w:val="auto"/>
                <w:kern w:val="0"/>
                <w:sz w:val="24"/>
                <w:szCs w:val="24"/>
                <w:lang w:val="en-US" w:eastAsia="zh-CN"/>
              </w:rPr>
              <w:t>S产生系数为 0.008kg/t-污泥，项目恶臭气体NH</w:t>
            </w:r>
            <w:r>
              <w:rPr>
                <w:rFonts w:hint="eastAsia" w:ascii="Times New Roman" w:hAnsi="Times New Roman" w:eastAsia="宋体" w:cs="Times New Roman"/>
                <w:color w:val="auto"/>
                <w:kern w:val="0"/>
                <w:sz w:val="24"/>
                <w:szCs w:val="24"/>
                <w:vertAlign w:val="subscript"/>
                <w:lang w:val="en-US" w:eastAsia="zh-CN"/>
              </w:rPr>
              <w:t>3</w:t>
            </w:r>
            <w:r>
              <w:rPr>
                <w:rFonts w:hint="eastAsia" w:ascii="Times New Roman" w:hAnsi="Times New Roman" w:eastAsia="宋体" w:cs="Times New Roman"/>
                <w:color w:val="auto"/>
                <w:kern w:val="0"/>
                <w:sz w:val="24"/>
                <w:szCs w:val="24"/>
                <w:lang w:val="en-US" w:eastAsia="zh-CN"/>
              </w:rPr>
              <w:t>产生量0.826t/a、H</w:t>
            </w:r>
            <w:r>
              <w:rPr>
                <w:rFonts w:hint="eastAsia" w:ascii="Times New Roman" w:hAnsi="Times New Roman" w:eastAsia="宋体" w:cs="Times New Roman"/>
                <w:color w:val="auto"/>
                <w:kern w:val="0"/>
                <w:sz w:val="24"/>
                <w:szCs w:val="24"/>
                <w:vertAlign w:val="subscript"/>
                <w:lang w:val="en-US" w:eastAsia="zh-CN"/>
              </w:rPr>
              <w:t>2</w:t>
            </w:r>
            <w:r>
              <w:rPr>
                <w:rFonts w:hint="eastAsia" w:ascii="Times New Roman" w:hAnsi="Times New Roman" w:eastAsia="宋体" w:cs="Times New Roman"/>
                <w:color w:val="auto"/>
                <w:kern w:val="0"/>
                <w:sz w:val="24"/>
                <w:szCs w:val="24"/>
                <w:lang w:val="en-US" w:eastAsia="zh-CN"/>
              </w:rPr>
              <w:t>S产生量0.213t/a。</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拟建项目每年工作330天，每天24h，采用2套两级化学洗涤除臭系统（酸洗塔+氧化塔）处理，每套风量62500m</w:t>
            </w:r>
            <w:r>
              <w:rPr>
                <w:rFonts w:hint="eastAsia" w:ascii="Times New Roman" w:hAnsi="Times New Roman" w:eastAsia="宋体"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h，处理后分别由2根15m高排气筒排放，考虑进料车间、混料车间、发酵车间（含布料区、发酵区等）密闭，并定期进行整体抽风换气，车间内会形成微负压状态；进料区、发酵车间仅在进料及出料时短暂打开；臭气无组织排放很小，本次评价按照2%计，运营过程中要求加强管理，减少进、出料时间，减少无组织产生。有组织废气采用先进成熟的两级化学洗涤除臭工艺，综合处理效率按95%计。</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表</w:t>
            </w:r>
            <w:r>
              <w:rPr>
                <w:rFonts w:hint="eastAsia" w:ascii="Times New Roman" w:hAnsi="Times New Roman" w:eastAsia="宋体" w:cs="Times New Roman"/>
                <w:b/>
                <w:bCs/>
                <w:color w:val="auto"/>
                <w:kern w:val="0"/>
                <w:sz w:val="24"/>
                <w:szCs w:val="24"/>
                <w:lang w:val="en-US" w:eastAsia="zh-CN"/>
              </w:rPr>
              <w:t>2.3</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4</w:t>
            </w:r>
            <w:r>
              <w:rPr>
                <w:rFonts w:ascii="Times New Roman" w:hAnsi="Times New Roman" w:eastAsia="宋体" w:cs="Times New Roman"/>
                <w:b/>
                <w:bCs/>
                <w:color w:val="auto"/>
                <w:kern w:val="0"/>
                <w:sz w:val="24"/>
                <w:szCs w:val="24"/>
              </w:rPr>
              <w:t xml:space="preserve">  </w:t>
            </w:r>
            <w:r>
              <w:rPr>
                <w:rFonts w:hint="eastAsia" w:ascii="Times New Roman" w:hAnsi="Times New Roman" w:eastAsia="宋体" w:cs="Times New Roman"/>
                <w:b/>
                <w:color w:val="auto"/>
                <w:sz w:val="24"/>
                <w:szCs w:val="24"/>
                <w:lang w:eastAsia="zh-CN"/>
              </w:rPr>
              <w:t>污泥</w:t>
            </w:r>
            <w:r>
              <w:rPr>
                <w:rFonts w:hint="eastAsia" w:ascii="Times New Roman" w:hAnsi="Times New Roman" w:eastAsia="宋体" w:cs="Times New Roman"/>
                <w:b/>
                <w:color w:val="auto"/>
                <w:sz w:val="24"/>
                <w:szCs w:val="24"/>
                <w:lang w:val="en-US" w:eastAsia="zh-CN"/>
              </w:rPr>
              <w:t>进料、混料、布料、发酵</w:t>
            </w:r>
            <w:r>
              <w:rPr>
                <w:rFonts w:hint="eastAsia" w:ascii="Times New Roman" w:hAnsi="Times New Roman" w:eastAsia="宋体" w:cs="Times New Roman"/>
                <w:b/>
                <w:color w:val="auto"/>
                <w:sz w:val="24"/>
                <w:szCs w:val="24"/>
                <w:lang w:eastAsia="zh-CN"/>
              </w:rPr>
              <w:t>臭气</w:t>
            </w:r>
            <w:r>
              <w:rPr>
                <w:rFonts w:ascii="Times New Roman" w:hAnsi="Times New Roman" w:eastAsia="宋体" w:cs="Times New Roman"/>
                <w:b/>
                <w:bCs/>
                <w:color w:val="auto"/>
                <w:kern w:val="0"/>
                <w:sz w:val="24"/>
                <w:szCs w:val="24"/>
              </w:rPr>
              <w:t>污染</w:t>
            </w:r>
            <w:r>
              <w:rPr>
                <w:rFonts w:hint="eastAsia" w:ascii="Times New Roman" w:hAnsi="Times New Roman" w:eastAsia="宋体" w:cs="Times New Roman"/>
                <w:b/>
                <w:bCs/>
                <w:color w:val="auto"/>
                <w:kern w:val="0"/>
                <w:sz w:val="24"/>
                <w:szCs w:val="24"/>
                <w:lang w:eastAsia="zh-CN"/>
              </w:rPr>
              <w:t>物产排污一览</w:t>
            </w:r>
            <w:r>
              <w:rPr>
                <w:rFonts w:ascii="Times New Roman" w:hAnsi="Times New Roman" w:eastAsia="宋体" w:cs="Times New Roman"/>
                <w:b/>
                <w:bCs/>
                <w:color w:val="auto"/>
                <w:kern w:val="0"/>
                <w:sz w:val="24"/>
                <w:szCs w:val="24"/>
              </w:rPr>
              <w:t>表</w:t>
            </w:r>
          </w:p>
          <w:tbl>
            <w:tblPr>
              <w:tblStyle w:val="20"/>
              <w:tblW w:w="50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777"/>
              <w:gridCol w:w="941"/>
              <w:gridCol w:w="852"/>
              <w:gridCol w:w="789"/>
              <w:gridCol w:w="850"/>
              <w:gridCol w:w="689"/>
              <w:gridCol w:w="839"/>
              <w:gridCol w:w="866"/>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污染源</w:t>
                  </w: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名称</w:t>
                  </w:r>
                </w:p>
              </w:tc>
              <w:tc>
                <w:tcPr>
                  <w:tcW w:w="5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废气量Nm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5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产生浓度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mg/m</w:t>
                  </w:r>
                  <w:r>
                    <w:rPr>
                      <w:rFonts w:hint="default" w:ascii="Times New Roman" w:hAnsi="Times New Roman" w:eastAsia="宋体" w:cs="Times New Roman"/>
                      <w:b w:val="0"/>
                      <w:bCs/>
                      <w:color w:val="auto"/>
                      <w:kern w:val="0"/>
                      <w:sz w:val="21"/>
                      <w:szCs w:val="21"/>
                      <w:vertAlign w:val="superscript"/>
                    </w:rPr>
                    <w:t>3</w:t>
                  </w:r>
                </w:p>
              </w:tc>
              <w:tc>
                <w:tcPr>
                  <w:tcW w:w="4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产生量t/a</w:t>
                  </w:r>
                </w:p>
              </w:tc>
              <w:tc>
                <w:tcPr>
                  <w:tcW w:w="4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rPr>
                    <w:t>处理效率</w:t>
                  </w:r>
                  <w:r>
                    <w:rPr>
                      <w:rFonts w:hint="default" w:ascii="Times New Roman" w:hAnsi="Times New Roman" w:eastAsia="宋体" w:cs="Times New Roman"/>
                      <w:b w:val="0"/>
                      <w:bCs/>
                      <w:color w:val="auto"/>
                      <w:kern w:val="0"/>
                      <w:sz w:val="21"/>
                      <w:szCs w:val="21"/>
                      <w:lang w:val="en-US" w:eastAsia="zh-CN"/>
                    </w:rPr>
                    <w:t>%</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排放浓度mg/m</w:t>
                  </w:r>
                  <w:r>
                    <w:rPr>
                      <w:rFonts w:hint="default" w:ascii="Times New Roman" w:hAnsi="Times New Roman" w:eastAsia="宋体" w:cs="Times New Roman"/>
                      <w:b w:val="0"/>
                      <w:bCs/>
                      <w:color w:val="auto"/>
                      <w:kern w:val="0"/>
                      <w:sz w:val="21"/>
                      <w:szCs w:val="21"/>
                      <w:vertAlign w:val="superscript"/>
                    </w:rPr>
                    <w:t>3</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4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1#排气筒</w:t>
                  </w: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57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62500</w:t>
                  </w:r>
                </w:p>
              </w:tc>
              <w:tc>
                <w:tcPr>
                  <w:tcW w:w="5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0.8</w:t>
                  </w:r>
                </w:p>
              </w:tc>
              <w:tc>
                <w:tcPr>
                  <w:tcW w:w="4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0.051</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0.404</w:t>
                  </w:r>
                  <w:r>
                    <w:rPr>
                      <w:rFonts w:hint="eastAsia" w:ascii="Times New Roman" w:hAnsi="Times New Roman" w:eastAsia="宋体" w:cs="Times New Roman"/>
                      <w:b w:val="0"/>
                      <w:bCs/>
                      <w:color w:val="auto"/>
                      <w:kern w:val="0"/>
                      <w:sz w:val="21"/>
                      <w:szCs w:val="21"/>
                      <w:lang w:val="en-US" w:eastAsia="zh-CN"/>
                    </w:rPr>
                    <w:t>8</w:t>
                  </w:r>
                </w:p>
              </w:tc>
              <w:tc>
                <w:tcPr>
                  <w:tcW w:w="42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95%</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0.04</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0.0026</w:t>
                  </w:r>
                </w:p>
              </w:tc>
              <w:tc>
                <w:tcPr>
                  <w:tcW w:w="4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0.020</w:t>
                  </w:r>
                  <w:r>
                    <w:rPr>
                      <w:rFonts w:hint="eastAsia" w:ascii="Times New Roman" w:hAnsi="Times New Roman" w:eastAsia="宋体" w:cs="Times New Roman"/>
                      <w:b w:val="0"/>
                      <w:bCs/>
                      <w:color w:val="auto"/>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kern w:val="0"/>
                      <w:sz w:val="21"/>
                      <w:szCs w:val="21"/>
                      <w:lang w:val="en-US" w:eastAsia="zh-CN"/>
                    </w:rPr>
                  </w:pP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5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5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0.2</w:t>
                  </w:r>
                </w:p>
              </w:tc>
              <w:tc>
                <w:tcPr>
                  <w:tcW w:w="4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0.0133</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0.1043</w:t>
                  </w:r>
                </w:p>
              </w:tc>
              <w:tc>
                <w:tcPr>
                  <w:tcW w:w="42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0.01</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0.0007</w:t>
                  </w:r>
                </w:p>
              </w:tc>
              <w:tc>
                <w:tcPr>
                  <w:tcW w:w="4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0.005</w:t>
                  </w:r>
                  <w:r>
                    <w:rPr>
                      <w:rFonts w:hint="eastAsia" w:ascii="Times New Roman" w:hAnsi="Times New Roman" w:eastAsia="宋体" w:cs="Times New Roman"/>
                      <w:b w:val="0"/>
                      <w:bCs/>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2#排气筒</w:t>
                  </w: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57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62500</w:t>
                  </w:r>
                </w:p>
              </w:tc>
              <w:tc>
                <w:tcPr>
                  <w:tcW w:w="5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0.8</w:t>
                  </w:r>
                </w:p>
              </w:tc>
              <w:tc>
                <w:tcPr>
                  <w:tcW w:w="4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0.051</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rPr>
                    <w:t>0.404</w:t>
                  </w:r>
                  <w:r>
                    <w:rPr>
                      <w:rFonts w:hint="eastAsia" w:ascii="Times New Roman" w:hAnsi="Times New Roman" w:eastAsia="宋体" w:cs="Times New Roman"/>
                      <w:b w:val="0"/>
                      <w:bCs/>
                      <w:color w:val="auto"/>
                      <w:kern w:val="0"/>
                      <w:sz w:val="21"/>
                      <w:szCs w:val="21"/>
                      <w:lang w:val="en-US" w:eastAsia="zh-CN"/>
                    </w:rPr>
                    <w:t>8</w:t>
                  </w:r>
                </w:p>
              </w:tc>
              <w:tc>
                <w:tcPr>
                  <w:tcW w:w="42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95%</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0.04</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0.0026</w:t>
                  </w:r>
                </w:p>
              </w:tc>
              <w:tc>
                <w:tcPr>
                  <w:tcW w:w="4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rPr>
                    <w:t>0.020</w:t>
                  </w:r>
                  <w:r>
                    <w:rPr>
                      <w:rFonts w:hint="eastAsia" w:ascii="Times New Roman" w:hAnsi="Times New Roman" w:eastAsia="宋体" w:cs="Times New Roman"/>
                      <w:b w:val="0"/>
                      <w:bCs/>
                      <w:color w:val="auto"/>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kern w:val="0"/>
                      <w:sz w:val="21"/>
                      <w:szCs w:val="21"/>
                      <w:lang w:val="en-US" w:eastAsia="zh-CN"/>
                    </w:rPr>
                  </w:pP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5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5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0.2</w:t>
                  </w:r>
                </w:p>
              </w:tc>
              <w:tc>
                <w:tcPr>
                  <w:tcW w:w="4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0.0133</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rPr>
                    <w:t>0.1043</w:t>
                  </w:r>
                </w:p>
              </w:tc>
              <w:tc>
                <w:tcPr>
                  <w:tcW w:w="42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0.01</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0.0007</w:t>
                  </w:r>
                </w:p>
              </w:tc>
              <w:tc>
                <w:tcPr>
                  <w:tcW w:w="4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rPr>
                    <w:t>0.005</w:t>
                  </w:r>
                  <w:r>
                    <w:rPr>
                      <w:rFonts w:hint="eastAsia" w:ascii="Times New Roman" w:hAnsi="Times New Roman" w:eastAsia="宋体" w:cs="Times New Roman"/>
                      <w:b w:val="0"/>
                      <w:bCs/>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4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eastAsia="zh-CN"/>
                    </w:rPr>
                    <w:t>无组织</w:t>
                  </w:r>
                </w:p>
              </w:tc>
              <w:tc>
                <w:tcPr>
                  <w:tcW w:w="4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5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w:t>
                  </w:r>
                </w:p>
              </w:tc>
              <w:tc>
                <w:tcPr>
                  <w:tcW w:w="5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0.0021</w:t>
                  </w:r>
                </w:p>
              </w:tc>
              <w:tc>
                <w:tcPr>
                  <w:tcW w:w="52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0.017</w:t>
                  </w:r>
                </w:p>
              </w:tc>
              <w:tc>
                <w:tcPr>
                  <w:tcW w:w="4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w:t>
                  </w:r>
                </w:p>
              </w:tc>
              <w:tc>
                <w:tcPr>
                  <w:tcW w:w="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0.0021</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4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p>
              </w:tc>
              <w:tc>
                <w:tcPr>
                  <w:tcW w:w="4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5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w:t>
                  </w:r>
                </w:p>
              </w:tc>
              <w:tc>
                <w:tcPr>
                  <w:tcW w:w="5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0.0005</w:t>
                  </w:r>
                </w:p>
              </w:tc>
              <w:tc>
                <w:tcPr>
                  <w:tcW w:w="52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0.004</w:t>
                  </w:r>
                </w:p>
              </w:tc>
              <w:tc>
                <w:tcPr>
                  <w:tcW w:w="4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w:t>
                  </w:r>
                </w:p>
              </w:tc>
              <w:tc>
                <w:tcPr>
                  <w:tcW w:w="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0.0005</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0.004</w:t>
                  </w:r>
                </w:p>
              </w:tc>
            </w:tr>
          </w:tbl>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w:t>
            </w:r>
            <w:r>
              <w:rPr>
                <w:rFonts w:hint="eastAsia" w:ascii="Times New Roman" w:hAnsi="Times New Roman" w:eastAsia="宋体" w:cs="Times New Roman"/>
                <w:sz w:val="24"/>
                <w:szCs w:val="24"/>
                <w:lang w:eastAsia="zh-CN"/>
              </w:rPr>
              <w:t>博环（检）字【</w:t>
            </w:r>
            <w:r>
              <w:rPr>
                <w:rFonts w:hint="eastAsia" w:ascii="Times New Roman" w:hAnsi="Times New Roman" w:eastAsia="宋体" w:cs="Times New Roman"/>
                <w:sz w:val="24"/>
                <w:szCs w:val="24"/>
                <w:lang w:val="en-US" w:eastAsia="zh-CN"/>
              </w:rPr>
              <w:t>2022</w:t>
            </w:r>
            <w:r>
              <w:rPr>
                <w:rFonts w:hint="eastAsia" w:ascii="Times New Roman" w:hAnsi="Times New Roman" w:eastAsia="宋体" w:cs="Times New Roman"/>
                <w:sz w:val="24"/>
                <w:szCs w:val="24"/>
                <w:lang w:eastAsia="zh-CN"/>
              </w:rPr>
              <w:t>】第</w:t>
            </w:r>
            <w:r>
              <w:rPr>
                <w:rFonts w:hint="eastAsia" w:ascii="Times New Roman" w:hAnsi="Times New Roman" w:eastAsia="宋体" w:cs="Times New Roman"/>
                <w:sz w:val="24"/>
                <w:szCs w:val="24"/>
                <w:lang w:val="en-US" w:eastAsia="zh-CN"/>
              </w:rPr>
              <w:t>WT1086号监测报告可知，</w:t>
            </w:r>
            <w:r>
              <w:rPr>
                <w:rFonts w:hint="eastAsia" w:ascii="Times New Roman" w:hAnsi="Times New Roman" w:eastAsia="宋体" w:cs="Times New Roman"/>
                <w:b w:val="0"/>
                <w:bCs/>
                <w:color w:val="auto"/>
                <w:sz w:val="24"/>
                <w:szCs w:val="24"/>
                <w:lang w:eastAsia="zh-CN"/>
              </w:rPr>
              <w:t>现有项目</w:t>
            </w:r>
            <w:r>
              <w:rPr>
                <w:rFonts w:hint="eastAsia" w:ascii="Times New Roman" w:hAnsi="Times New Roman" w:eastAsia="宋体" w:cs="Times New Roman"/>
                <w:b w:val="0"/>
                <w:bCs/>
                <w:color w:val="auto"/>
                <w:sz w:val="24"/>
                <w:szCs w:val="24"/>
                <w:lang w:val="en-US" w:eastAsia="zh-CN"/>
              </w:rPr>
              <w:t>1#排气筒氨、硫化氢</w:t>
            </w:r>
            <w:r>
              <w:rPr>
                <w:rFonts w:hint="eastAsia" w:ascii="Times New Roman" w:hAnsi="Times New Roman" w:eastAsia="宋体" w:cs="Times New Roman"/>
                <w:b w:val="0"/>
                <w:bCs/>
                <w:color w:val="auto"/>
                <w:sz w:val="24"/>
                <w:szCs w:val="24"/>
                <w:lang w:eastAsia="zh-CN"/>
              </w:rPr>
              <w:t>实际</w:t>
            </w:r>
            <w:r>
              <w:rPr>
                <w:rFonts w:hint="eastAsia" w:ascii="Times New Roman" w:hAnsi="Times New Roman" w:eastAsia="宋体" w:cs="Times New Roman"/>
                <w:color w:val="auto"/>
                <w:kern w:val="0"/>
                <w:sz w:val="24"/>
                <w:szCs w:val="24"/>
                <w:lang w:eastAsia="zh-CN"/>
              </w:rPr>
              <w:t>最大排放速率分别为</w:t>
            </w:r>
            <w:r>
              <w:rPr>
                <w:rFonts w:hint="eastAsia" w:ascii="Times New Roman" w:hAnsi="Times New Roman" w:eastAsia="宋体" w:cs="Times New Roman"/>
                <w:color w:val="auto"/>
                <w:kern w:val="0"/>
                <w:sz w:val="24"/>
                <w:szCs w:val="24"/>
                <w:lang w:val="en-US" w:eastAsia="zh-CN"/>
              </w:rPr>
              <w:t>0.0145kg/h</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0.000623kg/h</w:t>
            </w:r>
            <w:r>
              <w:rPr>
                <w:rFonts w:hint="eastAsia" w:ascii="Times New Roman" w:hAnsi="Times New Roman" w:eastAsia="宋体" w:cs="Times New Roman"/>
                <w:color w:val="auto"/>
                <w:kern w:val="0"/>
                <w:sz w:val="24"/>
                <w:szCs w:val="24"/>
                <w:lang w:eastAsia="zh-CN"/>
              </w:rPr>
              <w:t>，臭气浓度最大排放浓度为</w:t>
            </w:r>
            <w:r>
              <w:rPr>
                <w:rFonts w:hint="eastAsia" w:ascii="Times New Roman" w:hAnsi="Times New Roman" w:eastAsia="宋体" w:cs="Times New Roman"/>
                <w:color w:val="auto"/>
                <w:kern w:val="0"/>
                <w:sz w:val="24"/>
                <w:szCs w:val="24"/>
                <w:lang w:val="en-US" w:eastAsia="zh-CN"/>
              </w:rPr>
              <w:t>417（无量纲）</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b w:val="0"/>
                <w:bCs/>
                <w:color w:val="auto"/>
                <w:sz w:val="24"/>
                <w:szCs w:val="24"/>
                <w:lang w:val="en-US" w:eastAsia="zh-CN"/>
              </w:rPr>
              <w:t>氨、硫化氢</w:t>
            </w:r>
            <w:r>
              <w:rPr>
                <w:rFonts w:hint="eastAsia" w:ascii="Times New Roman" w:hAnsi="Times New Roman" w:eastAsia="宋体" w:cs="Times New Roman"/>
                <w:b w:val="0"/>
                <w:bCs/>
                <w:color w:val="auto"/>
                <w:sz w:val="24"/>
                <w:szCs w:val="24"/>
                <w:lang w:eastAsia="zh-CN"/>
              </w:rPr>
              <w:t>平均排放速率</w:t>
            </w:r>
            <w:r>
              <w:rPr>
                <w:rFonts w:hint="eastAsia" w:ascii="Times New Roman" w:hAnsi="Times New Roman" w:eastAsia="宋体" w:cs="Times New Roman"/>
                <w:color w:val="auto"/>
                <w:kern w:val="0"/>
                <w:sz w:val="24"/>
                <w:szCs w:val="24"/>
                <w:lang w:eastAsia="zh-CN"/>
              </w:rPr>
              <w:t>分别</w:t>
            </w:r>
            <w:r>
              <w:rPr>
                <w:rFonts w:hint="eastAsia" w:ascii="Times New Roman" w:hAnsi="Times New Roman" w:eastAsia="宋体" w:cs="Times New Roman"/>
                <w:b w:val="0"/>
                <w:bCs/>
                <w:color w:val="auto"/>
                <w:sz w:val="24"/>
                <w:szCs w:val="24"/>
                <w:lang w:eastAsia="zh-CN"/>
              </w:rPr>
              <w:t>为</w:t>
            </w:r>
            <w:r>
              <w:rPr>
                <w:rFonts w:hint="eastAsia" w:ascii="Times New Roman" w:hAnsi="Times New Roman" w:eastAsia="宋体" w:cs="Times New Roman"/>
                <w:b w:val="0"/>
                <w:bCs/>
                <w:color w:val="auto"/>
                <w:sz w:val="24"/>
                <w:szCs w:val="24"/>
                <w:lang w:val="en-US" w:eastAsia="zh-CN"/>
              </w:rPr>
              <w:t>0.0131</w:t>
            </w:r>
            <w:r>
              <w:rPr>
                <w:rFonts w:hint="default" w:ascii="Times New Roman" w:hAnsi="Times New Roman" w:eastAsia="宋体" w:cs="Times New Roman"/>
                <w:b w:val="0"/>
                <w:bCs/>
                <w:color w:val="auto"/>
                <w:kern w:val="0"/>
                <w:sz w:val="24"/>
                <w:szCs w:val="24"/>
              </w:rPr>
              <w:t>kg/h</w:t>
            </w:r>
            <w:r>
              <w:rPr>
                <w:rFonts w:hint="eastAsia" w:ascii="Times New Roman" w:hAnsi="Times New Roman" w:eastAsia="宋体" w:cs="Times New Roman"/>
                <w:b w:val="0"/>
                <w:bCs/>
                <w:color w:val="auto"/>
                <w:kern w:val="0"/>
                <w:sz w:val="24"/>
                <w:szCs w:val="24"/>
                <w:lang w:eastAsia="zh-CN"/>
              </w:rPr>
              <w:t>、0.00054</w:t>
            </w:r>
            <w:r>
              <w:rPr>
                <w:rFonts w:hint="default" w:ascii="Times New Roman" w:hAnsi="Times New Roman" w:eastAsia="宋体" w:cs="Times New Roman"/>
                <w:b w:val="0"/>
                <w:bCs/>
                <w:color w:val="auto"/>
                <w:kern w:val="0"/>
                <w:sz w:val="24"/>
                <w:szCs w:val="24"/>
              </w:rPr>
              <w:t>kg/h</w:t>
            </w:r>
            <w:r>
              <w:rPr>
                <w:rFonts w:hint="eastAsia" w:ascii="Times New Roman" w:hAnsi="Times New Roman" w:eastAsia="宋体" w:cs="Times New Roman"/>
                <w:b w:val="0"/>
                <w:bCs/>
                <w:color w:val="auto"/>
                <w:kern w:val="0"/>
                <w:sz w:val="24"/>
                <w:szCs w:val="24"/>
                <w:lang w:eastAsia="zh-CN"/>
              </w:rPr>
              <w:t>；</w:t>
            </w:r>
            <w:r>
              <w:rPr>
                <w:rFonts w:hint="eastAsia" w:ascii="Times New Roman" w:hAnsi="Times New Roman" w:eastAsia="宋体" w:cs="Times New Roman"/>
                <w:b w:val="0"/>
                <w:bCs/>
                <w:color w:val="auto"/>
                <w:sz w:val="24"/>
                <w:szCs w:val="24"/>
                <w:lang w:val="en-US" w:eastAsia="zh-CN"/>
              </w:rPr>
              <w:t>2#排气筒氨、硫化氢</w:t>
            </w:r>
            <w:r>
              <w:rPr>
                <w:rFonts w:hint="eastAsia" w:ascii="Times New Roman" w:hAnsi="Times New Roman" w:eastAsia="宋体" w:cs="Times New Roman"/>
                <w:b w:val="0"/>
                <w:bCs/>
                <w:color w:val="auto"/>
                <w:sz w:val="24"/>
                <w:szCs w:val="24"/>
                <w:lang w:eastAsia="zh-CN"/>
              </w:rPr>
              <w:t>实际</w:t>
            </w:r>
            <w:r>
              <w:rPr>
                <w:rFonts w:hint="eastAsia" w:ascii="Times New Roman" w:hAnsi="Times New Roman" w:eastAsia="宋体" w:cs="Times New Roman"/>
                <w:color w:val="auto"/>
                <w:kern w:val="0"/>
                <w:sz w:val="24"/>
                <w:szCs w:val="24"/>
                <w:lang w:eastAsia="zh-CN"/>
              </w:rPr>
              <w:t>最大排放速率分别为</w:t>
            </w:r>
            <w:r>
              <w:rPr>
                <w:rFonts w:hint="eastAsia" w:ascii="Times New Roman" w:hAnsi="Times New Roman" w:eastAsia="宋体" w:cs="Times New Roman"/>
                <w:color w:val="auto"/>
                <w:kern w:val="0"/>
                <w:sz w:val="24"/>
                <w:szCs w:val="24"/>
                <w:lang w:val="en-US" w:eastAsia="zh-CN"/>
              </w:rPr>
              <w:t>0.0171kg/h</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0.000512kg/h</w:t>
            </w:r>
            <w:r>
              <w:rPr>
                <w:rFonts w:hint="eastAsia" w:ascii="Times New Roman" w:hAnsi="Times New Roman" w:eastAsia="宋体" w:cs="Times New Roman"/>
                <w:color w:val="auto"/>
                <w:kern w:val="0"/>
                <w:sz w:val="24"/>
                <w:szCs w:val="24"/>
                <w:lang w:eastAsia="zh-CN"/>
              </w:rPr>
              <w:t>，臭气浓度最大排放浓度为</w:t>
            </w:r>
            <w:r>
              <w:rPr>
                <w:rFonts w:hint="eastAsia" w:ascii="Times New Roman" w:hAnsi="Times New Roman" w:eastAsia="宋体" w:cs="Times New Roman"/>
                <w:color w:val="auto"/>
                <w:kern w:val="0"/>
                <w:sz w:val="24"/>
                <w:szCs w:val="24"/>
                <w:lang w:val="en-US" w:eastAsia="zh-CN"/>
              </w:rPr>
              <w:t>417（无量纲）</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b w:val="0"/>
                <w:bCs/>
                <w:color w:val="auto"/>
                <w:sz w:val="24"/>
                <w:szCs w:val="24"/>
                <w:lang w:val="en-US" w:eastAsia="zh-CN"/>
              </w:rPr>
              <w:t>氨、硫化氢</w:t>
            </w:r>
            <w:r>
              <w:rPr>
                <w:rFonts w:hint="eastAsia" w:ascii="Times New Roman" w:hAnsi="Times New Roman" w:eastAsia="宋体" w:cs="Times New Roman"/>
                <w:b w:val="0"/>
                <w:bCs/>
                <w:color w:val="auto"/>
                <w:sz w:val="24"/>
                <w:szCs w:val="24"/>
                <w:lang w:eastAsia="zh-CN"/>
              </w:rPr>
              <w:t>平均排放速率</w:t>
            </w:r>
            <w:r>
              <w:rPr>
                <w:rFonts w:hint="eastAsia" w:ascii="Times New Roman" w:hAnsi="Times New Roman" w:eastAsia="宋体" w:cs="Times New Roman"/>
                <w:color w:val="auto"/>
                <w:kern w:val="0"/>
                <w:sz w:val="24"/>
                <w:szCs w:val="24"/>
                <w:lang w:eastAsia="zh-CN"/>
              </w:rPr>
              <w:t>分别</w:t>
            </w:r>
            <w:r>
              <w:rPr>
                <w:rFonts w:hint="eastAsia" w:ascii="Times New Roman" w:hAnsi="Times New Roman" w:eastAsia="宋体" w:cs="Times New Roman"/>
                <w:b w:val="0"/>
                <w:bCs/>
                <w:color w:val="auto"/>
                <w:sz w:val="24"/>
                <w:szCs w:val="24"/>
                <w:lang w:eastAsia="zh-CN"/>
              </w:rPr>
              <w:t>为</w:t>
            </w:r>
            <w:r>
              <w:rPr>
                <w:rFonts w:hint="eastAsia" w:ascii="Times New Roman" w:hAnsi="Times New Roman" w:eastAsia="宋体" w:cs="Times New Roman"/>
                <w:b w:val="0"/>
                <w:bCs/>
                <w:color w:val="auto"/>
                <w:sz w:val="24"/>
                <w:szCs w:val="24"/>
                <w:lang w:val="en-US" w:eastAsia="zh-CN"/>
              </w:rPr>
              <w:t>0.0164</w:t>
            </w:r>
            <w:r>
              <w:rPr>
                <w:rFonts w:hint="default" w:ascii="Times New Roman" w:hAnsi="Times New Roman" w:eastAsia="宋体" w:cs="Times New Roman"/>
                <w:b w:val="0"/>
                <w:bCs/>
                <w:color w:val="auto"/>
                <w:kern w:val="0"/>
                <w:sz w:val="24"/>
                <w:szCs w:val="24"/>
              </w:rPr>
              <w:t>kg/h</w:t>
            </w:r>
            <w:r>
              <w:rPr>
                <w:rFonts w:hint="eastAsia" w:ascii="Times New Roman" w:hAnsi="Times New Roman" w:eastAsia="宋体" w:cs="Times New Roman"/>
                <w:b w:val="0"/>
                <w:bCs/>
                <w:color w:val="auto"/>
                <w:kern w:val="0"/>
                <w:sz w:val="24"/>
                <w:szCs w:val="24"/>
                <w:lang w:eastAsia="zh-CN"/>
              </w:rPr>
              <w:t>、0.00047</w:t>
            </w:r>
            <w:r>
              <w:rPr>
                <w:rFonts w:hint="default" w:ascii="Times New Roman" w:hAnsi="Times New Roman" w:eastAsia="宋体" w:cs="Times New Roman"/>
                <w:b w:val="0"/>
                <w:bCs/>
                <w:color w:val="auto"/>
                <w:kern w:val="0"/>
                <w:sz w:val="24"/>
                <w:szCs w:val="24"/>
              </w:rPr>
              <w:t>kg/h</w:t>
            </w:r>
            <w:r>
              <w:rPr>
                <w:rFonts w:hint="eastAsia" w:ascii="Times New Roman" w:hAnsi="Times New Roman" w:eastAsia="宋体" w:cs="Times New Roman"/>
                <w:b w:val="0"/>
                <w:bCs/>
                <w:color w:val="auto"/>
                <w:kern w:val="0"/>
                <w:sz w:val="24"/>
                <w:szCs w:val="24"/>
                <w:lang w:eastAsia="zh-CN"/>
              </w:rPr>
              <w:t>，因此，</w:t>
            </w:r>
            <w:r>
              <w:rPr>
                <w:rFonts w:hint="eastAsia" w:ascii="Times New Roman" w:hAnsi="Times New Roman" w:eastAsia="宋体" w:cs="Times New Roman"/>
                <w:b w:val="0"/>
                <w:bCs/>
                <w:color w:val="auto"/>
                <w:sz w:val="24"/>
                <w:szCs w:val="24"/>
                <w:lang w:val="en-US" w:eastAsia="zh-CN"/>
              </w:rPr>
              <w:t>1#排气筒、2#排气筒的氨、硫化氢及臭气浓度排放浓度及排放速率均满足《恶臭污染物排放标准》（GB14554-93）相关标准。</w:t>
            </w:r>
            <w:r>
              <w:rPr>
                <w:rFonts w:hint="eastAsia" w:ascii="Times New Roman" w:hAnsi="Times New Roman" w:eastAsia="宋体" w:cs="Times New Roman"/>
                <w:b w:val="0"/>
                <w:bCs/>
                <w:color w:val="auto"/>
                <w:kern w:val="0"/>
                <w:sz w:val="24"/>
                <w:szCs w:val="24"/>
                <w:lang w:eastAsia="zh-CN"/>
              </w:rPr>
              <w:t>由于</w:t>
            </w:r>
            <w:r>
              <w:rPr>
                <w:rFonts w:hint="eastAsia" w:ascii="Times New Roman" w:hAnsi="Times New Roman" w:eastAsia="宋体" w:cs="Times New Roman"/>
                <w:b w:val="0"/>
                <w:bCs/>
                <w:color w:val="auto"/>
                <w:kern w:val="0"/>
                <w:sz w:val="24"/>
                <w:szCs w:val="24"/>
                <w:lang w:val="en-US" w:eastAsia="zh-CN"/>
              </w:rPr>
              <w:t>2022</w:t>
            </w:r>
            <w:r>
              <w:rPr>
                <w:rFonts w:hint="eastAsia" w:ascii="Times New Roman" w:hAnsi="Times New Roman" w:eastAsia="宋体" w:cs="Times New Roman"/>
                <w:b w:val="0"/>
                <w:bCs/>
                <w:color w:val="auto"/>
                <w:kern w:val="0"/>
                <w:sz w:val="24"/>
                <w:szCs w:val="24"/>
                <w:lang w:eastAsia="zh-CN"/>
              </w:rPr>
              <w:t>年工作时间为</w:t>
            </w:r>
            <w:r>
              <w:rPr>
                <w:rFonts w:hint="eastAsia" w:ascii="Times New Roman" w:hAnsi="Times New Roman" w:eastAsia="宋体" w:cs="Times New Roman"/>
                <w:b w:val="0"/>
                <w:bCs/>
                <w:color w:val="auto"/>
                <w:kern w:val="0"/>
                <w:sz w:val="24"/>
                <w:szCs w:val="24"/>
                <w:lang w:val="en-US" w:eastAsia="zh-CN"/>
              </w:rPr>
              <w:t>1320h，则</w:t>
            </w:r>
            <w:r>
              <w:rPr>
                <w:rFonts w:hint="eastAsia" w:ascii="Times New Roman" w:hAnsi="Times New Roman" w:eastAsia="宋体" w:cs="Times New Roman"/>
                <w:b w:val="0"/>
                <w:bCs/>
                <w:color w:val="auto"/>
                <w:sz w:val="24"/>
                <w:szCs w:val="24"/>
                <w:lang w:val="en-US" w:eastAsia="zh-CN"/>
              </w:rPr>
              <w:t>氨、硫化氢</w:t>
            </w:r>
            <w:r>
              <w:rPr>
                <w:rFonts w:hint="eastAsia" w:ascii="Times New Roman" w:hAnsi="Times New Roman" w:eastAsia="宋体" w:cs="Times New Roman"/>
                <w:b w:val="0"/>
                <w:bCs/>
                <w:color w:val="auto"/>
                <w:kern w:val="0"/>
                <w:sz w:val="24"/>
                <w:szCs w:val="24"/>
                <w:lang w:val="en-US" w:eastAsia="zh-CN"/>
              </w:rPr>
              <w:t>实际排放量</w:t>
            </w:r>
            <w:r>
              <w:rPr>
                <w:rFonts w:hint="eastAsia" w:ascii="Times New Roman" w:hAnsi="Times New Roman" w:eastAsia="宋体" w:cs="Times New Roman"/>
                <w:color w:val="auto"/>
                <w:kern w:val="0"/>
                <w:sz w:val="24"/>
                <w:szCs w:val="24"/>
                <w:lang w:eastAsia="zh-CN"/>
              </w:rPr>
              <w:t>分别</w:t>
            </w:r>
            <w:r>
              <w:rPr>
                <w:rFonts w:hint="eastAsia" w:ascii="Times New Roman" w:hAnsi="Times New Roman" w:eastAsia="宋体" w:cs="Times New Roman"/>
                <w:b w:val="0"/>
                <w:bCs/>
                <w:color w:val="auto"/>
                <w:kern w:val="0"/>
                <w:sz w:val="24"/>
                <w:szCs w:val="24"/>
                <w:lang w:val="en-US" w:eastAsia="zh-CN"/>
              </w:rPr>
              <w:t>为0.0389t/a、0.0013t/a。</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西北厂界无组织废气中</w:t>
            </w:r>
            <w:r>
              <w:rPr>
                <w:rFonts w:hint="eastAsia" w:ascii="Times New Roman" w:hAnsi="Times New Roman" w:eastAsia="宋体" w:cs="Times New Roman"/>
                <w:b w:val="0"/>
                <w:bCs/>
                <w:color w:val="auto"/>
                <w:sz w:val="24"/>
                <w:szCs w:val="24"/>
                <w:lang w:val="en-US" w:eastAsia="zh-CN"/>
              </w:rPr>
              <w:t>氨、硫化氢及臭气浓度最大排放浓度</w:t>
            </w:r>
            <w:r>
              <w:rPr>
                <w:rFonts w:hint="eastAsia" w:ascii="Times New Roman" w:hAnsi="Times New Roman" w:eastAsia="宋体" w:cs="Times New Roman"/>
                <w:color w:val="auto"/>
                <w:kern w:val="0"/>
                <w:sz w:val="24"/>
                <w:szCs w:val="24"/>
                <w:lang w:eastAsia="zh-CN"/>
              </w:rPr>
              <w:t>分别</w:t>
            </w:r>
            <w:r>
              <w:rPr>
                <w:rFonts w:hint="eastAsia" w:ascii="Times New Roman" w:hAnsi="Times New Roman" w:eastAsia="宋体" w:cs="Times New Roman"/>
                <w:b w:val="0"/>
                <w:bCs/>
                <w:color w:val="auto"/>
                <w:sz w:val="24"/>
                <w:szCs w:val="24"/>
                <w:lang w:eastAsia="zh-CN"/>
              </w:rPr>
              <w:t>为</w:t>
            </w:r>
            <w:r>
              <w:rPr>
                <w:rFonts w:hint="eastAsia" w:ascii="Times New Roman" w:hAnsi="Times New Roman" w:eastAsia="宋体" w:cs="Times New Roman"/>
                <w:b w:val="0"/>
                <w:bCs/>
                <w:color w:val="auto"/>
                <w:sz w:val="24"/>
                <w:szCs w:val="24"/>
                <w:lang w:val="en-US" w:eastAsia="zh-CN"/>
              </w:rPr>
              <w:t>0.49mg/m</w:t>
            </w:r>
            <w:r>
              <w:rPr>
                <w:rFonts w:hint="eastAsia" w:ascii="Times New Roman" w:hAnsi="Times New Roman" w:eastAsia="宋体" w:cs="Times New Roman"/>
                <w:b w:val="0"/>
                <w:bCs/>
                <w:color w:val="auto"/>
                <w:sz w:val="24"/>
                <w:szCs w:val="24"/>
                <w:vertAlign w:val="superscript"/>
                <w:lang w:val="en-US" w:eastAsia="zh-CN"/>
              </w:rPr>
              <w:t>3</w:t>
            </w:r>
            <w:r>
              <w:rPr>
                <w:rFonts w:hint="eastAsia" w:ascii="Times New Roman" w:hAnsi="Times New Roman" w:eastAsia="宋体" w:cs="Times New Roman"/>
                <w:b w:val="0"/>
                <w:bCs/>
                <w:color w:val="auto"/>
                <w:sz w:val="24"/>
                <w:szCs w:val="24"/>
                <w:lang w:val="en-US" w:eastAsia="zh-CN"/>
              </w:rPr>
              <w:t>、0.014mg/m</w:t>
            </w:r>
            <w:r>
              <w:rPr>
                <w:rFonts w:hint="eastAsia" w:ascii="Times New Roman" w:hAnsi="Times New Roman" w:eastAsia="宋体" w:cs="Times New Roman"/>
                <w:b w:val="0"/>
                <w:bCs/>
                <w:color w:val="auto"/>
                <w:sz w:val="24"/>
                <w:szCs w:val="24"/>
                <w:vertAlign w:val="superscript"/>
                <w:lang w:val="en-US" w:eastAsia="zh-CN"/>
              </w:rPr>
              <w:t>3</w:t>
            </w:r>
            <w:r>
              <w:rPr>
                <w:rFonts w:hint="eastAsia" w:ascii="Times New Roman" w:hAnsi="Times New Roman" w:eastAsia="宋体" w:cs="Times New Roman"/>
                <w:b w:val="0"/>
                <w:bCs/>
                <w:color w:val="auto"/>
                <w:sz w:val="24"/>
                <w:szCs w:val="24"/>
                <w:lang w:val="en-US" w:eastAsia="zh-CN"/>
              </w:rPr>
              <w:t>、＜10无量纲，氨、硫化氢及臭气浓度排放浓度均满足《恶臭污染物排放标准》（GB14554-93）相关标准。</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2、食堂油烟</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拟建项目最大就餐为16人次/d。厨房食用油用量平均按0.1kg/人·天计，拟建项目耗油量为 1.6kg/d（0.584t/a）。食堂烹饪时会产生少量烟气，主要为油烟和非甲烷总烃，油烟产生量约为总耗油量的3%，非甲烷总烃产生量按总耗油量的5%计，则拟建项目食堂油烟量产生量为0.018t/a、非甲烷总烃产生量为 0.03t/a。拟建项目食堂每日工作时间按4h计，根据《餐饮业大气污染物排放标准》（DB50/859-2018）的规定本项目食堂为小型规模，安装油烟净化设备，基准风量2000m</w:t>
            </w:r>
            <w:r>
              <w:rPr>
                <w:rFonts w:hint="eastAsia" w:ascii="Times New Roman" w:hAnsi="Times New Roman" w:eastAsia="宋体"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/h，集气罩收集效率约为85%，静电油烟净化器对油烟的处置效率约为90%，对非甲烷总烃的去除率约65%。食堂油烟年排放量为0.0016t/a，排放浓度为0.8mg/m</w:t>
            </w:r>
            <w:r>
              <w:rPr>
                <w:rFonts w:hint="eastAsia" w:ascii="Times New Roman" w:hAnsi="Times New Roman" w:eastAsia="宋体"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；非甲烷总烃年排放量0.009t/a，排放浓度为4.5mg/m</w:t>
            </w:r>
            <w:r>
              <w:rPr>
                <w:rFonts w:hint="eastAsia" w:ascii="Times New Roman" w:hAnsi="Times New Roman" w:eastAsia="宋体"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；满足《餐饮业大气污染物排放标准》（DB50/859-2018）中油烟≤1.0mg/m</w:t>
            </w:r>
            <w:r>
              <w:rPr>
                <w:rFonts w:hint="eastAsia" w:ascii="Times New Roman" w:hAnsi="Times New Roman" w:eastAsia="宋体"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、非甲烷总烃≤10.0mg/m</w:t>
            </w:r>
            <w:r>
              <w:rPr>
                <w:rFonts w:hint="eastAsia" w:ascii="Times New Roman" w:hAnsi="Times New Roman" w:eastAsia="宋体"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的标准要求。食堂油烟废气经油烟净化器处理后引至楼顶排放。</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3、废水</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现有项目环评报告及批复可知，项目不设置污泥暂存池等设施，来料污泥通过污泥料仓直接进入混料、发酵工序，不存放，无渗滤液产生。污泥运输车辆在出污水处理厂之前完成清洁，项目不涉及洗车区建设，无车辆清洗废水，同时项目车间采用铲子手工清洁，也无地面清洁废水。项目废水主要包括生活废水及化学洗涤除臭系统废水。食堂废水经隔油后与生活污水经生化池收集处理后进入发酵工序消耗，不外排。除臭系统洗涤水循环使用，每季度更换一次，定期交重庆市铜梁排水有限责任公司处理达标后排放。</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表</w:t>
            </w:r>
            <w:r>
              <w:rPr>
                <w:rFonts w:hint="eastAsia" w:ascii="Times New Roman" w:hAnsi="Times New Roman" w:eastAsia="宋体" w:cs="Times New Roman"/>
                <w:b/>
                <w:bCs/>
                <w:color w:val="auto"/>
                <w:kern w:val="0"/>
                <w:sz w:val="24"/>
                <w:szCs w:val="24"/>
                <w:lang w:val="en-US" w:eastAsia="zh-CN"/>
              </w:rPr>
              <w:t>2.3</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5</w:t>
            </w:r>
            <w:r>
              <w:rPr>
                <w:rFonts w:ascii="Times New Roman" w:hAnsi="Times New Roman" w:eastAsia="宋体" w:cs="Times New Roman"/>
                <w:b/>
                <w:bCs/>
                <w:color w:val="auto"/>
                <w:kern w:val="0"/>
                <w:sz w:val="24"/>
                <w:szCs w:val="24"/>
              </w:rPr>
              <w:t xml:space="preserve">  </w:t>
            </w:r>
            <w:r>
              <w:rPr>
                <w:rFonts w:hint="eastAsia" w:ascii="Times New Roman" w:hAnsi="Times New Roman" w:eastAsia="宋体" w:cs="Times New Roman"/>
                <w:b/>
                <w:bCs/>
                <w:color w:val="auto"/>
                <w:kern w:val="0"/>
                <w:sz w:val="24"/>
                <w:szCs w:val="24"/>
                <w:lang w:eastAsia="zh-CN"/>
              </w:rPr>
              <w:t>项目用水量及废水量一览</w:t>
            </w:r>
            <w:r>
              <w:rPr>
                <w:rFonts w:ascii="Times New Roman" w:hAnsi="Times New Roman" w:eastAsia="宋体" w:cs="Times New Roman"/>
                <w:b/>
                <w:bCs/>
                <w:color w:val="auto"/>
                <w:kern w:val="0"/>
                <w:sz w:val="24"/>
                <w:szCs w:val="24"/>
              </w:rPr>
              <w:t>表</w:t>
            </w:r>
          </w:p>
          <w:tbl>
            <w:tblPr>
              <w:tblStyle w:val="20"/>
              <w:tblW w:w="8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954"/>
              <w:gridCol w:w="895"/>
              <w:gridCol w:w="977"/>
              <w:gridCol w:w="1012"/>
              <w:gridCol w:w="802"/>
              <w:gridCol w:w="3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9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序号</w:t>
                  </w:r>
                </w:p>
              </w:tc>
              <w:tc>
                <w:tcPr>
                  <w:tcW w:w="58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eastAsia" w:ascii="Times New Roman" w:hAnsi="Times New Roman" w:eastAsia="宋体" w:cs="Times New Roman"/>
                      <w:b w:val="0"/>
                      <w:bCs/>
                      <w:color w:val="auto"/>
                      <w:kern w:val="0"/>
                      <w:sz w:val="21"/>
                      <w:szCs w:val="21"/>
                      <w:lang w:eastAsia="zh-CN"/>
                    </w:rPr>
                    <w:t>用水种类</w:t>
                  </w:r>
                </w:p>
              </w:tc>
              <w:tc>
                <w:tcPr>
                  <w:tcW w:w="114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eastAsia" w:ascii="Times New Roman" w:hAnsi="Times New Roman" w:eastAsia="宋体" w:cs="Times New Roman"/>
                      <w:b w:val="0"/>
                      <w:bCs/>
                      <w:color w:val="auto"/>
                      <w:kern w:val="0"/>
                      <w:sz w:val="21"/>
                      <w:szCs w:val="21"/>
                      <w:lang w:eastAsia="zh-CN"/>
                    </w:rPr>
                    <w:t>用水量</w:t>
                  </w:r>
                </w:p>
              </w:tc>
              <w:tc>
                <w:tcPr>
                  <w:tcW w:w="111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bidi="ar-SA"/>
                    </w:rPr>
                    <w:t>废水量</w:t>
                  </w:r>
                </w:p>
              </w:tc>
              <w:tc>
                <w:tcPr>
                  <w:tcW w:w="186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p>
              </w:tc>
              <w:tc>
                <w:tcPr>
                  <w:tcW w:w="58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p>
              </w:tc>
              <w:tc>
                <w:tcPr>
                  <w:tcW w:w="5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rPr>
                    <w:t>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r>
                    <w:rPr>
                      <w:rFonts w:hint="eastAsia" w:ascii="Times New Roman" w:hAnsi="Times New Roman" w:eastAsia="宋体" w:cs="Times New Roman"/>
                      <w:b w:val="0"/>
                      <w:bCs/>
                      <w:color w:val="auto"/>
                      <w:kern w:val="0"/>
                      <w:sz w:val="21"/>
                      <w:szCs w:val="21"/>
                      <w:lang w:val="en-US" w:eastAsia="zh-CN"/>
                    </w:rPr>
                    <w:t>d</w:t>
                  </w:r>
                </w:p>
              </w:tc>
              <w:tc>
                <w:tcPr>
                  <w:tcW w:w="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rPr>
                    <w:t>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r>
                    <w:rPr>
                      <w:rFonts w:hint="eastAsia" w:ascii="Times New Roman" w:hAnsi="Times New Roman" w:eastAsia="宋体" w:cs="Times New Roman"/>
                      <w:b w:val="0"/>
                      <w:bCs/>
                      <w:color w:val="auto"/>
                      <w:kern w:val="0"/>
                      <w:sz w:val="21"/>
                      <w:szCs w:val="21"/>
                      <w:lang w:val="en-US" w:eastAsia="zh-CN"/>
                    </w:rPr>
                    <w:t>a</w:t>
                  </w:r>
                </w:p>
              </w:tc>
              <w:tc>
                <w:tcPr>
                  <w:tcW w:w="6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r>
                    <w:rPr>
                      <w:rFonts w:hint="eastAsia" w:ascii="Times New Roman" w:hAnsi="Times New Roman" w:eastAsia="宋体" w:cs="Times New Roman"/>
                      <w:b w:val="0"/>
                      <w:bCs/>
                      <w:color w:val="auto"/>
                      <w:kern w:val="0"/>
                      <w:sz w:val="21"/>
                      <w:szCs w:val="21"/>
                      <w:lang w:val="en-US" w:eastAsia="zh-CN"/>
                    </w:rPr>
                    <w:t>d</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r>
                    <w:rPr>
                      <w:rFonts w:hint="eastAsia" w:ascii="Times New Roman" w:hAnsi="Times New Roman" w:eastAsia="宋体" w:cs="Times New Roman"/>
                      <w:b w:val="0"/>
                      <w:bCs/>
                      <w:color w:val="auto"/>
                      <w:kern w:val="0"/>
                      <w:sz w:val="21"/>
                      <w:szCs w:val="21"/>
                      <w:lang w:val="en-US" w:eastAsia="zh-CN"/>
                    </w:rPr>
                    <w:t>a</w:t>
                  </w:r>
                </w:p>
              </w:tc>
              <w:tc>
                <w:tcPr>
                  <w:tcW w:w="18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w:t>
                  </w:r>
                </w:p>
              </w:tc>
              <w:tc>
                <w:tcPr>
                  <w:tcW w:w="5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生活用水</w:t>
                  </w:r>
                </w:p>
              </w:tc>
              <w:tc>
                <w:tcPr>
                  <w:tcW w:w="5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1.2</w:t>
                  </w:r>
                </w:p>
              </w:tc>
              <w:tc>
                <w:tcPr>
                  <w:tcW w:w="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399.6</w:t>
                  </w:r>
                </w:p>
              </w:tc>
              <w:tc>
                <w:tcPr>
                  <w:tcW w:w="6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1.08</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359.6</w:t>
                  </w:r>
                </w:p>
              </w:tc>
              <w:tc>
                <w:tcPr>
                  <w:tcW w:w="1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rPr>
                  </w:pPr>
                  <w:r>
                    <w:rPr>
                      <w:rFonts w:hint="eastAsia" w:ascii="Times New Roman" w:hAnsi="Times New Roman" w:eastAsia="宋体" w:cs="Times New Roman"/>
                      <w:b w:val="0"/>
                      <w:bCs/>
                      <w:color w:val="auto"/>
                      <w:kern w:val="0"/>
                      <w:sz w:val="21"/>
                      <w:szCs w:val="21"/>
                      <w:lang w:eastAsia="zh-CN"/>
                    </w:rPr>
                    <w:t>采用生化池收集处理</w:t>
                  </w:r>
                  <w:r>
                    <w:rPr>
                      <w:rFonts w:hint="default" w:ascii="Times New Roman" w:hAnsi="Times New Roman" w:eastAsia="宋体" w:cs="Times New Roman"/>
                      <w:b w:val="0"/>
                      <w:bCs/>
                      <w:color w:val="auto"/>
                      <w:kern w:val="0"/>
                      <w:sz w:val="21"/>
                      <w:szCs w:val="21"/>
                    </w:rPr>
                    <w:t>后</w:t>
                  </w:r>
                  <w:r>
                    <w:rPr>
                      <w:rFonts w:hint="default" w:ascii="Times New Roman" w:hAnsi="Times New Roman" w:eastAsia="宋体" w:cs="Times New Roman"/>
                      <w:b w:val="0"/>
                      <w:bCs/>
                      <w:color w:val="auto"/>
                      <w:kern w:val="0"/>
                      <w:sz w:val="21"/>
                      <w:szCs w:val="21"/>
                      <w:lang w:val="en-US" w:eastAsia="zh-CN"/>
                    </w:rPr>
                    <w:t>进入发酵工序消耗，不外排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2</w:t>
                  </w:r>
                </w:p>
              </w:tc>
              <w:tc>
                <w:tcPr>
                  <w:tcW w:w="5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eastAsia="zh-CN"/>
                    </w:rPr>
                    <w:t>除臭系统用水</w:t>
                  </w:r>
                </w:p>
              </w:tc>
              <w:tc>
                <w:tcPr>
                  <w:tcW w:w="5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2</w:t>
                  </w:r>
                </w:p>
              </w:tc>
              <w:tc>
                <w:tcPr>
                  <w:tcW w:w="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660</w:t>
                  </w:r>
                </w:p>
              </w:tc>
              <w:tc>
                <w:tcPr>
                  <w:tcW w:w="6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0.44</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145.6</w:t>
                  </w:r>
                </w:p>
              </w:tc>
              <w:tc>
                <w:tcPr>
                  <w:tcW w:w="1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lang w:val="en-US" w:eastAsia="zh-CN"/>
                    </w:rPr>
                    <w:t>每季度更换一次，定期交重庆市铜梁排水有限责任公司处理达标后排放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小计</w:t>
                  </w:r>
                </w:p>
              </w:tc>
              <w:tc>
                <w:tcPr>
                  <w:tcW w:w="5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3.2</w:t>
                  </w:r>
                </w:p>
              </w:tc>
              <w:tc>
                <w:tcPr>
                  <w:tcW w:w="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1059.6</w:t>
                  </w:r>
                </w:p>
              </w:tc>
              <w:tc>
                <w:tcPr>
                  <w:tcW w:w="6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1.52</w:t>
                  </w:r>
                </w:p>
              </w:tc>
              <w:tc>
                <w:tcPr>
                  <w:tcW w:w="4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505.2</w:t>
                  </w:r>
                </w:p>
              </w:tc>
              <w:tc>
                <w:tcPr>
                  <w:tcW w:w="1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w:t>
                  </w:r>
                </w:p>
              </w:tc>
            </w:tr>
          </w:tbl>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3、噪声</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噪声源设备主要为混料机、翻抛机、输送机、风机、自卸车、小型铲车装载机。所有设备均置于车间室内，再采取厂区周边种植绿化带、厂房隔声、合理布局等降噪措施后，项目厂界噪声影响预测值昼、夜间能满足《工业企业厂界环境噪声排放标准》（GB12348-2008）中2类标准要求。</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sz w:val="24"/>
                <w:lang w:val="en-US" w:eastAsia="zh-CN"/>
              </w:rPr>
              <w:t>根据2023年3月24日建设单位委托重庆博信</w:t>
            </w:r>
            <w:r>
              <w:rPr>
                <w:rFonts w:hint="eastAsia" w:ascii="Times New Roman" w:hAnsi="Times New Roman" w:eastAsia="宋体" w:cs="Times New Roman"/>
                <w:sz w:val="24"/>
                <w:szCs w:val="24"/>
                <w:lang w:val="en-US" w:eastAsia="zh-CN"/>
              </w:rPr>
              <w:t>检测技术有限公司出具的监测报告（</w:t>
            </w:r>
            <w:r>
              <w:rPr>
                <w:rFonts w:hint="eastAsia" w:ascii="Times New Roman" w:hAnsi="Times New Roman" w:eastAsia="宋体" w:cs="Times New Roman"/>
                <w:sz w:val="24"/>
                <w:szCs w:val="24"/>
                <w:lang w:eastAsia="zh-CN"/>
              </w:rPr>
              <w:t>博环（检）字【</w:t>
            </w:r>
            <w:r>
              <w:rPr>
                <w:rFonts w:hint="eastAsia" w:ascii="Times New Roman" w:hAnsi="Times New Roman" w:eastAsia="宋体" w:cs="Times New Roman"/>
                <w:sz w:val="24"/>
                <w:szCs w:val="24"/>
                <w:lang w:val="en-US" w:eastAsia="zh-CN"/>
              </w:rPr>
              <w:t>2023</w:t>
            </w:r>
            <w:r>
              <w:rPr>
                <w:rFonts w:hint="eastAsia" w:ascii="Times New Roman" w:hAnsi="Times New Roman" w:eastAsia="宋体" w:cs="Times New Roman"/>
                <w:sz w:val="24"/>
                <w:szCs w:val="24"/>
                <w:lang w:eastAsia="zh-CN"/>
              </w:rPr>
              <w:t>】第</w:t>
            </w:r>
            <w:r>
              <w:rPr>
                <w:rFonts w:hint="eastAsia" w:ascii="Times New Roman" w:hAnsi="Times New Roman" w:eastAsia="宋体" w:cs="Times New Roman"/>
                <w:sz w:val="24"/>
                <w:szCs w:val="24"/>
                <w:lang w:val="en-US" w:eastAsia="zh-CN"/>
              </w:rPr>
              <w:t>WT0347号）可知，项目厂界噪声最大值为57</w:t>
            </w:r>
            <w:r>
              <w:rPr>
                <w:rFonts w:hint="eastAsia" w:ascii="Times New Roman" w:hAnsi="Times New Roman" w:eastAsia="宋体" w:cs="Times New Roman"/>
                <w:sz w:val="24"/>
                <w:lang w:eastAsia="zh-CN"/>
              </w:rPr>
              <w:t>dB(A)，满足《工业企业厂界环境噪声排放标准》</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类标准要求</w:t>
            </w:r>
            <w:r>
              <w:rPr>
                <w:rFonts w:hint="eastAsia" w:ascii="Times New Roman" w:hAnsi="Times New Roman" w:eastAsia="宋体" w:cs="Times New Roman"/>
                <w:color w:val="auto"/>
                <w:kern w:val="0"/>
                <w:sz w:val="24"/>
                <w:szCs w:val="24"/>
                <w:lang w:val="en-US" w:eastAsia="zh-CN"/>
              </w:rPr>
              <w:t>。</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4、固废</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项目固体废物主要为生活垃圾、危险废物、一般工业固废。</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生活垃圾产生量为5.32t/a，收集后交环卫部门处理。</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废包装物产生量为1t/a，由供货商回收。</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废液压油、废含油棉纱、手套等危险废物产生量为1.1t/a，交有资质单位处置。</w:t>
            </w:r>
          </w:p>
          <w:p>
            <w:pPr>
              <w:adjustRightInd w:val="0"/>
              <w:snapToGrid w:val="0"/>
              <w:spacing w:line="440" w:lineRule="exact"/>
              <w:outlineLvl w:val="1"/>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2.3.</w:t>
            </w:r>
            <w:r>
              <w:rPr>
                <w:rFonts w:hint="eastAsia" w:ascii="Times New Roman" w:hAnsi="Times New Roman" w:eastAsia="宋体" w:cs="Times New Roman"/>
                <w:b/>
                <w:bCs/>
                <w:color w:val="auto"/>
                <w:sz w:val="24"/>
                <w:szCs w:val="24"/>
                <w:lang w:val="en-US" w:eastAsia="zh-CN"/>
              </w:rPr>
              <w:t xml:space="preserve">7 </w:t>
            </w:r>
            <w:r>
              <w:rPr>
                <w:rFonts w:hint="eastAsia" w:ascii="Times New Roman" w:hAnsi="Times New Roman" w:eastAsia="宋体" w:cs="Times New Roman"/>
                <w:b/>
                <w:bCs/>
                <w:color w:val="auto"/>
                <w:sz w:val="24"/>
                <w:szCs w:val="24"/>
              </w:rPr>
              <w:t>现有工程</w:t>
            </w:r>
            <w:r>
              <w:rPr>
                <w:rFonts w:ascii="Times New Roman" w:hAnsi="Times New Roman" w:eastAsia="宋体" w:cs="Times New Roman"/>
                <w:b/>
                <w:bCs/>
                <w:color w:val="auto"/>
                <w:sz w:val="24"/>
                <w:szCs w:val="24"/>
              </w:rPr>
              <w:t>污染物</w:t>
            </w:r>
            <w:r>
              <w:rPr>
                <w:rFonts w:hint="eastAsia" w:ascii="Times New Roman" w:hAnsi="Times New Roman" w:eastAsia="宋体" w:cs="Times New Roman"/>
                <w:b/>
                <w:bCs/>
                <w:color w:val="auto"/>
                <w:sz w:val="24"/>
                <w:szCs w:val="24"/>
              </w:rPr>
              <w:t>排放</w:t>
            </w:r>
            <w:r>
              <w:rPr>
                <w:rFonts w:ascii="Times New Roman" w:hAnsi="Times New Roman" w:eastAsia="宋体" w:cs="Times New Roman"/>
                <w:b/>
                <w:bCs/>
                <w:color w:val="auto"/>
                <w:sz w:val="24"/>
                <w:szCs w:val="24"/>
              </w:rPr>
              <w:t>情况汇总</w:t>
            </w:r>
          </w:p>
          <w:p>
            <w:pPr>
              <w:spacing w:line="460" w:lineRule="exact"/>
              <w:ind w:firstLine="482" w:firstLineChars="200"/>
              <w:jc w:val="center"/>
              <w:outlineLvl w:val="1"/>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表2</w:t>
            </w:r>
            <w:r>
              <w:rPr>
                <w:rFonts w:hint="eastAsia" w:ascii="Times New Roman" w:hAnsi="Times New Roman" w:eastAsia="宋体" w:cs="Times New Roman"/>
                <w:b/>
                <w:bCs/>
                <w:color w:val="auto"/>
                <w:sz w:val="24"/>
                <w:szCs w:val="24"/>
              </w:rPr>
              <w:t>.3</w:t>
            </w:r>
            <w:r>
              <w:rPr>
                <w:rFonts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7</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现有工程排放量一览表</w:t>
            </w:r>
            <w:r>
              <w:rPr>
                <w:rFonts w:ascii="Times New Roman" w:hAnsi="Times New Roman" w:eastAsia="宋体" w:cs="Times New Roman"/>
                <w:b/>
                <w:bCs/>
                <w:color w:val="auto"/>
                <w:sz w:val="24"/>
                <w:szCs w:val="24"/>
              </w:rPr>
              <w:t xml:space="preserve">  （单位：t/a）</w:t>
            </w:r>
          </w:p>
          <w:tbl>
            <w:tblPr>
              <w:tblStyle w:val="20"/>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165"/>
              <w:gridCol w:w="854"/>
              <w:gridCol w:w="855"/>
              <w:gridCol w:w="21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954" w:type="dxa"/>
                  <w:tcBorders>
                    <w:tl2br w:val="single" w:color="auto" w:sz="4" w:space="0"/>
                  </w:tcBorders>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  </w:t>
                  </w:r>
                  <w:r>
                    <w:rPr>
                      <w:rFonts w:ascii="Times New Roman" w:hAnsi="Times New Roman" w:eastAsia="宋体" w:cs="Times New Roman"/>
                      <w:color w:val="auto"/>
                      <w:szCs w:val="21"/>
                    </w:rPr>
                    <w:t>内容</w:t>
                  </w:r>
                </w:p>
                <w:p>
                  <w:pPr>
                    <w:adjustRightInd w:val="0"/>
                    <w:snapToGrid w:val="0"/>
                    <w:jc w:val="center"/>
                    <w:rPr>
                      <w:rFonts w:ascii="Times New Roman" w:hAnsi="Times New Roman" w:eastAsia="宋体" w:cs="Times New Roman"/>
                      <w:color w:val="auto"/>
                      <w:szCs w:val="21"/>
                    </w:rPr>
                  </w:pPr>
                </w:p>
                <w:p>
                  <w:pPr>
                    <w:adjustRightInd w:val="0"/>
                    <w:snapToGrid w:val="0"/>
                    <w:jc w:val="both"/>
                    <w:rPr>
                      <w:rFonts w:ascii="Times New Roman" w:hAnsi="Times New Roman" w:eastAsia="宋体" w:cs="Times New Roman"/>
                      <w:color w:val="auto"/>
                      <w:szCs w:val="21"/>
                    </w:rPr>
                  </w:pPr>
                  <w:r>
                    <w:rPr>
                      <w:rFonts w:ascii="Times New Roman" w:hAnsi="Times New Roman" w:eastAsia="宋体" w:cs="Times New Roman"/>
                      <w:color w:val="auto"/>
                      <w:szCs w:val="21"/>
                    </w:rPr>
                    <w:t>类型</w:t>
                  </w:r>
                </w:p>
              </w:tc>
              <w:tc>
                <w:tcPr>
                  <w:tcW w:w="1165"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排放源（标号）</w:t>
                  </w:r>
                </w:p>
              </w:tc>
              <w:tc>
                <w:tcPr>
                  <w:tcW w:w="1709" w:type="dxa"/>
                  <w:gridSpan w:val="2"/>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污染物名称</w:t>
                  </w:r>
                </w:p>
              </w:tc>
              <w:tc>
                <w:tcPr>
                  <w:tcW w:w="2125"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实际排放量</w:t>
                  </w:r>
                </w:p>
              </w:tc>
              <w:tc>
                <w:tcPr>
                  <w:tcW w:w="2125"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环评允许</w:t>
                  </w:r>
                  <w:r>
                    <w:rPr>
                      <w:rFonts w:hint="default" w:ascii="Times New Roman" w:hAnsi="Times New Roman" w:eastAsia="宋体" w:cs="Times New Roman"/>
                      <w:color w:val="auto"/>
                      <w:szCs w:val="21"/>
                      <w:lang w:val="en-US"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54" w:type="dxa"/>
                  <w:vMerge w:val="restart"/>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大气污染物</w:t>
                  </w:r>
                </w:p>
              </w:tc>
              <w:tc>
                <w:tcPr>
                  <w:tcW w:w="116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进料、混料、布料、发酵臭气</w:t>
                  </w:r>
                </w:p>
              </w:tc>
              <w:tc>
                <w:tcPr>
                  <w:tcW w:w="170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2125" w:type="dxa"/>
                  <w:tcBorders>
                    <w:tl2br w:val="nil"/>
                    <w:tr2bl w:val="nil"/>
                  </w:tcBorders>
                  <w:vAlign w:val="center"/>
                </w:tcPr>
                <w:p>
                  <w:pPr>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0.0389</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5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1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170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2125" w:type="dxa"/>
                  <w:tcBorders>
                    <w:tl2br w:val="nil"/>
                    <w:tr2bl w:val="nil"/>
                  </w:tcBorders>
                  <w:vAlign w:val="center"/>
                </w:tcPr>
                <w:p>
                  <w:pPr>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0.0013</w:t>
                  </w:r>
                </w:p>
              </w:tc>
              <w:tc>
                <w:tcPr>
                  <w:tcW w:w="2125" w:type="dxa"/>
                  <w:tcBorders>
                    <w:tl2br w:val="nil"/>
                    <w:tr2bl w:val="nil"/>
                  </w:tcBorders>
                  <w:vAlign w:val="center"/>
                </w:tcPr>
                <w:p>
                  <w:pPr>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5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165" w:type="dxa"/>
                  <w:vMerge w:val="restart"/>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食堂油烟</w:t>
                  </w:r>
                </w:p>
              </w:tc>
              <w:tc>
                <w:tcPr>
                  <w:tcW w:w="170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油烟</w:t>
                  </w:r>
                </w:p>
              </w:tc>
              <w:tc>
                <w:tcPr>
                  <w:tcW w:w="2125" w:type="dxa"/>
                  <w:tcBorders>
                    <w:tl2br w:val="nil"/>
                    <w:tr2bl w:val="nil"/>
                  </w:tcBorders>
                  <w:vAlign w:val="center"/>
                </w:tcPr>
                <w:p>
                  <w:pPr>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eastAsia="宋体" w:cs="Times New Roman"/>
                      <w:bCs/>
                      <w:color w:val="000000"/>
                      <w:kern w:val="0"/>
                      <w:sz w:val="21"/>
                      <w:szCs w:val="21"/>
                      <w:lang w:val="en-US" w:eastAsia="zh-CN" w:bidi="ar-SA"/>
                    </w:rPr>
                    <w:t>/</w:t>
                  </w:r>
                </w:p>
              </w:tc>
              <w:tc>
                <w:tcPr>
                  <w:tcW w:w="2125" w:type="dxa"/>
                  <w:tcBorders>
                    <w:tl2br w:val="nil"/>
                    <w:tr2bl w:val="nil"/>
                  </w:tcBorders>
                  <w:vAlign w:val="center"/>
                </w:tcPr>
                <w:p>
                  <w:pPr>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eastAsia="宋体" w:cs="Times New Roman"/>
                      <w:bCs/>
                      <w:color w:val="000000"/>
                      <w:kern w:val="0"/>
                      <w:sz w:val="21"/>
                      <w:szCs w:val="21"/>
                      <w:lang w:val="en-US" w:eastAsia="zh-CN" w:bidi="ar-SA"/>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5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165"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p>
              </w:tc>
              <w:tc>
                <w:tcPr>
                  <w:tcW w:w="170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2125" w:type="dxa"/>
                  <w:tcBorders>
                    <w:tl2br w:val="nil"/>
                    <w:tr2bl w:val="nil"/>
                  </w:tcBorders>
                  <w:vAlign w:val="center"/>
                </w:tcPr>
                <w:p>
                  <w:pPr>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eastAsia="宋体" w:cs="Times New Roman"/>
                      <w:bCs/>
                      <w:color w:val="000000"/>
                      <w:kern w:val="0"/>
                      <w:sz w:val="21"/>
                      <w:szCs w:val="21"/>
                      <w:lang w:val="en-US" w:eastAsia="zh-CN" w:bidi="ar-SA"/>
                    </w:rPr>
                    <w:t>/</w:t>
                  </w:r>
                </w:p>
              </w:tc>
              <w:tc>
                <w:tcPr>
                  <w:tcW w:w="2125" w:type="dxa"/>
                  <w:tcBorders>
                    <w:tl2br w:val="nil"/>
                    <w:tr2bl w:val="nil"/>
                  </w:tcBorders>
                  <w:vAlign w:val="center"/>
                </w:tcPr>
                <w:p>
                  <w:pPr>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eastAsia="宋体" w:cs="Times New Roman"/>
                      <w:bCs/>
                      <w:color w:val="000000"/>
                      <w:kern w:val="0"/>
                      <w:sz w:val="21"/>
                      <w:szCs w:val="21"/>
                      <w:lang w:val="en-US" w:eastAsia="zh-CN" w:bidi="ar-SA"/>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54" w:type="dxa"/>
                  <w:vMerge w:val="restart"/>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水污染物</w:t>
                  </w:r>
                </w:p>
              </w:tc>
              <w:tc>
                <w:tcPr>
                  <w:tcW w:w="1165"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生活</w:t>
                  </w:r>
                </w:p>
              </w:tc>
              <w:tc>
                <w:tcPr>
                  <w:tcW w:w="1709" w:type="dxa"/>
                  <w:gridSpan w:val="2"/>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生活污水</w:t>
                  </w:r>
                </w:p>
              </w:tc>
              <w:tc>
                <w:tcPr>
                  <w:tcW w:w="4250" w:type="dxa"/>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将食堂废水经隔油后与生活污水一起经生化池收集预处理后用于厂区绿化或作农肥，不外排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165" w:type="dxa"/>
                  <w:vMerge w:val="restart"/>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生产</w:t>
                  </w:r>
                </w:p>
              </w:tc>
              <w:tc>
                <w:tcPr>
                  <w:tcW w:w="854" w:type="dxa"/>
                  <w:vMerge w:val="restart"/>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除臭系统废水</w:t>
                  </w:r>
                </w:p>
              </w:tc>
              <w:tc>
                <w:tcPr>
                  <w:tcW w:w="855" w:type="dxa"/>
                  <w:tcBorders>
                    <w:tl2br w:val="nil"/>
                    <w:tr2bl w:val="nil"/>
                  </w:tcBorders>
                  <w:vAlign w:val="center"/>
                </w:tcPr>
                <w:p>
                  <w:pPr>
                    <w:spacing w:line="240" w:lineRule="atLeast"/>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2125" w:type="dxa"/>
                  <w:vMerge w:val="restart"/>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定期交重庆市铜梁排水有限责任公司处理达标后排放</w:t>
                  </w:r>
                </w:p>
              </w:tc>
              <w:tc>
                <w:tcPr>
                  <w:tcW w:w="2125"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165"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p>
              </w:tc>
              <w:tc>
                <w:tcPr>
                  <w:tcW w:w="854"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p>
              </w:tc>
              <w:tc>
                <w:tcPr>
                  <w:tcW w:w="855" w:type="dxa"/>
                  <w:tcBorders>
                    <w:tl2br w:val="nil"/>
                    <w:tr2bl w:val="nil"/>
                  </w:tcBorders>
                  <w:vAlign w:val="center"/>
                </w:tcPr>
                <w:p>
                  <w:pPr>
                    <w:pStyle w:val="79"/>
                    <w:ind w:firstLine="0" w:firstLineChars="0"/>
                    <w:rPr>
                      <w:rFonts w:hint="eastAsia" w:ascii="Times New Roman" w:hAnsi="Times New Roman" w:eastAsia="宋体" w:cs="Times New Roman"/>
                      <w:color w:val="auto"/>
                      <w:kern w:val="2"/>
                      <w:sz w:val="21"/>
                      <w:szCs w:val="18"/>
                      <w:lang w:val="en-US" w:eastAsia="zh-CN" w:bidi="ar-SA"/>
                    </w:rPr>
                  </w:pPr>
                  <w:r>
                    <w:rPr>
                      <w:color w:val="auto"/>
                    </w:rPr>
                    <w:t>COD</w:t>
                  </w:r>
                </w:p>
              </w:tc>
              <w:tc>
                <w:tcPr>
                  <w:tcW w:w="2125"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p>
              </w:tc>
              <w:tc>
                <w:tcPr>
                  <w:tcW w:w="2125" w:type="dxa"/>
                  <w:tcBorders>
                    <w:tl2br w:val="nil"/>
                    <w:tr2bl w:val="nil"/>
                  </w:tcBorders>
                  <w:vAlign w:val="center"/>
                </w:tcPr>
                <w:p>
                  <w:pPr>
                    <w:pStyle w:val="79"/>
                    <w:ind w:firstLine="0" w:firstLineChars="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0.0073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165"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p>
              </w:tc>
              <w:tc>
                <w:tcPr>
                  <w:tcW w:w="854"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p>
              </w:tc>
              <w:tc>
                <w:tcPr>
                  <w:tcW w:w="855" w:type="dxa"/>
                  <w:tcBorders>
                    <w:tl2br w:val="nil"/>
                    <w:tr2bl w:val="nil"/>
                  </w:tcBorders>
                  <w:vAlign w:val="center"/>
                </w:tcPr>
                <w:p>
                  <w:pPr>
                    <w:pStyle w:val="79"/>
                    <w:ind w:firstLine="0" w:firstLineChars="0"/>
                    <w:rPr>
                      <w:rFonts w:hint="eastAsia" w:ascii="Times New Roman" w:hAnsi="Times New Roman" w:eastAsia="宋体" w:cs="Times New Roman"/>
                      <w:color w:val="auto"/>
                      <w:kern w:val="2"/>
                      <w:sz w:val="21"/>
                      <w:szCs w:val="18"/>
                      <w:lang w:val="en-US" w:eastAsia="zh-CN" w:bidi="ar-SA"/>
                    </w:rPr>
                  </w:pPr>
                  <w:r>
                    <w:rPr>
                      <w:color w:val="auto"/>
                    </w:rPr>
                    <w:t>SS</w:t>
                  </w:r>
                </w:p>
              </w:tc>
              <w:tc>
                <w:tcPr>
                  <w:tcW w:w="2125"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p>
              </w:tc>
              <w:tc>
                <w:tcPr>
                  <w:tcW w:w="2125" w:type="dxa"/>
                  <w:tcBorders>
                    <w:tl2br w:val="nil"/>
                    <w:tr2bl w:val="nil"/>
                  </w:tcBorders>
                  <w:vAlign w:val="center"/>
                </w:tcPr>
                <w:p>
                  <w:pPr>
                    <w:pStyle w:val="79"/>
                    <w:ind w:firstLine="0" w:firstLineChars="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0.0015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165"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p>
              </w:tc>
              <w:tc>
                <w:tcPr>
                  <w:tcW w:w="854"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p>
              </w:tc>
              <w:tc>
                <w:tcPr>
                  <w:tcW w:w="855" w:type="dxa"/>
                  <w:tcBorders>
                    <w:tl2br w:val="nil"/>
                    <w:tr2bl w:val="nil"/>
                  </w:tcBorders>
                  <w:vAlign w:val="center"/>
                </w:tcPr>
                <w:p>
                  <w:pPr>
                    <w:pStyle w:val="79"/>
                    <w:ind w:firstLine="0" w:firstLineChars="0"/>
                    <w:rPr>
                      <w:rFonts w:hint="eastAsia" w:ascii="Times New Roman" w:hAnsi="Times New Roman" w:eastAsia="宋体" w:cs="Times New Roman"/>
                      <w:color w:val="auto"/>
                      <w:kern w:val="2"/>
                      <w:sz w:val="21"/>
                      <w:szCs w:val="18"/>
                      <w:lang w:val="en-US" w:eastAsia="zh-CN" w:bidi="ar-SA"/>
                    </w:rPr>
                  </w:pPr>
                  <w:r>
                    <w:rPr>
                      <w:color w:val="auto"/>
                    </w:rPr>
                    <w:t>BOD</w:t>
                  </w:r>
                  <w:r>
                    <w:rPr>
                      <w:color w:val="auto"/>
                      <w:vertAlign w:val="subscript"/>
                    </w:rPr>
                    <w:t>5</w:t>
                  </w:r>
                </w:p>
              </w:tc>
              <w:tc>
                <w:tcPr>
                  <w:tcW w:w="2125"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p>
              </w:tc>
              <w:tc>
                <w:tcPr>
                  <w:tcW w:w="2125" w:type="dxa"/>
                  <w:tcBorders>
                    <w:tl2br w:val="nil"/>
                    <w:tr2bl w:val="nil"/>
                  </w:tcBorders>
                  <w:vAlign w:val="center"/>
                </w:tcPr>
                <w:p>
                  <w:pPr>
                    <w:pStyle w:val="79"/>
                    <w:ind w:firstLine="0" w:firstLineChars="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0.0015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165"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p>
              </w:tc>
              <w:tc>
                <w:tcPr>
                  <w:tcW w:w="854"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p>
              </w:tc>
              <w:tc>
                <w:tcPr>
                  <w:tcW w:w="855" w:type="dxa"/>
                  <w:tcBorders>
                    <w:tl2br w:val="nil"/>
                    <w:tr2bl w:val="nil"/>
                  </w:tcBorders>
                  <w:vAlign w:val="center"/>
                </w:tcPr>
                <w:p>
                  <w:pPr>
                    <w:pStyle w:val="79"/>
                    <w:ind w:firstLine="0" w:firstLineChars="0"/>
                    <w:rPr>
                      <w:rFonts w:hint="eastAsia" w:ascii="Times New Roman" w:hAnsi="Times New Roman" w:eastAsia="宋体" w:cs="Times New Roman"/>
                      <w:color w:val="auto"/>
                      <w:kern w:val="2"/>
                      <w:sz w:val="21"/>
                      <w:szCs w:val="18"/>
                      <w:lang w:val="en-US" w:eastAsia="zh-CN" w:bidi="ar-SA"/>
                    </w:rPr>
                  </w:pPr>
                  <w:r>
                    <w:rPr>
                      <w:color w:val="auto"/>
                    </w:rPr>
                    <w:t>NH</w:t>
                  </w:r>
                  <w:r>
                    <w:rPr>
                      <w:color w:val="auto"/>
                      <w:vertAlign w:val="subscript"/>
                    </w:rPr>
                    <w:t>3</w:t>
                  </w:r>
                  <w:r>
                    <w:rPr>
                      <w:color w:val="auto"/>
                    </w:rPr>
                    <w:t>-N</w:t>
                  </w:r>
                </w:p>
              </w:tc>
              <w:tc>
                <w:tcPr>
                  <w:tcW w:w="2125"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p>
              </w:tc>
              <w:tc>
                <w:tcPr>
                  <w:tcW w:w="2125" w:type="dxa"/>
                  <w:tcBorders>
                    <w:tl2br w:val="nil"/>
                    <w:tr2bl w:val="nil"/>
                  </w:tcBorders>
                  <w:vAlign w:val="center"/>
                </w:tcPr>
                <w:p>
                  <w:pPr>
                    <w:pStyle w:val="79"/>
                    <w:ind w:firstLine="0" w:firstLineChars="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0.0007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954" w:type="dxa"/>
                  <w:vMerge w:val="restart"/>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噪声</w:t>
                  </w:r>
                </w:p>
              </w:tc>
              <w:tc>
                <w:tcPr>
                  <w:tcW w:w="1165" w:type="dxa"/>
                  <w:vMerge w:val="restart"/>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设备噪声</w:t>
                  </w:r>
                </w:p>
              </w:tc>
              <w:tc>
                <w:tcPr>
                  <w:tcW w:w="1709" w:type="dxa"/>
                  <w:gridSpan w:val="2"/>
                  <w:vMerge w:val="restart"/>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噪声</w:t>
                  </w:r>
                </w:p>
              </w:tc>
              <w:tc>
                <w:tcPr>
                  <w:tcW w:w="2125"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昼间</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57</w:t>
                  </w:r>
                  <w:r>
                    <w:rPr>
                      <w:rFonts w:ascii="Times New Roman" w:hAnsi="Times New Roman" w:eastAsia="宋体" w:cs="Times New Roman"/>
                      <w:color w:val="auto"/>
                      <w:szCs w:val="21"/>
                    </w:rPr>
                    <w:t>dB（A）</w:t>
                  </w:r>
                </w:p>
              </w:tc>
              <w:tc>
                <w:tcPr>
                  <w:tcW w:w="2125" w:type="dxa"/>
                  <w:tcBorders>
                    <w:tl2br w:val="nil"/>
                    <w:tr2bl w:val="nil"/>
                  </w:tcBorders>
                  <w:vAlign w:val="center"/>
                </w:tcPr>
                <w:p>
                  <w:pPr>
                    <w:adjustRightInd w:val="0"/>
                    <w:snapToGrid w:val="0"/>
                    <w:jc w:val="center"/>
                    <w:rPr>
                      <w:rFonts w:ascii="Times New Roman" w:hAnsi="Times New Roman" w:eastAsia="宋体" w:cs="Times New Roman"/>
                      <w:color w:val="auto"/>
                      <w:szCs w:val="21"/>
                      <w:lang w:val="en-US" w:eastAsia="zh-CN"/>
                    </w:rPr>
                  </w:pPr>
                  <w:r>
                    <w:rPr>
                      <w:rFonts w:ascii="Times New Roman" w:hAnsi="Times New Roman" w:eastAsia="宋体" w:cs="Times New Roman"/>
                      <w:color w:val="auto"/>
                      <w:szCs w:val="21"/>
                    </w:rPr>
                    <w:t>昼间≤60dB（A）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95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165"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709" w:type="dxa"/>
                  <w:gridSpan w:val="2"/>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2125"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2125"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954" w:type="dxa"/>
                  <w:vMerge w:val="restart"/>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固废</w:t>
                  </w:r>
                </w:p>
              </w:tc>
              <w:tc>
                <w:tcPr>
                  <w:tcW w:w="1165"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办公</w:t>
                  </w:r>
                  <w:r>
                    <w:rPr>
                      <w:rFonts w:hint="eastAsia" w:ascii="Times New Roman" w:hAnsi="Times New Roman" w:eastAsia="宋体" w:cs="Times New Roman"/>
                      <w:color w:val="auto"/>
                      <w:szCs w:val="21"/>
                      <w:lang w:eastAsia="zh-CN"/>
                    </w:rPr>
                    <w:t>、生活</w:t>
                  </w:r>
                </w:p>
              </w:tc>
              <w:tc>
                <w:tcPr>
                  <w:tcW w:w="1709" w:type="dxa"/>
                  <w:gridSpan w:val="2"/>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生活垃圾</w:t>
                  </w:r>
                </w:p>
              </w:tc>
              <w:tc>
                <w:tcPr>
                  <w:tcW w:w="212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0（5.32t/a）</w:t>
                  </w:r>
                </w:p>
              </w:tc>
              <w:tc>
                <w:tcPr>
                  <w:tcW w:w="2125"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交环卫部门处理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95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165" w:type="dxa"/>
                  <w:vMerge w:val="restart"/>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设备养护、维修</w:t>
                  </w:r>
                </w:p>
              </w:tc>
              <w:tc>
                <w:tcPr>
                  <w:tcW w:w="1709" w:type="dxa"/>
                  <w:gridSpan w:val="2"/>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废含油棉纱、手套</w:t>
                  </w:r>
                </w:p>
              </w:tc>
              <w:tc>
                <w:tcPr>
                  <w:tcW w:w="2125"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0（0.1t/a）</w:t>
                  </w:r>
                </w:p>
              </w:tc>
              <w:tc>
                <w:tcPr>
                  <w:tcW w:w="2125"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95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165"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p>
              </w:tc>
              <w:tc>
                <w:tcPr>
                  <w:tcW w:w="1709" w:type="dxa"/>
                  <w:gridSpan w:val="2"/>
                  <w:tcBorders>
                    <w:tl2br w:val="nil"/>
                    <w:tr2bl w:val="nil"/>
                  </w:tcBorders>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废</w:t>
                  </w:r>
                  <w:r>
                    <w:rPr>
                      <w:rFonts w:hint="eastAsia" w:ascii="Times New Roman" w:hAnsi="Times New Roman" w:eastAsia="宋体" w:cs="Times New Roman"/>
                      <w:color w:val="auto"/>
                      <w:szCs w:val="21"/>
                      <w:lang w:val="en-US" w:eastAsia="zh-CN"/>
                    </w:rPr>
                    <w:t>液压油</w:t>
                  </w:r>
                </w:p>
              </w:tc>
              <w:tc>
                <w:tcPr>
                  <w:tcW w:w="2125"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0（1t/a）</w:t>
                  </w:r>
                </w:p>
              </w:tc>
              <w:tc>
                <w:tcPr>
                  <w:tcW w:w="2125"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5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165"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生产区</w:t>
                  </w:r>
                </w:p>
              </w:tc>
              <w:tc>
                <w:tcPr>
                  <w:tcW w:w="1709" w:type="dxa"/>
                  <w:gridSpan w:val="2"/>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废包装物</w:t>
                  </w:r>
                </w:p>
              </w:tc>
              <w:tc>
                <w:tcPr>
                  <w:tcW w:w="212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0（1t/a）</w:t>
                  </w:r>
                </w:p>
              </w:tc>
              <w:tc>
                <w:tcPr>
                  <w:tcW w:w="2125"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由供货商回收</w:t>
                  </w:r>
                </w:p>
              </w:tc>
            </w:tr>
          </w:tbl>
          <w:p>
            <w:pPr>
              <w:autoSpaceDE w:val="0"/>
              <w:autoSpaceDN w:val="0"/>
              <w:ind w:firstLine="422" w:firstLineChars="200"/>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Cs w:val="21"/>
              </w:rPr>
              <w:t>注：（）内为产生量。</w:t>
            </w:r>
          </w:p>
          <w:p>
            <w:pPr>
              <w:autoSpaceDE w:val="0"/>
              <w:autoSpaceDN w:val="0"/>
              <w:spacing w:line="440" w:lineRule="exact"/>
              <w:ind w:firstLine="482" w:firstLineChars="200"/>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7、</w:t>
            </w:r>
            <w:r>
              <w:rPr>
                <w:rFonts w:ascii="Times New Roman" w:hAnsi="Times New Roman" w:eastAsia="宋体" w:cs="Times New Roman"/>
                <w:b/>
                <w:bCs/>
                <w:color w:val="auto"/>
                <w:kern w:val="0"/>
                <w:sz w:val="24"/>
                <w:szCs w:val="24"/>
              </w:rPr>
              <w:t>与拟建项目有关的原有污染情况及主要环境问题</w:t>
            </w:r>
          </w:p>
          <w:p>
            <w:pPr>
              <w:autoSpaceDE w:val="0"/>
              <w:autoSpaceDN w:val="0"/>
              <w:adjustRightInd w:val="0"/>
              <w:snapToGrid w:val="0"/>
              <w:spacing w:line="440" w:lineRule="exact"/>
              <w:ind w:firstLine="480" w:firstLineChars="200"/>
              <w:rPr>
                <w:rFonts w:hint="eastAsia" w:ascii="Times New Roman" w:hAnsi="Times New Roman" w:eastAsia="宋体" w:cs="Times New Roman"/>
                <w:color w:val="auto"/>
                <w:sz w:val="24"/>
                <w:lang w:eastAsia="zh-CN"/>
              </w:rPr>
            </w:pPr>
            <w:r>
              <w:rPr>
                <w:rFonts w:ascii="Times New Roman" w:hAnsi="Times New Roman" w:eastAsia="宋体" w:cs="Times New Roman"/>
                <w:color w:val="auto"/>
                <w:kern w:val="0"/>
                <w:sz w:val="24"/>
                <w:szCs w:val="24"/>
              </w:rPr>
              <w:t>根据调查，</w:t>
            </w:r>
            <w:r>
              <w:rPr>
                <w:rFonts w:hint="eastAsia" w:ascii="Times New Roman" w:hAnsi="Times New Roman" w:eastAsia="宋体" w:cs="Times New Roman"/>
                <w:color w:val="auto"/>
                <w:kern w:val="0"/>
                <w:sz w:val="24"/>
                <w:szCs w:val="24"/>
              </w:rPr>
              <w:t>现有项目</w:t>
            </w:r>
            <w:r>
              <w:rPr>
                <w:rFonts w:hint="eastAsia" w:ascii="Times New Roman" w:hAnsi="Times New Roman" w:eastAsia="宋体" w:cs="Times New Roman"/>
                <w:color w:val="auto"/>
                <w:kern w:val="0"/>
                <w:sz w:val="24"/>
                <w:szCs w:val="24"/>
                <w:lang w:eastAsia="zh-CN"/>
              </w:rPr>
              <w:t>各主要生产设备及环保设备均已安装完成，</w:t>
            </w:r>
            <w:r>
              <w:rPr>
                <w:rFonts w:hint="eastAsia" w:ascii="Times New Roman" w:hAnsi="Times New Roman" w:eastAsia="宋体" w:cs="Times New Roman"/>
                <w:kern w:val="0"/>
                <w:sz w:val="24"/>
                <w:szCs w:val="24"/>
              </w:rPr>
              <w:t>目前正在进行设备调试，</w:t>
            </w:r>
            <w:r>
              <w:rPr>
                <w:rFonts w:hint="eastAsia" w:ascii="Times New Roman" w:hAnsi="Times New Roman" w:eastAsia="宋体" w:cs="Times New Roman"/>
                <w:color w:val="auto"/>
                <w:sz w:val="24"/>
                <w:lang w:eastAsia="zh-CN"/>
              </w:rPr>
              <w:t>现有各环保措施均已落实。</w:t>
            </w:r>
          </w:p>
          <w:p>
            <w:pPr>
              <w:autoSpaceDE w:val="0"/>
              <w:autoSpaceDN w:val="0"/>
              <w:adjustRightInd w:val="0"/>
              <w:snapToGrid w:val="0"/>
              <w:spacing w:line="440" w:lineRule="exact"/>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）现有环保问题</w:t>
            </w:r>
          </w:p>
          <w:p>
            <w:pPr>
              <w:autoSpaceDE w:val="0"/>
              <w:autoSpaceDN w:val="0"/>
              <w:adjustRightInd w:val="0"/>
              <w:snapToGrid w:val="0"/>
              <w:spacing w:line="440" w:lineRule="exact"/>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现有项目由于</w:t>
            </w:r>
            <w:r>
              <w:rPr>
                <w:rFonts w:hint="eastAsia" w:ascii="Times New Roman" w:hAnsi="Times New Roman" w:eastAsia="宋体" w:cs="Times New Roman"/>
                <w:kern w:val="0"/>
                <w:sz w:val="24"/>
                <w:szCs w:val="24"/>
                <w:lang w:eastAsia="zh-CN"/>
              </w:rPr>
              <w:t>城市生活污泥含水率（</w:t>
            </w:r>
            <w:r>
              <w:rPr>
                <w:rFonts w:hint="eastAsia" w:ascii="Times New Roman" w:hAnsi="Times New Roman" w:eastAsia="宋体" w:cs="Times New Roman"/>
                <w:kern w:val="0"/>
                <w:sz w:val="24"/>
                <w:szCs w:val="24"/>
                <w:lang w:val="en-US" w:eastAsia="zh-CN"/>
              </w:rPr>
              <w:t>80%</w:t>
            </w:r>
            <w:r>
              <w:rPr>
                <w:rFonts w:hint="eastAsia" w:ascii="Times New Roman" w:hAnsi="Times New Roman" w:eastAsia="宋体" w:cs="Times New Roman"/>
                <w:kern w:val="0"/>
                <w:sz w:val="24"/>
                <w:szCs w:val="24"/>
                <w:lang w:eastAsia="zh-CN"/>
              </w:rPr>
              <w:t>）太高，造成后续污泥发酵过程温度无法长时间稳定到达</w:t>
            </w:r>
            <w:r>
              <w:rPr>
                <w:rFonts w:hint="eastAsia" w:ascii="Times New Roman" w:hAnsi="Times New Roman" w:eastAsia="宋体" w:cs="Times New Roman"/>
                <w:kern w:val="0"/>
                <w:sz w:val="24"/>
                <w:szCs w:val="24"/>
                <w:lang w:val="en-US" w:eastAsia="zh-CN"/>
              </w:rPr>
              <w:t>55℃~70℃</w:t>
            </w:r>
            <w:r>
              <w:rPr>
                <w:rFonts w:hint="eastAsia" w:ascii="Times New Roman" w:hAnsi="Times New Roman" w:eastAsia="宋体" w:cs="Times New Roman"/>
                <w:kern w:val="0"/>
                <w:sz w:val="24"/>
                <w:szCs w:val="24"/>
                <w:lang w:eastAsia="zh-CN"/>
              </w:rPr>
              <w:t>要求，导致最终</w:t>
            </w:r>
            <w:r>
              <w:rPr>
                <w:rFonts w:hint="eastAsia" w:ascii="Times New Roman" w:hAnsi="Times New Roman" w:eastAsia="宋体" w:cs="Times New Roman"/>
                <w:kern w:val="0"/>
                <w:sz w:val="24"/>
                <w:szCs w:val="24"/>
                <w:lang w:val="zh-CN" w:eastAsia="zh-CN"/>
              </w:rPr>
              <w:t>绿化营养土无法稳定达到相应产品质量标准，因此，生活污水经生化池预处理后不应进入发酵工序。另外除臭系统废水产生量较小，定期交重庆市铜梁排水有限责任公司处理经济可行性较差。</w:t>
            </w:r>
          </w:p>
          <w:p>
            <w:pPr>
              <w:autoSpaceDE w:val="0"/>
              <w:autoSpaceDN w:val="0"/>
              <w:adjustRightInd w:val="0"/>
              <w:snapToGrid w:val="0"/>
              <w:spacing w:line="440" w:lineRule="exact"/>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）“以新代老”措施</w:t>
            </w:r>
          </w:p>
          <w:p>
            <w:pPr>
              <w:autoSpaceDE w:val="0"/>
              <w:autoSpaceDN w:val="0"/>
              <w:adjustRightInd w:val="0"/>
              <w:snapToGrid w:val="0"/>
              <w:spacing w:line="440" w:lineRule="exact"/>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lang w:eastAsia="zh-CN"/>
              </w:rPr>
              <w:t>根据调查，企业位于农村地区，项目周边存在大量农用地及林地，且项目生活污水及</w:t>
            </w:r>
            <w:r>
              <w:rPr>
                <w:rFonts w:hint="eastAsia" w:ascii="Times New Roman" w:hAnsi="Times New Roman" w:eastAsia="宋体" w:cs="Times New Roman"/>
                <w:kern w:val="0"/>
                <w:sz w:val="24"/>
                <w:szCs w:val="24"/>
                <w:lang w:val="zh-CN" w:eastAsia="zh-CN"/>
              </w:rPr>
              <w:t>除臭系统废水</w:t>
            </w:r>
            <w:r>
              <w:rPr>
                <w:rFonts w:hint="eastAsia" w:ascii="Times New Roman" w:hAnsi="Times New Roman" w:eastAsia="宋体" w:cs="Times New Roman"/>
                <w:color w:val="auto"/>
                <w:sz w:val="24"/>
                <w:lang w:eastAsia="zh-CN"/>
              </w:rPr>
              <w:t>产生量较小，因此，企业拟</w:t>
            </w:r>
            <w:r>
              <w:rPr>
                <w:rFonts w:hint="eastAsia" w:ascii="Times New Roman" w:hAnsi="Times New Roman" w:eastAsia="宋体" w:cs="Times New Roman"/>
                <w:color w:val="auto"/>
                <w:sz w:val="24"/>
                <w:lang w:val="en-US" w:eastAsia="zh-CN"/>
              </w:rPr>
              <w:t>将隔油后生活污水</w:t>
            </w:r>
            <w:r>
              <w:rPr>
                <w:rFonts w:hint="eastAsia" w:ascii="Times New Roman" w:hAnsi="Times New Roman" w:eastAsia="宋体" w:cs="Times New Roman"/>
                <w:color w:val="auto"/>
                <w:sz w:val="24"/>
                <w:lang w:eastAsia="zh-CN"/>
              </w:rPr>
              <w:t>及</w:t>
            </w:r>
            <w:r>
              <w:rPr>
                <w:rFonts w:hint="eastAsia" w:ascii="Times New Roman" w:hAnsi="Times New Roman" w:eastAsia="宋体" w:cs="Times New Roman"/>
                <w:kern w:val="0"/>
                <w:sz w:val="24"/>
                <w:szCs w:val="24"/>
                <w:lang w:val="zh-CN" w:eastAsia="zh-CN"/>
              </w:rPr>
              <w:t>除臭系统废水</w:t>
            </w:r>
            <w:r>
              <w:rPr>
                <w:rFonts w:hint="eastAsia" w:ascii="Times New Roman" w:hAnsi="Times New Roman" w:eastAsia="宋体" w:cs="Times New Roman"/>
                <w:color w:val="auto"/>
                <w:sz w:val="24"/>
                <w:lang w:val="en-US" w:eastAsia="zh-CN"/>
              </w:rPr>
              <w:t>一起经生化池收集</w:t>
            </w:r>
            <w:r>
              <w:rPr>
                <w:rFonts w:hint="eastAsia" w:ascii="Times New Roman" w:hAnsi="Times New Roman" w:eastAsia="宋体" w:cs="Times New Roman"/>
                <w:color w:val="auto"/>
                <w:sz w:val="24"/>
                <w:szCs w:val="24"/>
                <w:lang w:val="en-US" w:eastAsia="zh-CN"/>
              </w:rPr>
              <w:t>预处理后用于厂区绿化或作农肥，不外排</w:t>
            </w:r>
            <w:r>
              <w:rPr>
                <w:rFonts w:hint="eastAsia" w:ascii="Times New Roman" w:hAnsi="Times New Roman" w:eastAsia="宋体" w:cs="Times New Roman"/>
                <w:color w:val="auto"/>
                <w:kern w:val="0"/>
                <w:sz w:val="24"/>
                <w:szCs w:val="24"/>
                <w:lang w:eastAsia="zh-CN"/>
              </w:rPr>
              <w:t>。</w:t>
            </w:r>
          </w:p>
          <w:p>
            <w:pPr>
              <w:autoSpaceDE w:val="0"/>
              <w:autoSpaceDN w:val="0"/>
              <w:adjustRightInd w:val="0"/>
              <w:snapToGrid w:val="0"/>
              <w:spacing w:line="440" w:lineRule="exact"/>
              <w:ind w:firstLine="480" w:firstLineChars="200"/>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sz w:val="24"/>
                <w:szCs w:val="24"/>
                <w:lang w:eastAsia="zh-CN"/>
              </w:rPr>
              <w:t>现有</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座生化池处理能力</w:t>
            </w:r>
            <w:r>
              <w:rPr>
                <w:rFonts w:hint="eastAsia"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rPr>
              <w:t>10m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而现有生活污水</w:t>
            </w:r>
            <w:r>
              <w:rPr>
                <w:rFonts w:hint="eastAsia" w:ascii="Times New Roman" w:hAnsi="Times New Roman" w:eastAsia="宋体" w:cs="Times New Roman"/>
                <w:kern w:val="0"/>
                <w:sz w:val="24"/>
                <w:szCs w:val="24"/>
                <w:lang w:val="zh-CN" w:eastAsia="zh-CN"/>
              </w:rPr>
              <w:t>产生量为1.</w:t>
            </w:r>
            <w:r>
              <w:rPr>
                <w:rFonts w:hint="eastAsia" w:ascii="Times New Roman" w:hAnsi="Times New Roman" w:eastAsia="宋体" w:cs="Times New Roman"/>
                <w:kern w:val="0"/>
                <w:sz w:val="24"/>
                <w:szCs w:val="24"/>
                <w:lang w:val="en-US" w:eastAsia="zh-CN"/>
              </w:rPr>
              <w:t>08</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剩余处理能力为</w:t>
            </w:r>
            <w:r>
              <w:rPr>
                <w:rFonts w:hint="eastAsia" w:ascii="Times New Roman" w:hAnsi="Times New Roman" w:eastAsia="宋体" w:cs="Times New Roman"/>
                <w:color w:val="auto"/>
                <w:sz w:val="24"/>
                <w:szCs w:val="24"/>
                <w:lang w:val="en-US" w:eastAsia="zh-CN"/>
              </w:rPr>
              <w:t>8.92</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val="en-US" w:eastAsia="zh-CN"/>
              </w:rPr>
              <w:t>设备清洗废水</w:t>
            </w:r>
            <w:r>
              <w:rPr>
                <w:rFonts w:hint="eastAsia" w:ascii="Times New Roman" w:hAnsi="Times New Roman" w:eastAsia="宋体" w:cs="Times New Roman"/>
                <w:color w:val="auto"/>
                <w:sz w:val="24"/>
                <w:szCs w:val="24"/>
                <w:lang w:eastAsia="zh-CN"/>
              </w:rPr>
              <w:t>及</w:t>
            </w:r>
            <w:r>
              <w:rPr>
                <w:rFonts w:hint="eastAsia" w:ascii="Times New Roman" w:hAnsi="Times New Roman" w:eastAsia="宋体" w:cs="Times New Roman"/>
                <w:kern w:val="0"/>
                <w:sz w:val="24"/>
                <w:szCs w:val="24"/>
                <w:lang w:val="zh-CN" w:eastAsia="zh-CN"/>
              </w:rPr>
              <w:t>除臭系统废水总产生量为</w:t>
            </w:r>
            <w:r>
              <w:rPr>
                <w:rFonts w:hint="eastAsia" w:ascii="Times New Roman" w:hAnsi="Times New Roman" w:eastAsia="宋体" w:cs="Times New Roman"/>
                <w:kern w:val="0"/>
                <w:sz w:val="24"/>
                <w:szCs w:val="24"/>
                <w:lang w:val="en-US" w:eastAsia="zh-CN"/>
              </w:rPr>
              <w:t>1.34</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废水量远远小于生化池剩余处理能力，因此，</w:t>
            </w:r>
            <w:r>
              <w:rPr>
                <w:rFonts w:hint="eastAsia"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szCs w:val="24"/>
                <w:lang w:val="en-US" w:eastAsia="zh-CN"/>
              </w:rPr>
              <w:t>设备清洗废水</w:t>
            </w:r>
            <w:r>
              <w:rPr>
                <w:rFonts w:hint="eastAsia" w:ascii="Times New Roman" w:hAnsi="Times New Roman" w:eastAsia="宋体" w:cs="Times New Roman"/>
                <w:color w:val="auto"/>
                <w:sz w:val="24"/>
                <w:szCs w:val="24"/>
                <w:lang w:eastAsia="zh-CN"/>
              </w:rPr>
              <w:t>及</w:t>
            </w:r>
            <w:r>
              <w:rPr>
                <w:rFonts w:hint="eastAsia" w:ascii="Times New Roman" w:hAnsi="Times New Roman" w:eastAsia="宋体" w:cs="Times New Roman"/>
                <w:kern w:val="0"/>
                <w:sz w:val="24"/>
                <w:szCs w:val="24"/>
                <w:lang w:val="zh-CN" w:eastAsia="zh-CN"/>
              </w:rPr>
              <w:t>除臭系统废水依托</w:t>
            </w:r>
            <w:r>
              <w:rPr>
                <w:rFonts w:hint="eastAsia" w:ascii="Times New Roman" w:hAnsi="Times New Roman" w:eastAsia="宋体" w:cs="Times New Roman"/>
                <w:color w:val="auto"/>
                <w:sz w:val="24"/>
                <w:lang w:val="en-US" w:eastAsia="zh-CN"/>
              </w:rPr>
              <w:t>生化池处理合理可行。</w:t>
            </w:r>
          </w:p>
          <w:p>
            <w:pPr>
              <w:jc w:val="both"/>
              <w:rPr>
                <w:rFonts w:hint="eastAsia" w:ascii="Calibri" w:hAnsi="Calibri" w:eastAsiaTheme="minorEastAsia"/>
                <w:color w:val="auto"/>
                <w:sz w:val="21"/>
                <w:lang w:eastAsia="zh-CN"/>
              </w:rPr>
            </w:pPr>
          </w:p>
          <w:p>
            <w:pPr>
              <w:spacing w:line="460" w:lineRule="exact"/>
              <w:ind w:firstLine="435"/>
              <w:rPr>
                <w:rFonts w:ascii="Times New Roman" w:hAnsi="Times New Roman" w:eastAsia="宋体" w:cs="Times New Roman"/>
                <w:sz w:val="24"/>
              </w:rPr>
            </w:pPr>
          </w:p>
        </w:tc>
      </w:tr>
    </w:tbl>
    <w:p>
      <w:pPr>
        <w:widowControl/>
        <w:jc w:val="left"/>
        <w:rPr>
          <w:rFonts w:ascii="Times New Roman" w:hAnsi="Times New Roman" w:eastAsia="宋体" w:cs="Times New Roman"/>
        </w:rPr>
      </w:pPr>
      <w:r>
        <w:rPr>
          <w:rFonts w:ascii="Times New Roman" w:hAnsi="Times New Roman" w:eastAsia="宋体" w:cs="Times New Roman"/>
        </w:rPr>
        <w:br w:type="page"/>
      </w:r>
    </w:p>
    <w:p>
      <w:pPr>
        <w:jc w:val="center"/>
        <w:outlineLvl w:val="0"/>
        <w:rPr>
          <w:rFonts w:ascii="Times New Roman" w:hAnsi="Times New Roman" w:eastAsia="宋体" w:cs="Times New Roman"/>
          <w:b/>
          <w:bCs/>
          <w:sz w:val="30"/>
          <w:szCs w:val="30"/>
        </w:rPr>
      </w:pPr>
      <w:r>
        <w:rPr>
          <w:rFonts w:ascii="Times New Roman" w:hAnsi="Times New Roman" w:eastAsia="宋体" w:cs="Times New Roman"/>
          <w:b/>
          <w:bCs/>
          <w:sz w:val="30"/>
          <w:szCs w:val="30"/>
        </w:rPr>
        <w:t>三、区域环境质量现状、环境保护目标及评价标准</w:t>
      </w:r>
    </w:p>
    <w:tbl>
      <w:tblPr>
        <w:tblStyle w:val="20"/>
        <w:tblW w:w="9062"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363"/>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区域环境质量现状</w:t>
            </w:r>
          </w:p>
        </w:tc>
        <w:tc>
          <w:tcPr>
            <w:tcW w:w="8363" w:type="dxa"/>
          </w:tcPr>
          <w:p>
            <w:pPr>
              <w:autoSpaceDE w:val="0"/>
              <w:autoSpaceDN w:val="0"/>
              <w:spacing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3.1 环境质量现状</w:t>
            </w:r>
          </w:p>
          <w:p>
            <w:pPr>
              <w:autoSpaceDE w:val="0"/>
              <w:autoSpaceDN w:val="0"/>
              <w:spacing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3.1.1 大气环境质量现状</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项目位于</w:t>
            </w:r>
            <w:r>
              <w:rPr>
                <w:rFonts w:hint="eastAsia" w:ascii="Times New Roman" w:hAnsi="Times New Roman" w:eastAsia="宋体" w:cs="Times New Roman"/>
                <w:kern w:val="0"/>
                <w:sz w:val="24"/>
                <w:szCs w:val="24"/>
                <w:lang w:eastAsia="zh-CN"/>
              </w:rPr>
              <w:t>重庆市铜梁区侣俸镇凤飞村</w:t>
            </w:r>
            <w:r>
              <w:rPr>
                <w:rFonts w:ascii="Times New Roman" w:hAnsi="Times New Roman" w:eastAsia="宋体" w:cs="Times New Roman"/>
                <w:kern w:val="0"/>
                <w:sz w:val="24"/>
                <w:szCs w:val="24"/>
              </w:rPr>
              <w:t>，根据《重庆市环境空气质量功能区划分规定的通知》（渝府发[2016]19号），本项目所在地环境空气功能区划为二类区，环境空气质量执行《环境空气质量标准》（GB3095－2012）中二级标准。</w:t>
            </w:r>
          </w:p>
          <w:p>
            <w:pPr>
              <w:autoSpaceDE w:val="0"/>
              <w:autoSpaceDN w:val="0"/>
              <w:spacing w:line="360" w:lineRule="auto"/>
              <w:ind w:firstLine="482" w:firstLineChars="200"/>
              <w:rPr>
                <w:rFonts w:hint="eastAsia" w:ascii="Times New Roman" w:hAnsi="Times New Roman" w:eastAsia="宋体" w:cs="Times New Roman"/>
                <w:b/>
                <w:bCs/>
                <w:kern w:val="0"/>
                <w:sz w:val="24"/>
                <w:szCs w:val="24"/>
                <w:lang w:eastAsia="zh-CN"/>
              </w:rPr>
            </w:pPr>
            <w:r>
              <w:rPr>
                <w:rFonts w:ascii="Times New Roman" w:hAnsi="Times New Roman" w:eastAsia="宋体" w:cs="Times New Roman"/>
                <w:b/>
                <w:bCs/>
                <w:kern w:val="0"/>
                <w:sz w:val="24"/>
                <w:szCs w:val="24"/>
              </w:rPr>
              <w:t>1、</w:t>
            </w:r>
            <w:r>
              <w:rPr>
                <w:rFonts w:hint="eastAsia" w:ascii="Times New Roman" w:hAnsi="Times New Roman" w:eastAsia="宋体" w:cs="Times New Roman"/>
                <w:b/>
                <w:bCs/>
                <w:kern w:val="0"/>
                <w:sz w:val="24"/>
                <w:szCs w:val="24"/>
                <w:lang w:eastAsia="zh-CN"/>
              </w:rPr>
              <w:t>达标区判定</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sz w:val="24"/>
                <w:lang w:val="en-US" w:eastAsia="zh-CN"/>
              </w:rPr>
              <w:t>本</w:t>
            </w:r>
            <w:r>
              <w:rPr>
                <w:rFonts w:hint="default" w:ascii="Times New Roman" w:hAnsi="Times New Roman" w:eastAsia="宋体" w:cs="Times New Roman"/>
                <w:sz w:val="24"/>
                <w:lang w:eastAsia="zh-CN"/>
              </w:rPr>
              <w:t>项目位于</w:t>
            </w:r>
            <w:r>
              <w:rPr>
                <w:rFonts w:hint="eastAsia" w:ascii="Times New Roman" w:hAnsi="Times New Roman" w:eastAsia="宋体" w:cs="Times New Roman"/>
                <w:sz w:val="24"/>
                <w:lang w:val="en-US" w:eastAsia="zh-CN"/>
              </w:rPr>
              <w:t>铜梁区</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根据《</w:t>
            </w:r>
            <w:r>
              <w:rPr>
                <w:rFonts w:hint="eastAsia" w:ascii="Times New Roman" w:hAnsi="Times New Roman" w:eastAsia="宋体" w:cs="Times New Roman"/>
                <w:sz w:val="24"/>
                <w:lang w:val="en-US" w:eastAsia="zh-CN"/>
              </w:rPr>
              <w:t>2022年</w:t>
            </w:r>
            <w:r>
              <w:rPr>
                <w:rFonts w:hint="default" w:ascii="Times New Roman" w:hAnsi="Times New Roman" w:eastAsia="宋体" w:cs="Times New Roman"/>
                <w:sz w:val="24"/>
              </w:rPr>
              <w:t>重庆市生态环境状况公报》，项目所在区域环境空气中SO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、NO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10</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2.5</w:t>
            </w:r>
            <w:r>
              <w:rPr>
                <w:rFonts w:hint="default" w:ascii="Times New Roman" w:hAnsi="Times New Roman" w:eastAsia="宋体" w:cs="Times New Roman"/>
                <w:sz w:val="24"/>
              </w:rPr>
              <w:t>、O</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、CO浓度</w:t>
            </w:r>
            <w:r>
              <w:rPr>
                <w:rFonts w:ascii="Times New Roman" w:hAnsi="Times New Roman" w:eastAsia="宋体" w:cs="Times New Roman"/>
                <w:kern w:val="0"/>
                <w:sz w:val="24"/>
                <w:szCs w:val="24"/>
              </w:rPr>
              <w:t>监测结果详见表3.</w:t>
            </w:r>
            <w:r>
              <w:rPr>
                <w:rFonts w:hint="eastAsia" w:ascii="Times New Roman" w:hAnsi="Times New Roman" w:eastAsia="宋体" w:cs="Times New Roman"/>
                <w:kern w:val="0"/>
                <w:sz w:val="24"/>
                <w:szCs w:val="24"/>
                <w:lang w:val="en-US" w:eastAsia="zh-CN"/>
              </w:rPr>
              <w:t>1</w:t>
            </w:r>
            <w:r>
              <w:rPr>
                <w:rFonts w:ascii="Times New Roman" w:hAnsi="Times New Roman" w:eastAsia="宋体" w:cs="Times New Roman"/>
                <w:kern w:val="0"/>
                <w:sz w:val="24"/>
                <w:szCs w:val="24"/>
              </w:rPr>
              <w:t>-1。</w:t>
            </w:r>
          </w:p>
          <w:p>
            <w:pPr>
              <w:autoSpaceDE w:val="0"/>
              <w:autoSpaceDN w:val="0"/>
              <w:spacing w:line="440" w:lineRule="exact"/>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表3</w:t>
            </w:r>
            <w:r>
              <w:rPr>
                <w:rFonts w:hint="eastAsia" w:ascii="Times New Roman" w:hAnsi="Times New Roman" w:eastAsia="宋体" w:cs="Times New Roman"/>
                <w:b/>
                <w:bCs/>
                <w:kern w:val="0"/>
                <w:sz w:val="24"/>
                <w:szCs w:val="24"/>
                <w:lang w:val="en-US" w:eastAsia="zh-CN"/>
              </w:rPr>
              <w:t>.1</w:t>
            </w:r>
            <w:r>
              <w:rPr>
                <w:rFonts w:ascii="Times New Roman" w:hAnsi="Times New Roman" w:eastAsia="宋体" w:cs="Times New Roman"/>
                <w:b/>
                <w:bCs/>
                <w:kern w:val="0"/>
                <w:sz w:val="24"/>
                <w:szCs w:val="24"/>
              </w:rPr>
              <w:t>-1</w:t>
            </w:r>
            <w:r>
              <w:rPr>
                <w:rFonts w:hint="eastAsia" w:ascii="Times New Roman" w:hAnsi="Times New Roman" w:eastAsia="宋体" w:cs="Times New Roman"/>
                <w:b/>
                <w:bCs/>
                <w:kern w:val="0"/>
                <w:sz w:val="24"/>
                <w:szCs w:val="24"/>
                <w:lang w:val="en-US" w:eastAsia="zh-CN"/>
              </w:rPr>
              <w:t xml:space="preserve">  铜梁区</w:t>
            </w:r>
            <w:r>
              <w:rPr>
                <w:rFonts w:hint="eastAsia" w:ascii="Times New Roman" w:hAnsi="Times New Roman" w:eastAsia="宋体" w:cs="Times New Roman"/>
                <w:b/>
                <w:bCs/>
                <w:kern w:val="0"/>
                <w:sz w:val="24"/>
                <w:szCs w:val="24"/>
                <w:lang w:eastAsia="zh-CN"/>
              </w:rPr>
              <w:t>环境</w:t>
            </w:r>
            <w:r>
              <w:rPr>
                <w:rFonts w:ascii="Times New Roman" w:hAnsi="Times New Roman" w:eastAsia="宋体" w:cs="Times New Roman"/>
                <w:b/>
                <w:bCs/>
                <w:kern w:val="0"/>
                <w:sz w:val="24"/>
                <w:szCs w:val="24"/>
              </w:rPr>
              <w:t>空气质量现状一览表</w:t>
            </w:r>
            <w:r>
              <w:rPr>
                <w:rFonts w:hint="eastAsia" w:ascii="Times New Roman" w:hAnsi="Times New Roman" w:eastAsia="宋体" w:cs="Times New Roman"/>
                <w:b/>
                <w:bCs/>
                <w:kern w:val="0"/>
                <w:sz w:val="24"/>
                <w:szCs w:val="24"/>
                <w:lang w:val="en-US" w:eastAsia="zh-CN"/>
              </w:rPr>
              <w:t xml:space="preserve">   单位：u</w:t>
            </w:r>
            <w:r>
              <w:rPr>
                <w:rFonts w:ascii="Times New Roman" w:hAnsi="Times New Roman" w:eastAsia="宋体" w:cs="Times New Roman"/>
                <w:b/>
                <w:bCs/>
                <w:kern w:val="0"/>
                <w:sz w:val="24"/>
                <w:szCs w:val="24"/>
              </w:rPr>
              <w:t>g/m</w:t>
            </w:r>
            <w:r>
              <w:rPr>
                <w:rFonts w:ascii="Times New Roman" w:hAnsi="Times New Roman" w:eastAsia="宋体" w:cs="Times New Roman"/>
                <w:b/>
                <w:bCs/>
                <w:kern w:val="0"/>
                <w:sz w:val="24"/>
                <w:szCs w:val="24"/>
                <w:vertAlign w:val="superscript"/>
              </w:rPr>
              <w:t>3</w:t>
            </w:r>
          </w:p>
          <w:tbl>
            <w:tblPr>
              <w:tblStyle w:val="20"/>
              <w:tblW w:w="49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3029"/>
              <w:gridCol w:w="1359"/>
              <w:gridCol w:w="1314"/>
              <w:gridCol w:w="873"/>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03" w:type="pct"/>
                  <w:noWrap w:val="0"/>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1874" w:type="pct"/>
                  <w:noWrap w:val="0"/>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平均时段</w:t>
                  </w:r>
                </w:p>
              </w:tc>
              <w:tc>
                <w:tcPr>
                  <w:tcW w:w="841" w:type="pct"/>
                  <w:noWrap w:val="0"/>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现状浓度</w:t>
                  </w:r>
                </w:p>
              </w:tc>
              <w:tc>
                <w:tcPr>
                  <w:tcW w:w="813" w:type="pct"/>
                  <w:noWrap w:val="0"/>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540" w:type="pct"/>
                  <w:noWrap w:val="0"/>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占标率/%</w:t>
                  </w:r>
                </w:p>
              </w:tc>
              <w:tc>
                <w:tcPr>
                  <w:tcW w:w="426" w:type="pct"/>
                  <w:noWrap w:val="0"/>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03" w:type="pct"/>
                  <w:noWrap/>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874" w:type="pct"/>
                  <w:noWrap w:val="0"/>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841" w:type="pct"/>
                  <w:noWrap w:val="0"/>
                  <w:vAlign w:val="center"/>
                </w:tcPr>
                <w:p>
                  <w:pPr>
                    <w:pStyle w:val="7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813" w:type="pct"/>
                  <w:noWrap/>
                  <w:vAlign w:val="center"/>
                </w:tcPr>
                <w:p>
                  <w:pPr>
                    <w:pStyle w:val="7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873" w:type="dxa"/>
                  <w:noWrap/>
                  <w:vAlign w:val="center"/>
                </w:tcPr>
                <w:p>
                  <w:pPr>
                    <w:pStyle w:val="7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0.18 </w:t>
                  </w:r>
                </w:p>
              </w:tc>
              <w:tc>
                <w:tcPr>
                  <w:tcW w:w="426" w:type="pct"/>
                  <w:noWrap/>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03" w:type="pct"/>
                  <w:noWrap/>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874" w:type="pct"/>
                  <w:noWrap w:val="0"/>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841" w:type="pct"/>
                  <w:noWrap w:val="0"/>
                  <w:vAlign w:val="center"/>
                </w:tcPr>
                <w:p>
                  <w:pPr>
                    <w:pStyle w:val="7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w:t>
                  </w:r>
                </w:p>
              </w:tc>
              <w:tc>
                <w:tcPr>
                  <w:tcW w:w="813" w:type="pct"/>
                  <w:noWrap/>
                  <w:vAlign w:val="center"/>
                </w:tcPr>
                <w:p>
                  <w:pPr>
                    <w:pStyle w:val="7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873" w:type="dxa"/>
                  <w:noWrap/>
                  <w:vAlign w:val="center"/>
                </w:tcPr>
                <w:p>
                  <w:pPr>
                    <w:pStyle w:val="7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0.68 </w:t>
                  </w:r>
                </w:p>
              </w:tc>
              <w:tc>
                <w:tcPr>
                  <w:tcW w:w="426" w:type="pct"/>
                  <w:noWrap/>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03" w:type="pct"/>
                  <w:noWrap/>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874" w:type="pct"/>
                  <w:noWrap w:val="0"/>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841" w:type="pct"/>
                  <w:noWrap w:val="0"/>
                  <w:vAlign w:val="center"/>
                </w:tcPr>
                <w:p>
                  <w:pPr>
                    <w:pStyle w:val="7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53</w:t>
                  </w:r>
                </w:p>
              </w:tc>
              <w:tc>
                <w:tcPr>
                  <w:tcW w:w="813" w:type="pct"/>
                  <w:noWrap/>
                  <w:vAlign w:val="center"/>
                </w:tcPr>
                <w:p>
                  <w:pPr>
                    <w:pStyle w:val="7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873" w:type="dxa"/>
                  <w:noWrap/>
                  <w:vAlign w:val="center"/>
                </w:tcPr>
                <w:p>
                  <w:pPr>
                    <w:pStyle w:val="7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0.76 </w:t>
                  </w:r>
                </w:p>
              </w:tc>
              <w:tc>
                <w:tcPr>
                  <w:tcW w:w="426" w:type="pct"/>
                  <w:noWrap/>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03" w:type="pct"/>
                  <w:noWrap/>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874" w:type="pct"/>
                  <w:noWrap w:val="0"/>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841" w:type="pct"/>
                  <w:noWrap w:val="0"/>
                  <w:vAlign w:val="center"/>
                </w:tcPr>
                <w:p>
                  <w:pPr>
                    <w:pStyle w:val="7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w:t>
                  </w:r>
                </w:p>
              </w:tc>
              <w:tc>
                <w:tcPr>
                  <w:tcW w:w="813" w:type="pct"/>
                  <w:noWrap/>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873" w:type="dxa"/>
                  <w:noWrap/>
                  <w:vAlign w:val="center"/>
                </w:tcPr>
                <w:p>
                  <w:pPr>
                    <w:pStyle w:val="7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0.97 </w:t>
                  </w:r>
                </w:p>
              </w:tc>
              <w:tc>
                <w:tcPr>
                  <w:tcW w:w="426" w:type="pct"/>
                  <w:noWrap/>
                  <w:vAlign w:val="center"/>
                </w:tcPr>
                <w:p>
                  <w:pPr>
                    <w:pStyle w:val="79"/>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noWrap/>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874" w:type="pct"/>
                  <w:noWrap w:val="0"/>
                  <w:vAlign w:val="center"/>
                </w:tcPr>
                <w:p>
                  <w:pPr>
                    <w:autoSpaceDE w:val="0"/>
                    <w:adjustRightInd w:val="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日均浓度的第95百位分数</w:t>
                  </w:r>
                </w:p>
              </w:tc>
              <w:tc>
                <w:tcPr>
                  <w:tcW w:w="841" w:type="pct"/>
                  <w:noWrap w:val="0"/>
                  <w:vAlign w:val="center"/>
                </w:tcPr>
                <w:p>
                  <w:pPr>
                    <w:pStyle w:val="7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149</w:t>
                  </w:r>
                </w:p>
              </w:tc>
              <w:tc>
                <w:tcPr>
                  <w:tcW w:w="813" w:type="pct"/>
                  <w:noWrap/>
                  <w:vAlign w:val="center"/>
                </w:tcPr>
                <w:p>
                  <w:pPr>
                    <w:pStyle w:val="7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w:t>
                  </w:r>
                </w:p>
              </w:tc>
              <w:tc>
                <w:tcPr>
                  <w:tcW w:w="873" w:type="dxa"/>
                  <w:noWrap/>
                  <w:vAlign w:val="center"/>
                </w:tcPr>
                <w:p>
                  <w:pPr>
                    <w:pStyle w:val="7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0.93 </w:t>
                  </w:r>
                </w:p>
              </w:tc>
              <w:tc>
                <w:tcPr>
                  <w:tcW w:w="426" w:type="pct"/>
                  <w:noWrap/>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03" w:type="pct"/>
                  <w:noWrap/>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874" w:type="pct"/>
                  <w:noWrap w:val="0"/>
                  <w:vAlign w:val="center"/>
                </w:tcPr>
                <w:p>
                  <w:pPr>
                    <w:autoSpaceDE w:val="0"/>
                    <w:adjustRightInd w:val="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日最大8h评价浓度的第90百分位数</w:t>
                  </w:r>
                </w:p>
              </w:tc>
              <w:tc>
                <w:tcPr>
                  <w:tcW w:w="841" w:type="pct"/>
                  <w:noWrap w:val="0"/>
                  <w:vAlign w:val="center"/>
                </w:tcPr>
                <w:p>
                  <w:pPr>
                    <w:pStyle w:val="7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1.</w:t>
                  </w:r>
                  <w:r>
                    <w:rPr>
                      <w:rFonts w:hint="eastAsia" w:cs="Times New Roman"/>
                      <w:b w:val="0"/>
                      <w:bCs w:val="0"/>
                      <w:color w:val="auto"/>
                      <w:sz w:val="21"/>
                      <w:szCs w:val="21"/>
                      <w:lang w:val="en-US" w:eastAsia="zh-CN"/>
                    </w:rPr>
                    <w:t>0</w:t>
                  </w:r>
                  <w:r>
                    <w:rPr>
                      <w:rFonts w:hint="default" w:ascii="Times New Roman" w:hAnsi="Times New Roman" w:eastAsia="宋体" w:cs="Times New Roman"/>
                      <w:b w:val="0"/>
                      <w:bCs w:val="0"/>
                      <w:kern w:val="0"/>
                      <w:sz w:val="21"/>
                      <w:szCs w:val="21"/>
                      <w:lang w:val="en-US" w:eastAsia="zh-CN"/>
                    </w:rPr>
                    <w:t>m</w:t>
                  </w:r>
                  <w:r>
                    <w:rPr>
                      <w:rFonts w:hint="default" w:ascii="Times New Roman" w:hAnsi="Times New Roman" w:eastAsia="宋体" w:cs="Times New Roman"/>
                      <w:b w:val="0"/>
                      <w:bCs w:val="0"/>
                      <w:kern w:val="0"/>
                      <w:sz w:val="21"/>
                      <w:szCs w:val="21"/>
                    </w:rPr>
                    <w:t>g/m</w:t>
                  </w:r>
                  <w:r>
                    <w:rPr>
                      <w:rFonts w:hint="default" w:ascii="Times New Roman" w:hAnsi="Times New Roman" w:eastAsia="宋体" w:cs="Times New Roman"/>
                      <w:b w:val="0"/>
                      <w:bCs w:val="0"/>
                      <w:kern w:val="0"/>
                      <w:sz w:val="21"/>
                      <w:szCs w:val="21"/>
                      <w:vertAlign w:val="superscript"/>
                    </w:rPr>
                    <w:t>3</w:t>
                  </w:r>
                </w:p>
              </w:tc>
              <w:tc>
                <w:tcPr>
                  <w:tcW w:w="813" w:type="pct"/>
                  <w:noWrap/>
                  <w:vAlign w:val="center"/>
                </w:tcPr>
                <w:p>
                  <w:pPr>
                    <w:pStyle w:val="7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r>
                    <w:rPr>
                      <w:rFonts w:hint="default" w:ascii="Times New Roman" w:hAnsi="Times New Roman" w:eastAsia="宋体" w:cs="Times New Roman"/>
                      <w:b w:val="0"/>
                      <w:bCs w:val="0"/>
                      <w:kern w:val="0"/>
                      <w:sz w:val="21"/>
                      <w:szCs w:val="21"/>
                      <w:lang w:val="en-US" w:eastAsia="zh-CN"/>
                    </w:rPr>
                    <w:t>m</w:t>
                  </w:r>
                  <w:r>
                    <w:rPr>
                      <w:rFonts w:hint="default" w:ascii="Times New Roman" w:hAnsi="Times New Roman" w:eastAsia="宋体" w:cs="Times New Roman"/>
                      <w:b w:val="0"/>
                      <w:bCs w:val="0"/>
                      <w:kern w:val="0"/>
                      <w:sz w:val="21"/>
                      <w:szCs w:val="21"/>
                    </w:rPr>
                    <w:t>g/m</w:t>
                  </w:r>
                  <w:r>
                    <w:rPr>
                      <w:rFonts w:hint="default" w:ascii="Times New Roman" w:hAnsi="Times New Roman" w:eastAsia="宋体" w:cs="Times New Roman"/>
                      <w:b w:val="0"/>
                      <w:bCs w:val="0"/>
                      <w:kern w:val="0"/>
                      <w:sz w:val="21"/>
                      <w:szCs w:val="21"/>
                      <w:vertAlign w:val="superscript"/>
                    </w:rPr>
                    <w:t>3</w:t>
                  </w:r>
                </w:p>
              </w:tc>
              <w:tc>
                <w:tcPr>
                  <w:tcW w:w="540" w:type="pct"/>
                  <w:noWrap/>
                  <w:vAlign w:val="center"/>
                </w:tcPr>
                <w:p>
                  <w:pPr>
                    <w:pStyle w:val="7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0.25</w:t>
                  </w:r>
                </w:p>
              </w:tc>
              <w:tc>
                <w:tcPr>
                  <w:tcW w:w="426" w:type="pct"/>
                  <w:noWrap/>
                  <w:vAlign w:val="center"/>
                </w:tcPr>
                <w:p>
                  <w:pPr>
                    <w:pStyle w:val="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autoSpaceDE w:val="0"/>
              <w:autoSpaceDN w:val="0"/>
              <w:adjustRightInd w:val="0"/>
              <w:snapToGrid w:val="0"/>
              <w:spacing w:line="360" w:lineRule="auto"/>
              <w:ind w:firstLine="480" w:firstLineChars="200"/>
              <w:rPr>
                <w:rFonts w:hint="eastAsia" w:ascii="Times New Roman" w:hAnsi="Times New Roman" w:eastAsia="宋体" w:cs="Times New Roman"/>
                <w:kern w:val="0"/>
                <w:sz w:val="24"/>
                <w:szCs w:val="24"/>
                <w:lang w:val="en-US" w:eastAsia="zh-CN"/>
              </w:rPr>
            </w:pPr>
            <w:r>
              <w:rPr>
                <w:rFonts w:ascii="Times New Roman" w:hAnsi="Times New Roman" w:eastAsia="宋体" w:cs="Times New Roman"/>
                <w:kern w:val="0"/>
                <w:sz w:val="24"/>
                <w:szCs w:val="24"/>
              </w:rPr>
              <w:t>由表3.1-1知，</w:t>
            </w:r>
            <w:r>
              <w:rPr>
                <w:rFonts w:hint="eastAsia" w:ascii="Times New Roman" w:hAnsi="Times New Roman" w:eastAsia="宋体" w:cs="Times New Roman"/>
                <w:kern w:val="0"/>
                <w:sz w:val="24"/>
                <w:szCs w:val="24"/>
                <w:lang w:val="en-US" w:eastAsia="zh-CN"/>
              </w:rPr>
              <w:t>铜梁区</w:t>
            </w:r>
            <w:r>
              <w:rPr>
                <w:rFonts w:ascii="Times New Roman" w:hAnsi="Times New Roman" w:eastAsia="宋体" w:cs="Times New Roman"/>
                <w:kern w:val="0"/>
                <w:sz w:val="24"/>
                <w:szCs w:val="24"/>
              </w:rPr>
              <w:t>SO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、NO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、PM</w:t>
            </w:r>
            <w:r>
              <w:rPr>
                <w:rFonts w:ascii="Times New Roman" w:hAnsi="Times New Roman" w:eastAsia="宋体" w:cs="Times New Roman"/>
                <w:kern w:val="0"/>
                <w:sz w:val="24"/>
                <w:szCs w:val="24"/>
                <w:vertAlign w:val="subscript"/>
              </w:rPr>
              <w:t>10</w:t>
            </w:r>
            <w:r>
              <w:rPr>
                <w:rFonts w:ascii="Times New Roman" w:hAnsi="Times New Roman" w:eastAsia="宋体" w:cs="Times New Roman"/>
                <w:kern w:val="0"/>
                <w:sz w:val="24"/>
                <w:szCs w:val="24"/>
              </w:rPr>
              <w:t>、PM</w:t>
            </w:r>
            <w:r>
              <w:rPr>
                <w:rFonts w:ascii="Times New Roman" w:hAnsi="Times New Roman" w:eastAsia="宋体" w:cs="Times New Roman"/>
                <w:kern w:val="0"/>
                <w:sz w:val="24"/>
                <w:szCs w:val="24"/>
                <w:vertAlign w:val="subscript"/>
              </w:rPr>
              <w:t>2.5</w:t>
            </w:r>
            <w:r>
              <w:rPr>
                <w:rFonts w:ascii="Times New Roman" w:hAnsi="Times New Roman" w:eastAsia="宋体" w:cs="Times New Roman"/>
                <w:kern w:val="0"/>
                <w:sz w:val="24"/>
                <w:szCs w:val="24"/>
              </w:rPr>
              <w:t>、O</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、CO均满足《环境空气质量标准》（GB3095-2012）中二级标准要求，</w:t>
            </w:r>
            <w:r>
              <w:rPr>
                <w:rFonts w:hint="eastAsia" w:ascii="Times New Roman" w:hAnsi="Times New Roman" w:eastAsia="宋体" w:cs="Times New Roman"/>
                <w:kern w:val="0"/>
                <w:sz w:val="24"/>
                <w:szCs w:val="24"/>
                <w:lang w:val="en-US" w:eastAsia="zh-CN"/>
              </w:rPr>
              <w:t>据此判断</w:t>
            </w:r>
            <w:r>
              <w:rPr>
                <w:rFonts w:hint="eastAsia" w:ascii="Times New Roman" w:hAnsi="Times New Roman" w:eastAsia="宋体" w:cs="Times New Roman"/>
                <w:sz w:val="24"/>
                <w:lang w:val="en-US" w:eastAsia="zh-CN"/>
              </w:rPr>
              <w:t>铜梁区</w:t>
            </w:r>
            <w:r>
              <w:rPr>
                <w:rFonts w:ascii="Times New Roman" w:hAnsi="Times New Roman" w:eastAsia="宋体" w:cs="Times New Roman"/>
                <w:kern w:val="0"/>
                <w:sz w:val="24"/>
                <w:szCs w:val="24"/>
              </w:rPr>
              <w:t>属于达标区域</w:t>
            </w:r>
            <w:r>
              <w:rPr>
                <w:rFonts w:hint="eastAsia" w:ascii="Times New Roman" w:hAnsi="Times New Roman" w:eastAsia="宋体" w:cs="Times New Roman"/>
                <w:kern w:val="0"/>
                <w:sz w:val="24"/>
                <w:szCs w:val="24"/>
                <w:lang w:val="en-US" w:eastAsia="zh-CN"/>
              </w:rPr>
              <w:t>。</w:t>
            </w:r>
          </w:p>
          <w:p>
            <w:pPr>
              <w:autoSpaceDE w:val="0"/>
              <w:autoSpaceDN w:val="0"/>
              <w:spacing w:line="360" w:lineRule="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3.1.2 地表水环境质量现状</w:t>
            </w:r>
          </w:p>
          <w:p>
            <w:pPr>
              <w:autoSpaceDE w:val="0"/>
              <w:autoSpaceDN w:val="0"/>
              <w:adjustRightIn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kern w:val="0"/>
                <w:sz w:val="24"/>
                <w:szCs w:val="24"/>
                <w:lang w:eastAsia="zh-CN"/>
              </w:rPr>
              <w:t>本</w:t>
            </w:r>
            <w:r>
              <w:rPr>
                <w:rFonts w:hint="default" w:ascii="Times New Roman" w:hAnsi="Times New Roman" w:eastAsia="宋体" w:cs="Times New Roman"/>
                <w:kern w:val="0"/>
                <w:sz w:val="24"/>
                <w:szCs w:val="24"/>
                <w:lang w:eastAsia="zh-CN"/>
              </w:rPr>
              <w:t>项目</w:t>
            </w:r>
            <w:r>
              <w:rPr>
                <w:rFonts w:hint="eastAsia" w:ascii="Times New Roman" w:hAnsi="Times New Roman" w:eastAsia="宋体" w:cs="Times New Roman"/>
                <w:kern w:val="0"/>
                <w:sz w:val="24"/>
                <w:szCs w:val="24"/>
                <w:lang w:val="en-US" w:eastAsia="zh-CN"/>
              </w:rPr>
              <w:t>受纳</w:t>
            </w:r>
            <w:r>
              <w:rPr>
                <w:rFonts w:hint="default" w:ascii="Times New Roman" w:hAnsi="Times New Roman" w:eastAsia="宋体" w:cs="Times New Roman"/>
                <w:kern w:val="0"/>
                <w:sz w:val="24"/>
                <w:szCs w:val="24"/>
                <w:lang w:eastAsia="zh-CN"/>
              </w:rPr>
              <w:t>水体为</w:t>
            </w:r>
            <w:r>
              <w:rPr>
                <w:rFonts w:hint="default" w:ascii="Times New Roman" w:hAnsi="Times New Roman" w:eastAsia="宋体" w:cs="Times New Roman"/>
                <w:kern w:val="0"/>
                <w:sz w:val="24"/>
                <w:szCs w:val="24"/>
                <w:lang w:val="en-US" w:eastAsia="zh-CN"/>
              </w:rPr>
              <w:t>滩远河</w:t>
            </w:r>
            <w:r>
              <w:rPr>
                <w:rFonts w:hint="default" w:ascii="Times New Roman" w:hAnsi="Times New Roman" w:eastAsia="宋体" w:cs="Times New Roman"/>
                <w:kern w:val="0"/>
                <w:sz w:val="24"/>
                <w:szCs w:val="24"/>
                <w:lang w:eastAsia="zh-CN"/>
              </w:rPr>
              <w:t>，根据《重庆市人民政府批转重庆市地表水环境功能类别调整方案的通知》（渝府发[2012]4号）规定，</w:t>
            </w:r>
            <w:r>
              <w:rPr>
                <w:rFonts w:hint="eastAsia" w:ascii="Times New Roman" w:hAnsi="Times New Roman" w:eastAsia="宋体" w:cs="Times New Roman"/>
                <w:kern w:val="0"/>
                <w:sz w:val="24"/>
                <w:szCs w:val="24"/>
                <w:lang w:val="en-US" w:eastAsia="zh-CN"/>
              </w:rPr>
              <w:t>滩远河</w:t>
            </w:r>
            <w:r>
              <w:rPr>
                <w:rFonts w:hint="default" w:ascii="Times New Roman" w:hAnsi="Times New Roman" w:eastAsia="宋体" w:cs="Times New Roman"/>
                <w:kern w:val="0"/>
                <w:sz w:val="24"/>
                <w:szCs w:val="24"/>
                <w:lang w:eastAsia="zh-CN"/>
              </w:rPr>
              <w:t>为Ⅳ类水域，执行《地表水环境</w:t>
            </w:r>
            <w:r>
              <w:rPr>
                <w:rFonts w:hint="default" w:ascii="Times New Roman" w:hAnsi="Times New Roman" w:eastAsia="宋体" w:cs="Times New Roman"/>
                <w:color w:val="auto"/>
                <w:kern w:val="0"/>
                <w:sz w:val="24"/>
                <w:szCs w:val="24"/>
                <w:lang w:eastAsia="zh-CN"/>
              </w:rPr>
              <w:t>质量标准》（GB3838-2002）</w:t>
            </w:r>
            <w:r>
              <w:rPr>
                <w:rFonts w:hint="default" w:ascii="Times New Roman" w:hAnsi="Times New Roman" w:eastAsia="宋体" w:cs="Times New Roman"/>
                <w:kern w:val="0"/>
                <w:sz w:val="24"/>
                <w:szCs w:val="24"/>
                <w:lang w:eastAsia="zh-CN"/>
              </w:rPr>
              <w:t>Ⅳ</w:t>
            </w:r>
            <w:r>
              <w:rPr>
                <w:rFonts w:hint="default" w:ascii="Times New Roman" w:hAnsi="Times New Roman" w:eastAsia="宋体" w:cs="Times New Roman"/>
                <w:color w:val="auto"/>
                <w:kern w:val="0"/>
                <w:sz w:val="24"/>
                <w:szCs w:val="24"/>
                <w:lang w:eastAsia="zh-CN"/>
              </w:rPr>
              <w:t>类标准</w:t>
            </w:r>
            <w:r>
              <w:rPr>
                <w:rFonts w:ascii="Times New Roman" w:hAnsi="Times New Roman" w:eastAsia="宋体" w:cs="Times New Roman"/>
                <w:color w:val="auto"/>
                <w:kern w:val="0"/>
                <w:sz w:val="24"/>
                <w:szCs w:val="24"/>
              </w:rPr>
              <w:t>。</w:t>
            </w:r>
          </w:p>
          <w:p>
            <w:pPr>
              <w:autoSpaceDE w:val="0"/>
              <w:autoSpaceDN w:val="0"/>
              <w:adjustRightIn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（1）评价依据</w:t>
            </w:r>
          </w:p>
          <w:p>
            <w:pPr>
              <w:autoSpaceDE w:val="0"/>
              <w:autoSpaceDN w:val="0"/>
              <w:adjustRightInd w:val="0"/>
              <w:spacing w:line="360" w:lineRule="auto"/>
              <w:ind w:firstLine="480" w:firstLineChars="200"/>
              <w:jc w:val="left"/>
              <w:rPr>
                <w:rFonts w:ascii="Times New Roman" w:hAnsi="Times New Roman" w:eastAsia="宋体" w:cs="Times New Roman"/>
                <w:color w:val="FF0000"/>
                <w:kern w:val="0"/>
                <w:sz w:val="24"/>
                <w:szCs w:val="24"/>
              </w:rPr>
            </w:pPr>
            <w:r>
              <w:rPr>
                <w:rFonts w:hint="default" w:ascii="Times New Roman" w:hAnsi="Times New Roman" w:eastAsia="宋体" w:cs="Times New Roman"/>
                <w:color w:val="auto"/>
                <w:sz w:val="24"/>
                <w:szCs w:val="24"/>
              </w:rPr>
              <w:t>本次</w:t>
            </w:r>
            <w:r>
              <w:rPr>
                <w:rFonts w:hint="default" w:ascii="Times New Roman" w:hAnsi="Times New Roman" w:eastAsia="宋体" w:cs="Times New Roman"/>
                <w:color w:val="auto"/>
                <w:sz w:val="24"/>
                <w:szCs w:val="24"/>
                <w:lang w:eastAsia="zh-CN"/>
              </w:rPr>
              <w:t>评价</w:t>
            </w:r>
            <w:r>
              <w:rPr>
                <w:rFonts w:hint="default" w:ascii="Times New Roman" w:hAnsi="Times New Roman" w:eastAsia="宋体" w:cs="Times New Roman"/>
                <w:color w:val="auto"/>
                <w:sz w:val="24"/>
                <w:szCs w:val="24"/>
              </w:rPr>
              <w:t>引用</w:t>
            </w:r>
            <w:r>
              <w:rPr>
                <w:rFonts w:hint="eastAsia" w:ascii="Times New Roman" w:hAnsi="Times New Roman" w:eastAsia="宋体" w:cs="Times New Roman"/>
                <w:color w:val="auto"/>
                <w:sz w:val="24"/>
                <w:szCs w:val="24"/>
                <w:lang w:val="en-US" w:eastAsia="zh-CN"/>
              </w:rPr>
              <w:t>2022年</w:t>
            </w:r>
            <w:r>
              <w:rPr>
                <w:rFonts w:hint="eastAsia" w:ascii="Times New Roman" w:hAnsi="Times New Roman" w:eastAsia="宋体" w:cs="Times New Roman"/>
                <w:color w:val="auto"/>
                <w:sz w:val="24"/>
                <w:szCs w:val="24"/>
                <w:lang w:eastAsia="zh-CN"/>
              </w:rPr>
              <w:t>滩远河</w:t>
            </w:r>
            <w:r>
              <w:rPr>
                <w:rFonts w:hint="eastAsia" w:ascii="Times New Roman" w:hAnsi="Times New Roman" w:eastAsia="宋体" w:cs="Times New Roman"/>
                <w:color w:val="auto"/>
                <w:sz w:val="24"/>
                <w:szCs w:val="24"/>
                <w:lang w:val="en-US" w:eastAsia="zh-CN"/>
              </w:rPr>
              <w:t>众志桥断面</w:t>
            </w:r>
            <w:r>
              <w:rPr>
                <w:rFonts w:hint="default" w:ascii="Times New Roman" w:hAnsi="Times New Roman" w:eastAsia="宋体" w:cs="Times New Roman"/>
                <w:color w:val="auto"/>
                <w:sz w:val="24"/>
                <w:szCs w:val="24"/>
                <w:lang w:eastAsia="zh-CN"/>
              </w:rPr>
              <w:t>水环境质量</w:t>
            </w:r>
            <w:r>
              <w:rPr>
                <w:rFonts w:hint="eastAsia" w:ascii="Times New Roman" w:hAnsi="Times New Roman" w:eastAsia="宋体" w:cs="Times New Roman"/>
                <w:color w:val="auto"/>
                <w:sz w:val="24"/>
                <w:szCs w:val="24"/>
                <w:lang w:eastAsia="zh-CN"/>
              </w:rPr>
              <w:t>现状</w:t>
            </w:r>
            <w:r>
              <w:rPr>
                <w:rFonts w:hint="default" w:ascii="Times New Roman" w:hAnsi="Times New Roman" w:eastAsia="宋体" w:cs="Times New Roman"/>
                <w:sz w:val="24"/>
                <w:szCs w:val="24"/>
                <w:lang w:eastAsia="zh-CN"/>
              </w:rPr>
              <w:t>监测数据</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lang w:eastAsia="zh-CN"/>
              </w:rPr>
              <w:t>监测至今</w:t>
            </w:r>
            <w:r>
              <w:rPr>
                <w:rFonts w:hint="default" w:ascii="Times New Roman" w:hAnsi="Times New Roman" w:eastAsia="宋体" w:cs="Times New Roman"/>
                <w:kern w:val="0"/>
                <w:sz w:val="24"/>
                <w:szCs w:val="24"/>
                <w:lang w:eastAsia="zh-CN"/>
              </w:rPr>
              <w:t>区域地表水环境质量未有明显变化，且监测数据在有效期内，监测因子及断面能够满足本次评价要求，因此，本次评价引用的监测数据是合理可行</w:t>
            </w:r>
            <w:r>
              <w:rPr>
                <w:rFonts w:hint="default" w:ascii="Times New Roman" w:hAnsi="Times New Roman" w:eastAsia="宋体" w:cs="Times New Roman"/>
                <w:color w:val="auto"/>
                <w:kern w:val="0"/>
                <w:sz w:val="24"/>
                <w:szCs w:val="24"/>
                <w:lang w:eastAsia="zh-CN"/>
              </w:rPr>
              <w:t>的</w:t>
            </w:r>
            <w:r>
              <w:rPr>
                <w:rFonts w:ascii="Times New Roman" w:hAnsi="Times New Roman" w:eastAsia="宋体" w:cs="Times New Roman"/>
                <w:color w:val="auto"/>
                <w:kern w:val="0"/>
                <w:sz w:val="24"/>
                <w:szCs w:val="24"/>
              </w:rPr>
              <w:t>。</w:t>
            </w:r>
          </w:p>
          <w:p>
            <w:pPr>
              <w:autoSpaceDE w:val="0"/>
              <w:autoSpaceDN w:val="0"/>
              <w:adjustRightIn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（2）评价因子</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pH、COD、BOD</w:t>
            </w:r>
            <w:r>
              <w:rPr>
                <w:rFonts w:ascii="Times New Roman" w:hAnsi="Times New Roman" w:eastAsia="宋体" w:cs="Times New Roman"/>
                <w:kern w:val="0"/>
                <w:sz w:val="24"/>
                <w:szCs w:val="24"/>
                <w:vertAlign w:val="subscript"/>
              </w:rPr>
              <w:t>5</w:t>
            </w:r>
            <w:r>
              <w:rPr>
                <w:rFonts w:ascii="Times New Roman" w:hAnsi="Times New Roman" w:eastAsia="宋体" w:cs="Times New Roman"/>
                <w:kern w:val="0"/>
                <w:sz w:val="24"/>
                <w:szCs w:val="24"/>
              </w:rPr>
              <w:t>、氨氮、</w:t>
            </w:r>
            <w:r>
              <w:rPr>
                <w:rFonts w:hint="eastAsia" w:ascii="Times New Roman" w:hAnsi="Times New Roman" w:eastAsia="宋体" w:cs="Times New Roman"/>
                <w:kern w:val="0"/>
                <w:sz w:val="24"/>
                <w:szCs w:val="24"/>
                <w:lang w:val="en-US" w:eastAsia="zh-CN"/>
              </w:rPr>
              <w:t>总磷。</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（3）评价方法：</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根据《环境影响评价技术导则 地面水环境》（HJ2.3-2018）附录D，地表水环境质量评价方法采用水质指数法。计算公式如下：</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一般性水质因子的指数计算公式：</w:t>
            </w:r>
          </w:p>
          <w:p>
            <w:pPr>
              <w:autoSpaceDE w:val="0"/>
              <w:autoSpaceDN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S</w:t>
            </w:r>
            <w:r>
              <w:rPr>
                <w:rFonts w:ascii="Times New Roman" w:hAnsi="Times New Roman" w:eastAsia="宋体" w:cs="Times New Roman"/>
                <w:i/>
                <w:iCs/>
                <w:kern w:val="0"/>
                <w:sz w:val="24"/>
                <w:szCs w:val="24"/>
                <w:vertAlign w:val="subscript"/>
              </w:rPr>
              <w:t>i，j</w:t>
            </w:r>
            <w:r>
              <w:rPr>
                <w:rFonts w:ascii="Times New Roman" w:hAnsi="Times New Roman" w:eastAsia="宋体" w:cs="Times New Roman"/>
                <w:kern w:val="0"/>
                <w:sz w:val="24"/>
                <w:szCs w:val="24"/>
              </w:rPr>
              <w:t>=C</w:t>
            </w:r>
            <w:r>
              <w:rPr>
                <w:rFonts w:ascii="Times New Roman" w:hAnsi="Times New Roman" w:eastAsia="宋体" w:cs="Times New Roman"/>
                <w:i/>
                <w:iCs/>
                <w:kern w:val="0"/>
                <w:sz w:val="24"/>
                <w:szCs w:val="24"/>
                <w:vertAlign w:val="subscript"/>
              </w:rPr>
              <w:t>i，j</w:t>
            </w:r>
            <w:r>
              <w:rPr>
                <w:rFonts w:ascii="Times New Roman" w:hAnsi="Times New Roman" w:eastAsia="宋体" w:cs="Times New Roman"/>
                <w:kern w:val="0"/>
                <w:sz w:val="24"/>
                <w:szCs w:val="24"/>
              </w:rPr>
              <w:t>/C</w:t>
            </w:r>
            <w:r>
              <w:rPr>
                <w:rFonts w:ascii="Times New Roman" w:hAnsi="Times New Roman" w:eastAsia="宋体" w:cs="Times New Roman"/>
                <w:i/>
                <w:iCs/>
                <w:kern w:val="0"/>
                <w:sz w:val="24"/>
                <w:szCs w:val="24"/>
                <w:vertAlign w:val="subscript"/>
              </w:rPr>
              <w:t>si</w:t>
            </w:r>
          </w:p>
          <w:p>
            <w:pPr>
              <w:autoSpaceDE w:val="0"/>
              <w:autoSpaceDN w:val="0"/>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其中：S</w:t>
            </w:r>
            <w:r>
              <w:rPr>
                <w:rFonts w:ascii="Times New Roman" w:hAnsi="Times New Roman" w:eastAsia="宋体" w:cs="Times New Roman"/>
                <w:i/>
                <w:iCs/>
                <w:kern w:val="0"/>
                <w:sz w:val="24"/>
                <w:szCs w:val="24"/>
                <w:vertAlign w:val="subscript"/>
              </w:rPr>
              <w:t>i，j</w:t>
            </w:r>
            <w:r>
              <w:rPr>
                <w:rFonts w:ascii="Times New Roman" w:hAnsi="Times New Roman" w:eastAsia="宋体" w:cs="Times New Roman"/>
                <w:kern w:val="0"/>
                <w:sz w:val="24"/>
                <w:szCs w:val="24"/>
              </w:rPr>
              <w:t>——评价因子</w:t>
            </w:r>
            <w:r>
              <w:rPr>
                <w:rFonts w:ascii="Times New Roman" w:hAnsi="Times New Roman" w:eastAsia="宋体" w:cs="Times New Roman"/>
                <w:i/>
                <w:iCs/>
                <w:kern w:val="0"/>
                <w:sz w:val="24"/>
                <w:szCs w:val="24"/>
              </w:rPr>
              <w:t>i</w:t>
            </w:r>
            <w:r>
              <w:rPr>
                <w:rFonts w:ascii="Times New Roman" w:hAnsi="Times New Roman" w:eastAsia="宋体" w:cs="Times New Roman"/>
                <w:kern w:val="0"/>
                <w:sz w:val="24"/>
                <w:szCs w:val="24"/>
              </w:rPr>
              <w:t>的水质指数，大于1表明该水质因子超标；</w:t>
            </w:r>
          </w:p>
          <w:p>
            <w:pPr>
              <w:autoSpaceDE w:val="0"/>
              <w:autoSpaceDN w:val="0"/>
              <w:spacing w:line="360" w:lineRule="auto"/>
              <w:ind w:firstLine="720" w:firstLineChars="300"/>
              <w:rPr>
                <w:rFonts w:ascii="Times New Roman" w:hAnsi="Times New Roman" w:eastAsia="宋体" w:cs="Times New Roman"/>
                <w:kern w:val="0"/>
                <w:sz w:val="24"/>
                <w:szCs w:val="24"/>
              </w:rPr>
            </w:pPr>
            <w:r>
              <w:rPr>
                <w:rFonts w:ascii="Times New Roman" w:hAnsi="Times New Roman" w:eastAsia="宋体" w:cs="Times New Roman"/>
                <w:kern w:val="0"/>
                <w:sz w:val="24"/>
                <w:szCs w:val="24"/>
              </w:rPr>
              <w:t>C</w:t>
            </w:r>
            <w:r>
              <w:rPr>
                <w:rFonts w:ascii="Times New Roman" w:hAnsi="Times New Roman" w:eastAsia="宋体" w:cs="Times New Roman"/>
                <w:i/>
                <w:iCs/>
                <w:kern w:val="0"/>
                <w:sz w:val="24"/>
                <w:szCs w:val="24"/>
                <w:vertAlign w:val="subscript"/>
              </w:rPr>
              <w:t>i，j</w:t>
            </w:r>
            <w:r>
              <w:rPr>
                <w:rFonts w:ascii="Times New Roman" w:hAnsi="Times New Roman" w:eastAsia="宋体" w:cs="Times New Roman"/>
                <w:kern w:val="0"/>
                <w:sz w:val="24"/>
                <w:szCs w:val="24"/>
              </w:rPr>
              <w:t>——评价因子</w:t>
            </w:r>
            <w:r>
              <w:rPr>
                <w:rFonts w:ascii="Times New Roman" w:hAnsi="Times New Roman" w:eastAsia="宋体" w:cs="Times New Roman"/>
                <w:i/>
                <w:iCs/>
                <w:kern w:val="0"/>
                <w:sz w:val="24"/>
                <w:szCs w:val="24"/>
              </w:rPr>
              <w:t>i</w:t>
            </w:r>
            <w:r>
              <w:rPr>
                <w:rFonts w:ascii="Times New Roman" w:hAnsi="Times New Roman" w:eastAsia="宋体" w:cs="Times New Roman"/>
                <w:kern w:val="0"/>
                <w:sz w:val="24"/>
                <w:szCs w:val="24"/>
              </w:rPr>
              <w:t>在j点的实测统计代表值，mg/L；</w:t>
            </w:r>
          </w:p>
          <w:p>
            <w:pPr>
              <w:autoSpaceDE w:val="0"/>
              <w:autoSpaceDN w:val="0"/>
              <w:spacing w:line="360" w:lineRule="auto"/>
              <w:ind w:firstLine="720" w:firstLineChars="300"/>
              <w:rPr>
                <w:rFonts w:ascii="Times New Roman" w:hAnsi="Times New Roman" w:eastAsia="宋体" w:cs="Times New Roman"/>
                <w:kern w:val="0"/>
                <w:sz w:val="24"/>
                <w:szCs w:val="24"/>
              </w:rPr>
            </w:pPr>
            <w:r>
              <w:rPr>
                <w:rFonts w:ascii="Times New Roman" w:hAnsi="Times New Roman" w:eastAsia="宋体" w:cs="Times New Roman"/>
                <w:kern w:val="0"/>
                <w:sz w:val="24"/>
                <w:szCs w:val="24"/>
              </w:rPr>
              <w:t>C</w:t>
            </w:r>
            <w:r>
              <w:rPr>
                <w:rFonts w:ascii="Times New Roman" w:hAnsi="Times New Roman" w:eastAsia="宋体" w:cs="Times New Roman"/>
                <w:i/>
                <w:iCs/>
                <w:kern w:val="0"/>
                <w:sz w:val="24"/>
                <w:szCs w:val="24"/>
                <w:vertAlign w:val="subscript"/>
              </w:rPr>
              <w:t>si</w:t>
            </w:r>
            <w:r>
              <w:rPr>
                <w:rFonts w:ascii="Times New Roman" w:hAnsi="Times New Roman" w:eastAsia="宋体" w:cs="Times New Roman"/>
                <w:kern w:val="0"/>
                <w:sz w:val="24"/>
                <w:szCs w:val="24"/>
              </w:rPr>
              <w:t>——评价因子</w:t>
            </w:r>
            <w:r>
              <w:rPr>
                <w:rFonts w:ascii="Times New Roman" w:hAnsi="Times New Roman" w:eastAsia="宋体" w:cs="Times New Roman"/>
                <w:i/>
                <w:iCs/>
                <w:kern w:val="0"/>
                <w:sz w:val="24"/>
                <w:szCs w:val="24"/>
              </w:rPr>
              <w:t>i</w:t>
            </w:r>
            <w:r>
              <w:rPr>
                <w:rFonts w:ascii="Times New Roman" w:hAnsi="Times New Roman" w:eastAsia="宋体" w:cs="Times New Roman"/>
                <w:kern w:val="0"/>
                <w:sz w:val="24"/>
                <w:szCs w:val="24"/>
              </w:rPr>
              <w:t>的水质评价标准限值，mg/L。</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pH值的指数计算公式：</w:t>
            </w:r>
          </w:p>
          <w:p>
            <w:pPr>
              <w:autoSpaceDE w:val="0"/>
              <w:autoSpaceDN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S</w:t>
            </w:r>
            <w:r>
              <w:rPr>
                <w:rFonts w:ascii="Times New Roman" w:hAnsi="Times New Roman" w:eastAsia="宋体" w:cs="Times New Roman"/>
                <w:kern w:val="0"/>
                <w:sz w:val="24"/>
                <w:szCs w:val="24"/>
                <w:vertAlign w:val="subscript"/>
              </w:rPr>
              <w:t>pH,j</w:t>
            </w:r>
            <w:r>
              <w:rPr>
                <w:rFonts w:ascii="Times New Roman" w:hAnsi="Times New Roman" w:eastAsia="宋体" w:cs="Times New Roman"/>
                <w:kern w:val="0"/>
                <w:sz w:val="24"/>
                <w:szCs w:val="24"/>
              </w:rPr>
              <w:t>=（7.0－pH</w:t>
            </w:r>
            <w:r>
              <w:rPr>
                <w:rFonts w:ascii="Times New Roman" w:hAnsi="Times New Roman" w:eastAsia="宋体" w:cs="Times New Roman"/>
                <w:kern w:val="0"/>
                <w:sz w:val="24"/>
                <w:szCs w:val="24"/>
                <w:vertAlign w:val="subscript"/>
              </w:rPr>
              <w:t>j</w:t>
            </w:r>
            <w:r>
              <w:rPr>
                <w:rFonts w:ascii="Times New Roman" w:hAnsi="Times New Roman" w:eastAsia="宋体" w:cs="Times New Roman"/>
                <w:kern w:val="0"/>
                <w:sz w:val="24"/>
                <w:szCs w:val="24"/>
              </w:rPr>
              <w:t>）/（7.0－pH</w:t>
            </w:r>
            <w:r>
              <w:rPr>
                <w:rFonts w:ascii="Times New Roman" w:hAnsi="Times New Roman" w:eastAsia="宋体" w:cs="Times New Roman"/>
                <w:kern w:val="0"/>
                <w:sz w:val="24"/>
                <w:szCs w:val="24"/>
                <w:vertAlign w:val="subscript"/>
              </w:rPr>
              <w:t>sd</w:t>
            </w:r>
            <w:r>
              <w:rPr>
                <w:rFonts w:ascii="Times New Roman" w:hAnsi="Times New Roman" w:eastAsia="宋体" w:cs="Times New Roman"/>
                <w:kern w:val="0"/>
                <w:sz w:val="24"/>
                <w:szCs w:val="24"/>
              </w:rPr>
              <w:t>）   pH</w:t>
            </w:r>
            <w:r>
              <w:rPr>
                <w:rFonts w:ascii="Times New Roman" w:hAnsi="Times New Roman" w:eastAsia="宋体" w:cs="Times New Roman"/>
                <w:kern w:val="0"/>
                <w:sz w:val="24"/>
                <w:szCs w:val="24"/>
                <w:vertAlign w:val="subscript"/>
              </w:rPr>
              <w:t>j</w:t>
            </w:r>
            <w:r>
              <w:rPr>
                <w:rFonts w:ascii="Times New Roman" w:hAnsi="Times New Roman" w:eastAsia="宋体" w:cs="Times New Roman"/>
                <w:kern w:val="0"/>
                <w:sz w:val="24"/>
                <w:szCs w:val="24"/>
              </w:rPr>
              <w:t>≤7.0</w:t>
            </w:r>
          </w:p>
          <w:p>
            <w:pPr>
              <w:autoSpaceDE w:val="0"/>
              <w:autoSpaceDN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S</w:t>
            </w:r>
            <w:r>
              <w:rPr>
                <w:rFonts w:ascii="Times New Roman" w:hAnsi="Times New Roman" w:eastAsia="宋体" w:cs="Times New Roman"/>
                <w:kern w:val="0"/>
                <w:sz w:val="24"/>
                <w:szCs w:val="24"/>
                <w:vertAlign w:val="subscript"/>
              </w:rPr>
              <w:t>pH,j</w:t>
            </w:r>
            <w:r>
              <w:rPr>
                <w:rFonts w:ascii="Times New Roman" w:hAnsi="Times New Roman" w:eastAsia="宋体" w:cs="Times New Roman"/>
                <w:kern w:val="0"/>
                <w:sz w:val="24"/>
                <w:szCs w:val="24"/>
              </w:rPr>
              <w:t>=（pH</w:t>
            </w:r>
            <w:r>
              <w:rPr>
                <w:rFonts w:ascii="Times New Roman" w:hAnsi="Times New Roman" w:eastAsia="宋体" w:cs="Times New Roman"/>
                <w:kern w:val="0"/>
                <w:sz w:val="24"/>
                <w:szCs w:val="24"/>
                <w:vertAlign w:val="subscript"/>
              </w:rPr>
              <w:t>j</w:t>
            </w:r>
            <w:r>
              <w:rPr>
                <w:rFonts w:ascii="Times New Roman" w:hAnsi="Times New Roman" w:eastAsia="宋体" w:cs="Times New Roman"/>
                <w:kern w:val="0"/>
                <w:sz w:val="24"/>
                <w:szCs w:val="24"/>
              </w:rPr>
              <w:t>－7.0）/（pH</w:t>
            </w:r>
            <w:r>
              <w:rPr>
                <w:rFonts w:ascii="Times New Roman" w:hAnsi="Times New Roman" w:eastAsia="宋体" w:cs="Times New Roman"/>
                <w:kern w:val="0"/>
                <w:sz w:val="24"/>
                <w:szCs w:val="24"/>
                <w:vertAlign w:val="subscript"/>
              </w:rPr>
              <w:t>su</w:t>
            </w:r>
            <w:r>
              <w:rPr>
                <w:rFonts w:ascii="Times New Roman" w:hAnsi="Times New Roman" w:eastAsia="宋体" w:cs="Times New Roman"/>
                <w:kern w:val="0"/>
                <w:sz w:val="24"/>
                <w:szCs w:val="24"/>
              </w:rPr>
              <w:t>－7.0）   pH</w:t>
            </w:r>
            <w:r>
              <w:rPr>
                <w:rFonts w:ascii="Times New Roman" w:hAnsi="Times New Roman" w:eastAsia="宋体" w:cs="Times New Roman"/>
                <w:kern w:val="0"/>
                <w:sz w:val="24"/>
                <w:szCs w:val="24"/>
                <w:vertAlign w:val="subscript"/>
              </w:rPr>
              <w:t>j</w:t>
            </w:r>
            <w:r>
              <w:rPr>
                <w:rFonts w:ascii="Times New Roman" w:hAnsi="Times New Roman" w:eastAsia="宋体" w:cs="Times New Roman"/>
                <w:kern w:val="0"/>
                <w:sz w:val="24"/>
                <w:szCs w:val="24"/>
              </w:rPr>
              <w:t>＞7.0</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kern w:val="0"/>
                <w:sz w:val="24"/>
                <w:szCs w:val="24"/>
              </w:rPr>
              <w:t>式中：</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vertAlign w:val="subscript"/>
              </w:rPr>
              <w:t>pH,j</w:t>
            </w:r>
            <w:r>
              <w:rPr>
                <w:rFonts w:hint="default" w:ascii="Times New Roman" w:hAnsi="Times New Roman" w:eastAsia="宋体" w:cs="Times New Roman"/>
                <w:color w:val="auto"/>
                <w:sz w:val="24"/>
                <w:szCs w:val="24"/>
              </w:rPr>
              <w:t>：pH 值的指数，大于1表明该水质因子超标；</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pH</w:t>
            </w:r>
            <w:r>
              <w:rPr>
                <w:rFonts w:hint="default" w:ascii="Times New Roman" w:hAnsi="Times New Roman" w:eastAsia="宋体" w:cs="Times New Roman"/>
                <w:color w:val="auto"/>
                <w:sz w:val="24"/>
                <w:szCs w:val="24"/>
                <w:vertAlign w:val="subscript"/>
              </w:rPr>
              <w:t>j</w:t>
            </w:r>
            <w:r>
              <w:rPr>
                <w:rFonts w:hint="default" w:ascii="Times New Roman" w:hAnsi="Times New Roman" w:eastAsia="宋体" w:cs="Times New Roman"/>
                <w:color w:val="auto"/>
                <w:sz w:val="24"/>
                <w:szCs w:val="24"/>
              </w:rPr>
              <w:t>： pH值实测统计代表值；</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pH</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vertAlign w:val="subscript"/>
                <w:lang w:val="en-US" w:eastAsia="zh-CN"/>
              </w:rPr>
              <w:t>d</w:t>
            </w:r>
            <w:r>
              <w:rPr>
                <w:rFonts w:hint="default" w:ascii="Times New Roman" w:hAnsi="Times New Roman" w:eastAsia="宋体" w:cs="Times New Roman"/>
                <w:color w:val="auto"/>
                <w:sz w:val="24"/>
                <w:szCs w:val="24"/>
              </w:rPr>
              <w:t>：评价标准中pH 值的下限值；</w:t>
            </w:r>
          </w:p>
          <w:p>
            <w:pPr>
              <w:autoSpaceDE w:val="0"/>
              <w:autoSpaceDN w:val="0"/>
              <w:spacing w:line="360" w:lineRule="auto"/>
              <w:ind w:firstLine="720" w:firstLineChars="300"/>
              <w:rPr>
                <w:rFonts w:hint="default" w:ascii="Times New Roman" w:hAnsi="Times New Roman" w:eastAsia="宋体" w:cs="Times New Roman"/>
                <w:kern w:val="0"/>
                <w:sz w:val="24"/>
                <w:szCs w:val="24"/>
              </w:rPr>
            </w:pPr>
            <w:r>
              <w:rPr>
                <w:rFonts w:hint="default" w:ascii="Times New Roman" w:hAnsi="Times New Roman" w:eastAsia="宋体" w:cs="Times New Roman"/>
                <w:color w:val="auto"/>
                <w:sz w:val="24"/>
                <w:szCs w:val="24"/>
              </w:rPr>
              <w:t xml:space="preserve">      pH</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vertAlign w:val="subscript"/>
                <w:lang w:val="en-US" w:eastAsia="zh-CN"/>
              </w:rPr>
              <w:t>u</w:t>
            </w:r>
            <w:r>
              <w:rPr>
                <w:rFonts w:hint="default" w:ascii="Times New Roman" w:hAnsi="Times New Roman" w:eastAsia="宋体" w:cs="Times New Roman"/>
                <w:color w:val="auto"/>
                <w:sz w:val="24"/>
                <w:szCs w:val="24"/>
              </w:rPr>
              <w:t>：评价标准中pH 值的上限值</w:t>
            </w:r>
            <w:r>
              <w:rPr>
                <w:rFonts w:hint="default" w:ascii="Times New Roman" w:hAnsi="Times New Roman" w:eastAsia="宋体" w:cs="Times New Roman"/>
                <w:kern w:val="0"/>
                <w:sz w:val="24"/>
                <w:szCs w:val="24"/>
              </w:rPr>
              <w:t>。</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地表水环境监测数据统计情况如下：</w:t>
            </w:r>
          </w:p>
          <w:p>
            <w:pPr>
              <w:autoSpaceDE w:val="0"/>
              <w:autoSpaceDN w:val="0"/>
              <w:spacing w:line="440" w:lineRule="exact"/>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表3</w:t>
            </w:r>
            <w:r>
              <w:rPr>
                <w:rFonts w:hint="eastAsia" w:ascii="Times New Roman" w:hAnsi="Times New Roman" w:eastAsia="宋体" w:cs="Times New Roman"/>
                <w:b/>
                <w:bCs/>
                <w:kern w:val="0"/>
                <w:sz w:val="24"/>
                <w:szCs w:val="24"/>
                <w:lang w:val="en-US" w:eastAsia="zh-CN"/>
              </w:rPr>
              <w:t>.1</w:t>
            </w:r>
            <w:r>
              <w:rPr>
                <w:rFonts w:ascii="Times New Roman" w:hAnsi="Times New Roman" w:eastAsia="宋体" w:cs="Times New Roman"/>
                <w:b/>
                <w:bCs/>
                <w:kern w:val="0"/>
                <w:sz w:val="24"/>
                <w:szCs w:val="24"/>
              </w:rPr>
              <w:t>-</w:t>
            </w:r>
            <w:r>
              <w:rPr>
                <w:rFonts w:hint="eastAsia" w:ascii="Times New Roman" w:hAnsi="Times New Roman" w:eastAsia="宋体" w:cs="Times New Roman"/>
                <w:b/>
                <w:bCs/>
                <w:kern w:val="0"/>
                <w:sz w:val="24"/>
                <w:szCs w:val="24"/>
                <w:lang w:val="en-US" w:eastAsia="zh-CN"/>
              </w:rPr>
              <w:t>2</w:t>
            </w:r>
            <w:r>
              <w:rPr>
                <w:rFonts w:ascii="Times New Roman" w:hAnsi="Times New Roman" w:eastAsia="宋体" w:cs="Times New Roman"/>
                <w:b/>
                <w:bCs/>
                <w:kern w:val="0"/>
                <w:sz w:val="24"/>
                <w:szCs w:val="24"/>
              </w:rPr>
              <w:t xml:space="preserve">  </w:t>
            </w:r>
            <w:r>
              <w:rPr>
                <w:rFonts w:hint="eastAsia" w:ascii="Times New Roman" w:hAnsi="Times New Roman" w:eastAsia="宋体" w:cs="Times New Roman"/>
                <w:b/>
                <w:bCs/>
                <w:kern w:val="0"/>
                <w:sz w:val="24"/>
                <w:szCs w:val="24"/>
                <w:lang w:eastAsia="zh-CN"/>
              </w:rPr>
              <w:t>滩远河</w:t>
            </w:r>
            <w:r>
              <w:rPr>
                <w:rFonts w:hint="eastAsia" w:ascii="Times New Roman" w:hAnsi="Times New Roman" w:eastAsia="宋体" w:cs="Times New Roman"/>
                <w:b/>
                <w:bCs/>
                <w:kern w:val="0"/>
                <w:sz w:val="24"/>
                <w:szCs w:val="24"/>
                <w:lang w:val="en-US" w:eastAsia="zh-CN"/>
              </w:rPr>
              <w:t>众志桥</w:t>
            </w:r>
            <w:r>
              <w:rPr>
                <w:rFonts w:ascii="Times New Roman" w:hAnsi="Times New Roman" w:eastAsia="宋体" w:cs="Times New Roman"/>
                <w:b/>
                <w:kern w:val="0"/>
                <w:sz w:val="24"/>
                <w:szCs w:val="24"/>
              </w:rPr>
              <w:t>监测断面评价结果统计表</w:t>
            </w:r>
            <w:r>
              <w:rPr>
                <w:rFonts w:ascii="Times New Roman" w:hAnsi="Times New Roman" w:eastAsia="宋体" w:cs="Times New Roman"/>
                <w:b/>
                <w:bCs/>
                <w:kern w:val="0"/>
                <w:sz w:val="24"/>
                <w:szCs w:val="24"/>
              </w:rPr>
              <w:t>（单位：mg/L</w:t>
            </w:r>
            <w:r>
              <w:rPr>
                <w:rFonts w:hint="eastAsia" w:ascii="Times New Roman" w:hAnsi="Times New Roman" w:eastAsia="宋体" w:cs="Times New Roman"/>
                <w:b/>
                <w:bCs/>
                <w:kern w:val="0"/>
                <w:sz w:val="24"/>
                <w:szCs w:val="24"/>
                <w:lang w:eastAsia="zh-CN"/>
              </w:rPr>
              <w:t>，pH：无量纲</w:t>
            </w:r>
            <w:r>
              <w:rPr>
                <w:rFonts w:ascii="Times New Roman" w:hAnsi="Times New Roman" w:eastAsia="宋体" w:cs="Times New Roman"/>
                <w:b/>
                <w:bCs/>
                <w:kern w:val="0"/>
                <w:sz w:val="24"/>
                <w:szCs w:val="24"/>
              </w:rPr>
              <w:t>）</w:t>
            </w:r>
          </w:p>
          <w:tbl>
            <w:tblPr>
              <w:tblStyle w:val="20"/>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935"/>
              <w:gridCol w:w="2055"/>
              <w:gridCol w:w="1477"/>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855" w:type="pct"/>
                  <w:noWrap/>
                  <w:vAlign w:val="center"/>
                </w:tcPr>
                <w:p>
                  <w:pPr>
                    <w:tabs>
                      <w:tab w:val="right" w:pos="1527"/>
                    </w:tabs>
                    <w:adjustRightInd w:val="0"/>
                    <w:snapToGrid w:val="0"/>
                    <w:jc w:val="center"/>
                    <w:rPr>
                      <w:rFonts w:ascii="Times New Roman" w:hAnsi="Times New Roman" w:eastAsia="宋体" w:cs="Times New Roman"/>
                      <w:snapToGrid w:val="0"/>
                      <w:kern w:val="0"/>
                      <w:sz w:val="21"/>
                      <w:szCs w:val="21"/>
                      <w:lang w:val="en-US" w:eastAsia="zh-CN" w:bidi="ar-SA"/>
                    </w:rPr>
                  </w:pPr>
                  <w:r>
                    <w:rPr>
                      <w:rFonts w:ascii="Times New Roman" w:hAnsi="Times New Roman" w:eastAsia="宋体" w:cs="Times New Roman"/>
                      <w:snapToGrid w:val="0"/>
                      <w:kern w:val="0"/>
                      <w:szCs w:val="21"/>
                    </w:rPr>
                    <w:t>监测项目</w:t>
                  </w:r>
                </w:p>
              </w:tc>
              <w:tc>
                <w:tcPr>
                  <w:tcW w:w="1200" w:type="pct"/>
                  <w:noWrap/>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napToGrid w:val="0"/>
                      <w:kern w:val="0"/>
                      <w:szCs w:val="21"/>
                      <w:lang w:eastAsia="zh-CN"/>
                    </w:rPr>
                    <w:t>Ⅳ</w:t>
                  </w:r>
                  <w:r>
                    <w:rPr>
                      <w:rFonts w:hint="eastAsia" w:ascii="Times New Roman" w:hAnsi="Times New Roman" w:eastAsia="宋体" w:cs="Times New Roman"/>
                      <w:snapToGrid w:val="0"/>
                      <w:kern w:val="0"/>
                      <w:szCs w:val="21"/>
                    </w:rPr>
                    <w:t>类</w:t>
                  </w:r>
                  <w:r>
                    <w:rPr>
                      <w:rFonts w:ascii="Times New Roman" w:hAnsi="Times New Roman" w:eastAsia="宋体" w:cs="Times New Roman"/>
                      <w:snapToGrid w:val="0"/>
                      <w:kern w:val="0"/>
                      <w:szCs w:val="21"/>
                    </w:rPr>
                    <w:t>标准限值</w:t>
                  </w:r>
                </w:p>
              </w:tc>
              <w:tc>
                <w:tcPr>
                  <w:tcW w:w="1275" w:type="pct"/>
                  <w:noWrap/>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浓度范围</w:t>
                  </w:r>
                </w:p>
              </w:tc>
              <w:tc>
                <w:tcPr>
                  <w:tcW w:w="916" w:type="pct"/>
                  <w:noWrap/>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超标率%</w:t>
                  </w:r>
                </w:p>
              </w:tc>
              <w:tc>
                <w:tcPr>
                  <w:tcW w:w="752" w:type="pct"/>
                  <w:noWrap w:val="0"/>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P</w:t>
                  </w:r>
                  <w:r>
                    <w:rPr>
                      <w:rFonts w:ascii="Times New Roman" w:hAnsi="Times New Roman" w:eastAsia="宋体" w:cs="Times New Roman"/>
                      <w:i/>
                      <w:snapToGrid w:val="0"/>
                      <w:kern w:val="0"/>
                      <w:szCs w:val="21"/>
                      <w:vertAlign w:val="subscript"/>
                    </w:rPr>
                    <w:t>i</w:t>
                  </w:r>
                  <w:r>
                    <w:rPr>
                      <w:rFonts w:ascii="Times New Roman" w:hAnsi="Times New Roman" w:eastAsia="宋体" w:cs="Times New Roman"/>
                      <w:snapToGrid w:val="0"/>
                      <w:kern w:val="0"/>
                      <w:szCs w:val="21"/>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55" w:type="pct"/>
                  <w:noWrap/>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pH</w:t>
                  </w:r>
                </w:p>
              </w:tc>
              <w:tc>
                <w:tcPr>
                  <w:tcW w:w="1200" w:type="pct"/>
                  <w:noWrap/>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6~9</w:t>
                  </w:r>
                </w:p>
              </w:tc>
              <w:tc>
                <w:tcPr>
                  <w:tcW w:w="1275" w:type="pct"/>
                  <w:noWrap/>
                  <w:vAlign w:val="center"/>
                </w:tcPr>
                <w:p>
                  <w:pPr>
                    <w:adjustRightInd w:val="0"/>
                    <w:snapToGrid w:val="0"/>
                    <w:jc w:val="center"/>
                    <w:rPr>
                      <w:rFonts w:hint="eastAsia" w:ascii="Times New Roman" w:hAnsi="Times New Roman" w:eastAsia="宋体" w:cs="Times New Roman"/>
                      <w:snapToGrid w:val="0"/>
                      <w:kern w:val="0"/>
                      <w:szCs w:val="21"/>
                      <w:lang w:eastAsia="zh-CN"/>
                    </w:rPr>
                  </w:pPr>
                  <w:r>
                    <w:rPr>
                      <w:rFonts w:hint="eastAsia" w:ascii="Times New Roman" w:hAnsi="Times New Roman" w:eastAsia="宋体" w:cs="Times New Roman"/>
                      <w:snapToGrid w:val="0"/>
                      <w:kern w:val="0"/>
                      <w:szCs w:val="21"/>
                    </w:rPr>
                    <w:t>7</w:t>
                  </w:r>
                  <w:r>
                    <w:rPr>
                      <w:rFonts w:ascii="Times New Roman" w:hAnsi="Times New Roman" w:eastAsia="宋体" w:cs="Times New Roman"/>
                      <w:snapToGrid w:val="0"/>
                      <w:kern w:val="0"/>
                      <w:szCs w:val="21"/>
                    </w:rPr>
                    <w:t>~</w:t>
                  </w:r>
                  <w:r>
                    <w:rPr>
                      <w:rFonts w:hint="eastAsia" w:ascii="Times New Roman" w:hAnsi="Times New Roman" w:eastAsia="宋体" w:cs="Times New Roman"/>
                      <w:snapToGrid w:val="0"/>
                      <w:kern w:val="0"/>
                      <w:szCs w:val="21"/>
                      <w:lang w:val="en-US" w:eastAsia="zh-CN"/>
                    </w:rPr>
                    <w:t>9</w:t>
                  </w:r>
                </w:p>
              </w:tc>
              <w:tc>
                <w:tcPr>
                  <w:tcW w:w="916" w:type="pct"/>
                  <w:noWrap/>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752" w:type="pct"/>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55" w:type="pct"/>
                  <w:noWrap/>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COD</w:t>
                  </w:r>
                </w:p>
              </w:tc>
              <w:tc>
                <w:tcPr>
                  <w:tcW w:w="1200" w:type="pct"/>
                  <w:noWrap/>
                  <w:vAlign w:val="center"/>
                </w:tcPr>
                <w:p>
                  <w:pPr>
                    <w:adjustRightInd w:val="0"/>
                    <w:snapToGrid w:val="0"/>
                    <w:jc w:val="center"/>
                    <w:rPr>
                      <w:rFonts w:hint="default" w:ascii="Times New Roman" w:hAnsi="Times New Roman" w:eastAsia="宋体" w:cs="Times New Roman"/>
                      <w:snapToGrid w:val="0"/>
                      <w:kern w:val="0"/>
                      <w:szCs w:val="21"/>
                      <w:lang w:val="en-US" w:eastAsia="zh-CN"/>
                    </w:rPr>
                  </w:pPr>
                  <w:r>
                    <w:rPr>
                      <w:rFonts w:hint="eastAsia" w:ascii="Times New Roman" w:hAnsi="Times New Roman" w:eastAsia="宋体" w:cs="Times New Roman"/>
                      <w:snapToGrid w:val="0"/>
                      <w:kern w:val="0"/>
                      <w:szCs w:val="21"/>
                      <w:lang w:val="en-US" w:eastAsia="zh-CN"/>
                    </w:rPr>
                    <w:t>30</w:t>
                  </w:r>
                </w:p>
              </w:tc>
              <w:tc>
                <w:tcPr>
                  <w:tcW w:w="1275" w:type="pct"/>
                  <w:noWrap/>
                  <w:vAlign w:val="center"/>
                </w:tcPr>
                <w:p>
                  <w:pPr>
                    <w:adjustRightInd w:val="0"/>
                    <w:snapToGrid w:val="0"/>
                    <w:jc w:val="center"/>
                    <w:rPr>
                      <w:rFonts w:hint="eastAsia" w:ascii="Times New Roman" w:hAnsi="Times New Roman" w:eastAsia="宋体" w:cs="Times New Roman"/>
                      <w:snapToGrid w:val="0"/>
                      <w:kern w:val="0"/>
                      <w:szCs w:val="21"/>
                      <w:lang w:eastAsia="zh-CN"/>
                    </w:rPr>
                  </w:pPr>
                  <w:r>
                    <w:rPr>
                      <w:rFonts w:hint="eastAsia" w:ascii="Times New Roman" w:hAnsi="Times New Roman" w:eastAsia="宋体" w:cs="Times New Roman"/>
                      <w:snapToGrid w:val="0"/>
                      <w:kern w:val="0"/>
                      <w:szCs w:val="21"/>
                      <w:lang w:val="en-US" w:eastAsia="zh-CN"/>
                    </w:rPr>
                    <w:t>8</w:t>
                  </w:r>
                  <w:r>
                    <w:rPr>
                      <w:rFonts w:ascii="Times New Roman" w:hAnsi="Times New Roman" w:eastAsia="宋体" w:cs="Times New Roman"/>
                      <w:snapToGrid w:val="0"/>
                      <w:kern w:val="0"/>
                      <w:szCs w:val="21"/>
                    </w:rPr>
                    <w:t>~1</w:t>
                  </w:r>
                  <w:r>
                    <w:rPr>
                      <w:rFonts w:hint="eastAsia" w:ascii="Times New Roman" w:hAnsi="Times New Roman" w:eastAsia="宋体" w:cs="Times New Roman"/>
                      <w:snapToGrid w:val="0"/>
                      <w:kern w:val="0"/>
                      <w:szCs w:val="21"/>
                      <w:lang w:val="en-US" w:eastAsia="zh-CN"/>
                    </w:rPr>
                    <w:t>6</w:t>
                  </w:r>
                </w:p>
              </w:tc>
              <w:tc>
                <w:tcPr>
                  <w:tcW w:w="916" w:type="pct"/>
                  <w:noWrap/>
                  <w:vAlign w:val="top"/>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w:t>
                  </w:r>
                </w:p>
              </w:tc>
              <w:tc>
                <w:tcPr>
                  <w:tcW w:w="752" w:type="pct"/>
                  <w:noWrap w:val="0"/>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w:t>
                  </w:r>
                  <w:r>
                    <w:rPr>
                      <w:rFonts w:ascii="Times New Roman" w:hAnsi="Times New Roman" w:eastAsia="宋体" w:cs="Times New Roman"/>
                      <w:snapToGrid w:val="0"/>
                      <w:kern w:val="0"/>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55" w:type="pct"/>
                  <w:noWrap/>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BOD</w:t>
                  </w:r>
                  <w:r>
                    <w:rPr>
                      <w:rFonts w:ascii="Times New Roman" w:hAnsi="Times New Roman" w:eastAsia="宋体" w:cs="Times New Roman"/>
                      <w:snapToGrid w:val="0"/>
                      <w:kern w:val="0"/>
                      <w:szCs w:val="21"/>
                      <w:vertAlign w:val="subscript"/>
                    </w:rPr>
                    <w:t>5</w:t>
                  </w:r>
                </w:p>
              </w:tc>
              <w:tc>
                <w:tcPr>
                  <w:tcW w:w="1200" w:type="pct"/>
                  <w:noWrap/>
                  <w:vAlign w:val="center"/>
                </w:tcPr>
                <w:p>
                  <w:pPr>
                    <w:adjustRightInd w:val="0"/>
                    <w:snapToGrid w:val="0"/>
                    <w:jc w:val="center"/>
                    <w:rPr>
                      <w:rFonts w:hint="eastAsia" w:ascii="Times New Roman" w:hAnsi="Times New Roman" w:eastAsia="宋体" w:cs="Times New Roman"/>
                      <w:snapToGrid w:val="0"/>
                      <w:kern w:val="0"/>
                      <w:szCs w:val="21"/>
                      <w:lang w:eastAsia="zh-CN"/>
                    </w:rPr>
                  </w:pPr>
                  <w:r>
                    <w:rPr>
                      <w:rFonts w:hint="eastAsia" w:ascii="Times New Roman" w:hAnsi="Times New Roman" w:eastAsia="宋体" w:cs="Times New Roman"/>
                      <w:snapToGrid w:val="0"/>
                      <w:kern w:val="0"/>
                      <w:szCs w:val="21"/>
                      <w:lang w:val="en-US" w:eastAsia="zh-CN"/>
                    </w:rPr>
                    <w:t>6</w:t>
                  </w:r>
                </w:p>
              </w:tc>
              <w:tc>
                <w:tcPr>
                  <w:tcW w:w="1275" w:type="pct"/>
                  <w:noWrap/>
                  <w:vAlign w:val="center"/>
                </w:tcPr>
                <w:p>
                  <w:pPr>
                    <w:adjustRightInd w:val="0"/>
                    <w:snapToGrid w:val="0"/>
                    <w:jc w:val="center"/>
                    <w:rPr>
                      <w:rFonts w:hint="eastAsia" w:ascii="Times New Roman" w:hAnsi="Times New Roman" w:eastAsia="宋体" w:cs="Times New Roman"/>
                      <w:snapToGrid w:val="0"/>
                      <w:kern w:val="0"/>
                      <w:szCs w:val="21"/>
                      <w:lang w:eastAsia="zh-CN"/>
                    </w:rPr>
                  </w:pPr>
                  <w:r>
                    <w:rPr>
                      <w:rFonts w:hint="eastAsia" w:ascii="Times New Roman" w:hAnsi="Times New Roman" w:eastAsia="宋体" w:cs="Times New Roman"/>
                      <w:snapToGrid w:val="0"/>
                      <w:kern w:val="0"/>
                      <w:szCs w:val="21"/>
                    </w:rPr>
                    <w:t>2</w:t>
                  </w:r>
                  <w:r>
                    <w:rPr>
                      <w:rFonts w:ascii="Times New Roman" w:hAnsi="Times New Roman" w:eastAsia="宋体" w:cs="Times New Roman"/>
                      <w:snapToGrid w:val="0"/>
                      <w:kern w:val="0"/>
                      <w:szCs w:val="21"/>
                    </w:rPr>
                    <w:t>.</w:t>
                  </w:r>
                  <w:r>
                    <w:rPr>
                      <w:rFonts w:hint="eastAsia" w:ascii="Times New Roman" w:hAnsi="Times New Roman" w:eastAsia="宋体" w:cs="Times New Roman"/>
                      <w:snapToGrid w:val="0"/>
                      <w:kern w:val="0"/>
                      <w:szCs w:val="21"/>
                      <w:lang w:val="en-US" w:eastAsia="zh-CN"/>
                    </w:rPr>
                    <w:t>7</w:t>
                  </w:r>
                  <w:r>
                    <w:rPr>
                      <w:rFonts w:ascii="Times New Roman" w:hAnsi="Times New Roman" w:eastAsia="宋体" w:cs="Times New Roman"/>
                      <w:snapToGrid w:val="0"/>
                      <w:kern w:val="0"/>
                      <w:szCs w:val="21"/>
                    </w:rPr>
                    <w:t>~3.</w:t>
                  </w:r>
                  <w:r>
                    <w:rPr>
                      <w:rFonts w:hint="eastAsia" w:ascii="Times New Roman" w:hAnsi="Times New Roman" w:eastAsia="宋体" w:cs="Times New Roman"/>
                      <w:snapToGrid w:val="0"/>
                      <w:kern w:val="0"/>
                      <w:szCs w:val="21"/>
                      <w:lang w:val="en-US" w:eastAsia="zh-CN"/>
                    </w:rPr>
                    <w:t>8</w:t>
                  </w:r>
                </w:p>
              </w:tc>
              <w:tc>
                <w:tcPr>
                  <w:tcW w:w="916" w:type="pct"/>
                  <w:noWrap/>
                  <w:vAlign w:val="top"/>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w:t>
                  </w:r>
                </w:p>
              </w:tc>
              <w:tc>
                <w:tcPr>
                  <w:tcW w:w="752" w:type="pct"/>
                  <w:noWrap w:val="0"/>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w:t>
                  </w:r>
                  <w:r>
                    <w:rPr>
                      <w:rFonts w:ascii="Times New Roman" w:hAnsi="Times New Roman" w:eastAsia="宋体" w:cs="Times New Roman"/>
                      <w:snapToGrid w:val="0"/>
                      <w:kern w:val="0"/>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55" w:type="pct"/>
                  <w:noWrap/>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NH</w:t>
                  </w:r>
                  <w:r>
                    <w:rPr>
                      <w:rFonts w:ascii="Times New Roman" w:hAnsi="Times New Roman" w:eastAsia="宋体" w:cs="Times New Roman"/>
                      <w:snapToGrid w:val="0"/>
                      <w:kern w:val="0"/>
                      <w:szCs w:val="21"/>
                      <w:vertAlign w:val="subscript"/>
                    </w:rPr>
                    <w:t>3</w:t>
                  </w:r>
                  <w:r>
                    <w:rPr>
                      <w:rFonts w:ascii="Times New Roman" w:hAnsi="Times New Roman" w:eastAsia="宋体" w:cs="Times New Roman"/>
                      <w:snapToGrid w:val="0"/>
                      <w:kern w:val="0"/>
                      <w:szCs w:val="21"/>
                    </w:rPr>
                    <w:t>-N</w:t>
                  </w:r>
                </w:p>
              </w:tc>
              <w:tc>
                <w:tcPr>
                  <w:tcW w:w="1200" w:type="pct"/>
                  <w:noWrap/>
                  <w:vAlign w:val="center"/>
                </w:tcPr>
                <w:p>
                  <w:pPr>
                    <w:adjustRightInd w:val="0"/>
                    <w:snapToGrid w:val="0"/>
                    <w:jc w:val="center"/>
                    <w:rPr>
                      <w:rFonts w:hint="eastAsia" w:ascii="Times New Roman" w:hAnsi="Times New Roman" w:eastAsia="宋体" w:cs="Times New Roman"/>
                      <w:snapToGrid w:val="0"/>
                      <w:kern w:val="0"/>
                      <w:szCs w:val="21"/>
                      <w:lang w:eastAsia="zh-CN"/>
                    </w:rPr>
                  </w:pPr>
                  <w:r>
                    <w:rPr>
                      <w:rFonts w:ascii="Times New Roman" w:hAnsi="Times New Roman" w:eastAsia="宋体" w:cs="Times New Roman"/>
                      <w:snapToGrid w:val="0"/>
                      <w:kern w:val="0"/>
                      <w:szCs w:val="21"/>
                    </w:rPr>
                    <w:t>1.</w:t>
                  </w:r>
                  <w:r>
                    <w:rPr>
                      <w:rFonts w:hint="eastAsia" w:ascii="Times New Roman" w:hAnsi="Times New Roman" w:eastAsia="宋体" w:cs="Times New Roman"/>
                      <w:snapToGrid w:val="0"/>
                      <w:kern w:val="0"/>
                      <w:szCs w:val="21"/>
                      <w:lang w:val="en-US" w:eastAsia="zh-CN"/>
                    </w:rPr>
                    <w:t>5</w:t>
                  </w:r>
                </w:p>
              </w:tc>
              <w:tc>
                <w:tcPr>
                  <w:tcW w:w="1275" w:type="pct"/>
                  <w:noWrap/>
                  <w:vAlign w:val="center"/>
                </w:tcPr>
                <w:p>
                  <w:pPr>
                    <w:adjustRightInd w:val="0"/>
                    <w:snapToGrid w:val="0"/>
                    <w:jc w:val="center"/>
                    <w:rPr>
                      <w:rFonts w:hint="default" w:ascii="Times New Roman" w:hAnsi="Times New Roman" w:eastAsia="宋体" w:cs="Times New Roman"/>
                      <w:snapToGrid w:val="0"/>
                      <w:kern w:val="0"/>
                      <w:szCs w:val="21"/>
                      <w:lang w:val="en-US" w:eastAsia="zh-CN"/>
                    </w:rPr>
                  </w:pPr>
                  <w:r>
                    <w:rPr>
                      <w:rFonts w:hint="eastAsia" w:ascii="Times New Roman" w:hAnsi="Times New Roman" w:eastAsia="宋体" w:cs="Times New Roman"/>
                      <w:snapToGrid w:val="0"/>
                      <w:kern w:val="0"/>
                      <w:szCs w:val="21"/>
                    </w:rPr>
                    <w:t>0</w:t>
                  </w:r>
                  <w:r>
                    <w:rPr>
                      <w:rFonts w:ascii="Times New Roman" w:hAnsi="Times New Roman" w:eastAsia="宋体" w:cs="Times New Roman"/>
                      <w:snapToGrid w:val="0"/>
                      <w:kern w:val="0"/>
                      <w:szCs w:val="21"/>
                    </w:rPr>
                    <w:t>.1</w:t>
                  </w:r>
                  <w:r>
                    <w:rPr>
                      <w:rFonts w:hint="eastAsia" w:ascii="Times New Roman" w:hAnsi="Times New Roman" w:eastAsia="宋体" w:cs="Times New Roman"/>
                      <w:snapToGrid w:val="0"/>
                      <w:kern w:val="0"/>
                      <w:szCs w:val="21"/>
                      <w:lang w:val="en-US" w:eastAsia="zh-CN"/>
                    </w:rPr>
                    <w:t>9</w:t>
                  </w:r>
                  <w:r>
                    <w:rPr>
                      <w:rFonts w:ascii="Times New Roman" w:hAnsi="Times New Roman" w:eastAsia="宋体" w:cs="Times New Roman"/>
                      <w:snapToGrid w:val="0"/>
                      <w:kern w:val="0"/>
                      <w:szCs w:val="21"/>
                    </w:rPr>
                    <w:t>~</w:t>
                  </w:r>
                  <w:r>
                    <w:rPr>
                      <w:rFonts w:hint="eastAsia" w:ascii="Times New Roman" w:hAnsi="Times New Roman" w:eastAsia="宋体" w:cs="Times New Roman"/>
                      <w:snapToGrid w:val="0"/>
                      <w:kern w:val="0"/>
                      <w:szCs w:val="21"/>
                      <w:lang w:val="en-US" w:eastAsia="zh-CN"/>
                    </w:rPr>
                    <w:t>1.38</w:t>
                  </w:r>
                </w:p>
              </w:tc>
              <w:tc>
                <w:tcPr>
                  <w:tcW w:w="916" w:type="pct"/>
                  <w:noWrap/>
                  <w:vAlign w:val="top"/>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w:t>
                  </w:r>
                </w:p>
              </w:tc>
              <w:tc>
                <w:tcPr>
                  <w:tcW w:w="752" w:type="pct"/>
                  <w:noWrap w:val="0"/>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w:t>
                  </w:r>
                  <w:r>
                    <w:rPr>
                      <w:rFonts w:ascii="Times New Roman" w:hAnsi="Times New Roman" w:eastAsia="宋体" w:cs="Times New Roman"/>
                      <w:snapToGrid w:val="0"/>
                      <w:kern w:val="0"/>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55" w:type="pct"/>
                  <w:noWrap/>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总磷</w:t>
                  </w:r>
                </w:p>
              </w:tc>
              <w:tc>
                <w:tcPr>
                  <w:tcW w:w="1200" w:type="pct"/>
                  <w:noWrap/>
                  <w:vAlign w:val="center"/>
                </w:tcPr>
                <w:p>
                  <w:pPr>
                    <w:adjustRightInd w:val="0"/>
                    <w:snapToGrid w:val="0"/>
                    <w:jc w:val="center"/>
                    <w:rPr>
                      <w:rFonts w:hint="eastAsia" w:ascii="Times New Roman" w:hAnsi="Times New Roman" w:eastAsia="宋体" w:cs="Times New Roman"/>
                      <w:snapToGrid w:val="0"/>
                      <w:kern w:val="0"/>
                      <w:szCs w:val="21"/>
                      <w:lang w:eastAsia="zh-CN"/>
                    </w:rPr>
                  </w:pPr>
                  <w:r>
                    <w:rPr>
                      <w:rFonts w:ascii="Times New Roman" w:hAnsi="Times New Roman" w:eastAsia="宋体" w:cs="Times New Roman"/>
                      <w:snapToGrid w:val="0"/>
                      <w:kern w:val="0"/>
                      <w:szCs w:val="21"/>
                    </w:rPr>
                    <w:t>0.</w:t>
                  </w:r>
                  <w:r>
                    <w:rPr>
                      <w:rFonts w:hint="eastAsia" w:ascii="Times New Roman" w:hAnsi="Times New Roman" w:eastAsia="宋体" w:cs="Times New Roman"/>
                      <w:snapToGrid w:val="0"/>
                      <w:kern w:val="0"/>
                      <w:szCs w:val="21"/>
                      <w:lang w:val="en-US" w:eastAsia="zh-CN"/>
                    </w:rPr>
                    <w:t>3</w:t>
                  </w:r>
                </w:p>
              </w:tc>
              <w:tc>
                <w:tcPr>
                  <w:tcW w:w="1275" w:type="pct"/>
                  <w:noWrap/>
                  <w:vAlign w:val="center"/>
                </w:tcPr>
                <w:p>
                  <w:pPr>
                    <w:adjustRightInd w:val="0"/>
                    <w:snapToGrid w:val="0"/>
                    <w:jc w:val="center"/>
                    <w:rPr>
                      <w:rFonts w:hint="default" w:ascii="Times New Roman" w:hAnsi="Times New Roman" w:eastAsia="宋体" w:cs="Times New Roman"/>
                      <w:snapToGrid w:val="0"/>
                      <w:kern w:val="0"/>
                      <w:szCs w:val="21"/>
                      <w:lang w:val="en-US" w:eastAsia="zh-CN"/>
                    </w:rPr>
                  </w:pPr>
                  <w:r>
                    <w:rPr>
                      <w:rFonts w:hint="eastAsia" w:ascii="Times New Roman" w:hAnsi="Times New Roman" w:eastAsia="宋体" w:cs="Times New Roman"/>
                      <w:snapToGrid w:val="0"/>
                      <w:kern w:val="0"/>
                      <w:szCs w:val="21"/>
                    </w:rPr>
                    <w:t>0</w:t>
                  </w:r>
                  <w:r>
                    <w:rPr>
                      <w:rFonts w:ascii="Times New Roman" w:hAnsi="Times New Roman" w:eastAsia="宋体" w:cs="Times New Roman"/>
                      <w:snapToGrid w:val="0"/>
                      <w:kern w:val="0"/>
                      <w:szCs w:val="21"/>
                    </w:rPr>
                    <w:t>.0</w:t>
                  </w:r>
                  <w:r>
                    <w:rPr>
                      <w:rFonts w:hint="eastAsia" w:ascii="Times New Roman" w:hAnsi="Times New Roman" w:eastAsia="宋体" w:cs="Times New Roman"/>
                      <w:snapToGrid w:val="0"/>
                      <w:kern w:val="0"/>
                      <w:szCs w:val="21"/>
                      <w:lang w:val="en-US" w:eastAsia="zh-CN"/>
                    </w:rPr>
                    <w:t>8</w:t>
                  </w:r>
                  <w:r>
                    <w:rPr>
                      <w:rFonts w:ascii="Times New Roman" w:hAnsi="Times New Roman" w:eastAsia="宋体" w:cs="Times New Roman"/>
                      <w:snapToGrid w:val="0"/>
                      <w:kern w:val="0"/>
                      <w:szCs w:val="21"/>
                    </w:rPr>
                    <w:t>~0.</w:t>
                  </w:r>
                  <w:r>
                    <w:rPr>
                      <w:rFonts w:hint="eastAsia" w:ascii="Times New Roman" w:hAnsi="Times New Roman" w:eastAsia="宋体" w:cs="Times New Roman"/>
                      <w:snapToGrid w:val="0"/>
                      <w:kern w:val="0"/>
                      <w:szCs w:val="21"/>
                      <w:lang w:val="en-US" w:eastAsia="zh-CN"/>
                    </w:rPr>
                    <w:t>28</w:t>
                  </w:r>
                </w:p>
              </w:tc>
              <w:tc>
                <w:tcPr>
                  <w:tcW w:w="916" w:type="pct"/>
                  <w:noWrap/>
                  <w:vAlign w:val="top"/>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w:t>
                  </w:r>
                </w:p>
              </w:tc>
              <w:tc>
                <w:tcPr>
                  <w:tcW w:w="752" w:type="pct"/>
                  <w:noWrap w:val="0"/>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w:t>
                  </w:r>
                  <w:r>
                    <w:rPr>
                      <w:rFonts w:ascii="Times New Roman" w:hAnsi="Times New Roman" w:eastAsia="宋体" w:cs="Times New Roman"/>
                      <w:snapToGrid w:val="0"/>
                      <w:kern w:val="0"/>
                      <w:szCs w:val="21"/>
                    </w:rPr>
                    <w:t>.3</w:t>
                  </w:r>
                </w:p>
              </w:tc>
            </w:tr>
          </w:tbl>
          <w:p>
            <w:pPr>
              <w:autoSpaceDE w:val="0"/>
              <w:autoSpaceDN w:val="0"/>
              <w:adjustRightIn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由表3</w:t>
            </w:r>
            <w:r>
              <w:rPr>
                <w:rFonts w:hint="eastAsia" w:ascii="Times New Roman" w:hAnsi="Times New Roman" w:eastAsia="宋体" w:cs="Times New Roman"/>
                <w:kern w:val="0"/>
                <w:sz w:val="24"/>
                <w:szCs w:val="24"/>
                <w:lang w:val="en-US" w:eastAsia="zh-CN"/>
              </w:rPr>
              <w:t>.1</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2</w:t>
            </w:r>
            <w:r>
              <w:rPr>
                <w:rFonts w:ascii="Times New Roman" w:hAnsi="Times New Roman" w:eastAsia="宋体" w:cs="Times New Roman"/>
                <w:kern w:val="0"/>
                <w:sz w:val="24"/>
                <w:szCs w:val="24"/>
              </w:rPr>
              <w:t>可知，</w:t>
            </w:r>
            <w:r>
              <w:rPr>
                <w:rFonts w:hint="eastAsia" w:ascii="Times New Roman" w:hAnsi="Times New Roman" w:eastAsia="宋体" w:cs="Times New Roman"/>
                <w:sz w:val="24"/>
                <w:lang w:eastAsia="zh-CN"/>
              </w:rPr>
              <w:t>滩远河</w:t>
            </w:r>
            <w:r>
              <w:rPr>
                <w:rFonts w:hint="eastAsia" w:ascii="Times New Roman" w:hAnsi="Times New Roman" w:eastAsia="宋体" w:cs="Times New Roman"/>
                <w:sz w:val="24"/>
                <w:lang w:val="en-US" w:eastAsia="zh-CN"/>
              </w:rPr>
              <w:t>众志桥</w:t>
            </w:r>
            <w:r>
              <w:rPr>
                <w:rFonts w:ascii="Times New Roman" w:hAnsi="Times New Roman" w:eastAsia="宋体" w:cs="Times New Roman"/>
                <w:sz w:val="24"/>
                <w:szCs w:val="24"/>
              </w:rPr>
              <w:t>监测断面</w:t>
            </w:r>
            <w:r>
              <w:rPr>
                <w:rFonts w:hint="eastAsia" w:ascii="Times New Roman" w:hAnsi="Times New Roman" w:eastAsia="宋体" w:cs="Times New Roman"/>
                <w:sz w:val="24"/>
                <w:szCs w:val="24"/>
                <w:lang w:eastAsia="zh-CN"/>
              </w:rPr>
              <w:t>各</w:t>
            </w:r>
            <w:r>
              <w:rPr>
                <w:rFonts w:ascii="Times New Roman" w:hAnsi="Times New Roman" w:eastAsia="宋体" w:cs="Times New Roman"/>
                <w:sz w:val="24"/>
                <w:szCs w:val="24"/>
              </w:rPr>
              <w:t>监测因子均满足《地表水环境质量标</w:t>
            </w:r>
            <w:r>
              <w:rPr>
                <w:rFonts w:ascii="Times New Roman" w:hAnsi="Times New Roman" w:eastAsia="宋体" w:cs="Times New Roman"/>
                <w:sz w:val="24"/>
              </w:rPr>
              <w:t>准》（GB3838-2002）中</w:t>
            </w:r>
            <w:r>
              <w:rPr>
                <w:rFonts w:hint="eastAsia" w:ascii="Times New Roman" w:hAnsi="Times New Roman" w:eastAsia="宋体" w:cs="Times New Roman"/>
                <w:sz w:val="24"/>
                <w:lang w:eastAsia="zh-CN"/>
              </w:rPr>
              <w:t>Ⅳ</w:t>
            </w:r>
            <w:r>
              <w:rPr>
                <w:rFonts w:ascii="Times New Roman" w:hAnsi="Times New Roman" w:eastAsia="宋体" w:cs="Times New Roman"/>
                <w:sz w:val="24"/>
              </w:rPr>
              <w:t>类水质标准要求</w:t>
            </w:r>
            <w:r>
              <w:rPr>
                <w:rFonts w:ascii="Times New Roman" w:hAnsi="Times New Roman" w:eastAsia="宋体" w:cs="Times New Roman"/>
                <w:kern w:val="0"/>
                <w:sz w:val="24"/>
                <w:szCs w:val="24"/>
              </w:rPr>
              <w:t>。</w:t>
            </w:r>
          </w:p>
          <w:p>
            <w:pPr>
              <w:autoSpaceDE w:val="0"/>
              <w:autoSpaceDN w:val="0"/>
              <w:spacing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3.1.3 声环境质量现状</w:t>
            </w:r>
          </w:p>
          <w:p>
            <w:pPr>
              <w:adjustRightInd w:val="0"/>
              <w:snapToGrid w:val="0"/>
              <w:spacing w:line="360" w:lineRule="auto"/>
              <w:ind w:firstLine="480" w:firstLineChars="200"/>
              <w:rPr>
                <w:rFonts w:hint="eastAsia" w:ascii="Times New Roman" w:hAnsi="Times New Roman" w:eastAsia="宋体" w:cs="Times New Roman"/>
                <w:sz w:val="24"/>
                <w:lang w:eastAsia="zh-CN"/>
              </w:rPr>
            </w:pPr>
            <w:bookmarkStart w:id="6" w:name="_Hlk92966612"/>
            <w:r>
              <w:rPr>
                <w:rFonts w:hint="eastAsia" w:ascii="Times New Roman" w:hAnsi="Times New Roman" w:eastAsia="宋体" w:cs="Times New Roman"/>
                <w:sz w:val="24"/>
              </w:rPr>
              <w:t>根据《建设项目环境影响报告表编制技术指南（污染影响类）（试行）》可知，声环境质量现状应监测项目厂界外周边</w:t>
            </w:r>
            <w:r>
              <w:rPr>
                <w:rFonts w:ascii="Times New Roman" w:hAnsi="Times New Roman" w:eastAsia="宋体" w:cs="Times New Roman"/>
                <w:sz w:val="24"/>
              </w:rPr>
              <w:t>50</w:t>
            </w:r>
            <w:r>
              <w:rPr>
                <w:rFonts w:hint="eastAsia" w:ascii="Times New Roman" w:hAnsi="Times New Roman" w:eastAsia="宋体" w:cs="Times New Roman"/>
                <w:sz w:val="24"/>
              </w:rPr>
              <w:t>米范围内的声环境保护目标，</w:t>
            </w:r>
            <w:r>
              <w:rPr>
                <w:rFonts w:hint="eastAsia" w:ascii="Times New Roman" w:hAnsi="Times New Roman" w:eastAsia="宋体" w:cs="Times New Roman"/>
                <w:sz w:val="24"/>
                <w:lang w:eastAsia="zh-CN"/>
              </w:rPr>
              <w:t>根据现场调查</w:t>
            </w:r>
            <w:r>
              <w:rPr>
                <w:rFonts w:hint="eastAsia" w:ascii="Times New Roman" w:hAnsi="Times New Roman" w:eastAsia="宋体" w:cs="Times New Roman"/>
                <w:sz w:val="24"/>
              </w:rPr>
              <w:t>，项目厂界外周边</w:t>
            </w:r>
            <w:r>
              <w:rPr>
                <w:rFonts w:ascii="Times New Roman" w:hAnsi="Times New Roman" w:eastAsia="宋体" w:cs="Times New Roman"/>
                <w:sz w:val="24"/>
              </w:rPr>
              <w:t>50</w:t>
            </w:r>
            <w:r>
              <w:rPr>
                <w:rFonts w:hint="eastAsia" w:ascii="Times New Roman" w:hAnsi="Times New Roman" w:eastAsia="宋体" w:cs="Times New Roman"/>
                <w:sz w:val="24"/>
              </w:rPr>
              <w:t>米范围内无声环境保护目标，因此本次评价不对声环境质量现状进行监测</w:t>
            </w:r>
            <w:r>
              <w:rPr>
                <w:rFonts w:hint="eastAsia" w:ascii="Times New Roman" w:hAnsi="Times New Roman" w:eastAsia="宋体" w:cs="Times New Roman"/>
                <w:sz w:val="24"/>
                <w:lang w:eastAsia="zh-CN"/>
              </w:rPr>
              <w:t>。</w:t>
            </w:r>
          </w:p>
          <w:p>
            <w:pPr>
              <w:adjustRightInd w:val="0"/>
              <w:snapToGrid w:val="0"/>
              <w:spacing w:line="360" w:lineRule="auto"/>
              <w:jc w:val="left"/>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3.1.4地下水、土壤环境质量现状</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lang w:val="en-US" w:eastAsia="zh-CN"/>
              </w:rPr>
              <w:t>根据《建设项目环境影响报告表编制技术指南（污染影响类）（试行）》可知，原则上不开展地下水、土壤环境质量现状调查。</w:t>
            </w:r>
            <w:r>
              <w:rPr>
                <w:rFonts w:hint="eastAsia" w:ascii="Times New Roman" w:hAnsi="Times New Roman" w:eastAsia="宋体" w:cs="Times New Roman"/>
                <w:sz w:val="24"/>
                <w:lang w:eastAsia="zh-CN"/>
              </w:rPr>
              <w:t>本项目采取相应措施后，</w:t>
            </w:r>
            <w:r>
              <w:rPr>
                <w:rFonts w:hint="eastAsia" w:ascii="Times New Roman" w:hAnsi="Times New Roman" w:eastAsia="宋体" w:cs="Times New Roman"/>
                <w:sz w:val="24"/>
                <w:lang w:val="en-US" w:eastAsia="zh-CN"/>
              </w:rPr>
              <w:t>不存在地下水、土壤环境污染途径，因此，项目不需要进行地下水、土壤环境现状调查</w:t>
            </w:r>
            <w:r>
              <w:rPr>
                <w:rFonts w:ascii="Times New Roman" w:hAnsi="Times New Roman" w:eastAsia="宋体" w:cs="Times New Roman"/>
                <w:sz w:val="24"/>
              </w:rPr>
              <w:t>。</w:t>
            </w:r>
            <w:bookmarkEnd w:id="6"/>
          </w:p>
          <w:p>
            <w:pPr>
              <w:autoSpaceDE w:val="0"/>
              <w:autoSpaceDN w:val="0"/>
              <w:spacing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3.1.4 生态环境</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w:t>
            </w:r>
            <w:r>
              <w:rPr>
                <w:rFonts w:hint="eastAsia" w:ascii="Times New Roman" w:hAnsi="Times New Roman" w:eastAsia="宋体" w:cs="Times New Roman"/>
                <w:kern w:val="0"/>
                <w:sz w:val="24"/>
                <w:szCs w:val="24"/>
                <w:lang w:eastAsia="zh-CN"/>
              </w:rPr>
              <w:t>利用</w:t>
            </w:r>
            <w:r>
              <w:rPr>
                <w:rFonts w:hint="eastAsia" w:ascii="Times New Roman" w:hAnsi="Times New Roman" w:eastAsia="宋体" w:cs="Times New Roman"/>
                <w:color w:val="auto"/>
                <w:kern w:val="0"/>
                <w:sz w:val="24"/>
                <w:szCs w:val="24"/>
                <w:lang w:val="en-US" w:eastAsia="zh-CN"/>
              </w:rPr>
              <w:t>现有厂区</w:t>
            </w:r>
            <w:r>
              <w:rPr>
                <w:rFonts w:hint="eastAsia" w:ascii="Times New Roman" w:hAnsi="Times New Roman" w:eastAsia="宋体" w:cs="Times New Roman"/>
                <w:kern w:val="0"/>
                <w:sz w:val="24"/>
                <w:szCs w:val="24"/>
                <w:lang w:eastAsia="zh-CN"/>
              </w:rPr>
              <w:t>用地</w:t>
            </w:r>
            <w:r>
              <w:rPr>
                <w:rFonts w:ascii="Times New Roman" w:hAnsi="Times New Roman" w:eastAsia="宋体" w:cs="Times New Roman"/>
                <w:kern w:val="0"/>
                <w:sz w:val="24"/>
                <w:szCs w:val="24"/>
              </w:rPr>
              <w:t>，用地范围内不含有生态环境保护目标，无需进行生态现状调查。</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65"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环境保护目标</w:t>
            </w:r>
          </w:p>
        </w:tc>
        <w:tc>
          <w:tcPr>
            <w:tcW w:w="8363" w:type="dxa"/>
            <w:vAlign w:val="center"/>
          </w:tcPr>
          <w:p>
            <w:pPr>
              <w:autoSpaceDE w:val="0"/>
              <w:autoSpaceDN w:val="0"/>
              <w:adjustRightInd w:val="0"/>
              <w:snapToGrid w:val="0"/>
              <w:spacing w:line="440" w:lineRule="exact"/>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3.2 </w:t>
            </w:r>
            <w:r>
              <w:rPr>
                <w:rFonts w:hint="eastAsia" w:ascii="Times New Roman" w:hAnsi="Times New Roman" w:eastAsia="宋体" w:cs="Times New Roman"/>
                <w:b/>
                <w:bCs/>
                <w:kern w:val="0"/>
                <w:sz w:val="24"/>
                <w:szCs w:val="24"/>
                <w:lang w:eastAsia="zh-CN"/>
              </w:rPr>
              <w:t>环境</w:t>
            </w:r>
            <w:r>
              <w:rPr>
                <w:rFonts w:ascii="Times New Roman" w:hAnsi="Times New Roman" w:eastAsia="宋体" w:cs="Times New Roman"/>
                <w:b/>
                <w:bCs/>
                <w:kern w:val="0"/>
                <w:sz w:val="24"/>
                <w:szCs w:val="24"/>
              </w:rPr>
              <w:t>保护目标</w:t>
            </w:r>
          </w:p>
          <w:p>
            <w:pPr>
              <w:autoSpaceDE w:val="0"/>
              <w:autoSpaceDN w:val="0"/>
              <w:adjustRightInd w:val="0"/>
              <w:snapToGrid w:val="0"/>
              <w:spacing w:line="440" w:lineRule="exact"/>
              <w:ind w:firstLine="480" w:firstLineChars="200"/>
              <w:jc w:val="left"/>
              <w:rPr>
                <w:rFonts w:ascii="Times New Roman" w:hAnsi="Times New Roman" w:eastAsia="宋体" w:cs="Times New Roman"/>
                <w:kern w:val="0"/>
                <w:sz w:val="24"/>
                <w:szCs w:val="24"/>
              </w:rPr>
            </w:pPr>
            <w:bookmarkStart w:id="7" w:name="_Hlk92966654"/>
            <w:r>
              <w:rPr>
                <w:rFonts w:hint="eastAsia" w:ascii="Times New Roman" w:hAnsi="Times New Roman" w:eastAsia="宋体" w:cs="Times New Roman"/>
                <w:sz w:val="24"/>
                <w:szCs w:val="24"/>
                <w:lang w:eastAsia="zh-CN"/>
              </w:rPr>
              <w:t>本项目</w:t>
            </w:r>
            <w:r>
              <w:rPr>
                <w:rFonts w:ascii="Times New Roman" w:hAnsi="Times New Roman" w:eastAsia="宋体" w:cs="Times New Roman"/>
                <w:sz w:val="24"/>
                <w:szCs w:val="24"/>
              </w:rPr>
              <w:t>位于</w:t>
            </w:r>
            <w:r>
              <w:rPr>
                <w:rFonts w:hint="eastAsia" w:ascii="Times New Roman" w:hAnsi="Times New Roman" w:eastAsia="宋体" w:cs="Times New Roman"/>
                <w:sz w:val="24"/>
                <w:szCs w:val="24"/>
                <w:lang w:eastAsia="zh-CN"/>
              </w:rPr>
              <w:t>重庆市铜梁区侣俸镇凤飞村</w:t>
            </w:r>
            <w:r>
              <w:rPr>
                <w:rFonts w:ascii="Times New Roman" w:hAnsi="Times New Roman" w:eastAsia="宋体" w:cs="Times New Roman"/>
                <w:sz w:val="24"/>
                <w:szCs w:val="24"/>
              </w:rPr>
              <w:t>，</w:t>
            </w:r>
            <w:r>
              <w:rPr>
                <w:rFonts w:hint="eastAsia" w:ascii="Times New Roman" w:hAnsi="Times New Roman" w:eastAsia="宋体" w:cs="Times New Roman"/>
                <w:sz w:val="24"/>
                <w:szCs w:val="24"/>
              </w:rPr>
              <w:t>厂界外5</w:t>
            </w:r>
            <w:r>
              <w:rPr>
                <w:rFonts w:ascii="Times New Roman" w:hAnsi="Times New Roman" w:eastAsia="宋体" w:cs="Times New Roman"/>
                <w:sz w:val="24"/>
                <w:szCs w:val="24"/>
              </w:rPr>
              <w:t>0</w:t>
            </w:r>
            <w:r>
              <w:rPr>
                <w:rFonts w:hint="eastAsia" w:ascii="Times New Roman" w:hAnsi="Times New Roman" w:eastAsia="宋体" w:cs="Times New Roman"/>
                <w:sz w:val="24"/>
                <w:szCs w:val="24"/>
              </w:rPr>
              <w:t>m范围内无声环境保护目标。厂界外5</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m</w:t>
            </w:r>
            <w:r>
              <w:rPr>
                <w:rFonts w:ascii="Times New Roman" w:hAnsi="Times New Roman" w:eastAsia="宋体" w:cs="Times New Roman"/>
                <w:sz w:val="24"/>
                <w:szCs w:val="24"/>
              </w:rPr>
              <w:t>范围内无自然保护区、风景名胜区、森林公园</w:t>
            </w:r>
            <w:r>
              <w:rPr>
                <w:rFonts w:hint="eastAsia" w:ascii="Times New Roman" w:hAnsi="Times New Roman" w:eastAsia="宋体" w:cs="Times New Roman"/>
                <w:sz w:val="24"/>
                <w:szCs w:val="24"/>
              </w:rPr>
              <w:t>、</w:t>
            </w:r>
            <w:r>
              <w:rPr>
                <w:rFonts w:ascii="Times New Roman" w:hAnsi="Times New Roman" w:eastAsia="宋体" w:cs="Times New Roman"/>
                <w:sz w:val="24"/>
                <w:szCs w:val="24"/>
              </w:rPr>
              <w:t>无</w:t>
            </w:r>
            <w:r>
              <w:rPr>
                <w:rFonts w:hint="eastAsia" w:ascii="Times New Roman" w:hAnsi="Times New Roman" w:eastAsia="宋体" w:cs="Times New Roman"/>
                <w:sz w:val="24"/>
                <w:szCs w:val="24"/>
              </w:rPr>
              <w:t>地下水集中式饮用水水源和热水、矿泉水、温泉等特殊地下水资源</w:t>
            </w:r>
            <w:r>
              <w:rPr>
                <w:rFonts w:ascii="Times New Roman" w:hAnsi="Times New Roman" w:eastAsia="宋体" w:cs="Times New Roman"/>
                <w:sz w:val="24"/>
                <w:szCs w:val="24"/>
              </w:rPr>
              <w:t>，未发现珍稀濒危保护野生动植物和古树名木</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主要环境保护目标为零散</w:t>
            </w:r>
            <w:r>
              <w:rPr>
                <w:rFonts w:ascii="Times New Roman" w:hAnsi="Times New Roman" w:eastAsia="宋体" w:cs="Times New Roman"/>
                <w:sz w:val="24"/>
                <w:szCs w:val="24"/>
              </w:rPr>
              <w:t>居民</w:t>
            </w:r>
            <w:r>
              <w:rPr>
                <w:rFonts w:hint="eastAsia" w:ascii="Times New Roman" w:hAnsi="Times New Roman" w:eastAsia="宋体" w:cs="Times New Roman"/>
                <w:sz w:val="24"/>
                <w:szCs w:val="24"/>
                <w:lang w:eastAsia="zh-CN"/>
              </w:rPr>
              <w:t>和学校</w:t>
            </w:r>
            <w:r>
              <w:rPr>
                <w:rFonts w:ascii="Times New Roman" w:hAnsi="Times New Roman" w:eastAsia="宋体" w:cs="Times New Roman"/>
                <w:sz w:val="24"/>
                <w:szCs w:val="24"/>
              </w:rPr>
              <w:t>。</w:t>
            </w:r>
            <w:bookmarkEnd w:id="7"/>
            <w:r>
              <w:rPr>
                <w:rFonts w:ascii="Times New Roman" w:hAnsi="Times New Roman" w:eastAsia="宋体" w:cs="Times New Roman"/>
                <w:kern w:val="0"/>
                <w:sz w:val="24"/>
                <w:szCs w:val="24"/>
              </w:rPr>
              <w:t>项目厂区周边</w:t>
            </w:r>
            <w:r>
              <w:rPr>
                <w:rFonts w:hint="eastAsia" w:ascii="Times New Roman" w:hAnsi="Times New Roman" w:eastAsia="宋体" w:cs="Times New Roman"/>
                <w:sz w:val="24"/>
                <w:szCs w:val="24"/>
              </w:rPr>
              <w:t>5</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m</w:t>
            </w:r>
            <w:r>
              <w:rPr>
                <w:rFonts w:ascii="Times New Roman" w:hAnsi="Times New Roman" w:eastAsia="宋体" w:cs="Times New Roman"/>
                <w:sz w:val="24"/>
                <w:szCs w:val="24"/>
              </w:rPr>
              <w:t>范围内</w:t>
            </w:r>
            <w:r>
              <w:rPr>
                <w:rFonts w:ascii="Times New Roman" w:hAnsi="Times New Roman" w:eastAsia="宋体" w:cs="Times New Roman"/>
                <w:kern w:val="0"/>
                <w:sz w:val="24"/>
                <w:szCs w:val="24"/>
              </w:rPr>
              <w:t>环境</w:t>
            </w:r>
            <w:r>
              <w:rPr>
                <w:rFonts w:hint="eastAsia" w:ascii="Times New Roman" w:hAnsi="Times New Roman" w:eastAsia="宋体" w:cs="Times New Roman"/>
                <w:kern w:val="0"/>
                <w:sz w:val="24"/>
                <w:szCs w:val="24"/>
                <w:lang w:eastAsia="zh-CN"/>
              </w:rPr>
              <w:t>保护目标</w:t>
            </w:r>
            <w:r>
              <w:rPr>
                <w:rFonts w:ascii="Times New Roman" w:hAnsi="Times New Roman" w:eastAsia="宋体" w:cs="Times New Roman"/>
                <w:kern w:val="0"/>
                <w:sz w:val="24"/>
                <w:szCs w:val="24"/>
              </w:rPr>
              <w:t>详见表3</w:t>
            </w:r>
            <w:r>
              <w:rPr>
                <w:rFonts w:hint="eastAsia" w:ascii="Times New Roman" w:hAnsi="Times New Roman" w:eastAsia="宋体" w:cs="Times New Roman"/>
                <w:kern w:val="0"/>
                <w:sz w:val="24"/>
                <w:szCs w:val="24"/>
                <w:lang w:val="en-US" w:eastAsia="zh-CN"/>
              </w:rPr>
              <w:t>.2</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1</w:t>
            </w:r>
            <w:r>
              <w:rPr>
                <w:rFonts w:hint="eastAsia" w:ascii="Times New Roman" w:hAnsi="Times New Roman" w:eastAsia="宋体" w:cs="Times New Roman"/>
                <w:kern w:val="0"/>
                <w:sz w:val="24"/>
                <w:szCs w:val="24"/>
                <w:lang w:eastAsia="zh-CN"/>
              </w:rPr>
              <w:t>和</w:t>
            </w:r>
            <w:r>
              <w:rPr>
                <w:rFonts w:ascii="Times New Roman" w:hAnsi="Times New Roman" w:eastAsia="宋体" w:cs="Times New Roman"/>
                <w:b w:val="0"/>
                <w:bCs w:val="0"/>
                <w:kern w:val="0"/>
                <w:sz w:val="24"/>
                <w:szCs w:val="24"/>
                <w:u w:val="none"/>
              </w:rPr>
              <w:t>附图</w:t>
            </w:r>
            <w:r>
              <w:rPr>
                <w:rFonts w:hint="eastAsia" w:ascii="Times New Roman" w:hAnsi="Times New Roman" w:eastAsia="宋体" w:cs="Times New Roman"/>
                <w:b w:val="0"/>
                <w:bCs w:val="0"/>
                <w:kern w:val="0"/>
                <w:sz w:val="24"/>
                <w:szCs w:val="24"/>
                <w:u w:val="none"/>
                <w:lang w:val="en-US" w:eastAsia="zh-CN"/>
              </w:rPr>
              <w:t>3</w:t>
            </w:r>
            <w:r>
              <w:rPr>
                <w:rFonts w:ascii="Times New Roman" w:hAnsi="Times New Roman" w:eastAsia="宋体" w:cs="Times New Roman"/>
                <w:kern w:val="0"/>
                <w:sz w:val="24"/>
                <w:szCs w:val="24"/>
              </w:rPr>
              <w:t>。</w:t>
            </w:r>
          </w:p>
          <w:p>
            <w:pPr>
              <w:autoSpaceDE w:val="0"/>
              <w:autoSpaceDN w:val="0"/>
              <w:spacing w:line="440" w:lineRule="exact"/>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4"/>
                <w:szCs w:val="24"/>
              </w:rPr>
              <w:t>表3</w:t>
            </w:r>
            <w:r>
              <w:rPr>
                <w:rFonts w:hint="eastAsia" w:ascii="Times New Roman" w:hAnsi="Times New Roman" w:eastAsia="宋体" w:cs="Times New Roman"/>
                <w:b/>
                <w:bCs/>
                <w:color w:val="auto"/>
                <w:kern w:val="0"/>
                <w:sz w:val="24"/>
                <w:szCs w:val="24"/>
                <w:lang w:val="en-US" w:eastAsia="zh-CN"/>
              </w:rPr>
              <w:t>.2</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1</w:t>
            </w:r>
            <w:r>
              <w:rPr>
                <w:rFonts w:ascii="Times New Roman" w:hAnsi="Times New Roman" w:eastAsia="宋体" w:cs="Times New Roman"/>
                <w:b/>
                <w:bCs/>
                <w:color w:val="auto"/>
                <w:kern w:val="0"/>
                <w:sz w:val="24"/>
                <w:szCs w:val="24"/>
              </w:rPr>
              <w:t xml:space="preserve">  项目</w:t>
            </w:r>
            <w:r>
              <w:rPr>
                <w:rFonts w:hint="eastAsia" w:ascii="Times New Roman" w:hAnsi="Times New Roman" w:eastAsia="宋体" w:cs="Times New Roman"/>
                <w:b/>
                <w:bCs/>
                <w:color w:val="auto"/>
                <w:kern w:val="0"/>
                <w:sz w:val="24"/>
                <w:szCs w:val="24"/>
                <w:lang w:val="en-US" w:eastAsia="zh-CN"/>
              </w:rPr>
              <w:t>环境保护目标</w:t>
            </w:r>
            <w:r>
              <w:rPr>
                <w:rFonts w:ascii="Times New Roman" w:hAnsi="Times New Roman" w:eastAsia="宋体" w:cs="Times New Roman"/>
                <w:b/>
                <w:bCs/>
                <w:color w:val="auto"/>
                <w:kern w:val="0"/>
                <w:sz w:val="24"/>
                <w:szCs w:val="24"/>
              </w:rPr>
              <w:t>一览表</w:t>
            </w:r>
          </w:p>
          <w:tbl>
            <w:tblPr>
              <w:tblStyle w:val="20"/>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256"/>
              <w:gridCol w:w="500"/>
              <w:gridCol w:w="663"/>
              <w:gridCol w:w="1442"/>
              <w:gridCol w:w="1003"/>
              <w:gridCol w:w="872"/>
              <w:gridCol w:w="86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Merge w:val="restar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74" w:type="pct"/>
                  <w:vMerge w:val="restart"/>
                  <w:tcMar>
                    <w:left w:w="28" w:type="dxa"/>
                    <w:right w:w="28" w:type="dxa"/>
                  </w:tcMar>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717" w:type="pct"/>
                  <w:gridSpan w:val="2"/>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最近</w:t>
                  </w:r>
                  <w:r>
                    <w:rPr>
                      <w:rFonts w:hint="default" w:ascii="Times New Roman" w:hAnsi="Times New Roman" w:eastAsia="宋体" w:cs="Times New Roman"/>
                      <w:color w:val="auto"/>
                      <w:sz w:val="21"/>
                      <w:szCs w:val="21"/>
                    </w:rPr>
                    <w:t>坐标</w:t>
                  </w:r>
                </w:p>
              </w:tc>
              <w:tc>
                <w:tcPr>
                  <w:tcW w:w="889" w:type="pct"/>
                  <w:vMerge w:val="restar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保护内容</w:t>
                  </w:r>
                </w:p>
              </w:tc>
              <w:tc>
                <w:tcPr>
                  <w:tcW w:w="618" w:type="pct"/>
                  <w:vMerge w:val="restar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环境功能区</w:t>
                  </w:r>
                </w:p>
              </w:tc>
              <w:tc>
                <w:tcPr>
                  <w:tcW w:w="537" w:type="pct"/>
                  <w:vMerge w:val="restart"/>
                  <w:vAlign w:val="center"/>
                </w:tcPr>
                <w:p>
                  <w:pPr>
                    <w:keepNext w:val="0"/>
                    <w:keepLines w:val="0"/>
                    <w:pageBreakBefore w:val="0"/>
                    <w:widowControl w:val="0"/>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相对厂址方位</w:t>
                  </w:r>
                </w:p>
              </w:tc>
              <w:tc>
                <w:tcPr>
                  <w:tcW w:w="531" w:type="pct"/>
                  <w:vMerge w:val="restart"/>
                  <w:vAlign w:val="center"/>
                </w:tcPr>
                <w:p>
                  <w:pPr>
                    <w:keepNext w:val="0"/>
                    <w:keepLines w:val="0"/>
                    <w:pageBreakBefore w:val="0"/>
                    <w:widowControl w:val="0"/>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高差</w:t>
                  </w:r>
                  <w:r>
                    <w:rPr>
                      <w:rFonts w:hint="default" w:ascii="Times New Roman" w:hAnsi="Times New Roman" w:eastAsia="宋体" w:cs="Times New Roman"/>
                      <w:color w:val="auto"/>
                      <w:sz w:val="21"/>
                      <w:szCs w:val="21"/>
                    </w:rPr>
                    <w:t>/m</w:t>
                  </w:r>
                </w:p>
              </w:tc>
              <w:tc>
                <w:tcPr>
                  <w:tcW w:w="693" w:type="pct"/>
                  <w:vMerge w:val="restart"/>
                  <w:vAlign w:val="center"/>
                </w:tcPr>
                <w:p>
                  <w:pPr>
                    <w:keepNext w:val="0"/>
                    <w:keepLines w:val="0"/>
                    <w:pageBreakBefore w:val="0"/>
                    <w:widowControl w:val="0"/>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与项目厂房距离</w:t>
                  </w:r>
                  <w:r>
                    <w:rPr>
                      <w:rFonts w:hint="default" w:ascii="Times New Roman" w:hAnsi="Times New Roman" w:eastAsia="宋体" w:cs="Times New Roman"/>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Merge w:val="continue"/>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p>
              </w:tc>
              <w:tc>
                <w:tcPr>
                  <w:tcW w:w="774" w:type="pct"/>
                  <w:vMerge w:val="continue"/>
                  <w:tcMar>
                    <w:left w:w="28" w:type="dxa"/>
                    <w:right w:w="28" w:type="dxa"/>
                  </w:tcMar>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p>
              </w:tc>
              <w:tc>
                <w:tcPr>
                  <w:tcW w:w="308"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408"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889" w:type="pct"/>
                  <w:vMerge w:val="continue"/>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p>
              </w:tc>
              <w:tc>
                <w:tcPr>
                  <w:tcW w:w="618" w:type="pct"/>
                  <w:vMerge w:val="continue"/>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p>
              </w:tc>
              <w:tc>
                <w:tcPr>
                  <w:tcW w:w="537" w:type="pct"/>
                  <w:vMerge w:val="continue"/>
                  <w:vAlign w:val="center"/>
                </w:tcPr>
                <w:p>
                  <w:pPr>
                    <w:keepNext w:val="0"/>
                    <w:keepLines w:val="0"/>
                    <w:pageBreakBefore w:val="0"/>
                    <w:widowControl w:val="0"/>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color w:val="auto"/>
                      <w:sz w:val="21"/>
                      <w:szCs w:val="21"/>
                    </w:rPr>
                  </w:pPr>
                </w:p>
              </w:tc>
              <w:tc>
                <w:tcPr>
                  <w:tcW w:w="531" w:type="pct"/>
                  <w:vMerge w:val="continue"/>
                  <w:vAlign w:val="center"/>
                </w:tcPr>
                <w:p>
                  <w:pPr>
                    <w:keepNext w:val="0"/>
                    <w:keepLines w:val="0"/>
                    <w:pageBreakBefore w:val="0"/>
                    <w:widowControl w:val="0"/>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color w:val="auto"/>
                      <w:sz w:val="21"/>
                      <w:szCs w:val="21"/>
                    </w:rPr>
                  </w:pPr>
                </w:p>
              </w:tc>
              <w:tc>
                <w:tcPr>
                  <w:tcW w:w="693" w:type="pct"/>
                  <w:vMerge w:val="continue"/>
                  <w:vAlign w:val="center"/>
                </w:tcPr>
                <w:p>
                  <w:pPr>
                    <w:keepNext w:val="0"/>
                    <w:keepLines w:val="0"/>
                    <w:pageBreakBefore w:val="0"/>
                    <w:widowControl w:val="0"/>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74"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1#居民点</w:t>
                  </w:r>
                </w:p>
              </w:tc>
              <w:tc>
                <w:tcPr>
                  <w:tcW w:w="308"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w:t>
                  </w:r>
                </w:p>
              </w:tc>
              <w:tc>
                <w:tcPr>
                  <w:tcW w:w="408"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889"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户，</w:t>
                  </w:r>
                  <w:r>
                    <w:rPr>
                      <w:rFonts w:hint="eastAsia" w:ascii="Times New Roman" w:hAnsi="Times New Roman" w:eastAsia="宋体" w:cs="Times New Roman"/>
                      <w:color w:val="auto"/>
                      <w:sz w:val="21"/>
                      <w:szCs w:val="21"/>
                      <w:lang w:val="en-US" w:eastAsia="zh-CN"/>
                    </w:rPr>
                    <w:t>13</w:t>
                  </w:r>
                  <w:r>
                    <w:rPr>
                      <w:rFonts w:hint="default" w:ascii="Times New Roman" w:hAnsi="Times New Roman" w:eastAsia="宋体" w:cs="Times New Roman"/>
                      <w:color w:val="auto"/>
                      <w:sz w:val="21"/>
                      <w:szCs w:val="21"/>
                    </w:rPr>
                    <w:t>人</w:t>
                  </w:r>
                </w:p>
              </w:tc>
              <w:tc>
                <w:tcPr>
                  <w:tcW w:w="618" w:type="pct"/>
                  <w:vMerge w:val="restar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大气环境二类</w:t>
                  </w:r>
                </w:p>
              </w:tc>
              <w:tc>
                <w:tcPr>
                  <w:tcW w:w="537"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NE</w:t>
                  </w:r>
                </w:p>
              </w:tc>
              <w:tc>
                <w:tcPr>
                  <w:tcW w:w="531"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w:t>
                  </w:r>
                </w:p>
              </w:tc>
              <w:tc>
                <w:tcPr>
                  <w:tcW w:w="693" w:type="pct"/>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p>
              </w:tc>
              <w:tc>
                <w:tcPr>
                  <w:tcW w:w="774"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2#居民点</w:t>
                  </w:r>
                </w:p>
              </w:tc>
              <w:tc>
                <w:tcPr>
                  <w:tcW w:w="308"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-156</w:t>
                  </w:r>
                </w:p>
              </w:tc>
              <w:tc>
                <w:tcPr>
                  <w:tcW w:w="408"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163</w:t>
                  </w:r>
                </w:p>
              </w:tc>
              <w:tc>
                <w:tcPr>
                  <w:tcW w:w="889"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户，</w:t>
                  </w:r>
                  <w:r>
                    <w:rPr>
                      <w:rFonts w:hint="eastAsia" w:ascii="Times New Roman" w:hAnsi="Times New Roman" w:eastAsia="宋体" w:cs="Times New Roman"/>
                      <w:color w:val="auto"/>
                      <w:sz w:val="21"/>
                      <w:szCs w:val="21"/>
                      <w:lang w:val="en-US" w:eastAsia="zh-CN"/>
                    </w:rPr>
                    <w:t>33</w:t>
                  </w:r>
                  <w:r>
                    <w:rPr>
                      <w:rFonts w:hint="default" w:ascii="Times New Roman" w:hAnsi="Times New Roman" w:eastAsia="宋体" w:cs="Times New Roman"/>
                      <w:color w:val="auto"/>
                      <w:sz w:val="21"/>
                      <w:szCs w:val="21"/>
                    </w:rPr>
                    <w:t>人</w:t>
                  </w:r>
                </w:p>
              </w:tc>
              <w:tc>
                <w:tcPr>
                  <w:tcW w:w="618" w:type="pct"/>
                  <w:vMerge w:val="continue"/>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p>
              </w:tc>
              <w:tc>
                <w:tcPr>
                  <w:tcW w:w="537"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NW</w:t>
                  </w:r>
                </w:p>
              </w:tc>
              <w:tc>
                <w:tcPr>
                  <w:tcW w:w="531"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-13~--2</w:t>
                  </w:r>
                </w:p>
              </w:tc>
              <w:tc>
                <w:tcPr>
                  <w:tcW w:w="693" w:type="pct"/>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74"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3#居民点</w:t>
                  </w:r>
                </w:p>
              </w:tc>
              <w:tc>
                <w:tcPr>
                  <w:tcW w:w="308"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-164</w:t>
                  </w:r>
                </w:p>
              </w:tc>
              <w:tc>
                <w:tcPr>
                  <w:tcW w:w="408"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-117</w:t>
                  </w:r>
                </w:p>
              </w:tc>
              <w:tc>
                <w:tcPr>
                  <w:tcW w:w="889"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户，</w:t>
                  </w:r>
                  <w:r>
                    <w:rPr>
                      <w:rFonts w:hint="eastAsia"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rPr>
                    <w:t>人</w:t>
                  </w:r>
                </w:p>
              </w:tc>
              <w:tc>
                <w:tcPr>
                  <w:tcW w:w="618" w:type="pct"/>
                  <w:vMerge w:val="continue"/>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p>
              </w:tc>
              <w:tc>
                <w:tcPr>
                  <w:tcW w:w="537"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SW</w:t>
                  </w:r>
                </w:p>
              </w:tc>
              <w:tc>
                <w:tcPr>
                  <w:tcW w:w="531"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693" w:type="pct"/>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774"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#居民点</w:t>
                  </w:r>
                </w:p>
              </w:tc>
              <w:tc>
                <w:tcPr>
                  <w:tcW w:w="308"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w:t>
                  </w:r>
                </w:p>
              </w:tc>
              <w:tc>
                <w:tcPr>
                  <w:tcW w:w="408"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-239</w:t>
                  </w:r>
                </w:p>
              </w:tc>
              <w:tc>
                <w:tcPr>
                  <w:tcW w:w="889"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r>
                    <w:rPr>
                      <w:rFonts w:hint="default" w:ascii="Times New Roman" w:hAnsi="Times New Roman" w:eastAsia="宋体" w:cs="Times New Roman"/>
                      <w:color w:val="auto"/>
                      <w:sz w:val="21"/>
                      <w:szCs w:val="21"/>
                    </w:rPr>
                    <w:t>户，</w:t>
                  </w:r>
                  <w:r>
                    <w:rPr>
                      <w:rFonts w:hint="eastAsia" w:ascii="Times New Roman" w:hAnsi="Times New Roman" w:eastAsia="宋体" w:cs="Times New Roman"/>
                      <w:color w:val="auto"/>
                      <w:sz w:val="21"/>
                      <w:szCs w:val="21"/>
                      <w:lang w:val="en-US" w:eastAsia="zh-CN"/>
                    </w:rPr>
                    <w:t>46</w:t>
                  </w:r>
                  <w:r>
                    <w:rPr>
                      <w:rFonts w:hint="default" w:ascii="Times New Roman" w:hAnsi="Times New Roman" w:eastAsia="宋体" w:cs="Times New Roman"/>
                      <w:color w:val="auto"/>
                      <w:sz w:val="21"/>
                      <w:szCs w:val="21"/>
                    </w:rPr>
                    <w:t>人</w:t>
                  </w:r>
                </w:p>
              </w:tc>
              <w:tc>
                <w:tcPr>
                  <w:tcW w:w="618" w:type="pct"/>
                  <w:vMerge w:val="continue"/>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p>
              </w:tc>
              <w:tc>
                <w:tcPr>
                  <w:tcW w:w="537"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w:t>
                  </w:r>
                </w:p>
              </w:tc>
              <w:tc>
                <w:tcPr>
                  <w:tcW w:w="531"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-13~0</w:t>
                  </w:r>
                </w:p>
              </w:tc>
              <w:tc>
                <w:tcPr>
                  <w:tcW w:w="693" w:type="pct"/>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774"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#居民点</w:t>
                  </w:r>
                </w:p>
              </w:tc>
              <w:tc>
                <w:tcPr>
                  <w:tcW w:w="308"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w:t>
                  </w:r>
                </w:p>
              </w:tc>
              <w:tc>
                <w:tcPr>
                  <w:tcW w:w="408"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889"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r>
                    <w:rPr>
                      <w:rFonts w:hint="default" w:ascii="Times New Roman" w:hAnsi="Times New Roman" w:eastAsia="宋体" w:cs="Times New Roman"/>
                      <w:color w:val="auto"/>
                      <w:sz w:val="21"/>
                      <w:szCs w:val="21"/>
                    </w:rPr>
                    <w:t>户，</w:t>
                  </w:r>
                  <w:r>
                    <w:rPr>
                      <w:rFonts w:hint="eastAsia" w:ascii="Times New Roman" w:hAnsi="Times New Roman" w:eastAsia="宋体" w:cs="Times New Roman"/>
                      <w:color w:val="auto"/>
                      <w:sz w:val="21"/>
                      <w:szCs w:val="21"/>
                      <w:lang w:val="en-US" w:eastAsia="zh-CN"/>
                    </w:rPr>
                    <w:t>53</w:t>
                  </w:r>
                  <w:r>
                    <w:rPr>
                      <w:rFonts w:hint="default" w:ascii="Times New Roman" w:hAnsi="Times New Roman" w:eastAsia="宋体" w:cs="Times New Roman"/>
                      <w:color w:val="auto"/>
                      <w:sz w:val="21"/>
                      <w:szCs w:val="21"/>
                    </w:rPr>
                    <w:t>人</w:t>
                  </w:r>
                </w:p>
              </w:tc>
              <w:tc>
                <w:tcPr>
                  <w:tcW w:w="618" w:type="pct"/>
                  <w:vMerge w:val="continue"/>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p>
              </w:tc>
              <w:tc>
                <w:tcPr>
                  <w:tcW w:w="537"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SE</w:t>
                  </w:r>
                </w:p>
              </w:tc>
              <w:tc>
                <w:tcPr>
                  <w:tcW w:w="531"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-20~6</w:t>
                  </w:r>
                </w:p>
              </w:tc>
              <w:tc>
                <w:tcPr>
                  <w:tcW w:w="693" w:type="pct"/>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774"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侣俸镇居民</w:t>
                  </w:r>
                </w:p>
              </w:tc>
              <w:tc>
                <w:tcPr>
                  <w:tcW w:w="308"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220</w:t>
                  </w:r>
                </w:p>
              </w:tc>
              <w:tc>
                <w:tcPr>
                  <w:tcW w:w="408"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227</w:t>
                  </w:r>
                </w:p>
              </w:tc>
              <w:tc>
                <w:tcPr>
                  <w:tcW w:w="889" w:type="pct"/>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户，</w:t>
                  </w:r>
                  <w:r>
                    <w:rPr>
                      <w:rFonts w:hint="eastAsia" w:ascii="Times New Roman" w:hAnsi="Times New Roman" w:eastAsia="宋体" w:cs="Times New Roman"/>
                      <w:color w:val="auto"/>
                      <w:sz w:val="21"/>
                      <w:szCs w:val="21"/>
                      <w:lang w:val="en-US" w:eastAsia="zh-CN"/>
                    </w:rPr>
                    <w:t>170</w:t>
                  </w:r>
                  <w:r>
                    <w:rPr>
                      <w:rFonts w:hint="default" w:ascii="Times New Roman" w:hAnsi="Times New Roman" w:eastAsia="宋体" w:cs="Times New Roman"/>
                      <w:color w:val="auto"/>
                      <w:sz w:val="21"/>
                      <w:szCs w:val="21"/>
                    </w:rPr>
                    <w:t>人</w:t>
                  </w:r>
                </w:p>
              </w:tc>
              <w:tc>
                <w:tcPr>
                  <w:tcW w:w="618" w:type="pct"/>
                  <w:vMerge w:val="continue"/>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p>
              </w:tc>
              <w:tc>
                <w:tcPr>
                  <w:tcW w:w="537" w:type="pct"/>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NE</w:t>
                  </w:r>
                </w:p>
              </w:tc>
              <w:tc>
                <w:tcPr>
                  <w:tcW w:w="531" w:type="pct"/>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693" w:type="pct"/>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270~500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774"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侣俸镇新复</w:t>
                  </w:r>
                  <w:r>
                    <w:rPr>
                      <w:rFonts w:hint="eastAsia" w:ascii="Times New Roman" w:hAnsi="Times New Roman" w:eastAsia="宋体" w:cs="Times New Roman"/>
                      <w:color w:val="auto"/>
                      <w:sz w:val="21"/>
                      <w:szCs w:val="21"/>
                      <w:lang w:val="en-US" w:eastAsia="zh-CN"/>
                    </w:rPr>
                    <w:t>小学</w:t>
                  </w:r>
                </w:p>
              </w:tc>
              <w:tc>
                <w:tcPr>
                  <w:tcW w:w="308" w:type="pct"/>
                  <w:tcMar>
                    <w:left w:w="28" w:type="dxa"/>
                    <w:right w:w="28" w:type="dxa"/>
                  </w:tcMar>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361</w:t>
                  </w:r>
                </w:p>
              </w:tc>
              <w:tc>
                <w:tcPr>
                  <w:tcW w:w="408"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324</w:t>
                  </w:r>
                </w:p>
              </w:tc>
              <w:tc>
                <w:tcPr>
                  <w:tcW w:w="889"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师生人数约400人</w:t>
                  </w:r>
                </w:p>
              </w:tc>
              <w:tc>
                <w:tcPr>
                  <w:tcW w:w="618" w:type="pct"/>
                  <w:vMerge w:val="continue"/>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rPr>
                  </w:pPr>
                </w:p>
              </w:tc>
              <w:tc>
                <w:tcPr>
                  <w:tcW w:w="537"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NE</w:t>
                  </w:r>
                </w:p>
              </w:tc>
              <w:tc>
                <w:tcPr>
                  <w:tcW w:w="531"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93" w:type="pct"/>
                  <w:vAlign w:val="center"/>
                </w:tcPr>
                <w:p>
                  <w:pPr>
                    <w:keepNext w:val="0"/>
                    <w:keepLines w:val="0"/>
                    <w:pageBreakBefore w:val="0"/>
                    <w:widowControl w:val="0"/>
                    <w:kinsoku/>
                    <w:wordWrap/>
                    <w:overflowPunct/>
                    <w:topLinePunct w:val="0"/>
                    <w:autoSpaceDE/>
                    <w:autoSpaceDN/>
                    <w:bidi w:val="0"/>
                    <w:ind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2381" w:type="pct"/>
                  <w:gridSpan w:val="4"/>
                  <w:tcMar>
                    <w:left w:w="28" w:type="dxa"/>
                    <w:right w:w="28" w:type="dxa"/>
                  </w:tcMar>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滩远河</w:t>
                  </w:r>
                </w:p>
              </w:tc>
              <w:tc>
                <w:tcPr>
                  <w:tcW w:w="618"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地表水Ⅳ</w:t>
                  </w:r>
                  <w:r>
                    <w:rPr>
                      <w:rFonts w:hint="default" w:ascii="Times New Roman" w:hAnsi="Times New Roman" w:eastAsia="宋体" w:cs="Times New Roman"/>
                      <w:color w:val="auto"/>
                      <w:sz w:val="21"/>
                      <w:szCs w:val="21"/>
                    </w:rPr>
                    <w:t>类</w:t>
                  </w:r>
                  <w:r>
                    <w:rPr>
                      <w:rFonts w:hint="default" w:ascii="Times New Roman" w:hAnsi="Times New Roman" w:eastAsia="宋体" w:cs="Times New Roman"/>
                      <w:color w:val="auto"/>
                      <w:sz w:val="21"/>
                      <w:szCs w:val="21"/>
                      <w:lang w:eastAsia="zh-CN"/>
                    </w:rPr>
                    <w:t>功能区</w:t>
                  </w:r>
                </w:p>
              </w:tc>
              <w:tc>
                <w:tcPr>
                  <w:tcW w:w="537"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SE</w:t>
                  </w:r>
                </w:p>
              </w:tc>
              <w:tc>
                <w:tcPr>
                  <w:tcW w:w="531"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42</w:t>
                  </w:r>
                </w:p>
              </w:tc>
              <w:tc>
                <w:tcPr>
                  <w:tcW w:w="693" w:type="pct"/>
                  <w:vAlign w:val="center"/>
                </w:tcPr>
                <w:p>
                  <w:pPr>
                    <w:keepNext w:val="0"/>
                    <w:keepLines w:val="0"/>
                    <w:pageBreakBefore w:val="0"/>
                    <w:widowControl w:val="0"/>
                    <w:kinsoku/>
                    <w:wordWrap/>
                    <w:overflowPunct/>
                    <w:topLinePunct w:val="0"/>
                    <w:autoSpaceDE/>
                    <w:autoSpaceDN/>
                    <w:bidi w:val="0"/>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9"/>
                  <w:vAlign w:val="center"/>
                </w:tcPr>
                <w:p>
                  <w:pPr>
                    <w:keepNext w:val="0"/>
                    <w:keepLines w:val="0"/>
                    <w:pageBreakBefore w:val="0"/>
                    <w:widowControl w:val="0"/>
                    <w:kinsoku/>
                    <w:wordWrap/>
                    <w:overflowPunct/>
                    <w:topLinePunct w:val="0"/>
                    <w:autoSpaceDE/>
                    <w:autoSpaceDN/>
                    <w:bidi w:val="0"/>
                    <w:ind w:right="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备注：以</w:t>
                  </w:r>
                  <w:r>
                    <w:rPr>
                      <w:rFonts w:hint="eastAsia" w:ascii="Times New Roman" w:hAnsi="Times New Roman" w:eastAsia="宋体" w:cs="Times New Roman"/>
                      <w:sz w:val="21"/>
                      <w:szCs w:val="21"/>
                      <w:lang w:val="en-US" w:eastAsia="zh-CN"/>
                    </w:rPr>
                    <w:t>项目发酵车间</w:t>
                  </w:r>
                  <w:r>
                    <w:rPr>
                      <w:rFonts w:hint="default" w:ascii="Times New Roman" w:hAnsi="Times New Roman" w:eastAsia="宋体" w:cs="Times New Roman"/>
                      <w:sz w:val="21"/>
                      <w:szCs w:val="21"/>
                    </w:rPr>
                    <w:t>中心点为坐标原点</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eastAsia="zh-CN"/>
                    </w:rPr>
                    <w:t>）</w:t>
                  </w:r>
                </w:p>
              </w:tc>
            </w:tr>
          </w:tbl>
          <w:p>
            <w:pPr>
              <w:autoSpaceDE w:val="0"/>
              <w:autoSpaceDN w:val="0"/>
              <w:adjustRightInd w:val="0"/>
              <w:snapToGrid w:val="0"/>
              <w:spacing w:line="360" w:lineRule="auto"/>
              <w:rPr>
                <w:rFonts w:ascii="Times New Roman" w:hAnsi="Times New Roman" w:eastAsia="宋体" w:cs="Times New Roman"/>
                <w:b/>
                <w:bCs/>
                <w:kern w:val="0"/>
                <w:sz w:val="24"/>
                <w:szCs w:val="24"/>
              </w:rPr>
            </w:pP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污染物排放控制标准</w:t>
            </w:r>
          </w:p>
        </w:tc>
        <w:tc>
          <w:tcPr>
            <w:tcW w:w="8363" w:type="dxa"/>
            <w:vAlign w:val="center"/>
          </w:tcPr>
          <w:p>
            <w:pPr>
              <w:autoSpaceDE w:val="0"/>
              <w:autoSpaceDN w:val="0"/>
              <w:adjustRightInd w:val="0"/>
              <w:snapToGrid w:val="0"/>
              <w:spacing w:line="440" w:lineRule="exact"/>
              <w:jc w:val="left"/>
              <w:rPr>
                <w:rFonts w:ascii="Times New Roman" w:hAnsi="Times New Roman" w:eastAsia="宋体" w:cs="Times New Roman"/>
                <w:color w:val="auto"/>
                <w:kern w:val="0"/>
                <w:sz w:val="24"/>
                <w:szCs w:val="24"/>
              </w:rPr>
            </w:pPr>
            <w:r>
              <w:rPr>
                <w:rFonts w:ascii="Times New Roman" w:hAnsi="Times New Roman" w:eastAsia="宋体" w:cs="Times New Roman"/>
                <w:b/>
                <w:bCs/>
                <w:color w:val="auto"/>
                <w:kern w:val="0"/>
                <w:sz w:val="24"/>
                <w:szCs w:val="24"/>
              </w:rPr>
              <w:t>3.</w:t>
            </w:r>
            <w:r>
              <w:rPr>
                <w:rFonts w:hint="eastAsia" w:ascii="Times New Roman" w:hAnsi="Times New Roman" w:eastAsia="宋体" w:cs="Times New Roman"/>
                <w:b/>
                <w:bCs/>
                <w:color w:val="auto"/>
                <w:kern w:val="0"/>
                <w:sz w:val="24"/>
                <w:szCs w:val="24"/>
                <w:lang w:val="en-US" w:eastAsia="zh-CN"/>
              </w:rPr>
              <w:t>3</w:t>
            </w:r>
            <w:r>
              <w:rPr>
                <w:rFonts w:ascii="Times New Roman" w:hAnsi="Times New Roman" w:eastAsia="宋体" w:cs="Times New Roman"/>
                <w:b/>
                <w:bCs/>
                <w:color w:val="auto"/>
                <w:kern w:val="0"/>
                <w:sz w:val="24"/>
                <w:szCs w:val="24"/>
              </w:rPr>
              <w:t xml:space="preserve"> 污染物排放标准</w:t>
            </w:r>
          </w:p>
          <w:p>
            <w:pPr>
              <w:autoSpaceDE w:val="0"/>
              <w:autoSpaceDN w:val="0"/>
              <w:adjustRightInd w:val="0"/>
              <w:snapToGrid w:val="0"/>
              <w:spacing w:line="440" w:lineRule="exact"/>
              <w:ind w:firstLine="482" w:firstLineChars="200"/>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（1）废气</w:t>
            </w:r>
          </w:p>
          <w:p>
            <w:pPr>
              <w:autoSpaceDE w:val="0"/>
              <w:autoSpaceDN w:val="0"/>
              <w:adjustRightInd w:val="0"/>
              <w:snapToGrid w:val="0"/>
              <w:spacing w:line="440" w:lineRule="exact"/>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eastAsia="zh-CN"/>
              </w:rPr>
              <w:t>施工期废气执行《大气污染物综合排放标准》（DB50/418-2016）中“</w:t>
            </w:r>
            <w:r>
              <w:rPr>
                <w:rFonts w:hint="eastAsia" w:ascii="Times New Roman" w:hAnsi="Times New Roman" w:eastAsia="宋体" w:cs="Times New Roman"/>
                <w:color w:val="auto"/>
                <w:sz w:val="24"/>
                <w:szCs w:val="24"/>
                <w:lang w:val="en-US" w:eastAsia="zh-CN"/>
              </w:rPr>
              <w:t>主城区</w:t>
            </w:r>
            <w:r>
              <w:rPr>
                <w:rFonts w:hint="eastAsia" w:ascii="Times New Roman" w:hAnsi="Times New Roman" w:eastAsia="宋体" w:cs="Times New Roman"/>
                <w:color w:val="auto"/>
                <w:sz w:val="24"/>
                <w:szCs w:val="24"/>
                <w:lang w:eastAsia="zh-CN"/>
              </w:rPr>
              <w:t>”的标准。</w:t>
            </w:r>
            <w:r>
              <w:rPr>
                <w:rFonts w:hint="eastAsia" w:ascii="Times New Roman" w:hAnsi="Times New Roman" w:eastAsia="宋体" w:cs="Times New Roman"/>
                <w:color w:val="auto"/>
                <w:sz w:val="24"/>
                <w:szCs w:val="24"/>
                <w:lang w:val="en-US" w:eastAsia="zh-CN"/>
              </w:rPr>
              <w:t>营运期废气主要为</w:t>
            </w:r>
            <w:r>
              <w:rPr>
                <w:rFonts w:hint="eastAsia" w:ascii="Times New Roman" w:hAnsi="Times New Roman" w:eastAsia="宋体" w:cs="Times New Roman"/>
                <w:color w:val="auto"/>
                <w:kern w:val="0"/>
                <w:sz w:val="24"/>
                <w:szCs w:val="24"/>
                <w:lang w:val="zh-CN" w:eastAsia="zh-CN"/>
              </w:rPr>
              <w:t>污泥储存、破壁臭气、污泥</w:t>
            </w:r>
            <w:r>
              <w:rPr>
                <w:rFonts w:hint="eastAsia" w:ascii="Times New Roman" w:hAnsi="Times New Roman" w:eastAsia="宋体" w:cs="Times New Roman"/>
                <w:color w:val="auto"/>
                <w:kern w:val="0"/>
                <w:sz w:val="24"/>
                <w:szCs w:val="24"/>
                <w:lang w:val="en-US" w:eastAsia="zh-CN"/>
              </w:rPr>
              <w:t>脱水</w:t>
            </w:r>
            <w:r>
              <w:rPr>
                <w:rFonts w:hint="eastAsia" w:ascii="Times New Roman" w:hAnsi="Times New Roman" w:eastAsia="宋体" w:cs="Times New Roman"/>
                <w:color w:val="auto"/>
                <w:kern w:val="0"/>
                <w:sz w:val="24"/>
                <w:szCs w:val="24"/>
                <w:lang w:val="zh-CN" w:eastAsia="zh-CN"/>
              </w:rPr>
              <w:t>臭气</w:t>
            </w:r>
            <w:r>
              <w:rPr>
                <w:rFonts w:hint="eastAsia" w:ascii="Times New Roman" w:hAnsi="Times New Roman" w:eastAsia="宋体" w:cs="Times New Roman"/>
                <w:color w:val="auto"/>
                <w:kern w:val="0"/>
                <w:sz w:val="24"/>
                <w:szCs w:val="24"/>
                <w:lang w:val="en-US" w:eastAsia="zh-CN"/>
              </w:rPr>
              <w:t>、干污泥储存臭气、污泥进料、混料、布料、发酵臭气、污水池臭气</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臭气排放</w:t>
            </w:r>
            <w:r>
              <w:rPr>
                <w:rFonts w:hint="eastAsia" w:ascii="Times New Roman" w:hAnsi="Times New Roman" w:eastAsia="宋体" w:cs="Times New Roman"/>
                <w:color w:val="auto"/>
                <w:sz w:val="24"/>
                <w:szCs w:val="24"/>
                <w:lang w:eastAsia="zh-CN"/>
              </w:rPr>
              <w:t>执行《恶臭污染物排放标准》（GB14554-93），</w:t>
            </w:r>
            <w:r>
              <w:rPr>
                <w:rFonts w:hint="eastAsia" w:ascii="Times New Roman" w:hAnsi="Times New Roman" w:eastAsia="宋体" w:cs="Times New Roman"/>
                <w:color w:val="auto"/>
                <w:sz w:val="24"/>
                <w:szCs w:val="24"/>
                <w:lang w:val="en-US" w:eastAsia="zh-CN"/>
              </w:rPr>
              <w:t>排放标准具体</w:t>
            </w:r>
            <w:r>
              <w:rPr>
                <w:rFonts w:hint="eastAsia" w:ascii="Times New Roman" w:hAnsi="Times New Roman" w:eastAsia="宋体" w:cs="Times New Roman"/>
                <w:color w:val="auto"/>
                <w:sz w:val="24"/>
                <w:szCs w:val="24"/>
                <w:lang w:eastAsia="zh-CN"/>
              </w:rPr>
              <w:t>详见表</w:t>
            </w:r>
            <w:r>
              <w:rPr>
                <w:rFonts w:hint="eastAsia" w:ascii="Times New Roman" w:hAnsi="Times New Roman" w:eastAsia="宋体" w:cs="Times New Roman"/>
                <w:color w:val="auto"/>
                <w:sz w:val="24"/>
                <w:szCs w:val="24"/>
                <w:lang w:val="en-US" w:eastAsia="zh-CN"/>
              </w:rPr>
              <w:t>3.3-1~3.3-2</w:t>
            </w:r>
            <w:r>
              <w:rPr>
                <w:rFonts w:hint="eastAsia" w:ascii="Times New Roman" w:hAnsi="Times New Roman" w:eastAsia="宋体" w:cs="Times New Roman"/>
                <w:color w:val="auto"/>
                <w:sz w:val="24"/>
                <w:szCs w:val="24"/>
                <w:lang w:eastAsia="zh-CN"/>
              </w:rPr>
              <w:t>。</w:t>
            </w:r>
          </w:p>
          <w:p>
            <w:pPr>
              <w:autoSpaceDE w:val="0"/>
              <w:autoSpaceDN w:val="0"/>
              <w:adjustRightInd w:val="0"/>
              <w:snapToGrid w:val="0"/>
              <w:spacing w:line="440" w:lineRule="exact"/>
              <w:jc w:val="center"/>
              <w:rPr>
                <w:rFonts w:ascii="Times New Roman" w:hAnsi="Times New Roman" w:eastAsia="宋体" w:cs="Times New Roman"/>
                <w:b/>
                <w:bCs/>
                <w:color w:val="auto"/>
                <w:kern w:val="0"/>
                <w:sz w:val="24"/>
                <w:szCs w:val="24"/>
                <w:vertAlign w:val="superscript"/>
              </w:rPr>
            </w:pPr>
            <w:r>
              <w:rPr>
                <w:rFonts w:ascii="Times New Roman" w:hAnsi="Times New Roman" w:eastAsia="宋体" w:cs="Times New Roman"/>
                <w:b/>
                <w:bCs/>
                <w:color w:val="auto"/>
                <w:kern w:val="0"/>
                <w:sz w:val="24"/>
                <w:szCs w:val="24"/>
              </w:rPr>
              <w:t>表3</w:t>
            </w:r>
            <w:r>
              <w:rPr>
                <w:rFonts w:hint="eastAsia" w:ascii="Times New Roman" w:hAnsi="Times New Roman" w:eastAsia="宋体" w:cs="Times New Roman"/>
                <w:b/>
                <w:bCs/>
                <w:color w:val="auto"/>
                <w:kern w:val="0"/>
                <w:sz w:val="24"/>
                <w:szCs w:val="24"/>
                <w:lang w:val="en-US" w:eastAsia="zh-CN"/>
              </w:rPr>
              <w:t>.3</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1</w:t>
            </w:r>
            <w:r>
              <w:rPr>
                <w:rFonts w:ascii="Times New Roman" w:hAnsi="Times New Roman" w:eastAsia="宋体" w:cs="Times New Roman"/>
                <w:b/>
                <w:bCs/>
                <w:color w:val="auto"/>
                <w:kern w:val="0"/>
                <w:sz w:val="24"/>
                <w:szCs w:val="24"/>
              </w:rPr>
              <w:t xml:space="preserve">  </w:t>
            </w:r>
            <w:r>
              <w:rPr>
                <w:rFonts w:hint="eastAsia" w:ascii="Times New Roman" w:hAnsi="Times New Roman" w:eastAsia="宋体" w:cs="Times New Roman"/>
                <w:b/>
                <w:bCs/>
                <w:color w:val="auto"/>
                <w:kern w:val="0"/>
                <w:sz w:val="24"/>
                <w:szCs w:val="24"/>
              </w:rPr>
              <w:t>大气污染物有组织排放标准限值</w:t>
            </w:r>
            <w:r>
              <w:rPr>
                <w:rFonts w:ascii="Times New Roman" w:hAnsi="Times New Roman" w:eastAsia="宋体" w:cs="Times New Roman"/>
                <w:b/>
                <w:bCs/>
                <w:color w:val="auto"/>
                <w:kern w:val="0"/>
                <w:sz w:val="24"/>
                <w:szCs w:val="24"/>
              </w:rPr>
              <w:t xml:space="preserve">  单位：mg/m</w:t>
            </w:r>
            <w:r>
              <w:rPr>
                <w:rFonts w:ascii="Times New Roman" w:hAnsi="Times New Roman" w:eastAsia="宋体" w:cs="Times New Roman"/>
                <w:b/>
                <w:bCs/>
                <w:color w:val="auto"/>
                <w:kern w:val="0"/>
                <w:sz w:val="24"/>
                <w:szCs w:val="24"/>
                <w:vertAlign w:val="superscript"/>
              </w:rPr>
              <w:t>3</w:t>
            </w:r>
          </w:p>
          <w:tbl>
            <w:tblPr>
              <w:tblStyle w:val="21"/>
              <w:tblW w:w="8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20"/>
              <w:gridCol w:w="2344"/>
              <w:gridCol w:w="1428"/>
              <w:gridCol w:w="1330"/>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序号</w:t>
                  </w:r>
                </w:p>
              </w:tc>
              <w:tc>
                <w:tcPr>
                  <w:tcW w:w="920" w:type="dxa"/>
                  <w:vAlign w:val="center"/>
                </w:tcPr>
                <w:p>
                  <w:pPr>
                    <w:autoSpaceDE w:val="0"/>
                    <w:autoSpaceDN w:val="0"/>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污染源</w:t>
                  </w:r>
                </w:p>
              </w:tc>
              <w:tc>
                <w:tcPr>
                  <w:tcW w:w="2344" w:type="dxa"/>
                  <w:vAlign w:val="center"/>
                </w:tcPr>
                <w:p>
                  <w:pPr>
                    <w:autoSpaceDE w:val="0"/>
                    <w:autoSpaceDN w:val="0"/>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污染物</w:t>
                  </w:r>
                </w:p>
              </w:tc>
              <w:tc>
                <w:tcPr>
                  <w:tcW w:w="1428" w:type="dxa"/>
                  <w:vAlign w:val="center"/>
                </w:tcPr>
                <w:p>
                  <w:pPr>
                    <w:autoSpaceDE w:val="0"/>
                    <w:autoSpaceDN w:val="0"/>
                    <w:adjustRightInd w:val="0"/>
                    <w:snapToGri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有组织排放标准</w:t>
                  </w:r>
                  <w:r>
                    <w:rPr>
                      <w:rFonts w:ascii="Times New Roman" w:hAnsi="Times New Roman" w:eastAsia="宋体" w:cs="Times New Roman"/>
                      <w:color w:val="auto"/>
                      <w:kern w:val="0"/>
                      <w:szCs w:val="21"/>
                    </w:rPr>
                    <w:t>限值</w:t>
                  </w:r>
                </w:p>
              </w:tc>
              <w:tc>
                <w:tcPr>
                  <w:tcW w:w="1330" w:type="dxa"/>
                  <w:vAlign w:val="center"/>
                </w:tcPr>
                <w:p>
                  <w:pPr>
                    <w:autoSpaceDE w:val="0"/>
                    <w:autoSpaceDN w:val="0"/>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无组织排放标准</w:t>
                  </w:r>
                  <w:r>
                    <w:rPr>
                      <w:rFonts w:ascii="Times New Roman" w:hAnsi="Times New Roman" w:eastAsia="宋体" w:cs="Times New Roman"/>
                      <w:color w:val="auto"/>
                      <w:kern w:val="0"/>
                      <w:szCs w:val="21"/>
                    </w:rPr>
                    <w:t>限值</w:t>
                  </w:r>
                </w:p>
              </w:tc>
              <w:tc>
                <w:tcPr>
                  <w:tcW w:w="1451" w:type="dxa"/>
                  <w:vAlign w:val="center"/>
                </w:tcPr>
                <w:p>
                  <w:pPr>
                    <w:autoSpaceDE w:val="0"/>
                    <w:autoSpaceDN w:val="0"/>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adjustRightInd w:val="0"/>
                    <w:snapToGrid w:val="0"/>
                    <w:jc w:val="center"/>
                    <w:rPr>
                      <w:rFonts w:ascii="Times New Roman" w:hAnsi="Times New Roman" w:eastAsia="宋体" w:cs="Times New Roman"/>
                      <w:color w:val="auto"/>
                      <w:kern w:val="0"/>
                      <w:szCs w:val="21"/>
                    </w:rPr>
                  </w:pPr>
                  <w:r>
                    <w:rPr>
                      <w:rFonts w:ascii="Times New Roman" w:hAnsi="Times New Roman" w:eastAsia="等线" w:cs="Times New Roman"/>
                      <w:color w:val="auto"/>
                      <w:szCs w:val="21"/>
                    </w:rPr>
                    <w:t>1</w:t>
                  </w:r>
                </w:p>
              </w:tc>
              <w:tc>
                <w:tcPr>
                  <w:tcW w:w="920" w:type="dxa"/>
                  <w:vMerge w:val="restart"/>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污泥储存、</w:t>
                  </w:r>
                  <w:r>
                    <w:rPr>
                      <w:rFonts w:hint="eastAsia" w:ascii="Times New Roman" w:hAnsi="Times New Roman" w:eastAsia="宋体" w:cs="Times New Roman"/>
                      <w:color w:val="auto"/>
                      <w:szCs w:val="21"/>
                      <w:lang w:val="en-US" w:eastAsia="zh-CN"/>
                    </w:rPr>
                    <w:t>脱水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15m</w:t>
                  </w:r>
                  <w:r>
                    <w:rPr>
                      <w:rFonts w:hint="eastAsia" w:ascii="Times New Roman" w:hAnsi="Times New Roman" w:eastAsia="宋体" w:cs="Times New Roman"/>
                      <w:color w:val="auto"/>
                      <w:sz w:val="21"/>
                      <w:szCs w:val="21"/>
                      <w:lang w:eastAsia="zh-CN"/>
                    </w:rPr>
                    <w:t>排气筒）</w:t>
                  </w:r>
                </w:p>
              </w:tc>
              <w:tc>
                <w:tcPr>
                  <w:tcW w:w="1428" w:type="dxa"/>
                  <w:vAlign w:val="center"/>
                </w:tcPr>
                <w:p>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4.9kg/h</w:t>
                  </w:r>
                </w:p>
              </w:tc>
              <w:tc>
                <w:tcPr>
                  <w:tcW w:w="1330" w:type="dxa"/>
                  <w:vAlign w:val="center"/>
                </w:tcPr>
                <w:p>
                  <w:pPr>
                    <w:contextualSpacing/>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1.5mg/m</w:t>
                  </w:r>
                  <w:r>
                    <w:rPr>
                      <w:rFonts w:ascii="Times New Roman" w:hAnsi="Times New Roman" w:eastAsia="宋体" w:cs="Times New Roman"/>
                      <w:color w:val="auto"/>
                      <w:szCs w:val="21"/>
                      <w:vertAlign w:val="superscript"/>
                    </w:rPr>
                    <w:t>3</w:t>
                  </w:r>
                </w:p>
              </w:tc>
              <w:tc>
                <w:tcPr>
                  <w:tcW w:w="1451" w:type="dxa"/>
                  <w:vMerge w:val="restart"/>
                  <w:vAlign w:val="center"/>
                </w:tcPr>
                <w:p>
                  <w:pPr>
                    <w:autoSpaceDE w:val="0"/>
                    <w:autoSpaceDN w:val="0"/>
                    <w:adjustRightInd w:val="0"/>
                    <w:snapToGrid w:val="0"/>
                    <w:jc w:val="center"/>
                    <w:rPr>
                      <w:rFonts w:hint="eastAsia" w:ascii="Times New Roman" w:hAnsi="Times New Roman" w:eastAsia="宋体" w:cs="Times New Roman"/>
                      <w:color w:val="auto"/>
                      <w:kern w:val="0"/>
                      <w:szCs w:val="21"/>
                      <w:lang w:eastAsia="zh-CN"/>
                    </w:rPr>
                  </w:pPr>
                  <w:r>
                    <w:rPr>
                      <w:rFonts w:ascii="Times New Roman" w:hAnsi="Times New Roman" w:eastAsia="宋体" w:cs="Times New Roman"/>
                      <w:snapToGrid w:val="0"/>
                      <w:color w:val="auto"/>
                      <w:kern w:val="24"/>
                      <w:szCs w:val="21"/>
                    </w:rPr>
                    <w:t>《恶臭污染物排放标准》（GB14554-93</w:t>
                  </w:r>
                  <w:r>
                    <w:rPr>
                      <w:rFonts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adjustRightInd w:val="0"/>
                    <w:snapToGrid w:val="0"/>
                    <w:jc w:val="center"/>
                    <w:rPr>
                      <w:rFonts w:ascii="Times New Roman" w:hAnsi="Times New Roman" w:eastAsia="等线" w:cs="Times New Roman"/>
                      <w:color w:val="auto"/>
                      <w:szCs w:val="21"/>
                    </w:rPr>
                  </w:pPr>
                  <w:r>
                    <w:rPr>
                      <w:rFonts w:ascii="Times New Roman" w:hAnsi="Times New Roman" w:eastAsia="等线" w:cs="Times New Roman"/>
                      <w:color w:val="auto"/>
                      <w:szCs w:val="21"/>
                    </w:rPr>
                    <w:t>2</w:t>
                  </w:r>
                </w:p>
              </w:tc>
              <w:tc>
                <w:tcPr>
                  <w:tcW w:w="920" w:type="dxa"/>
                  <w:vMerge w:val="continue"/>
                  <w:vAlign w:val="center"/>
                </w:tcPr>
                <w:p>
                  <w:pPr>
                    <w:adjustRightInd w:val="0"/>
                    <w:snapToGrid w:val="0"/>
                    <w:jc w:val="center"/>
                    <w:rPr>
                      <w:rFonts w:ascii="Times New Roman" w:hAnsi="Times New Roman" w:eastAsia="宋体" w:cs="Times New Roman"/>
                      <w:color w:val="auto"/>
                      <w:szCs w:val="21"/>
                    </w:rPr>
                  </w:pP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15m</w:t>
                  </w:r>
                  <w:r>
                    <w:rPr>
                      <w:rFonts w:hint="eastAsia" w:ascii="Times New Roman" w:hAnsi="Times New Roman" w:eastAsia="宋体" w:cs="Times New Roman"/>
                      <w:color w:val="auto"/>
                      <w:sz w:val="21"/>
                      <w:szCs w:val="21"/>
                      <w:lang w:eastAsia="zh-CN"/>
                    </w:rPr>
                    <w:t>排气筒）</w:t>
                  </w:r>
                </w:p>
              </w:tc>
              <w:tc>
                <w:tcPr>
                  <w:tcW w:w="1428" w:type="dxa"/>
                  <w:vAlign w:val="center"/>
                </w:tcPr>
                <w:p>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0.33kg/h</w:t>
                  </w:r>
                </w:p>
              </w:tc>
              <w:tc>
                <w:tcPr>
                  <w:tcW w:w="1330" w:type="dxa"/>
                  <w:vAlign w:val="center"/>
                </w:tcPr>
                <w:p>
                  <w:pPr>
                    <w:contextualSpacing/>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0.06</w:t>
                  </w:r>
                  <w:r>
                    <w:rPr>
                      <w:rFonts w:ascii="Times New Roman" w:hAnsi="Times New Roman" w:eastAsia="宋体" w:cs="Times New Roman"/>
                      <w:color w:val="auto"/>
                      <w:szCs w:val="21"/>
                    </w:rPr>
                    <w:t>mg/m</w:t>
                  </w:r>
                  <w:r>
                    <w:rPr>
                      <w:rFonts w:ascii="Times New Roman" w:hAnsi="Times New Roman" w:eastAsia="宋体" w:cs="Times New Roman"/>
                      <w:color w:val="auto"/>
                      <w:szCs w:val="21"/>
                      <w:vertAlign w:val="superscript"/>
                    </w:rPr>
                    <w:t>3</w:t>
                  </w:r>
                </w:p>
              </w:tc>
              <w:tc>
                <w:tcPr>
                  <w:tcW w:w="1451" w:type="dxa"/>
                  <w:vMerge w:val="continue"/>
                  <w:vAlign w:val="center"/>
                </w:tcPr>
                <w:p>
                  <w:pPr>
                    <w:autoSpaceDE w:val="0"/>
                    <w:autoSpaceDN w:val="0"/>
                    <w:adjustRightInd w:val="0"/>
                    <w:snapToGrid w:val="0"/>
                    <w:jc w:val="center"/>
                    <w:rPr>
                      <w:rFonts w:hint="eastAsia" w:ascii="Times New Roman" w:hAnsi="Times New Roman" w:eastAsia="宋体" w:cs="Times New Roman"/>
                      <w:color w:val="auto"/>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adjustRightInd w:val="0"/>
                    <w:snapToGri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等线" w:cs="Times New Roman"/>
                      <w:color w:val="auto"/>
                      <w:szCs w:val="21"/>
                    </w:rPr>
                    <w:t>3</w:t>
                  </w:r>
                </w:p>
              </w:tc>
              <w:tc>
                <w:tcPr>
                  <w:tcW w:w="920" w:type="dxa"/>
                  <w:vMerge w:val="continue"/>
                  <w:vAlign w:val="center"/>
                </w:tcPr>
                <w:p>
                  <w:pPr>
                    <w:adjustRightInd w:val="0"/>
                    <w:snapToGrid w:val="0"/>
                    <w:jc w:val="center"/>
                    <w:rPr>
                      <w:rFonts w:ascii="Times New Roman" w:hAnsi="Times New Roman" w:eastAsia="宋体" w:cs="Times New Roman"/>
                      <w:color w:val="auto"/>
                      <w:szCs w:val="21"/>
                    </w:rPr>
                  </w:pP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臭气浓度（</w:t>
                  </w:r>
                  <w:r>
                    <w:rPr>
                      <w:rFonts w:hint="eastAsia" w:ascii="Times New Roman" w:hAnsi="Times New Roman" w:eastAsia="宋体" w:cs="Times New Roman"/>
                      <w:color w:val="auto"/>
                      <w:sz w:val="21"/>
                      <w:szCs w:val="21"/>
                      <w:lang w:val="en-US" w:eastAsia="zh-CN"/>
                    </w:rPr>
                    <w:t>15m</w:t>
                  </w:r>
                  <w:r>
                    <w:rPr>
                      <w:rFonts w:hint="eastAsia" w:ascii="Times New Roman" w:hAnsi="Times New Roman" w:eastAsia="宋体" w:cs="Times New Roman"/>
                      <w:color w:val="auto"/>
                      <w:sz w:val="21"/>
                      <w:szCs w:val="21"/>
                      <w:lang w:eastAsia="zh-CN"/>
                    </w:rPr>
                    <w:t>排气筒）</w:t>
                  </w:r>
                </w:p>
              </w:tc>
              <w:tc>
                <w:tcPr>
                  <w:tcW w:w="1428" w:type="dxa"/>
                  <w:vAlign w:val="center"/>
                </w:tcPr>
                <w:p>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2000无量纲</w:t>
                  </w:r>
                </w:p>
              </w:tc>
              <w:tc>
                <w:tcPr>
                  <w:tcW w:w="1330" w:type="dxa"/>
                  <w:vAlign w:val="center"/>
                </w:tcPr>
                <w:p>
                  <w:pPr>
                    <w:contextualSpacing/>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20无量纲</w:t>
                  </w:r>
                </w:p>
              </w:tc>
              <w:tc>
                <w:tcPr>
                  <w:tcW w:w="1451" w:type="dxa"/>
                  <w:vMerge w:val="continue"/>
                  <w:vAlign w:val="center"/>
                </w:tcPr>
                <w:p>
                  <w:pPr>
                    <w:autoSpaceDE w:val="0"/>
                    <w:autoSpaceDN w:val="0"/>
                    <w:adjustRightInd w:val="0"/>
                    <w:snapToGrid w:val="0"/>
                    <w:jc w:val="center"/>
                    <w:rPr>
                      <w:rFonts w:hint="eastAsia" w:ascii="Times New Roman" w:hAnsi="Times New Roman" w:eastAsia="宋体" w:cs="Times New Roman"/>
                      <w:color w:val="auto"/>
                      <w:kern w:val="0"/>
                      <w:szCs w:val="21"/>
                      <w:lang w:eastAsia="zh-CN"/>
                    </w:rPr>
                  </w:pPr>
                </w:p>
              </w:tc>
            </w:tr>
          </w:tbl>
          <w:p>
            <w:pPr>
              <w:spacing w:line="440" w:lineRule="exact"/>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表3.</w:t>
            </w: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rPr>
              <w:t xml:space="preserve">    《大气污染物综合排放标准》（</w:t>
            </w:r>
            <w:r>
              <w:rPr>
                <w:rFonts w:ascii="Times New Roman" w:hAnsi="Times New Roman" w:eastAsia="宋体" w:cs="Times New Roman"/>
                <w:b/>
                <w:bCs/>
                <w:color w:val="auto"/>
                <w:sz w:val="24"/>
                <w:szCs w:val="24"/>
              </w:rPr>
              <w:t>DB50/418-2016</w:t>
            </w:r>
            <w:r>
              <w:rPr>
                <w:rFonts w:hint="eastAsia" w:ascii="Times New Roman" w:hAnsi="Times New Roman" w:eastAsia="宋体" w:cs="Times New Roman"/>
                <w:b/>
                <w:bCs/>
                <w:color w:val="auto"/>
                <w:sz w:val="24"/>
                <w:szCs w:val="24"/>
              </w:rPr>
              <w:t>）</w:t>
            </w:r>
          </w:p>
          <w:tbl>
            <w:tblPr>
              <w:tblStyle w:val="20"/>
              <w:tblW w:w="8219"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4165"/>
              <w:gridCol w:w="232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729" w:type="dxa"/>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6490" w:type="dxa"/>
                  <w:gridSpan w:val="2"/>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无组织排放监控浓度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29"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416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监控点</w:t>
                  </w:r>
                </w:p>
              </w:tc>
              <w:tc>
                <w:tcPr>
                  <w:tcW w:w="232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浓度mg/ m</w:t>
                  </w:r>
                  <w:r>
                    <w:rPr>
                      <w:rFonts w:hint="default" w:ascii="Times New Roman" w:hAnsi="Times New Roman" w:eastAsia="宋体" w:cs="Times New Roman"/>
                      <w:sz w:val="21"/>
                      <w:szCs w:val="21"/>
                      <w:vertAlign w:val="superscript"/>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729"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tc>
              <w:tc>
                <w:tcPr>
                  <w:tcW w:w="416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周界外浓度最高点</w:t>
                  </w:r>
                </w:p>
              </w:tc>
              <w:tc>
                <w:tcPr>
                  <w:tcW w:w="2325"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bl>
          <w:p>
            <w:pPr>
              <w:autoSpaceDE w:val="0"/>
              <w:autoSpaceDN w:val="0"/>
              <w:adjustRightInd w:val="0"/>
              <w:snapToGrid w:val="0"/>
              <w:spacing w:line="440" w:lineRule="exact"/>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（2）废水</w:t>
            </w:r>
          </w:p>
          <w:p>
            <w:pPr>
              <w:autoSpaceDE w:val="0"/>
              <w:autoSpaceDN w:val="0"/>
              <w:adjustRightInd w:val="0"/>
              <w:snapToGrid w:val="0"/>
              <w:spacing w:line="440" w:lineRule="exact"/>
              <w:ind w:firstLine="480" w:firstLineChars="200"/>
              <w:rPr>
                <w:rFonts w:hint="eastAsia" w:ascii="Times New Roman" w:hAnsi="Times New Roman" w:eastAsia="宋体" w:cs="Times New Roman"/>
                <w:kern w:val="0"/>
                <w:sz w:val="24"/>
                <w:szCs w:val="24"/>
                <w:lang w:val="en-US" w:eastAsia="zh-CN"/>
              </w:rPr>
            </w:pPr>
            <w:r>
              <w:rPr>
                <w:rFonts w:ascii="Times New Roman" w:hAnsi="Times New Roman" w:eastAsia="宋体" w:cs="Times New Roman"/>
                <w:color w:val="auto"/>
                <w:kern w:val="0"/>
                <w:sz w:val="24"/>
                <w:szCs w:val="24"/>
              </w:rPr>
              <w:t>本项目</w:t>
            </w:r>
            <w:r>
              <w:rPr>
                <w:rFonts w:hint="eastAsia" w:ascii="Times New Roman" w:hAnsi="Times New Roman" w:eastAsia="宋体" w:cs="Times New Roman"/>
                <w:color w:val="auto"/>
                <w:sz w:val="24"/>
                <w:szCs w:val="24"/>
                <w:lang w:val="en-US" w:eastAsia="zh-CN"/>
              </w:rPr>
              <w:t>设备清洗废水与</w:t>
            </w:r>
            <w:r>
              <w:rPr>
                <w:rFonts w:hint="eastAsia" w:ascii="Times New Roman" w:hAnsi="Times New Roman" w:eastAsia="宋体" w:cs="Times New Roman"/>
                <w:kern w:val="0"/>
                <w:sz w:val="24"/>
                <w:szCs w:val="24"/>
                <w:lang w:val="en-US" w:eastAsia="zh-CN"/>
              </w:rPr>
              <w:t>污泥压滤废水一并采用专用罐车运至重庆铜梁城区污水处理厂处理达</w:t>
            </w:r>
            <w:r>
              <w:rPr>
                <w:rFonts w:hint="eastAsia" w:ascii="Times New Roman" w:hAnsi="Times New Roman" w:eastAsia="宋体" w:cs="Times New Roman"/>
                <w:color w:val="auto"/>
                <w:kern w:val="0"/>
                <w:sz w:val="24"/>
                <w:szCs w:val="24"/>
                <w:lang w:val="en-US" w:eastAsia="zh-CN"/>
              </w:rPr>
              <w:t>《城镇污水处理厂污染物排放标准》（GB18918-2002）一级A标准后排入滩远河</w:t>
            </w:r>
            <w:r>
              <w:rPr>
                <w:rFonts w:hint="eastAsia" w:ascii="Times New Roman" w:hAnsi="Times New Roman" w:eastAsia="宋体" w:cs="Times New Roman"/>
                <w:kern w:val="0"/>
                <w:sz w:val="24"/>
                <w:szCs w:val="24"/>
                <w:lang w:val="en-US" w:eastAsia="zh-CN"/>
              </w:rPr>
              <w:t>。</w:t>
            </w:r>
          </w:p>
          <w:p>
            <w:pPr>
              <w:spacing w:line="440" w:lineRule="exact"/>
              <w:jc w:val="center"/>
              <w:rPr>
                <w:rFonts w:hint="default" w:ascii="Times New Roman" w:hAnsi="Times New Roman" w:eastAsia="宋体" w:cs="Times New Roman"/>
                <w:b/>
                <w:bCs/>
                <w:color w:val="auto"/>
                <w:sz w:val="24"/>
                <w:szCs w:val="24"/>
                <w:lang w:val="en-US"/>
              </w:rPr>
            </w:pPr>
            <w:r>
              <w:rPr>
                <w:rFonts w:hint="eastAsia" w:ascii="Times New Roman" w:hAnsi="Times New Roman" w:eastAsia="宋体" w:cs="Times New Roman"/>
                <w:b/>
                <w:bCs/>
                <w:color w:val="auto"/>
                <w:sz w:val="24"/>
                <w:szCs w:val="24"/>
              </w:rPr>
              <w:t>表3.</w:t>
            </w: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val="en-US" w:eastAsia="zh-CN"/>
              </w:rPr>
              <w:t>废水排放标准一览表  单位：mg/L</w:t>
            </w:r>
          </w:p>
          <w:tbl>
            <w:tblPr>
              <w:tblStyle w:val="20"/>
              <w:tblW w:w="8098"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431"/>
              <w:gridCol w:w="2640"/>
              <w:gridCol w:w="271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3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序号</w:t>
                  </w:r>
                </w:p>
              </w:tc>
              <w:tc>
                <w:tcPr>
                  <w:tcW w:w="143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2640"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GB8978-1996中三级标准</w:t>
                  </w:r>
                </w:p>
              </w:tc>
              <w:tc>
                <w:tcPr>
                  <w:tcW w:w="2716"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GB18918-2002一级A标准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143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w:t>
                  </w:r>
                </w:p>
              </w:tc>
              <w:tc>
                <w:tcPr>
                  <w:tcW w:w="2640"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6~9</w:t>
                  </w:r>
                </w:p>
              </w:tc>
              <w:tc>
                <w:tcPr>
                  <w:tcW w:w="2716"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p>
              </w:tc>
              <w:tc>
                <w:tcPr>
                  <w:tcW w:w="143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COD</w:t>
                  </w:r>
                </w:p>
              </w:tc>
              <w:tc>
                <w:tcPr>
                  <w:tcW w:w="2640"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500</w:t>
                  </w:r>
                </w:p>
              </w:tc>
              <w:tc>
                <w:tcPr>
                  <w:tcW w:w="2716"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c>
                <w:tcPr>
                  <w:tcW w:w="143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BOD</w:t>
                  </w:r>
                  <w:r>
                    <w:rPr>
                      <w:rFonts w:hint="eastAsia" w:ascii="Times New Roman" w:hAnsi="Times New Roman" w:eastAsia="宋体" w:cs="Times New Roman"/>
                      <w:sz w:val="21"/>
                      <w:szCs w:val="21"/>
                      <w:vertAlign w:val="subscript"/>
                      <w:lang w:val="en-US" w:eastAsia="zh-CN"/>
                    </w:rPr>
                    <w:t>5</w:t>
                  </w:r>
                </w:p>
              </w:tc>
              <w:tc>
                <w:tcPr>
                  <w:tcW w:w="2640"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300</w:t>
                  </w:r>
                </w:p>
              </w:tc>
              <w:tc>
                <w:tcPr>
                  <w:tcW w:w="2716"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3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c>
                <w:tcPr>
                  <w:tcW w:w="143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NH</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lang w:val="en-US" w:eastAsia="zh-CN"/>
                    </w:rPr>
                    <w:t>-N*</w:t>
                  </w:r>
                </w:p>
              </w:tc>
              <w:tc>
                <w:tcPr>
                  <w:tcW w:w="2640"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45</w:t>
                  </w:r>
                </w:p>
              </w:tc>
              <w:tc>
                <w:tcPr>
                  <w:tcW w:w="2716"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1431"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SS</w:t>
                  </w:r>
                </w:p>
              </w:tc>
              <w:tc>
                <w:tcPr>
                  <w:tcW w:w="2640"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400</w:t>
                  </w:r>
                </w:p>
              </w:tc>
              <w:tc>
                <w:tcPr>
                  <w:tcW w:w="2716"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w:t>
                  </w:r>
                </w:p>
              </w:tc>
            </w:tr>
          </w:tbl>
          <w:p>
            <w:pPr>
              <w:autoSpaceDE w:val="0"/>
              <w:autoSpaceDN w:val="0"/>
              <w:adjustRightInd w:val="0"/>
              <w:snapToGrid w:val="0"/>
              <w:spacing w:line="240" w:lineRule="auto"/>
              <w:ind w:firstLine="420" w:firstLineChars="200"/>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注：*参照执行《污水排入城镇下水道水质标准》（GB/T31962-2015）中B级标准。</w:t>
            </w:r>
          </w:p>
          <w:p>
            <w:pPr>
              <w:autoSpaceDE w:val="0"/>
              <w:autoSpaceDN w:val="0"/>
              <w:adjustRightInd w:val="0"/>
              <w:snapToGrid w:val="0"/>
              <w:spacing w:line="440" w:lineRule="exact"/>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（3）噪声</w:t>
            </w:r>
          </w:p>
          <w:p>
            <w:pPr>
              <w:autoSpaceDE w:val="0"/>
              <w:autoSpaceDN w:val="0"/>
              <w:adjustRightInd w:val="0"/>
              <w:snapToGrid w:val="0"/>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施工噪声执行《建筑施工场界环境噪声排放标准》（GB12523-2011），即昼间70dB（A），夜间55dB（A）。</w:t>
            </w:r>
            <w:r>
              <w:rPr>
                <w:rFonts w:ascii="Times New Roman" w:hAnsi="Times New Roman" w:eastAsia="宋体" w:cs="Times New Roman"/>
                <w:kern w:val="0"/>
                <w:sz w:val="24"/>
                <w:szCs w:val="24"/>
              </w:rPr>
              <w:t>项目营运期厂界噪声执行《工业企业厂界环境噪声排放标准》（GB12348-2008）中2类标准，即昼间≤60dB，夜间≤50dB。</w:t>
            </w:r>
          </w:p>
          <w:p>
            <w:pPr>
              <w:autoSpaceDE w:val="0"/>
              <w:autoSpaceDN w:val="0"/>
              <w:adjustRightInd w:val="0"/>
              <w:snapToGrid w:val="0"/>
              <w:spacing w:line="440" w:lineRule="exact"/>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（4）固废</w:t>
            </w:r>
          </w:p>
          <w:p>
            <w:pPr>
              <w:autoSpaceDE w:val="0"/>
              <w:autoSpaceDN w:val="0"/>
              <w:adjustRightInd w:val="0"/>
              <w:snapToGrid w:val="0"/>
              <w:spacing w:line="440" w:lineRule="exact"/>
              <w:ind w:firstLine="480" w:firstLineChars="200"/>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color w:val="auto"/>
                <w:kern w:val="0"/>
                <w:sz w:val="24"/>
                <w:szCs w:val="24"/>
              </w:rPr>
              <w:t>一般工业固体废物参照《一般工业固体废物贮存和填埋污染控制标准》</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GB 18599-2020</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，采用库房、包装工具（罐、桶、包装袋等）贮存一般工业固体废物过程的污染控制，不适用本标准，其贮存过程应满足相应防渗漏、防雨淋、防扬尘等环境保护要求</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rPr>
              <w:t>危险废物执行《国家危险废物名录》（2021版）、《危险废物储存污染控制标准》（GB18597-20</w:t>
            </w:r>
            <w:r>
              <w:rPr>
                <w:rFonts w:hint="eastAsia" w:ascii="Times New Roman" w:hAnsi="Times New Roman" w:eastAsia="宋体" w:cs="Times New Roman"/>
                <w:color w:val="auto"/>
                <w:kern w:val="0"/>
                <w:sz w:val="24"/>
                <w:szCs w:val="24"/>
                <w:lang w:val="en-US" w:eastAsia="zh-CN"/>
              </w:rPr>
              <w:t>23</w:t>
            </w:r>
            <w:r>
              <w:rPr>
                <w:rFonts w:hint="eastAsia"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相关</w:t>
            </w:r>
            <w:r>
              <w:rPr>
                <w:rFonts w:hint="eastAsia" w:ascii="Times New Roman" w:hAnsi="Times New Roman" w:eastAsia="宋体" w:cs="Times New Roman"/>
                <w:color w:val="auto"/>
                <w:kern w:val="0"/>
                <w:sz w:val="24"/>
                <w:szCs w:val="24"/>
              </w:rPr>
              <w:t>要求</w:t>
            </w:r>
            <w:r>
              <w:rPr>
                <w:rFonts w:hint="eastAsia" w:ascii="Times New Roman" w:hAnsi="Times New Roman" w:eastAsia="宋体" w:cs="Times New Roman"/>
                <w:color w:val="auto"/>
                <w:kern w:val="0"/>
                <w:sz w:val="24"/>
                <w:szCs w:val="24"/>
                <w:lang w:eastAsia="zh-CN"/>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总量控制指标</w:t>
            </w:r>
          </w:p>
        </w:tc>
        <w:tc>
          <w:tcPr>
            <w:tcW w:w="8363" w:type="dxa"/>
            <w:vAlign w:val="center"/>
          </w:tcPr>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w:t>
            </w:r>
            <w:r>
              <w:rPr>
                <w:rFonts w:hint="eastAsia" w:ascii="Times New Roman" w:hAnsi="Times New Roman" w:eastAsia="宋体" w:cs="Times New Roman"/>
                <w:b/>
                <w:bCs/>
                <w:kern w:val="0"/>
                <w:sz w:val="24"/>
                <w:szCs w:val="24"/>
                <w:lang w:val="en-US" w:eastAsia="zh-CN"/>
              </w:rPr>
              <w:t>4</w:t>
            </w:r>
            <w:r>
              <w:rPr>
                <w:rFonts w:ascii="Times New Roman" w:hAnsi="Times New Roman" w:eastAsia="宋体" w:cs="Times New Roman"/>
                <w:b/>
                <w:bCs/>
                <w:kern w:val="0"/>
                <w:sz w:val="24"/>
                <w:szCs w:val="24"/>
              </w:rPr>
              <w:t xml:space="preserve"> 总量控制</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1、本项目污染物排放量</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eastAsia="zh-CN"/>
              </w:rPr>
            </w:pPr>
            <w:r>
              <w:rPr>
                <w:rFonts w:ascii="Times New Roman" w:hAnsi="Times New Roman" w:eastAsia="宋体" w:cs="Times New Roman"/>
                <w:color w:val="auto"/>
                <w:kern w:val="0"/>
                <w:sz w:val="24"/>
                <w:szCs w:val="24"/>
              </w:rPr>
              <w:t>废气（有组织）：</w:t>
            </w:r>
            <w:r>
              <w:rPr>
                <w:rFonts w:hint="eastAsia" w:ascii="Times New Roman" w:hAnsi="Times New Roman" w:eastAsia="宋体" w:cs="Times New Roman"/>
                <w:color w:val="auto"/>
                <w:kern w:val="0"/>
                <w:sz w:val="24"/>
                <w:szCs w:val="24"/>
                <w:lang w:eastAsia="zh-CN"/>
              </w:rPr>
              <w:t>氨：</w:t>
            </w:r>
            <w:r>
              <w:rPr>
                <w:rFonts w:hint="eastAsia" w:ascii="Times New Roman" w:hAnsi="Times New Roman" w:eastAsia="宋体" w:cs="Times New Roman"/>
                <w:color w:val="auto"/>
                <w:kern w:val="0"/>
                <w:sz w:val="24"/>
                <w:szCs w:val="24"/>
                <w:lang w:val="en-US" w:eastAsia="zh-CN"/>
              </w:rPr>
              <w:t>0.196</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eastAsia="zh-CN"/>
              </w:rPr>
              <w:t>，硫化氢：</w:t>
            </w:r>
            <w:r>
              <w:rPr>
                <w:rFonts w:hint="eastAsia" w:ascii="Times New Roman" w:hAnsi="Times New Roman" w:eastAsia="宋体" w:cs="Times New Roman"/>
                <w:color w:val="auto"/>
                <w:kern w:val="0"/>
                <w:sz w:val="24"/>
                <w:szCs w:val="24"/>
                <w:lang w:val="en-US" w:eastAsia="zh-CN"/>
              </w:rPr>
              <w:t>0.0181</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eastAsia="zh-CN"/>
              </w:rPr>
              <w:t>。</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废水（排入环境）：COD：1.12</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val="en-US" w:eastAsia="zh-CN"/>
              </w:rPr>
              <w:t>、BOD</w:t>
            </w:r>
            <w:r>
              <w:rPr>
                <w:rFonts w:hint="eastAsia" w:ascii="Times New Roman" w:hAnsi="Times New Roman" w:eastAsia="宋体" w:cs="Times New Roman"/>
                <w:color w:val="auto"/>
                <w:kern w:val="0"/>
                <w:sz w:val="24"/>
                <w:szCs w:val="24"/>
                <w:vertAlign w:val="subscript"/>
                <w:lang w:val="en-US" w:eastAsia="zh-CN"/>
              </w:rPr>
              <w:t>5</w:t>
            </w:r>
            <w:r>
              <w:rPr>
                <w:rFonts w:hint="eastAsia" w:ascii="Times New Roman" w:hAnsi="Times New Roman" w:eastAsia="宋体" w:cs="Times New Roman"/>
                <w:color w:val="auto"/>
                <w:kern w:val="0"/>
                <w:sz w:val="24"/>
                <w:szCs w:val="24"/>
                <w:lang w:val="en-US" w:eastAsia="zh-CN"/>
              </w:rPr>
              <w:t>：0.22</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val="en-US" w:eastAsia="zh-CN"/>
              </w:rPr>
              <w:t>、SS：0.22</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val="en-US" w:eastAsia="zh-CN"/>
              </w:rPr>
              <w:t>、氨氮：0.11</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val="en-US" w:eastAsia="zh-CN"/>
              </w:rPr>
              <w:t>。</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2、本项目建成后全厂污染物排放量</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eastAsia="zh-CN"/>
              </w:rPr>
            </w:pPr>
            <w:r>
              <w:rPr>
                <w:rFonts w:ascii="Times New Roman" w:hAnsi="Times New Roman" w:eastAsia="宋体" w:cs="Times New Roman"/>
                <w:color w:val="auto"/>
                <w:kern w:val="0"/>
                <w:sz w:val="24"/>
                <w:szCs w:val="24"/>
              </w:rPr>
              <w:t>废气（有组织）：</w:t>
            </w:r>
            <w:r>
              <w:rPr>
                <w:rFonts w:hint="eastAsia" w:ascii="Times New Roman" w:hAnsi="Times New Roman" w:eastAsia="宋体" w:cs="Times New Roman"/>
                <w:color w:val="auto"/>
                <w:kern w:val="0"/>
                <w:sz w:val="24"/>
                <w:szCs w:val="24"/>
                <w:lang w:eastAsia="zh-CN"/>
              </w:rPr>
              <w:t>氨：</w:t>
            </w:r>
            <w:r>
              <w:rPr>
                <w:rFonts w:hint="eastAsia" w:ascii="Times New Roman" w:hAnsi="Times New Roman" w:eastAsia="宋体" w:cs="Times New Roman"/>
                <w:color w:val="auto"/>
                <w:kern w:val="0"/>
                <w:sz w:val="24"/>
                <w:szCs w:val="24"/>
                <w:lang w:val="en-US" w:eastAsia="zh-CN"/>
              </w:rPr>
              <w:t>0.196</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eastAsia="zh-CN"/>
              </w:rPr>
              <w:t>，硫化氢：</w:t>
            </w:r>
            <w:r>
              <w:rPr>
                <w:rFonts w:hint="eastAsia" w:ascii="Times New Roman" w:hAnsi="Times New Roman" w:eastAsia="宋体" w:cs="Times New Roman"/>
                <w:color w:val="auto"/>
                <w:kern w:val="0"/>
                <w:sz w:val="24"/>
                <w:szCs w:val="24"/>
                <w:lang w:val="en-US" w:eastAsia="zh-CN"/>
              </w:rPr>
              <w:t>0.0181</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eastAsia="zh-CN"/>
              </w:rPr>
              <w:t>。</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废水（排入环境）：COD：1.12</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val="en-US" w:eastAsia="zh-CN"/>
              </w:rPr>
              <w:t>、BOD</w:t>
            </w:r>
            <w:r>
              <w:rPr>
                <w:rFonts w:hint="eastAsia" w:ascii="Times New Roman" w:hAnsi="Times New Roman" w:eastAsia="宋体" w:cs="Times New Roman"/>
                <w:color w:val="auto"/>
                <w:kern w:val="0"/>
                <w:sz w:val="24"/>
                <w:szCs w:val="24"/>
                <w:vertAlign w:val="subscript"/>
                <w:lang w:val="en-US" w:eastAsia="zh-CN"/>
              </w:rPr>
              <w:t>5</w:t>
            </w:r>
            <w:r>
              <w:rPr>
                <w:rFonts w:hint="eastAsia" w:ascii="Times New Roman" w:hAnsi="Times New Roman" w:eastAsia="宋体" w:cs="Times New Roman"/>
                <w:color w:val="auto"/>
                <w:kern w:val="0"/>
                <w:sz w:val="24"/>
                <w:szCs w:val="24"/>
                <w:lang w:val="en-US" w:eastAsia="zh-CN"/>
              </w:rPr>
              <w:t>：0.22</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val="en-US" w:eastAsia="zh-CN"/>
              </w:rPr>
              <w:t>、SS：0.22</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val="en-US" w:eastAsia="zh-CN"/>
              </w:rPr>
              <w:t>、氨氮：0.11</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val="en-US" w:eastAsia="zh-CN"/>
              </w:rPr>
              <w:t>。</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eastAsia="zh-CN"/>
              </w:rPr>
            </w:pP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eastAsia="zh-CN"/>
              </w:rPr>
            </w:pPr>
          </w:p>
          <w:p>
            <w:pPr>
              <w:autoSpaceDE w:val="0"/>
              <w:autoSpaceDN w:val="0"/>
              <w:adjustRightInd w:val="0"/>
              <w:snapToGrid w:val="0"/>
              <w:spacing w:line="360" w:lineRule="auto"/>
              <w:jc w:val="left"/>
              <w:rPr>
                <w:rFonts w:hint="eastAsia" w:ascii="Times New Roman" w:hAnsi="Times New Roman" w:eastAsia="宋体" w:cs="Times New Roman"/>
                <w:kern w:val="0"/>
                <w:sz w:val="24"/>
                <w:szCs w:val="24"/>
                <w:lang w:val="en-US" w:eastAsia="zh-CN"/>
              </w:rPr>
            </w:pPr>
          </w:p>
        </w:tc>
      </w:tr>
    </w:tbl>
    <w:p>
      <w:pPr>
        <w:widowControl/>
        <w:jc w:val="left"/>
        <w:rPr>
          <w:rFonts w:ascii="Times New Roman" w:hAnsi="Times New Roman" w:eastAsia="宋体" w:cs="Times New Roman"/>
        </w:rPr>
      </w:pPr>
      <w:r>
        <w:rPr>
          <w:rFonts w:ascii="Times New Roman" w:hAnsi="Times New Roman" w:eastAsia="宋体" w:cs="Times New Roman"/>
        </w:rPr>
        <w:br w:type="page"/>
      </w:r>
    </w:p>
    <w:p>
      <w:pPr>
        <w:jc w:val="center"/>
        <w:outlineLvl w:val="0"/>
        <w:rPr>
          <w:rFonts w:ascii="Times New Roman" w:hAnsi="Times New Roman" w:eastAsia="宋体" w:cs="Times New Roman"/>
          <w:b/>
          <w:bCs/>
          <w:sz w:val="30"/>
          <w:szCs w:val="30"/>
        </w:rPr>
      </w:pPr>
      <w:r>
        <w:rPr>
          <w:rFonts w:ascii="Times New Roman" w:hAnsi="Times New Roman" w:eastAsia="宋体" w:cs="Times New Roman"/>
          <w:b/>
          <w:bCs/>
          <w:sz w:val="30"/>
          <w:szCs w:val="30"/>
        </w:rPr>
        <w:t>四、主要环境影响和保护措施</w:t>
      </w:r>
    </w:p>
    <w:tbl>
      <w:tblPr>
        <w:tblStyle w:val="20"/>
        <w:tblW w:w="9062"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363"/>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bookmarkStart w:id="8" w:name="_Hlk66309637"/>
            <w:r>
              <w:rPr>
                <w:rFonts w:ascii="Times New Roman" w:hAnsi="Times New Roman" w:eastAsia="宋体" w:cs="Times New Roman"/>
                <w:kern w:val="0"/>
                <w:sz w:val="22"/>
              </w:rPr>
              <w:t>施工期环境保护措施</w:t>
            </w:r>
          </w:p>
        </w:tc>
        <w:tc>
          <w:tcPr>
            <w:tcW w:w="8363" w:type="dxa"/>
            <w:vAlign w:val="center"/>
          </w:tcPr>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4.1 施工期环境保护措施</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b w:val="0"/>
                <w:bCs w:val="0"/>
                <w:kern w:val="0"/>
                <w:sz w:val="24"/>
                <w:szCs w:val="24"/>
              </w:rPr>
            </w:pPr>
            <w:r>
              <w:rPr>
                <w:rFonts w:hint="eastAsia" w:ascii="Times New Roman" w:hAnsi="Times New Roman" w:eastAsia="宋体" w:cs="Times New Roman"/>
                <w:b w:val="0"/>
                <w:bCs w:val="0"/>
                <w:kern w:val="0"/>
                <w:sz w:val="24"/>
                <w:szCs w:val="24"/>
                <w:lang w:eastAsia="zh-CN"/>
              </w:rPr>
              <w:t>本项目位于重庆市铜梁区侣俸镇凤飞村</w:t>
            </w:r>
            <w:r>
              <w:rPr>
                <w:rFonts w:hint="eastAsia" w:ascii="Times New Roman" w:hAnsi="Times New Roman" w:eastAsia="宋体" w:cs="Times New Roman"/>
                <w:b w:val="0"/>
                <w:bCs w:val="0"/>
                <w:kern w:val="0"/>
                <w:sz w:val="24"/>
                <w:szCs w:val="24"/>
                <w:lang w:val="en-US" w:eastAsia="zh-CN"/>
              </w:rPr>
              <w:t>，主要施工内容包括</w:t>
            </w:r>
            <w:r>
              <w:rPr>
                <w:rFonts w:hint="default" w:ascii="Times New Roman" w:hAnsi="Times New Roman" w:eastAsia="宋体" w:cs="Times New Roman"/>
                <w:bCs/>
                <w:color w:val="auto"/>
                <w:sz w:val="24"/>
                <w:lang w:val="en-US" w:eastAsia="zh-CN"/>
              </w:rPr>
              <w:t>场地基础施工、建筑结构施工、设备安装和建筑装饰等</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 w:val="0"/>
                <w:bCs w:val="0"/>
                <w:kern w:val="0"/>
                <w:sz w:val="24"/>
                <w:szCs w:val="24"/>
                <w:lang w:eastAsia="zh-CN"/>
              </w:rPr>
              <w:t>施工期</w:t>
            </w:r>
            <w:r>
              <w:rPr>
                <w:rFonts w:hint="eastAsia" w:ascii="Times New Roman" w:hAnsi="Times New Roman" w:eastAsia="宋体" w:cs="Times New Roman"/>
                <w:b w:val="0"/>
                <w:bCs w:val="0"/>
                <w:kern w:val="0"/>
                <w:sz w:val="24"/>
                <w:szCs w:val="24"/>
                <w:lang w:eastAsia="zh-CN"/>
              </w:rPr>
              <w:t>环境保护措施如下：</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4.1.1</w:t>
            </w:r>
            <w:r>
              <w:rPr>
                <w:rFonts w:hint="eastAsia" w:ascii="Times New Roman" w:hAnsi="Times New Roman" w:eastAsia="宋体" w:cs="Times New Roman"/>
                <w:b/>
                <w:bCs/>
                <w:kern w:val="0"/>
                <w:sz w:val="24"/>
                <w:szCs w:val="24"/>
                <w:lang w:eastAsia="zh-CN"/>
              </w:rPr>
              <w:t>废气</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1、施工扬尘</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施工期的大气污染物主要是扬尘，拟建项目施工场地设置围挡，围挡设置高度不低于1.8m；4级以上大风天气，停止土石方施工，同时做好遮掩工作；水泥等可能产生尘污染的建筑材料在库房存放或者严密遮盖，采用洒水等措施防止扬尘；建筑垃圾及时清运；装卸渣土时严禁空中抛洒，渣土外运严禁沿路遗洒。</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2、施工机械废气</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color w:val="auto"/>
                <w:kern w:val="0"/>
                <w:sz w:val="24"/>
                <w:szCs w:val="24"/>
              </w:rPr>
              <w:t>为减轻施工机械废气对环境的影响，通过采取选用先进的施工机械，加强对机械设备的维护保养等措施。</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4.1.2废水</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（1）施工过程中加强管理，施工废水经隔油沉淀处理后回用或洒水抑尘，不外排。</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rPr>
              <w:t>（2）</w:t>
            </w:r>
            <w:r>
              <w:rPr>
                <w:rFonts w:ascii="Times New Roman" w:hAnsi="Times New Roman" w:eastAsia="宋体" w:cs="Times New Roman"/>
                <w:color w:val="auto"/>
                <w:kern w:val="0"/>
                <w:sz w:val="24"/>
                <w:szCs w:val="24"/>
              </w:rPr>
              <w:t>施工人员</w:t>
            </w:r>
            <w:r>
              <w:rPr>
                <w:rFonts w:hint="eastAsia" w:ascii="Times New Roman" w:hAnsi="Times New Roman" w:eastAsia="宋体" w:cs="Times New Roman"/>
                <w:color w:val="auto"/>
                <w:kern w:val="0"/>
                <w:sz w:val="24"/>
                <w:szCs w:val="24"/>
              </w:rPr>
              <w:t>生活污水依托现有</w:t>
            </w:r>
            <w:r>
              <w:rPr>
                <w:rFonts w:hint="eastAsia" w:ascii="Times New Roman" w:hAnsi="Times New Roman" w:eastAsia="宋体" w:cs="Times New Roman"/>
                <w:color w:val="auto"/>
                <w:kern w:val="0"/>
                <w:sz w:val="24"/>
                <w:szCs w:val="24"/>
                <w:lang w:eastAsia="zh-CN"/>
              </w:rPr>
              <w:t>生化池</w:t>
            </w:r>
            <w:r>
              <w:rPr>
                <w:rFonts w:hint="eastAsia" w:ascii="Times New Roman" w:hAnsi="Times New Roman" w:eastAsia="宋体" w:cs="Times New Roman"/>
                <w:color w:val="auto"/>
                <w:kern w:val="0"/>
                <w:sz w:val="24"/>
                <w:szCs w:val="24"/>
              </w:rPr>
              <w:t>处理后用作农肥，不外排</w:t>
            </w:r>
            <w:r>
              <w:rPr>
                <w:rFonts w:hint="eastAsia" w:ascii="Times New Roman" w:hAnsi="Times New Roman" w:eastAsia="宋体" w:cs="Times New Roman"/>
                <w:color w:val="auto"/>
                <w:kern w:val="0"/>
                <w:sz w:val="24"/>
                <w:szCs w:val="24"/>
                <w:lang w:eastAsia="zh-CN"/>
              </w:rPr>
              <w:t>。</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4</w:t>
            </w:r>
            <w:r>
              <w:rPr>
                <w:rFonts w:ascii="Times New Roman" w:hAnsi="Times New Roman" w:eastAsia="宋体" w:cs="Times New Roman"/>
                <w:b/>
                <w:bCs/>
                <w:kern w:val="0"/>
                <w:sz w:val="24"/>
                <w:szCs w:val="24"/>
              </w:rPr>
              <w:t>.1.3</w:t>
            </w:r>
            <w:r>
              <w:rPr>
                <w:rFonts w:hint="eastAsia" w:ascii="Times New Roman" w:hAnsi="Times New Roman" w:eastAsia="宋体" w:cs="Times New Roman"/>
                <w:b/>
                <w:bCs/>
                <w:kern w:val="0"/>
                <w:sz w:val="24"/>
                <w:szCs w:val="24"/>
              </w:rPr>
              <w:t>噪声</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施工期噪声主要来源于施工机械，如挖掘机、载重汽车、吊车等。施工单位应严格落实《重庆市环境保护条例》（2018年7月修订）、《重庆市环境噪声污染防治管理办法》（渝府令第270号）中的相关规定，为减轻施工期噪声对周围环境的影响，建设单位应采取以下噪声污染防治措施：</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fldChar w:fldCharType="begin"/>
            </w:r>
            <w:r>
              <w:rPr>
                <w:rFonts w:hint="eastAsia" w:ascii="Times New Roman" w:hAnsi="Times New Roman" w:eastAsia="宋体" w:cs="Times New Roman"/>
                <w:color w:val="auto"/>
                <w:kern w:val="0"/>
                <w:sz w:val="24"/>
                <w:szCs w:val="24"/>
              </w:rPr>
              <w:instrText xml:space="preserve"> = 1 \* GB3 </w:instrText>
            </w:r>
            <w:r>
              <w:rPr>
                <w:rFonts w:hint="eastAsia" w:ascii="Times New Roman" w:hAnsi="Times New Roman" w:eastAsia="宋体" w:cs="Times New Roman"/>
                <w:color w:val="auto"/>
                <w:kern w:val="0"/>
                <w:sz w:val="24"/>
                <w:szCs w:val="24"/>
              </w:rPr>
              <w:fldChar w:fldCharType="separate"/>
            </w:r>
            <w:r>
              <w:rPr>
                <w:rFonts w:hint="eastAsia" w:ascii="Times New Roman" w:hAnsi="Times New Roman" w:eastAsia="宋体" w:cs="Times New Roman"/>
                <w:color w:val="auto"/>
                <w:kern w:val="0"/>
                <w:sz w:val="24"/>
                <w:szCs w:val="24"/>
              </w:rPr>
              <w:t>①</w:t>
            </w:r>
            <w:r>
              <w:rPr>
                <w:rFonts w:hint="eastAsia" w:ascii="Times New Roman" w:hAnsi="Times New Roman" w:eastAsia="宋体" w:cs="Times New Roman"/>
                <w:color w:val="auto"/>
                <w:kern w:val="0"/>
                <w:sz w:val="24"/>
                <w:szCs w:val="24"/>
              </w:rPr>
              <w:fldChar w:fldCharType="end"/>
            </w:r>
            <w:r>
              <w:rPr>
                <w:rFonts w:hint="eastAsia" w:ascii="Times New Roman" w:hAnsi="Times New Roman" w:eastAsia="宋体" w:cs="Times New Roman"/>
                <w:color w:val="auto"/>
                <w:kern w:val="0"/>
                <w:sz w:val="24"/>
                <w:szCs w:val="24"/>
              </w:rPr>
              <w:t>应尽量选用先进的低噪声设备，在高噪声设备周围设置屏障或进行消声、减振以减轻设备噪声对周围环境的响，根据本项目的实际情况，施工机械放置在厂区西南面或者南面，控制施工场界噪声不超过《建筑施工场界环境噪声排放标准》（GB12523-2011）。</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fldChar w:fldCharType="begin"/>
            </w:r>
            <w:r>
              <w:rPr>
                <w:rFonts w:hint="eastAsia" w:ascii="Times New Roman" w:hAnsi="Times New Roman" w:eastAsia="宋体" w:cs="Times New Roman"/>
                <w:color w:val="auto"/>
                <w:kern w:val="0"/>
                <w:sz w:val="24"/>
                <w:szCs w:val="24"/>
              </w:rPr>
              <w:instrText xml:space="preserve"> = 2 \* GB3 </w:instrText>
            </w:r>
            <w:r>
              <w:rPr>
                <w:rFonts w:hint="eastAsia" w:ascii="Times New Roman" w:hAnsi="Times New Roman" w:eastAsia="宋体" w:cs="Times New Roman"/>
                <w:color w:val="auto"/>
                <w:kern w:val="0"/>
                <w:sz w:val="24"/>
                <w:szCs w:val="24"/>
              </w:rPr>
              <w:fldChar w:fldCharType="separate"/>
            </w:r>
            <w:r>
              <w:rPr>
                <w:rFonts w:hint="eastAsia" w:ascii="Times New Roman" w:hAnsi="Times New Roman" w:eastAsia="宋体" w:cs="Times New Roman"/>
                <w:color w:val="auto"/>
                <w:kern w:val="0"/>
                <w:sz w:val="24"/>
                <w:szCs w:val="24"/>
              </w:rPr>
              <w:t>②</w:t>
            </w:r>
            <w:r>
              <w:rPr>
                <w:rFonts w:hint="eastAsia" w:ascii="Times New Roman" w:hAnsi="Times New Roman" w:eastAsia="宋体" w:cs="Times New Roman"/>
                <w:color w:val="auto"/>
                <w:kern w:val="0"/>
                <w:sz w:val="24"/>
                <w:szCs w:val="24"/>
              </w:rPr>
              <w:fldChar w:fldCharType="end"/>
            </w:r>
            <w:r>
              <w:rPr>
                <w:rFonts w:hint="eastAsia" w:ascii="Times New Roman" w:hAnsi="Times New Roman" w:eastAsia="宋体" w:cs="Times New Roman"/>
                <w:color w:val="auto"/>
                <w:kern w:val="0"/>
                <w:sz w:val="24"/>
                <w:szCs w:val="24"/>
              </w:rPr>
              <w:t>施工中应加强对施工机械的维护保养，避免由于设备性能差而增大机械噪声的现象发生；对现场的施工车辆进行疏导，禁止鸣笛。</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fldChar w:fldCharType="begin"/>
            </w:r>
            <w:r>
              <w:rPr>
                <w:rFonts w:hint="eastAsia" w:ascii="Times New Roman" w:hAnsi="Times New Roman" w:eastAsia="宋体" w:cs="Times New Roman"/>
                <w:color w:val="auto"/>
                <w:kern w:val="0"/>
                <w:sz w:val="24"/>
                <w:szCs w:val="24"/>
              </w:rPr>
              <w:instrText xml:space="preserve"> = 3 \* GB3 </w:instrText>
            </w:r>
            <w:r>
              <w:rPr>
                <w:rFonts w:hint="eastAsia" w:ascii="Times New Roman" w:hAnsi="Times New Roman" w:eastAsia="宋体" w:cs="Times New Roman"/>
                <w:color w:val="auto"/>
                <w:kern w:val="0"/>
                <w:sz w:val="24"/>
                <w:szCs w:val="24"/>
              </w:rPr>
              <w:fldChar w:fldCharType="separate"/>
            </w:r>
            <w:r>
              <w:rPr>
                <w:rFonts w:hint="eastAsia" w:ascii="Times New Roman" w:hAnsi="Times New Roman" w:eastAsia="宋体" w:cs="Times New Roman"/>
                <w:color w:val="auto"/>
                <w:kern w:val="0"/>
                <w:sz w:val="24"/>
                <w:szCs w:val="24"/>
              </w:rPr>
              <w:t>③</w:t>
            </w:r>
            <w:r>
              <w:rPr>
                <w:rFonts w:hint="eastAsia" w:ascii="Times New Roman" w:hAnsi="Times New Roman" w:eastAsia="宋体" w:cs="Times New Roman"/>
                <w:color w:val="auto"/>
                <w:kern w:val="0"/>
                <w:sz w:val="24"/>
                <w:szCs w:val="24"/>
              </w:rPr>
              <w:fldChar w:fldCharType="end"/>
            </w:r>
            <w:r>
              <w:rPr>
                <w:rFonts w:hint="eastAsia" w:ascii="Times New Roman" w:hAnsi="Times New Roman" w:eastAsia="宋体" w:cs="Times New Roman"/>
                <w:color w:val="auto"/>
                <w:kern w:val="0"/>
                <w:sz w:val="24"/>
                <w:szCs w:val="24"/>
              </w:rPr>
              <w:t>高噪声设备可修建专门的房间来降低噪声的排放，施工频率要注意控制，不能过于频繁；施工设备同一时段尽量不要多个高噪声设备施工，减小噪声污染的叠加效果。</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4</w:t>
            </w:r>
            <w:r>
              <w:rPr>
                <w:rFonts w:ascii="Times New Roman" w:hAnsi="Times New Roman" w:eastAsia="宋体" w:cs="Times New Roman"/>
                <w:b/>
                <w:bCs/>
                <w:kern w:val="0"/>
                <w:sz w:val="24"/>
                <w:szCs w:val="24"/>
              </w:rPr>
              <w:t>.1.4</w:t>
            </w:r>
            <w:r>
              <w:rPr>
                <w:rFonts w:hint="eastAsia" w:ascii="Times New Roman" w:hAnsi="Times New Roman" w:eastAsia="宋体" w:cs="Times New Roman"/>
                <w:b/>
                <w:bCs/>
                <w:kern w:val="0"/>
                <w:sz w:val="24"/>
                <w:szCs w:val="24"/>
              </w:rPr>
              <w:t>固体废弃物</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（1）生活垃圾依托厂区现有垃圾桶收集后交环卫部门处理。</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（2）开挖土石方能全部回填，无弃方产生。土石方集中堆放，并用塑料布覆盖。四周设置临时排水沟，避免雨水冲刷造成水土流失。</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（3）建筑垃圾由施工单位密闭运输至指定渣场处置。</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color w:val="auto"/>
                <w:kern w:val="0"/>
                <w:sz w:val="24"/>
                <w:szCs w:val="24"/>
              </w:rPr>
              <w:t>综上所述，本项目施工期较短，通过采取以上措施后，施工期对环境的影响较小，随着施工期的结束，影响也将随之消失</w:t>
            </w:r>
            <w:r>
              <w:rPr>
                <w:rFonts w:hint="eastAsia" w:ascii="Times New Roman" w:hAnsi="Times New Roman" w:eastAsia="宋体" w:cs="Times New Roman"/>
                <w:b w:val="0"/>
                <w:bCs w:val="0"/>
                <w:kern w:val="0"/>
                <w:sz w:val="24"/>
                <w:szCs w:val="24"/>
                <w:lang w:eastAsia="zh-CN"/>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82"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运营期环境影响和保护措施</w:t>
            </w:r>
          </w:p>
        </w:tc>
        <w:tc>
          <w:tcPr>
            <w:tcW w:w="8363" w:type="dxa"/>
            <w:vAlign w:val="center"/>
          </w:tcPr>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4.2 </w:t>
            </w:r>
            <w:r>
              <w:rPr>
                <w:rFonts w:hint="eastAsia" w:ascii="Times New Roman" w:hAnsi="Times New Roman" w:eastAsia="宋体" w:cs="Times New Roman"/>
                <w:b/>
                <w:bCs/>
                <w:kern w:val="0"/>
                <w:sz w:val="24"/>
                <w:szCs w:val="24"/>
                <w:lang w:eastAsia="zh-CN"/>
              </w:rPr>
              <w:t>营运期</w:t>
            </w:r>
            <w:r>
              <w:rPr>
                <w:rFonts w:ascii="Times New Roman" w:hAnsi="Times New Roman" w:eastAsia="宋体" w:cs="Times New Roman"/>
                <w:b/>
                <w:bCs/>
                <w:kern w:val="0"/>
                <w:sz w:val="24"/>
                <w:szCs w:val="24"/>
              </w:rPr>
              <w:t>环境影响和保护措施</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4.2.1 废气</w:t>
            </w:r>
          </w:p>
          <w:p>
            <w:pPr>
              <w:tabs>
                <w:tab w:val="left" w:pos="1970"/>
              </w:tabs>
              <w:adjustRightInd w:val="0"/>
              <w:snapToGrid w:val="0"/>
              <w:spacing w:line="360" w:lineRule="auto"/>
              <w:ind w:firstLine="480" w:firstLineChars="200"/>
              <w:rPr>
                <w:rFonts w:hint="eastAsia" w:ascii="Times New Roman" w:hAnsi="Times New Roman" w:eastAsia="宋体" w:cs="Times New Roman"/>
                <w:color w:val="auto"/>
                <w:kern w:val="0"/>
                <w:sz w:val="24"/>
                <w:szCs w:val="24"/>
                <w:lang w:val="zh-CN" w:eastAsia="zh-CN"/>
              </w:rPr>
            </w:pPr>
            <w:r>
              <w:rPr>
                <w:rFonts w:hint="eastAsia" w:ascii="Times New Roman" w:hAnsi="Times New Roman" w:eastAsia="宋体" w:cs="Times New Roman"/>
                <w:color w:val="auto"/>
                <w:kern w:val="0"/>
                <w:sz w:val="24"/>
                <w:szCs w:val="24"/>
                <w:lang w:val="zh-CN" w:eastAsia="zh-CN"/>
              </w:rPr>
              <w:t>本项目营运期废气主要包括污泥储存、破壁臭气</w:t>
            </w:r>
            <w:r>
              <w:rPr>
                <w:rFonts w:hint="eastAsia" w:ascii="Times New Roman" w:hAnsi="Times New Roman" w:eastAsia="宋体" w:cs="Times New Roman"/>
                <w:color w:val="auto"/>
                <w:kern w:val="0"/>
                <w:sz w:val="24"/>
                <w:szCs w:val="24"/>
                <w:lang w:val="en-US" w:eastAsia="zh-CN"/>
              </w:rPr>
              <w:t>G1</w:t>
            </w:r>
            <w:r>
              <w:rPr>
                <w:rFonts w:hint="eastAsia" w:ascii="Times New Roman" w:hAnsi="Times New Roman" w:eastAsia="宋体" w:cs="Times New Roman"/>
                <w:color w:val="auto"/>
                <w:kern w:val="0"/>
                <w:sz w:val="24"/>
                <w:szCs w:val="24"/>
                <w:lang w:val="zh-CN" w:eastAsia="zh-CN"/>
              </w:rPr>
              <w:t>、污泥</w:t>
            </w:r>
            <w:r>
              <w:rPr>
                <w:rFonts w:hint="eastAsia" w:ascii="Times New Roman" w:hAnsi="Times New Roman" w:eastAsia="宋体" w:cs="Times New Roman"/>
                <w:color w:val="auto"/>
                <w:kern w:val="0"/>
                <w:sz w:val="24"/>
                <w:szCs w:val="24"/>
                <w:lang w:val="en-US" w:eastAsia="zh-CN"/>
              </w:rPr>
              <w:t>脱水</w:t>
            </w:r>
            <w:r>
              <w:rPr>
                <w:rFonts w:hint="eastAsia" w:ascii="Times New Roman" w:hAnsi="Times New Roman" w:eastAsia="宋体" w:cs="Times New Roman"/>
                <w:color w:val="auto"/>
                <w:kern w:val="0"/>
                <w:sz w:val="24"/>
                <w:szCs w:val="24"/>
                <w:lang w:val="zh-CN" w:eastAsia="zh-CN"/>
              </w:rPr>
              <w:t>臭气</w:t>
            </w:r>
            <w:r>
              <w:rPr>
                <w:rFonts w:hint="eastAsia" w:ascii="Times New Roman" w:hAnsi="Times New Roman" w:eastAsia="宋体" w:cs="Times New Roman"/>
                <w:color w:val="auto"/>
                <w:kern w:val="0"/>
                <w:sz w:val="24"/>
                <w:szCs w:val="24"/>
                <w:lang w:val="en-US" w:eastAsia="zh-CN"/>
              </w:rPr>
              <w:t>G2、干污泥储存臭气G3、污泥进料、混料、布料、发酵臭气G4、G5、G6、G7、污水池臭气G8及运输扬尘等</w:t>
            </w:r>
            <w:r>
              <w:rPr>
                <w:rFonts w:hint="eastAsia" w:ascii="Times New Roman" w:hAnsi="Times New Roman" w:eastAsia="宋体" w:cs="Times New Roman"/>
                <w:color w:val="auto"/>
                <w:kern w:val="0"/>
                <w:sz w:val="24"/>
                <w:szCs w:val="24"/>
                <w:lang w:val="zh-CN" w:eastAsia="zh-CN"/>
              </w:rPr>
              <w:t>。</w:t>
            </w:r>
          </w:p>
          <w:p>
            <w:pPr>
              <w:tabs>
                <w:tab w:val="left" w:pos="1970"/>
              </w:tabs>
              <w:adjustRightInd w:val="0"/>
              <w:snapToGrid w:val="0"/>
              <w:spacing w:line="360" w:lineRule="auto"/>
              <w:ind w:firstLine="482" w:firstLineChars="200"/>
              <w:rPr>
                <w:rFonts w:hint="eastAsia" w:ascii="Times New Roman" w:hAnsi="Times New Roman" w:eastAsia="宋体" w:cs="Times New Roman"/>
                <w:b/>
                <w:bCs/>
                <w:color w:val="auto"/>
                <w:kern w:val="0"/>
                <w:sz w:val="24"/>
                <w:szCs w:val="24"/>
                <w:lang w:val="zh-CN" w:eastAsia="zh-CN"/>
              </w:rPr>
            </w:pPr>
            <w:r>
              <w:rPr>
                <w:rFonts w:hint="eastAsia" w:ascii="Times New Roman" w:hAnsi="Times New Roman" w:eastAsia="宋体" w:cs="Times New Roman"/>
                <w:b/>
                <w:bCs/>
                <w:color w:val="auto"/>
                <w:kern w:val="0"/>
                <w:sz w:val="24"/>
                <w:szCs w:val="24"/>
                <w:lang w:val="en-US" w:eastAsia="zh-CN"/>
              </w:rPr>
              <w:t>1、</w:t>
            </w:r>
            <w:r>
              <w:rPr>
                <w:rFonts w:hint="eastAsia" w:ascii="Times New Roman" w:hAnsi="Times New Roman" w:eastAsia="宋体" w:cs="Times New Roman"/>
                <w:b/>
                <w:bCs/>
                <w:color w:val="auto"/>
                <w:kern w:val="0"/>
                <w:sz w:val="24"/>
                <w:szCs w:val="24"/>
                <w:lang w:val="zh-CN" w:eastAsia="zh-CN"/>
              </w:rPr>
              <w:t>废气收集措施及风量计算</w:t>
            </w:r>
          </w:p>
          <w:p>
            <w:pPr>
              <w:spacing w:beforeLines="0" w:afterLines="0" w:line="360" w:lineRule="auto"/>
              <w:ind w:firstLine="48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rPr>
              <w:t>项目湿污泥储存间</w:t>
            </w:r>
            <w:r>
              <w:rPr>
                <w:rFonts w:hint="default" w:ascii="Times New Roman" w:hAnsi="Times New Roman" w:eastAsia="宋体" w:cs="Times New Roman"/>
                <w:color w:val="auto"/>
                <w:kern w:val="0"/>
                <w:sz w:val="24"/>
                <w:szCs w:val="24"/>
                <w:lang w:val="zh-CN" w:eastAsia="zh-CN"/>
              </w:rPr>
              <w:t>内设有</w:t>
            </w:r>
            <w:r>
              <w:rPr>
                <w:rFonts w:hint="eastAsia" w:ascii="Times New Roman" w:hAnsi="Times New Roman" w:eastAsia="宋体" w:cs="Times New Roman"/>
                <w:color w:val="auto"/>
                <w:kern w:val="0"/>
                <w:sz w:val="24"/>
                <w:szCs w:val="24"/>
                <w:lang w:val="en-US" w:eastAsia="zh-CN"/>
              </w:rPr>
              <w:t>1个</w:t>
            </w:r>
            <w:r>
              <w:rPr>
                <w:rFonts w:hint="default" w:ascii="Times New Roman" w:hAnsi="Times New Roman" w:eastAsia="宋体" w:cs="Times New Roman"/>
                <w:color w:val="auto"/>
                <w:kern w:val="0"/>
                <w:sz w:val="24"/>
                <w:szCs w:val="24"/>
                <w:lang w:val="zh-CN" w:eastAsia="zh-CN"/>
              </w:rPr>
              <w:t>污泥</w:t>
            </w:r>
            <w:r>
              <w:rPr>
                <w:rFonts w:hint="eastAsia" w:ascii="Times New Roman" w:hAnsi="Times New Roman" w:eastAsia="宋体" w:cs="Times New Roman"/>
                <w:color w:val="auto"/>
                <w:kern w:val="0"/>
                <w:sz w:val="24"/>
                <w:szCs w:val="24"/>
                <w:lang w:val="zh-CN" w:eastAsia="zh-CN"/>
              </w:rPr>
              <w:t>料仓，</w:t>
            </w:r>
            <w:r>
              <w:rPr>
                <w:rFonts w:hint="eastAsia" w:ascii="Times New Roman" w:hAnsi="Times New Roman" w:eastAsia="宋体" w:cs="Times New Roman"/>
                <w:color w:val="auto"/>
                <w:kern w:val="0"/>
                <w:sz w:val="24"/>
                <w:szCs w:val="24"/>
                <w:lang w:val="en-US" w:eastAsia="zh-CN"/>
              </w:rPr>
              <w:t>污泥脱水车间</w:t>
            </w:r>
            <w:r>
              <w:rPr>
                <w:rFonts w:hint="default" w:ascii="Times New Roman" w:hAnsi="Times New Roman" w:eastAsia="宋体" w:cs="Times New Roman"/>
                <w:color w:val="auto"/>
                <w:kern w:val="0"/>
                <w:sz w:val="24"/>
                <w:szCs w:val="24"/>
                <w:lang w:val="zh-CN" w:eastAsia="zh-CN"/>
              </w:rPr>
              <w:t>内设有</w:t>
            </w:r>
            <w:r>
              <w:rPr>
                <w:rFonts w:hint="eastAsia" w:ascii="Times New Roman" w:hAnsi="Times New Roman" w:eastAsia="宋体" w:cs="Times New Roman"/>
                <w:color w:val="auto"/>
                <w:kern w:val="0"/>
                <w:sz w:val="24"/>
                <w:szCs w:val="24"/>
                <w:lang w:val="en-US" w:eastAsia="zh-CN"/>
              </w:rPr>
              <w:t>1套污泥脱水设备</w:t>
            </w:r>
            <w:r>
              <w:rPr>
                <w:rFonts w:hint="eastAsia" w:ascii="Times New Roman" w:hAnsi="Times New Roman" w:eastAsia="宋体" w:cs="Times New Roman"/>
                <w:color w:val="auto"/>
                <w:sz w:val="24"/>
                <w:szCs w:val="24"/>
                <w:lang w:val="en-US" w:eastAsia="zh-CN"/>
              </w:rPr>
              <w:t>，脱水后干污泥储存在发酵及成品车间进料区的干污泥储存区；污泥进料、混料、布料、发酵等均依托发酵生产线，均位于现有发酵及成品车间内。</w:t>
            </w:r>
          </w:p>
          <w:p>
            <w:pPr>
              <w:spacing w:beforeLines="0" w:afterLines="0" w:line="360" w:lineRule="auto"/>
              <w:ind w:firstLine="48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sz w:val="24"/>
                <w:szCs w:val="24"/>
                <w:lang w:val="en-US" w:eastAsia="zh-CN"/>
              </w:rPr>
              <w:t>湿污泥储存间</w:t>
            </w:r>
            <w:r>
              <w:rPr>
                <w:rFonts w:hint="eastAsia" w:ascii="Times New Roman" w:hAnsi="Times New Roman" w:eastAsia="宋体" w:cs="Times New Roman"/>
                <w:color w:val="auto"/>
                <w:sz w:val="24"/>
                <w:szCs w:val="24"/>
                <w:lang w:eastAsia="zh-CN"/>
              </w:rPr>
              <w:t>为密闭结构，建筑面积为</w:t>
            </w:r>
            <w:r>
              <w:rPr>
                <w:rFonts w:hint="eastAsia" w:ascii="Times New Roman" w:hAnsi="Times New Roman" w:eastAsia="宋体" w:cs="Times New Roman"/>
                <w:color w:val="auto"/>
                <w:sz w:val="24"/>
                <w:szCs w:val="24"/>
                <w:lang w:val="en-US" w:eastAsia="zh-CN"/>
              </w:rPr>
              <w:t>181.5m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eastAsia="zh-CN"/>
              </w:rPr>
              <w:t>，建筑高度为</w:t>
            </w:r>
            <w:r>
              <w:rPr>
                <w:rFonts w:hint="eastAsia" w:ascii="Times New Roman" w:hAnsi="Times New Roman" w:eastAsia="宋体" w:cs="Times New Roman"/>
                <w:color w:val="auto"/>
                <w:sz w:val="24"/>
                <w:szCs w:val="24"/>
                <w:lang w:val="en-US" w:eastAsia="zh-CN"/>
              </w:rPr>
              <w:t>10.5m，</w:t>
            </w:r>
            <w:r>
              <w:rPr>
                <w:rFonts w:hint="eastAsia" w:ascii="Times New Roman" w:hAnsi="Times New Roman" w:eastAsia="宋体" w:cs="Times New Roman"/>
                <w:color w:val="auto"/>
                <w:sz w:val="24"/>
                <w:szCs w:val="24"/>
                <w:lang w:eastAsia="zh-CN"/>
              </w:rPr>
              <w:t>臭气采用</w:t>
            </w:r>
            <w:r>
              <w:rPr>
                <w:rFonts w:hint="default" w:ascii="Times New Roman" w:hAnsi="Times New Roman" w:eastAsia="宋体" w:cs="Times New Roman"/>
                <w:color w:val="auto"/>
                <w:sz w:val="24"/>
                <w:szCs w:val="24"/>
              </w:rPr>
              <w:t>负压</w:t>
            </w:r>
            <w:r>
              <w:rPr>
                <w:rFonts w:hint="eastAsia" w:ascii="Times New Roman" w:hAnsi="Times New Roman" w:eastAsia="宋体" w:cs="Times New Roman"/>
                <w:color w:val="auto"/>
                <w:sz w:val="24"/>
                <w:szCs w:val="24"/>
                <w:lang w:eastAsia="zh-CN"/>
              </w:rPr>
              <w:t>抽风</w:t>
            </w:r>
            <w:r>
              <w:rPr>
                <w:rFonts w:hint="default" w:ascii="Times New Roman" w:hAnsi="Times New Roman" w:eastAsia="宋体" w:cs="Times New Roman"/>
                <w:color w:val="auto"/>
                <w:sz w:val="24"/>
                <w:szCs w:val="24"/>
              </w:rPr>
              <w:t>收集，</w:t>
            </w:r>
            <w:r>
              <w:rPr>
                <w:rFonts w:hint="eastAsia" w:ascii="Times New Roman" w:hAnsi="Times New Roman" w:eastAsia="宋体" w:cs="Times New Roman"/>
                <w:color w:val="auto"/>
                <w:kern w:val="0"/>
                <w:sz w:val="24"/>
                <w:szCs w:val="24"/>
                <w:lang w:eastAsia="zh-CN"/>
              </w:rPr>
              <w:t>每小时换气次数按</w:t>
            </w:r>
            <w:r>
              <w:rPr>
                <w:rFonts w:hint="eastAsia" w:ascii="Times New Roman" w:hAnsi="Times New Roman" w:eastAsia="宋体" w:cs="Times New Roman"/>
                <w:color w:val="auto"/>
                <w:kern w:val="0"/>
                <w:sz w:val="24"/>
                <w:szCs w:val="24"/>
                <w:lang w:val="en-US" w:eastAsia="zh-CN"/>
              </w:rPr>
              <w:t>4次计算，则废气量为7623m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/h。</w:t>
            </w:r>
          </w:p>
          <w:p>
            <w:pPr>
              <w:spacing w:beforeLines="0" w:afterLines="0" w:line="360" w:lineRule="auto"/>
              <w:ind w:firstLine="48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sz w:val="24"/>
                <w:szCs w:val="24"/>
                <w:lang w:val="en-US" w:eastAsia="zh-CN"/>
              </w:rPr>
              <w:t>污泥脱水车间</w:t>
            </w:r>
            <w:r>
              <w:rPr>
                <w:rFonts w:hint="eastAsia" w:ascii="Times New Roman" w:hAnsi="Times New Roman" w:eastAsia="宋体" w:cs="Times New Roman"/>
                <w:color w:val="auto"/>
                <w:sz w:val="24"/>
                <w:szCs w:val="24"/>
                <w:lang w:eastAsia="zh-CN"/>
              </w:rPr>
              <w:t>为密闭结构，建筑面积为</w:t>
            </w:r>
            <w:r>
              <w:rPr>
                <w:rFonts w:hint="eastAsia" w:ascii="Times New Roman" w:hAnsi="Times New Roman" w:eastAsia="宋体" w:cs="Times New Roman"/>
                <w:color w:val="auto"/>
                <w:kern w:val="0"/>
                <w:sz w:val="24"/>
                <w:szCs w:val="24"/>
                <w:lang w:val="en-US" w:eastAsia="zh-CN"/>
              </w:rPr>
              <w:t>250.24</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eastAsia="zh-CN"/>
              </w:rPr>
              <w:t>，建筑高度为</w:t>
            </w:r>
            <w:r>
              <w:rPr>
                <w:rFonts w:hint="eastAsia" w:ascii="Times New Roman" w:hAnsi="Times New Roman" w:eastAsia="宋体" w:cs="Times New Roman"/>
                <w:color w:val="auto"/>
                <w:sz w:val="24"/>
                <w:szCs w:val="24"/>
                <w:lang w:val="en-US" w:eastAsia="zh-CN"/>
              </w:rPr>
              <w:t>8.4m，</w:t>
            </w:r>
            <w:r>
              <w:rPr>
                <w:rFonts w:hint="eastAsia" w:ascii="Times New Roman" w:hAnsi="Times New Roman" w:eastAsia="宋体" w:cs="Times New Roman"/>
                <w:color w:val="auto"/>
                <w:sz w:val="24"/>
                <w:szCs w:val="24"/>
                <w:lang w:eastAsia="zh-CN"/>
              </w:rPr>
              <w:t>臭气采用</w:t>
            </w:r>
            <w:r>
              <w:rPr>
                <w:rFonts w:hint="default" w:ascii="Times New Roman" w:hAnsi="Times New Roman" w:eastAsia="宋体" w:cs="Times New Roman"/>
                <w:color w:val="auto"/>
                <w:sz w:val="24"/>
                <w:szCs w:val="24"/>
              </w:rPr>
              <w:t>负压</w:t>
            </w:r>
            <w:r>
              <w:rPr>
                <w:rFonts w:hint="eastAsia" w:ascii="Times New Roman" w:hAnsi="Times New Roman" w:eastAsia="宋体" w:cs="Times New Roman"/>
                <w:color w:val="auto"/>
                <w:sz w:val="24"/>
                <w:szCs w:val="24"/>
                <w:lang w:eastAsia="zh-CN"/>
              </w:rPr>
              <w:t>抽风</w:t>
            </w:r>
            <w:r>
              <w:rPr>
                <w:rFonts w:hint="default" w:ascii="Times New Roman" w:hAnsi="Times New Roman" w:eastAsia="宋体" w:cs="Times New Roman"/>
                <w:color w:val="auto"/>
                <w:sz w:val="24"/>
                <w:szCs w:val="24"/>
              </w:rPr>
              <w:t>收集，</w:t>
            </w:r>
            <w:r>
              <w:rPr>
                <w:rFonts w:hint="eastAsia" w:ascii="Times New Roman" w:hAnsi="Times New Roman" w:eastAsia="宋体" w:cs="Times New Roman"/>
                <w:color w:val="auto"/>
                <w:kern w:val="0"/>
                <w:sz w:val="24"/>
                <w:szCs w:val="24"/>
                <w:lang w:eastAsia="zh-CN"/>
              </w:rPr>
              <w:t>每小时换气次数按</w:t>
            </w:r>
            <w:r>
              <w:rPr>
                <w:rFonts w:hint="eastAsia" w:ascii="Times New Roman" w:hAnsi="Times New Roman" w:eastAsia="宋体" w:cs="Times New Roman"/>
                <w:color w:val="auto"/>
                <w:kern w:val="0"/>
                <w:sz w:val="24"/>
                <w:szCs w:val="24"/>
                <w:lang w:val="en-US" w:eastAsia="zh-CN"/>
              </w:rPr>
              <w:t>4次计算，则废气量约为8408m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/h。</w:t>
            </w:r>
          </w:p>
          <w:p>
            <w:pPr>
              <w:spacing w:beforeLines="0" w:afterLines="0" w:line="360" w:lineRule="auto"/>
              <w:ind w:firstLine="48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sz w:val="24"/>
                <w:szCs w:val="24"/>
                <w:lang w:val="en-US" w:eastAsia="zh-CN"/>
              </w:rPr>
              <w:t>由于干污泥储存区位于</w:t>
            </w:r>
            <w:r>
              <w:rPr>
                <w:rFonts w:hint="eastAsia" w:ascii="Times New Roman" w:hAnsi="Times New Roman" w:eastAsia="宋体" w:cs="Times New Roman"/>
                <w:bCs/>
                <w:color w:val="auto"/>
                <w:sz w:val="24"/>
                <w:szCs w:val="24"/>
                <w:lang w:val="en-US" w:eastAsia="zh-CN"/>
              </w:rPr>
              <w:t>发酵及成品车间内，而发酵及成品车间</w:t>
            </w:r>
            <w:r>
              <w:rPr>
                <w:rFonts w:hint="eastAsia" w:ascii="Times New Roman" w:hAnsi="Times New Roman" w:eastAsia="宋体" w:cs="Times New Roman"/>
                <w:color w:val="auto"/>
                <w:sz w:val="24"/>
                <w:szCs w:val="24"/>
                <w:lang w:eastAsia="zh-CN"/>
              </w:rPr>
              <w:t>为密闭结构，现有项目对进料及混料区、发酵车间进行整体负压抽风，因此，本项目不单独计算</w:t>
            </w:r>
            <w:r>
              <w:rPr>
                <w:rFonts w:hint="eastAsia" w:ascii="Times New Roman" w:hAnsi="Times New Roman" w:eastAsia="宋体" w:cs="Times New Roman"/>
                <w:color w:val="auto"/>
                <w:sz w:val="24"/>
                <w:szCs w:val="24"/>
                <w:lang w:val="en-US" w:eastAsia="zh-CN"/>
              </w:rPr>
              <w:t>干污泥储存区废气量</w:t>
            </w:r>
            <w:r>
              <w:rPr>
                <w:rFonts w:hint="eastAsia" w:ascii="Times New Roman" w:hAnsi="Times New Roman" w:eastAsia="宋体" w:cs="Times New Roman"/>
                <w:color w:val="auto"/>
                <w:sz w:val="24"/>
                <w:szCs w:val="24"/>
                <w:lang w:eastAsia="zh-CN"/>
              </w:rPr>
              <w:t>。进料及混料区空间尺寸为33.6m×16.8m×6</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eastAsia="zh-CN"/>
              </w:rPr>
              <w:t>m，空间大小为3725.5</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kern w:val="0"/>
                <w:sz w:val="24"/>
                <w:szCs w:val="24"/>
                <w:lang w:eastAsia="zh-CN"/>
              </w:rPr>
              <w:t>每小时换气次数按</w:t>
            </w:r>
            <w:r>
              <w:rPr>
                <w:rFonts w:hint="eastAsia" w:ascii="Times New Roman" w:hAnsi="Times New Roman" w:eastAsia="宋体" w:cs="Times New Roman"/>
                <w:color w:val="auto"/>
                <w:kern w:val="0"/>
                <w:sz w:val="24"/>
                <w:szCs w:val="24"/>
                <w:lang w:val="en-US" w:eastAsia="zh-CN"/>
              </w:rPr>
              <w:t>4次计算，则</w:t>
            </w:r>
            <w:r>
              <w:rPr>
                <w:rFonts w:hint="eastAsia" w:ascii="Times New Roman" w:hAnsi="Times New Roman" w:eastAsia="宋体" w:cs="Times New Roman"/>
                <w:color w:val="auto"/>
                <w:sz w:val="24"/>
                <w:szCs w:val="24"/>
                <w:lang w:eastAsia="zh-CN"/>
              </w:rPr>
              <w:t>进料及混料区</w:t>
            </w:r>
            <w:r>
              <w:rPr>
                <w:rFonts w:hint="eastAsia" w:ascii="Times New Roman" w:hAnsi="Times New Roman" w:eastAsia="宋体" w:cs="Times New Roman"/>
                <w:color w:val="auto"/>
                <w:kern w:val="0"/>
                <w:sz w:val="24"/>
                <w:szCs w:val="24"/>
                <w:lang w:val="en-US" w:eastAsia="zh-CN"/>
              </w:rPr>
              <w:t>废气量为14902.28m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/h；</w:t>
            </w:r>
            <w:r>
              <w:rPr>
                <w:rFonts w:hint="eastAsia" w:ascii="Times New Roman" w:hAnsi="Times New Roman" w:eastAsia="宋体" w:cs="Times New Roman"/>
                <w:color w:val="auto"/>
                <w:sz w:val="24"/>
                <w:szCs w:val="24"/>
                <w:lang w:eastAsia="zh-CN"/>
              </w:rPr>
              <w:t>发酵区空间尺寸为</w:t>
            </w:r>
            <w:r>
              <w:rPr>
                <w:rFonts w:hint="eastAsia" w:ascii="Times New Roman" w:hAnsi="Times New Roman" w:eastAsia="宋体" w:cs="Times New Roman"/>
                <w:color w:val="auto"/>
                <w:sz w:val="24"/>
                <w:szCs w:val="24"/>
                <w:lang w:val="en-US" w:eastAsia="zh-CN"/>
              </w:rPr>
              <w:t>64m×30m</w:t>
            </w:r>
            <w:r>
              <w:rPr>
                <w:rFonts w:hint="eastAsia" w:ascii="Times New Roman" w:hAnsi="Times New Roman" w:eastAsia="宋体" w:cs="Times New Roman"/>
                <w:color w:val="auto"/>
                <w:sz w:val="24"/>
                <w:szCs w:val="24"/>
                <w:lang w:eastAsia="zh-CN"/>
              </w:rPr>
              <w:t>×6</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eastAsia="zh-CN"/>
              </w:rPr>
              <w:t>m，空间大小为12672m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kern w:val="0"/>
                <w:sz w:val="24"/>
                <w:szCs w:val="24"/>
                <w:lang w:eastAsia="zh-CN"/>
              </w:rPr>
              <w:t>每小时换气次数按</w:t>
            </w:r>
            <w:r>
              <w:rPr>
                <w:rFonts w:hint="eastAsia" w:ascii="Times New Roman" w:hAnsi="Times New Roman" w:eastAsia="宋体" w:cs="Times New Roman"/>
                <w:color w:val="auto"/>
                <w:kern w:val="0"/>
                <w:sz w:val="24"/>
                <w:szCs w:val="24"/>
                <w:lang w:val="en-US" w:eastAsia="zh-CN"/>
              </w:rPr>
              <w:t>6次计算，则废气量为76032m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/h。</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表</w:t>
            </w:r>
            <w:r>
              <w:rPr>
                <w:rFonts w:hint="eastAsia" w:ascii="Times New Roman" w:hAnsi="Times New Roman" w:eastAsia="宋体" w:cs="Times New Roman"/>
                <w:b/>
                <w:bCs/>
                <w:color w:val="auto"/>
                <w:kern w:val="0"/>
                <w:sz w:val="24"/>
                <w:szCs w:val="24"/>
                <w:lang w:val="en-US" w:eastAsia="zh-CN"/>
              </w:rPr>
              <w:t>4.2</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1</w:t>
            </w:r>
            <w:r>
              <w:rPr>
                <w:rFonts w:ascii="Times New Roman" w:hAnsi="Times New Roman" w:eastAsia="宋体" w:cs="Times New Roman"/>
                <w:b/>
                <w:bCs/>
                <w:color w:val="auto"/>
                <w:kern w:val="0"/>
                <w:sz w:val="24"/>
                <w:szCs w:val="24"/>
              </w:rPr>
              <w:t xml:space="preserve">  </w:t>
            </w:r>
            <w:r>
              <w:rPr>
                <w:rFonts w:hint="eastAsia" w:ascii="Times New Roman" w:hAnsi="Times New Roman" w:eastAsia="宋体" w:cs="Times New Roman"/>
                <w:b/>
                <w:color w:val="auto"/>
                <w:sz w:val="24"/>
                <w:szCs w:val="24"/>
                <w:lang w:eastAsia="zh-CN"/>
              </w:rPr>
              <w:t>风机风量</w:t>
            </w:r>
            <w:r>
              <w:rPr>
                <w:rFonts w:hint="eastAsia" w:ascii="Times New Roman" w:hAnsi="Times New Roman" w:eastAsia="宋体" w:cs="Times New Roman"/>
                <w:b/>
                <w:bCs/>
                <w:color w:val="auto"/>
                <w:kern w:val="0"/>
                <w:sz w:val="24"/>
                <w:szCs w:val="24"/>
                <w:lang w:eastAsia="zh-CN"/>
              </w:rPr>
              <w:t>统计一览</w:t>
            </w:r>
            <w:r>
              <w:rPr>
                <w:rFonts w:ascii="Times New Roman" w:hAnsi="Times New Roman" w:eastAsia="宋体" w:cs="Times New Roman"/>
                <w:b/>
                <w:bCs/>
                <w:color w:val="auto"/>
                <w:kern w:val="0"/>
                <w:sz w:val="24"/>
                <w:szCs w:val="24"/>
              </w:rPr>
              <w:t>表</w:t>
            </w:r>
          </w:p>
          <w:tbl>
            <w:tblPr>
              <w:tblStyle w:val="20"/>
              <w:tblW w:w="50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000"/>
              <w:gridCol w:w="3260"/>
              <w:gridCol w:w="1409"/>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27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污染源</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风机风量m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kern w:val="0"/>
                      <w:sz w:val="21"/>
                      <w:szCs w:val="21"/>
                      <w:lang w:val="en-US" w:eastAsia="zh-CN"/>
                    </w:rPr>
                    <w:t>/h</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本项目最终取值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8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湿污泥储存间</w:t>
                  </w:r>
                </w:p>
              </w:tc>
              <w:tc>
                <w:tcPr>
                  <w:tcW w:w="19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val="en-US" w:eastAsia="zh-CN"/>
                    </w:rPr>
                    <w:t>污泥储存、破壁臭气</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7623</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8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污泥脱水车间</w:t>
                  </w:r>
                </w:p>
              </w:tc>
              <w:tc>
                <w:tcPr>
                  <w:tcW w:w="19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val="en-US" w:eastAsia="zh-CN"/>
                    </w:rPr>
                    <w:t>污泥脱水臭气</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8408</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67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发酵及成品车间</w:t>
                  </w:r>
                </w:p>
              </w:tc>
              <w:tc>
                <w:tcPr>
                  <w:tcW w:w="6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进料及混料区</w:t>
                  </w:r>
                </w:p>
              </w:tc>
              <w:tc>
                <w:tcPr>
                  <w:tcW w:w="19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val="en-US" w:eastAsia="zh-CN"/>
                    </w:rPr>
                    <w:t>污泥进料、混料、干污泥储存臭气</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14902.28</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6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发酵区</w:t>
                  </w:r>
                </w:p>
              </w:tc>
              <w:tc>
                <w:tcPr>
                  <w:tcW w:w="19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污泥布料、发酵臭气</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76032</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76500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27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合计</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106965.28</w:t>
                  </w:r>
                </w:p>
              </w:tc>
              <w:tc>
                <w:tcPr>
                  <w:tcW w:w="8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107700</w:t>
                  </w:r>
                </w:p>
              </w:tc>
            </w:tr>
          </w:tbl>
          <w:p>
            <w:pPr>
              <w:spacing w:beforeLines="0" w:afterLines="0" w:line="360" w:lineRule="auto"/>
              <w:ind w:firstLine="48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根据调查，现有项目设置有2套除臭系统，单套设计风机风量为62500m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/h，总风机风量为125000m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/h，而本项目改建后废气量总共为107700m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/h，因此，本次改建后现有2套除臭系统能满足废气量处理要求；同时，现有2套除臭系统采用两级化学洗涤除臭工艺，属于</w:t>
            </w:r>
            <w:r>
              <w:rPr>
                <w:rFonts w:hint="eastAsia" w:ascii="Times New Roman" w:hAnsi="Times New Roman" w:eastAsia="宋体" w:cs="Times New Roman"/>
                <w:bCs/>
                <w:color w:val="auto"/>
                <w:sz w:val="24"/>
                <w:szCs w:val="24"/>
                <w:lang w:eastAsia="zh-CN"/>
              </w:rPr>
              <w:t>《排污许可证申请与核发技术规范水处理（试行）》（HJ 978—2018）</w:t>
            </w:r>
            <w:r>
              <w:rPr>
                <w:rFonts w:hint="eastAsia" w:ascii="Times New Roman" w:hAnsi="Times New Roman" w:eastAsia="宋体" w:cs="Times New Roman"/>
                <w:color w:val="auto"/>
                <w:kern w:val="0"/>
                <w:sz w:val="24"/>
                <w:szCs w:val="24"/>
                <w:lang w:val="en-US" w:eastAsia="zh-CN"/>
              </w:rPr>
              <w:t>中表5 “废气污理可行技术中的化学洗涤法”，因此，本次改建后各废气依托现有2套除臭系统处理合理可行。</w:t>
            </w:r>
          </w:p>
          <w:p>
            <w:pPr>
              <w:spacing w:beforeLines="0" w:afterLines="0" w:line="360" w:lineRule="auto"/>
              <w:ind w:firstLine="48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、源强计算</w:t>
            </w:r>
          </w:p>
          <w:p>
            <w:pPr>
              <w:spacing w:beforeLines="0" w:afterLines="0"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污泥储存、破壁臭气G1、污泥脱水臭气G2、干污泥储存臭气G3、</w:t>
            </w:r>
            <w:r>
              <w:rPr>
                <w:rFonts w:hint="eastAsia" w:ascii="Times New Roman" w:hAnsi="Times New Roman" w:eastAsia="宋体" w:cs="Times New Roman"/>
                <w:color w:val="auto"/>
                <w:kern w:val="0"/>
                <w:sz w:val="24"/>
                <w:szCs w:val="24"/>
                <w:lang w:val="en-US" w:eastAsia="zh-CN"/>
              </w:rPr>
              <w:t>污泥进料、混料臭气G4、G5</w:t>
            </w:r>
          </w:p>
          <w:p>
            <w:pPr>
              <w:spacing w:beforeLines="0" w:afterLines="0" w:line="360" w:lineRule="auto"/>
              <w:ind w:firstLine="48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污泥在</w:t>
            </w:r>
            <w:r>
              <w:rPr>
                <w:rFonts w:hint="eastAsia" w:ascii="Times New Roman" w:hAnsi="Times New Roman" w:eastAsia="宋体" w:cs="Times New Roman"/>
                <w:color w:val="auto"/>
                <w:sz w:val="24"/>
                <w:szCs w:val="24"/>
                <w:lang w:val="en-US" w:eastAsia="zh-CN"/>
              </w:rPr>
              <w:t>储存</w:t>
            </w:r>
            <w:r>
              <w:rPr>
                <w:rFonts w:hint="eastAsia" w:ascii="Times New Roman" w:hAnsi="Times New Roman" w:eastAsia="宋体" w:cs="Times New Roman"/>
                <w:color w:val="auto"/>
                <w:sz w:val="24"/>
                <w:szCs w:val="24"/>
                <w:lang w:eastAsia="zh-CN"/>
              </w:rPr>
              <w:t>、破壁、</w:t>
            </w:r>
            <w:r>
              <w:rPr>
                <w:rFonts w:hint="eastAsia" w:ascii="Times New Roman" w:hAnsi="Times New Roman" w:eastAsia="宋体" w:cs="Times New Roman"/>
                <w:color w:val="auto"/>
                <w:sz w:val="24"/>
                <w:szCs w:val="24"/>
                <w:lang w:val="en-US" w:eastAsia="zh-CN"/>
              </w:rPr>
              <w:t>脱水、干污泥</w:t>
            </w:r>
            <w:r>
              <w:rPr>
                <w:rFonts w:hint="default" w:ascii="Times New Roman" w:hAnsi="Times New Roman" w:eastAsia="宋体" w:cs="Times New Roman"/>
                <w:color w:val="auto"/>
                <w:sz w:val="24"/>
                <w:szCs w:val="24"/>
              </w:rPr>
              <w:t>储存</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kern w:val="0"/>
                <w:sz w:val="24"/>
                <w:szCs w:val="24"/>
                <w:lang w:val="en-US" w:eastAsia="zh-CN"/>
              </w:rPr>
              <w:t>进料、混料</w:t>
            </w:r>
            <w:r>
              <w:rPr>
                <w:rFonts w:hint="default" w:ascii="Times New Roman" w:hAnsi="Times New Roman" w:eastAsia="宋体" w:cs="Times New Roman"/>
                <w:color w:val="auto"/>
                <w:sz w:val="24"/>
                <w:szCs w:val="24"/>
              </w:rPr>
              <w:t>等过程中将产生臭气</w:t>
            </w:r>
            <w:r>
              <w:rPr>
                <w:rFonts w:hint="eastAsia" w:ascii="Times New Roman" w:hAnsi="Times New Roman" w:eastAsia="宋体" w:cs="Times New Roman"/>
                <w:color w:val="auto"/>
                <w:sz w:val="24"/>
                <w:szCs w:val="24"/>
                <w:lang w:eastAsia="zh-CN"/>
              </w:rPr>
              <w:t>，主要</w:t>
            </w:r>
            <w:r>
              <w:rPr>
                <w:rFonts w:hint="default" w:ascii="Times New Roman" w:hAnsi="Times New Roman" w:eastAsia="宋体" w:cs="Times New Roman"/>
                <w:color w:val="auto"/>
                <w:sz w:val="24"/>
                <w:szCs w:val="24"/>
              </w:rPr>
              <w:t>污染</w:t>
            </w:r>
            <w:r>
              <w:rPr>
                <w:rFonts w:hint="eastAsia" w:ascii="Times New Roman" w:hAnsi="Times New Roman" w:eastAsia="宋体" w:cs="Times New Roman"/>
                <w:color w:val="auto"/>
                <w:sz w:val="24"/>
                <w:szCs w:val="24"/>
                <w:lang w:eastAsia="zh-CN"/>
              </w:rPr>
              <w:t>因子为</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S和</w:t>
            </w:r>
            <w:r>
              <w:rPr>
                <w:rFonts w:hint="eastAsia" w:ascii="Times New Roman" w:hAnsi="Times New Roman" w:eastAsia="宋体" w:cs="Times New Roman"/>
                <w:color w:val="auto"/>
                <w:sz w:val="24"/>
                <w:szCs w:val="24"/>
                <w:lang w:val="en-US" w:eastAsia="zh-CN"/>
              </w:rPr>
              <w:t>臭气浓度</w:t>
            </w:r>
            <w:r>
              <w:rPr>
                <w:rFonts w:hint="default" w:ascii="Times New Roman" w:hAnsi="Times New Roman" w:eastAsia="宋体" w:cs="Times New Roman"/>
                <w:color w:val="auto"/>
                <w:sz w:val="24"/>
                <w:szCs w:val="24"/>
              </w:rPr>
              <w:t>等。</w:t>
            </w:r>
          </w:p>
          <w:p>
            <w:pPr>
              <w:spacing w:beforeLines="0" w:afterLines="0" w:line="360" w:lineRule="auto"/>
              <w:ind w:firstLine="48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一般情况下，污泥在</w:t>
            </w:r>
            <w:r>
              <w:rPr>
                <w:rFonts w:hint="eastAsia" w:ascii="Times New Roman" w:hAnsi="Times New Roman" w:eastAsia="宋体" w:cs="Times New Roman"/>
                <w:color w:val="auto"/>
                <w:sz w:val="24"/>
                <w:szCs w:val="24"/>
                <w:lang w:eastAsia="zh-CN"/>
              </w:rPr>
              <w:t>污水处理厂</w:t>
            </w:r>
            <w:r>
              <w:rPr>
                <w:rFonts w:hint="default" w:ascii="Times New Roman" w:hAnsi="Times New Roman" w:eastAsia="宋体" w:cs="Times New Roman"/>
                <w:color w:val="auto"/>
                <w:sz w:val="24"/>
                <w:szCs w:val="24"/>
              </w:rPr>
              <w:t>经</w:t>
            </w:r>
            <w:r>
              <w:rPr>
                <w:rFonts w:hint="eastAsia" w:ascii="Times New Roman" w:hAnsi="Times New Roman" w:eastAsia="宋体" w:cs="Times New Roman"/>
                <w:color w:val="auto"/>
                <w:sz w:val="24"/>
                <w:szCs w:val="24"/>
                <w:lang w:eastAsia="zh-CN"/>
              </w:rPr>
              <w:t>初步脱水</w:t>
            </w:r>
            <w:r>
              <w:rPr>
                <w:rFonts w:hint="default" w:ascii="Times New Roman" w:hAnsi="Times New Roman" w:eastAsia="宋体" w:cs="Times New Roman"/>
                <w:color w:val="auto"/>
                <w:sz w:val="24"/>
                <w:szCs w:val="24"/>
              </w:rPr>
              <w:t>后运至</w:t>
            </w:r>
            <w:r>
              <w:rPr>
                <w:rFonts w:hint="eastAsia"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厂区进行</w:t>
            </w:r>
            <w:r>
              <w:rPr>
                <w:rFonts w:hint="eastAsia" w:ascii="Times New Roman" w:hAnsi="Times New Roman" w:eastAsia="宋体" w:cs="Times New Roman"/>
                <w:color w:val="auto"/>
                <w:sz w:val="24"/>
                <w:szCs w:val="24"/>
                <w:lang w:val="en-US" w:eastAsia="zh-CN"/>
              </w:rPr>
              <w:t>深度脱水处理</w:t>
            </w:r>
            <w:r>
              <w:rPr>
                <w:rFonts w:hint="default" w:ascii="Times New Roman" w:hAnsi="Times New Roman" w:eastAsia="宋体" w:cs="Times New Roman"/>
                <w:color w:val="auto"/>
                <w:sz w:val="24"/>
                <w:szCs w:val="24"/>
              </w:rPr>
              <w:t>，污泥在</w:t>
            </w:r>
            <w:r>
              <w:rPr>
                <w:rFonts w:hint="eastAsia" w:ascii="Times New Roman" w:hAnsi="Times New Roman" w:eastAsia="宋体" w:cs="Times New Roman"/>
                <w:color w:val="auto"/>
                <w:sz w:val="24"/>
                <w:szCs w:val="24"/>
                <w:lang w:val="en-US" w:eastAsia="zh-CN"/>
              </w:rPr>
              <w:t>深度脱水</w:t>
            </w:r>
            <w:r>
              <w:rPr>
                <w:rFonts w:hint="default" w:ascii="Times New Roman" w:hAnsi="Times New Roman" w:eastAsia="宋体" w:cs="Times New Roman"/>
                <w:color w:val="auto"/>
                <w:sz w:val="24"/>
                <w:szCs w:val="24"/>
              </w:rPr>
              <w:t>过程中恶臭污染物产生源强与其在</w:t>
            </w:r>
            <w:r>
              <w:rPr>
                <w:rFonts w:hint="eastAsia" w:ascii="Times New Roman" w:hAnsi="Times New Roman" w:eastAsia="宋体" w:cs="Times New Roman"/>
                <w:color w:val="auto"/>
                <w:sz w:val="24"/>
                <w:szCs w:val="24"/>
                <w:lang w:eastAsia="zh-CN"/>
              </w:rPr>
              <w:t>污水处理厂</w:t>
            </w:r>
            <w:r>
              <w:rPr>
                <w:rFonts w:hint="default" w:ascii="Times New Roman" w:hAnsi="Times New Roman" w:eastAsia="宋体" w:cs="Times New Roman"/>
                <w:color w:val="auto"/>
                <w:sz w:val="24"/>
                <w:szCs w:val="24"/>
              </w:rPr>
              <w:t>的恶臭污染物源强较接近，</w:t>
            </w:r>
            <w:r>
              <w:rPr>
                <w:rFonts w:ascii="Times New Roman" w:hAnsi="Times New Roman" w:eastAsia="宋体" w:cs="Times New Roman"/>
                <w:color w:val="auto"/>
                <w:sz w:val="24"/>
                <w:szCs w:val="24"/>
              </w:rPr>
              <w:t>类比同类污水处理厂恶臭污染物产生源强NH</w:t>
            </w:r>
            <w:r>
              <w:rPr>
                <w:rFonts w:ascii="Times New Roman" w:hAnsi="Times New Roman" w:eastAsia="宋体" w:cs="Times New Roman"/>
                <w:color w:val="auto"/>
                <w:sz w:val="24"/>
                <w:szCs w:val="24"/>
                <w:vertAlign w:val="subscript"/>
              </w:rPr>
              <w:t xml:space="preserve">3 </w:t>
            </w:r>
            <w:r>
              <w:rPr>
                <w:rFonts w:ascii="Times New Roman" w:hAnsi="Times New Roman" w:eastAsia="宋体" w:cs="Times New Roman"/>
                <w:color w:val="auto"/>
                <w:sz w:val="24"/>
                <w:szCs w:val="24"/>
              </w:rPr>
              <w:t>0.72 g/h∙t污泥、H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 0.036 g/h∙t污泥。本项目</w:t>
            </w:r>
            <w:r>
              <w:rPr>
                <w:rFonts w:hint="default" w:ascii="Times New Roman" w:hAnsi="Times New Roman" w:eastAsia="宋体" w:cs="Times New Roman"/>
                <w:color w:val="auto"/>
                <w:sz w:val="24"/>
                <w:szCs w:val="24"/>
              </w:rPr>
              <w:t>污泥</w:t>
            </w:r>
            <w:r>
              <w:rPr>
                <w:rFonts w:hint="eastAsia" w:ascii="Times New Roman" w:hAnsi="Times New Roman" w:eastAsia="宋体" w:cs="Times New Roman"/>
                <w:color w:val="auto"/>
                <w:sz w:val="24"/>
                <w:szCs w:val="24"/>
                <w:lang w:val="en-US" w:eastAsia="zh-CN"/>
              </w:rPr>
              <w:t>储存</w:t>
            </w:r>
            <w:r>
              <w:rPr>
                <w:rFonts w:hint="eastAsia" w:ascii="Times New Roman" w:hAnsi="Times New Roman" w:eastAsia="宋体" w:cs="Times New Roman"/>
                <w:color w:val="auto"/>
                <w:sz w:val="24"/>
                <w:szCs w:val="24"/>
                <w:lang w:eastAsia="zh-CN"/>
              </w:rPr>
              <w:t>、破壁、</w:t>
            </w:r>
            <w:r>
              <w:rPr>
                <w:rFonts w:hint="eastAsia" w:ascii="Times New Roman" w:hAnsi="Times New Roman" w:eastAsia="宋体" w:cs="Times New Roman"/>
                <w:color w:val="auto"/>
                <w:sz w:val="24"/>
                <w:szCs w:val="24"/>
                <w:lang w:val="en-US" w:eastAsia="zh-CN"/>
              </w:rPr>
              <w:t>脱水</w:t>
            </w:r>
            <w:r>
              <w:rPr>
                <w:rFonts w:hint="eastAsia" w:ascii="Times New Roman" w:hAnsi="Times New Roman" w:eastAsia="宋体" w:cs="Times New Roman"/>
                <w:color w:val="auto"/>
                <w:sz w:val="24"/>
                <w:szCs w:val="24"/>
              </w:rPr>
              <w:t>最大</w:t>
            </w:r>
            <w:r>
              <w:rPr>
                <w:rFonts w:hint="eastAsia"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rPr>
              <w:t>处理量为</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0吨，</w:t>
            </w:r>
            <w:r>
              <w:rPr>
                <w:rFonts w:hint="eastAsia" w:ascii="Times New Roman" w:hAnsi="Times New Roman" w:eastAsia="宋体" w:cs="Times New Roman"/>
                <w:color w:val="auto"/>
                <w:kern w:val="0"/>
                <w:sz w:val="24"/>
                <w:szCs w:val="24"/>
                <w:lang w:val="en-US" w:eastAsia="zh-CN"/>
              </w:rPr>
              <w:t>全年工作时间2640</w:t>
            </w:r>
            <w:r>
              <w:rPr>
                <w:rFonts w:hint="eastAsia" w:ascii="Times New Roman" w:hAnsi="Times New Roman" w:eastAsia="宋体" w:cs="Times New Roman"/>
                <w:bCs/>
                <w:color w:val="auto"/>
                <w:sz w:val="24"/>
                <w:szCs w:val="24"/>
                <w:lang w:val="en-US" w:eastAsia="zh-CN"/>
              </w:rPr>
              <w:t>小时，</w:t>
            </w:r>
            <w:r>
              <w:rPr>
                <w:rFonts w:ascii="Times New Roman" w:hAnsi="Times New Roman" w:eastAsia="宋体" w:cs="Times New Roman"/>
                <w:color w:val="auto"/>
                <w:sz w:val="24"/>
                <w:szCs w:val="24"/>
              </w:rPr>
              <w:t>则</w:t>
            </w:r>
            <w:r>
              <w:rPr>
                <w:rFonts w:hint="default" w:ascii="Times New Roman" w:hAnsi="Times New Roman" w:eastAsia="宋体" w:cs="Times New Roman"/>
                <w:color w:val="auto"/>
                <w:sz w:val="24"/>
                <w:szCs w:val="24"/>
              </w:rPr>
              <w:t>污泥</w:t>
            </w:r>
            <w:r>
              <w:rPr>
                <w:rFonts w:hint="eastAsia" w:ascii="Times New Roman" w:hAnsi="Times New Roman" w:eastAsia="宋体" w:cs="Times New Roman"/>
                <w:color w:val="auto"/>
                <w:sz w:val="24"/>
                <w:szCs w:val="24"/>
                <w:lang w:val="en-US" w:eastAsia="zh-CN"/>
              </w:rPr>
              <w:t>储存</w:t>
            </w:r>
            <w:r>
              <w:rPr>
                <w:rFonts w:hint="eastAsia" w:ascii="Times New Roman" w:hAnsi="Times New Roman" w:eastAsia="宋体" w:cs="Times New Roman"/>
                <w:color w:val="auto"/>
                <w:sz w:val="24"/>
                <w:szCs w:val="24"/>
                <w:lang w:eastAsia="zh-CN"/>
              </w:rPr>
              <w:t>、破壁、</w:t>
            </w:r>
            <w:r>
              <w:rPr>
                <w:rFonts w:hint="eastAsia" w:ascii="Times New Roman" w:hAnsi="Times New Roman" w:eastAsia="宋体" w:cs="Times New Roman"/>
                <w:color w:val="auto"/>
                <w:sz w:val="24"/>
                <w:szCs w:val="24"/>
                <w:lang w:val="en-US" w:eastAsia="zh-CN"/>
              </w:rPr>
              <w:t>脱水臭气中</w:t>
            </w:r>
            <w:r>
              <w:rPr>
                <w:rFonts w:ascii="Times New Roman" w:hAnsi="Times New Roman" w:eastAsia="宋体" w:cs="Times New Roman"/>
                <w:color w:val="auto"/>
                <w:sz w:val="24"/>
                <w:szCs w:val="24"/>
              </w:rPr>
              <w:t>NH</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产生量为</w:t>
            </w:r>
            <w:r>
              <w:rPr>
                <w:rFonts w:hint="eastAsia"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086</w:t>
            </w:r>
            <w:r>
              <w:rPr>
                <w:rFonts w:ascii="Times New Roman" w:hAnsi="Times New Roman" w:eastAsia="宋体" w:cs="Times New Roman"/>
                <w:color w:val="auto"/>
                <w:sz w:val="24"/>
                <w:szCs w:val="24"/>
              </w:rPr>
              <w:t>kg/h（</w:t>
            </w:r>
            <w:r>
              <w:rPr>
                <w:rFonts w:hint="eastAsia"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228</w:t>
            </w:r>
            <w:r>
              <w:rPr>
                <w:rFonts w:ascii="Times New Roman" w:hAnsi="Times New Roman" w:eastAsia="宋体" w:cs="Times New Roman"/>
                <w:color w:val="auto"/>
                <w:sz w:val="24"/>
                <w:szCs w:val="24"/>
              </w:rPr>
              <w:t>t/a），H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S产生量为0.0</w:t>
            </w:r>
            <w:r>
              <w:rPr>
                <w:rFonts w:hint="eastAsia" w:ascii="Times New Roman" w:hAnsi="Times New Roman" w:eastAsia="宋体" w:cs="Times New Roman"/>
                <w:color w:val="auto"/>
                <w:sz w:val="24"/>
                <w:szCs w:val="24"/>
                <w:lang w:val="en-US" w:eastAsia="zh-CN"/>
              </w:rPr>
              <w:t>04</w:t>
            </w:r>
            <w:r>
              <w:rPr>
                <w:rFonts w:ascii="Times New Roman" w:hAnsi="Times New Roman" w:eastAsia="宋体" w:cs="Times New Roman"/>
                <w:color w:val="auto"/>
                <w:sz w:val="24"/>
                <w:szCs w:val="24"/>
              </w:rPr>
              <w:t>kg/h（</w:t>
            </w:r>
            <w:r>
              <w:rPr>
                <w:rFonts w:hint="eastAsia" w:ascii="Times New Roman" w:hAnsi="Times New Roman" w:eastAsia="宋体" w:cs="Times New Roman"/>
                <w:color w:val="auto"/>
                <w:sz w:val="24"/>
                <w:szCs w:val="24"/>
              </w:rPr>
              <w:t>0.0</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p>
          <w:p>
            <w:pPr>
              <w:spacing w:beforeLines="0" w:afterLines="0" w:line="360" w:lineRule="auto"/>
              <w:ind w:firstLine="48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当污泥脱水后用于</w:t>
            </w:r>
            <w:r>
              <w:rPr>
                <w:rFonts w:hint="eastAsia" w:ascii="Times New Roman" w:hAnsi="Times New Roman" w:eastAsia="宋体" w:cs="Times New Roman"/>
                <w:color w:val="auto"/>
                <w:kern w:val="0"/>
                <w:sz w:val="24"/>
                <w:szCs w:val="24"/>
                <w:lang w:val="en-US" w:eastAsia="zh-CN"/>
              </w:rPr>
              <w:t>华新盐井水泥进行综合利用时（全年有</w:t>
            </w:r>
            <w:r>
              <w:rPr>
                <w:rFonts w:hint="eastAsia" w:ascii="Times New Roman" w:hAnsi="Times New Roman" w:eastAsia="宋体" w:cs="Times New Roman"/>
                <w:bCs/>
                <w:color w:val="auto"/>
                <w:sz w:val="24"/>
                <w:szCs w:val="24"/>
                <w:lang w:val="en-US" w:eastAsia="zh-CN"/>
              </w:rPr>
              <w:t>220天，每天24小时</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sz w:val="24"/>
                <w:szCs w:val="24"/>
                <w:lang w:val="en-US" w:eastAsia="zh-CN"/>
              </w:rPr>
              <w:t>，干污泥含水率为50%，干污泥产生量为48t/d，干污泥储存臭气中</w:t>
            </w:r>
            <w:r>
              <w:rPr>
                <w:rFonts w:ascii="Times New Roman" w:hAnsi="Times New Roman" w:eastAsia="宋体" w:cs="Times New Roman"/>
                <w:color w:val="auto"/>
                <w:sz w:val="24"/>
                <w:szCs w:val="24"/>
              </w:rPr>
              <w:t>NH</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产生量为</w:t>
            </w:r>
            <w:r>
              <w:rPr>
                <w:rFonts w:hint="eastAsia"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035</w:t>
            </w:r>
            <w:r>
              <w:rPr>
                <w:rFonts w:ascii="Times New Roman" w:hAnsi="Times New Roman" w:eastAsia="宋体" w:cs="Times New Roman"/>
                <w:color w:val="auto"/>
                <w:sz w:val="24"/>
                <w:szCs w:val="24"/>
              </w:rPr>
              <w:t>kg/h（</w:t>
            </w:r>
            <w:r>
              <w:rPr>
                <w:rFonts w:hint="eastAsia"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182</w:t>
            </w:r>
            <w:r>
              <w:rPr>
                <w:rFonts w:ascii="Times New Roman" w:hAnsi="Times New Roman" w:eastAsia="宋体" w:cs="Times New Roman"/>
                <w:color w:val="auto"/>
                <w:sz w:val="24"/>
                <w:szCs w:val="24"/>
              </w:rPr>
              <w:t>t/a），H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S产生量为0.0</w:t>
            </w:r>
            <w:r>
              <w:rPr>
                <w:rFonts w:hint="eastAsia" w:ascii="Times New Roman" w:hAnsi="Times New Roman" w:eastAsia="宋体" w:cs="Times New Roman"/>
                <w:color w:val="auto"/>
                <w:sz w:val="24"/>
                <w:szCs w:val="24"/>
                <w:lang w:val="en-US" w:eastAsia="zh-CN"/>
              </w:rPr>
              <w:t>017</w:t>
            </w:r>
            <w:r>
              <w:rPr>
                <w:rFonts w:ascii="Times New Roman" w:hAnsi="Times New Roman" w:eastAsia="宋体" w:cs="Times New Roman"/>
                <w:color w:val="auto"/>
                <w:sz w:val="24"/>
                <w:szCs w:val="24"/>
              </w:rPr>
              <w:t>kg/h（</w:t>
            </w:r>
            <w:r>
              <w:rPr>
                <w:rFonts w:hint="eastAsia" w:ascii="Times New Roman" w:hAnsi="Times New Roman" w:eastAsia="宋体" w:cs="Times New Roman"/>
                <w:color w:val="auto"/>
                <w:sz w:val="24"/>
                <w:szCs w:val="24"/>
              </w:rPr>
              <w:t>0.0</w:t>
            </w:r>
            <w:r>
              <w:rPr>
                <w:rFonts w:hint="eastAsia" w:ascii="Times New Roman" w:hAnsi="Times New Roman" w:eastAsia="宋体" w:cs="Times New Roman"/>
                <w:color w:val="auto"/>
                <w:sz w:val="24"/>
                <w:szCs w:val="24"/>
                <w:lang w:val="en-US" w:eastAsia="zh-CN"/>
              </w:rPr>
              <w:t>09</w:t>
            </w:r>
            <w:r>
              <w:rPr>
                <w:rFonts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p>
          <w:p>
            <w:pPr>
              <w:autoSpaceDE w:val="0"/>
              <w:autoSpaceDN w:val="0"/>
              <w:adjustRightInd w:val="0"/>
              <w:snapToGrid w:val="0"/>
              <w:spacing w:line="360" w:lineRule="auto"/>
              <w:ind w:firstLine="480" w:firstLineChars="200"/>
              <w:jc w:val="both"/>
              <w:rPr>
                <w:rFonts w:hint="eastAsia" w:ascii="Times New Roman" w:hAnsi="Times New Roman" w:eastAsia="宋体" w:cs="Times New Roman"/>
                <w:b/>
                <w:bCs/>
                <w:color w:val="auto"/>
                <w:kern w:val="0"/>
                <w:sz w:val="24"/>
                <w:szCs w:val="24"/>
                <w:lang w:eastAsia="zh-CN"/>
              </w:rPr>
            </w:pPr>
            <w:r>
              <w:rPr>
                <w:rFonts w:hint="eastAsia" w:ascii="Times New Roman" w:hAnsi="Times New Roman" w:eastAsia="宋体" w:cs="Times New Roman"/>
                <w:color w:val="auto"/>
                <w:sz w:val="24"/>
                <w:szCs w:val="24"/>
                <w:lang w:val="en-US" w:eastAsia="zh-CN"/>
              </w:rPr>
              <w:t>当污泥脱水后用于</w:t>
            </w:r>
            <w:r>
              <w:rPr>
                <w:rFonts w:hint="eastAsia" w:ascii="Times New Roman" w:hAnsi="Times New Roman" w:eastAsia="宋体" w:cs="Times New Roman"/>
                <w:color w:val="auto"/>
                <w:kern w:val="0"/>
                <w:sz w:val="24"/>
                <w:szCs w:val="24"/>
                <w:lang w:val="en-US" w:eastAsia="zh-CN"/>
              </w:rPr>
              <w:t>发酵生产绿化营养土时（全年有</w:t>
            </w:r>
            <w:r>
              <w:rPr>
                <w:rFonts w:hint="eastAsia" w:ascii="Times New Roman" w:hAnsi="Times New Roman" w:eastAsia="宋体" w:cs="Times New Roman"/>
                <w:bCs/>
                <w:color w:val="auto"/>
                <w:sz w:val="24"/>
                <w:szCs w:val="24"/>
                <w:lang w:val="en-US" w:eastAsia="zh-CN"/>
              </w:rPr>
              <w:t>110天，每天8小时</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sz w:val="24"/>
                <w:szCs w:val="24"/>
                <w:lang w:val="en-US" w:eastAsia="zh-CN"/>
              </w:rPr>
              <w:t>，干污泥含水率为60%，干污泥产生量为60t/d，污泥进料、混料臭气中</w:t>
            </w:r>
            <w:r>
              <w:rPr>
                <w:rFonts w:ascii="Times New Roman" w:hAnsi="Times New Roman" w:eastAsia="宋体" w:cs="Times New Roman"/>
                <w:color w:val="auto"/>
                <w:sz w:val="24"/>
                <w:szCs w:val="24"/>
              </w:rPr>
              <w:t>NH</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产生量为</w:t>
            </w:r>
            <w:r>
              <w:rPr>
                <w:rFonts w:hint="eastAsia"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043</w:t>
            </w:r>
            <w:r>
              <w:rPr>
                <w:rFonts w:ascii="Times New Roman" w:hAnsi="Times New Roman" w:eastAsia="宋体" w:cs="Times New Roman"/>
                <w:color w:val="auto"/>
                <w:sz w:val="24"/>
                <w:szCs w:val="24"/>
              </w:rPr>
              <w:t>kg/h（</w:t>
            </w:r>
            <w:r>
              <w:rPr>
                <w:rFonts w:hint="eastAsia"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114</w:t>
            </w:r>
            <w:r>
              <w:rPr>
                <w:rFonts w:ascii="Times New Roman" w:hAnsi="Times New Roman" w:eastAsia="宋体" w:cs="Times New Roman"/>
                <w:color w:val="auto"/>
                <w:sz w:val="24"/>
                <w:szCs w:val="24"/>
              </w:rPr>
              <w:t>t/a），H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S产生量为0.0</w:t>
            </w:r>
            <w:r>
              <w:rPr>
                <w:rFonts w:hint="eastAsia" w:ascii="Times New Roman" w:hAnsi="Times New Roman" w:eastAsia="宋体" w:cs="Times New Roman"/>
                <w:color w:val="auto"/>
                <w:sz w:val="24"/>
                <w:szCs w:val="24"/>
                <w:lang w:val="en-US" w:eastAsia="zh-CN"/>
              </w:rPr>
              <w:t>02</w:t>
            </w:r>
            <w:r>
              <w:rPr>
                <w:rFonts w:ascii="Times New Roman" w:hAnsi="Times New Roman" w:eastAsia="宋体" w:cs="Times New Roman"/>
                <w:color w:val="auto"/>
                <w:sz w:val="24"/>
                <w:szCs w:val="24"/>
              </w:rPr>
              <w:t>kg/h（</w:t>
            </w:r>
            <w:r>
              <w:rPr>
                <w:rFonts w:hint="eastAsia" w:ascii="Times New Roman" w:hAnsi="Times New Roman" w:eastAsia="宋体" w:cs="Times New Roman"/>
                <w:color w:val="auto"/>
                <w:sz w:val="24"/>
                <w:szCs w:val="24"/>
              </w:rPr>
              <w:t>0.0</w:t>
            </w:r>
            <w:r>
              <w:rPr>
                <w:rFonts w:hint="eastAsia" w:ascii="Times New Roman" w:hAnsi="Times New Roman" w:eastAsia="宋体" w:cs="Times New Roman"/>
                <w:color w:val="auto"/>
                <w:sz w:val="24"/>
                <w:szCs w:val="24"/>
                <w:lang w:val="en-US" w:eastAsia="zh-CN"/>
              </w:rPr>
              <w:t>06</w:t>
            </w:r>
            <w:r>
              <w:rPr>
                <w:rFonts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表</w:t>
            </w:r>
            <w:r>
              <w:rPr>
                <w:rFonts w:hint="eastAsia" w:ascii="Times New Roman" w:hAnsi="Times New Roman" w:eastAsia="宋体" w:cs="Times New Roman"/>
                <w:b/>
                <w:bCs/>
                <w:color w:val="auto"/>
                <w:kern w:val="0"/>
                <w:sz w:val="24"/>
                <w:szCs w:val="24"/>
                <w:lang w:val="en-US" w:eastAsia="zh-CN"/>
              </w:rPr>
              <w:t>4.2</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2</w:t>
            </w:r>
            <w:r>
              <w:rPr>
                <w:rFonts w:ascii="Times New Roman" w:hAnsi="Times New Roman" w:eastAsia="宋体" w:cs="Times New Roman"/>
                <w:b/>
                <w:bCs/>
                <w:color w:val="auto"/>
                <w:kern w:val="0"/>
                <w:sz w:val="24"/>
                <w:szCs w:val="24"/>
              </w:rPr>
              <w:t xml:space="preserve">  </w:t>
            </w:r>
            <w:r>
              <w:rPr>
                <w:rFonts w:hint="eastAsia" w:ascii="Times New Roman" w:hAnsi="Times New Roman" w:eastAsia="宋体" w:cs="Times New Roman"/>
                <w:b/>
                <w:color w:val="auto"/>
                <w:sz w:val="24"/>
                <w:szCs w:val="24"/>
                <w:lang w:eastAsia="zh-CN"/>
              </w:rPr>
              <w:t>污泥</w:t>
            </w:r>
            <w:r>
              <w:rPr>
                <w:rFonts w:hint="eastAsia" w:ascii="Times New Roman" w:hAnsi="Times New Roman" w:eastAsia="宋体" w:cs="Times New Roman"/>
                <w:b/>
                <w:color w:val="auto"/>
                <w:sz w:val="24"/>
                <w:szCs w:val="24"/>
                <w:lang w:val="en-US" w:eastAsia="zh-CN"/>
              </w:rPr>
              <w:t>储存</w:t>
            </w:r>
            <w:r>
              <w:rPr>
                <w:rFonts w:hint="eastAsia" w:ascii="Times New Roman" w:hAnsi="Times New Roman" w:eastAsia="宋体" w:cs="Times New Roman"/>
                <w:b/>
                <w:color w:val="auto"/>
                <w:sz w:val="24"/>
                <w:szCs w:val="24"/>
                <w:lang w:eastAsia="zh-CN"/>
              </w:rPr>
              <w:t>、破壁、</w:t>
            </w:r>
            <w:r>
              <w:rPr>
                <w:rFonts w:hint="eastAsia" w:ascii="Times New Roman" w:hAnsi="Times New Roman" w:eastAsia="宋体" w:cs="Times New Roman"/>
                <w:b/>
                <w:color w:val="auto"/>
                <w:sz w:val="24"/>
                <w:szCs w:val="24"/>
                <w:lang w:val="en-US" w:eastAsia="zh-CN"/>
              </w:rPr>
              <w:t>脱水、干污泥</w:t>
            </w:r>
            <w:r>
              <w:rPr>
                <w:rFonts w:hint="eastAsia" w:ascii="Times New Roman" w:hAnsi="Times New Roman" w:eastAsia="宋体" w:cs="Times New Roman"/>
                <w:b/>
                <w:color w:val="auto"/>
                <w:sz w:val="24"/>
                <w:szCs w:val="24"/>
                <w:lang w:eastAsia="zh-CN"/>
              </w:rPr>
              <w:t>储存、</w:t>
            </w:r>
            <w:r>
              <w:rPr>
                <w:rFonts w:hint="eastAsia" w:ascii="Times New Roman" w:hAnsi="Times New Roman" w:eastAsia="宋体" w:cs="Times New Roman"/>
                <w:b/>
                <w:color w:val="auto"/>
                <w:sz w:val="24"/>
                <w:szCs w:val="24"/>
                <w:lang w:val="en-US" w:eastAsia="zh-CN"/>
              </w:rPr>
              <w:t>进料、混料</w:t>
            </w:r>
            <w:r>
              <w:rPr>
                <w:rFonts w:hint="eastAsia" w:ascii="Times New Roman" w:hAnsi="Times New Roman" w:eastAsia="宋体" w:cs="Times New Roman"/>
                <w:b/>
                <w:color w:val="auto"/>
                <w:sz w:val="24"/>
                <w:szCs w:val="24"/>
                <w:lang w:eastAsia="zh-CN"/>
              </w:rPr>
              <w:t>臭气</w:t>
            </w:r>
            <w:r>
              <w:rPr>
                <w:rFonts w:hint="eastAsia" w:ascii="Times New Roman" w:hAnsi="Times New Roman" w:eastAsia="宋体" w:cs="Times New Roman"/>
                <w:b/>
                <w:bCs/>
                <w:color w:val="auto"/>
                <w:kern w:val="0"/>
                <w:sz w:val="24"/>
                <w:szCs w:val="24"/>
                <w:lang w:eastAsia="zh-CN"/>
              </w:rPr>
              <w:t>源强</w:t>
            </w:r>
            <w:r>
              <w:rPr>
                <w:rFonts w:ascii="Times New Roman" w:hAnsi="Times New Roman" w:eastAsia="宋体" w:cs="Times New Roman"/>
                <w:b/>
                <w:bCs/>
                <w:color w:val="auto"/>
                <w:kern w:val="0"/>
                <w:sz w:val="24"/>
                <w:szCs w:val="24"/>
              </w:rPr>
              <w:t>表</w:t>
            </w:r>
          </w:p>
          <w:tbl>
            <w:tblPr>
              <w:tblStyle w:val="20"/>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772"/>
              <w:gridCol w:w="807"/>
              <w:gridCol w:w="698"/>
              <w:gridCol w:w="708"/>
              <w:gridCol w:w="875"/>
              <w:gridCol w:w="950"/>
              <w:gridCol w:w="950"/>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9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污染源</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污染物名称</w:t>
                  </w:r>
                </w:p>
              </w:tc>
              <w:tc>
                <w:tcPr>
                  <w:tcW w:w="4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产生速率kg/h</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产生量t/a</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eastAsia="zh-CN"/>
                    </w:rPr>
                    <w:t>收集</w:t>
                  </w:r>
                  <w:r>
                    <w:rPr>
                      <w:rFonts w:hint="default" w:ascii="Times New Roman" w:hAnsi="Times New Roman" w:eastAsia="宋体" w:cs="Times New Roman"/>
                      <w:b w:val="0"/>
                      <w:bCs/>
                      <w:color w:val="auto"/>
                      <w:kern w:val="0"/>
                      <w:sz w:val="21"/>
                      <w:szCs w:val="21"/>
                    </w:rPr>
                    <w:t>效率</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有组织</w:t>
                  </w:r>
                  <w:r>
                    <w:rPr>
                      <w:rFonts w:hint="default" w:ascii="Times New Roman" w:hAnsi="Times New Roman" w:eastAsia="宋体" w:cs="Times New Roman"/>
                      <w:b w:val="0"/>
                      <w:bCs/>
                      <w:color w:val="auto"/>
                      <w:kern w:val="0"/>
                      <w:sz w:val="21"/>
                      <w:szCs w:val="21"/>
                    </w:rPr>
                    <w:t>产生速率kg/h</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有组织产生量</w:t>
                  </w:r>
                  <w:r>
                    <w:rPr>
                      <w:rFonts w:hint="default" w:ascii="Times New Roman" w:hAnsi="Times New Roman" w:eastAsia="宋体" w:cs="Times New Roman"/>
                      <w:b w:val="0"/>
                      <w:bCs/>
                      <w:color w:val="auto"/>
                      <w:kern w:val="0"/>
                      <w:sz w:val="21"/>
                      <w:szCs w:val="21"/>
                    </w:rPr>
                    <w:t>t/a</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无组织</w:t>
                  </w:r>
                  <w:r>
                    <w:rPr>
                      <w:rFonts w:hint="default" w:ascii="Times New Roman" w:hAnsi="Times New Roman" w:eastAsia="宋体" w:cs="Times New Roman"/>
                      <w:b w:val="0"/>
                      <w:bCs/>
                      <w:color w:val="auto"/>
                      <w:kern w:val="0"/>
                      <w:sz w:val="21"/>
                      <w:szCs w:val="21"/>
                    </w:rPr>
                    <w:t>产生速率kg/h</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无组织产生量</w:t>
                  </w:r>
                  <w:r>
                    <w:rPr>
                      <w:rFonts w:hint="default" w:ascii="Times New Roman" w:hAnsi="Times New Roman" w:eastAsia="宋体" w:cs="Times New Roman"/>
                      <w:b w:val="0"/>
                      <w:bCs/>
                      <w:color w:val="auto"/>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1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污泥储存、破壁、脱水臭气</w:t>
                  </w:r>
                  <w:r>
                    <w:rPr>
                      <w:rFonts w:hint="eastAsia" w:ascii="Times New Roman" w:hAnsi="Times New Roman" w:eastAsia="宋体" w:cs="Times New Roman"/>
                      <w:color w:val="auto"/>
                      <w:kern w:val="0"/>
                      <w:sz w:val="21"/>
                      <w:szCs w:val="21"/>
                      <w:lang w:val="en-US" w:eastAsia="zh-CN"/>
                    </w:rPr>
                    <w:t>G1、G2</w:t>
                  </w:r>
                  <w:r>
                    <w:rPr>
                      <w:rFonts w:hint="default" w:ascii="Times New Roman" w:hAnsi="Times New Roman" w:eastAsia="宋体" w:cs="Times New Roman"/>
                      <w:b w:val="0"/>
                      <w:bCs/>
                      <w:color w:val="auto"/>
                      <w:kern w:val="0"/>
                      <w:sz w:val="21"/>
                      <w:szCs w:val="21"/>
                      <w:lang w:val="en-US" w:eastAsia="zh-CN"/>
                    </w:rPr>
                    <w:t>（用于</w:t>
                  </w:r>
                  <w:r>
                    <w:rPr>
                      <w:rFonts w:hint="eastAsia" w:ascii="Times New Roman" w:hAnsi="Times New Roman" w:eastAsia="宋体" w:cs="Times New Roman"/>
                      <w:b w:val="0"/>
                      <w:bCs/>
                      <w:color w:val="auto"/>
                      <w:kern w:val="0"/>
                      <w:sz w:val="21"/>
                      <w:szCs w:val="21"/>
                      <w:lang w:val="en-US" w:eastAsia="zh-CN"/>
                    </w:rPr>
                    <w:t>华新盐井水泥</w:t>
                  </w:r>
                  <w:r>
                    <w:rPr>
                      <w:rFonts w:hint="default" w:ascii="Times New Roman" w:hAnsi="Times New Roman" w:eastAsia="宋体" w:cs="Times New Roman"/>
                      <w:b w:val="0"/>
                      <w:bCs/>
                      <w:color w:val="auto"/>
                      <w:kern w:val="0"/>
                      <w:sz w:val="21"/>
                      <w:szCs w:val="21"/>
                      <w:lang w:val="en-US" w:eastAsia="zh-CN"/>
                    </w:rPr>
                    <w:t>）</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0.086</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0.152</w:t>
                  </w:r>
                </w:p>
              </w:tc>
              <w:tc>
                <w:tcPr>
                  <w:tcW w:w="4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53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0.077 </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0.1368</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0.0086 </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0.008</w:t>
                  </w:r>
                </w:p>
              </w:tc>
              <w:tc>
                <w:tcPr>
                  <w:tcW w:w="4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5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0.0036</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0.0072</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0.0004</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1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污泥储存、破壁、脱水臭气</w:t>
                  </w:r>
                  <w:r>
                    <w:rPr>
                      <w:rFonts w:hint="eastAsia" w:ascii="Times New Roman" w:hAnsi="Times New Roman" w:eastAsia="宋体" w:cs="Times New Roman"/>
                      <w:color w:val="auto"/>
                      <w:kern w:val="0"/>
                      <w:sz w:val="21"/>
                      <w:szCs w:val="21"/>
                      <w:lang w:val="en-US" w:eastAsia="zh-CN"/>
                    </w:rPr>
                    <w:t>G1、G2</w:t>
                  </w:r>
                  <w:r>
                    <w:rPr>
                      <w:rFonts w:hint="default" w:ascii="Times New Roman" w:hAnsi="Times New Roman" w:eastAsia="宋体" w:cs="Times New Roman"/>
                      <w:b w:val="0"/>
                      <w:bCs/>
                      <w:color w:val="auto"/>
                      <w:kern w:val="0"/>
                      <w:sz w:val="21"/>
                      <w:szCs w:val="21"/>
                      <w:lang w:val="en-US" w:eastAsia="zh-CN"/>
                    </w:rPr>
                    <w:t>（</w:t>
                  </w:r>
                  <w:r>
                    <w:rPr>
                      <w:rFonts w:hint="eastAsia" w:ascii="Times New Roman" w:hAnsi="Times New Roman" w:eastAsia="宋体" w:cs="Times New Roman"/>
                      <w:b w:val="0"/>
                      <w:bCs/>
                      <w:color w:val="auto"/>
                      <w:kern w:val="0"/>
                      <w:sz w:val="21"/>
                      <w:szCs w:val="21"/>
                      <w:lang w:val="en-US" w:eastAsia="zh-CN"/>
                    </w:rPr>
                    <w:t>用于生产营养土</w:t>
                  </w:r>
                  <w:r>
                    <w:rPr>
                      <w:rFonts w:hint="default" w:ascii="Times New Roman" w:hAnsi="Times New Roman" w:eastAsia="宋体" w:cs="Times New Roman"/>
                      <w:b w:val="0"/>
                      <w:bCs/>
                      <w:color w:val="auto"/>
                      <w:kern w:val="0"/>
                      <w:sz w:val="21"/>
                      <w:szCs w:val="21"/>
                      <w:lang w:val="en-US" w:eastAsia="zh-CN"/>
                    </w:rPr>
                    <w:t>）</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0.086</w:t>
                  </w:r>
                </w:p>
              </w:tc>
              <w:tc>
                <w:tcPr>
                  <w:tcW w:w="42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0.076</w:t>
                  </w:r>
                </w:p>
              </w:tc>
              <w:tc>
                <w:tcPr>
                  <w:tcW w:w="4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53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0.077 </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0.0684</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0.0086 </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w:t>
                  </w:r>
                </w:p>
              </w:tc>
              <w:tc>
                <w:tcPr>
                  <w:tcW w:w="42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w:t>
                  </w:r>
                </w:p>
              </w:tc>
              <w:tc>
                <w:tcPr>
                  <w:tcW w:w="4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53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0.0036</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0.0036</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0.0004</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干污泥储存</w:t>
                  </w:r>
                  <w:r>
                    <w:rPr>
                      <w:rFonts w:hint="eastAsia" w:ascii="Times New Roman" w:hAnsi="Times New Roman" w:eastAsia="宋体" w:cs="Times New Roman"/>
                      <w:b w:val="0"/>
                      <w:bCs/>
                      <w:color w:val="auto"/>
                      <w:kern w:val="0"/>
                      <w:sz w:val="21"/>
                      <w:szCs w:val="21"/>
                      <w:lang w:val="en-US" w:eastAsia="zh-CN"/>
                    </w:rPr>
                    <w:t>臭气G3</w:t>
                  </w:r>
                  <w:r>
                    <w:rPr>
                      <w:rFonts w:hint="default" w:ascii="Times New Roman" w:hAnsi="Times New Roman" w:eastAsia="宋体" w:cs="Times New Roman"/>
                      <w:b w:val="0"/>
                      <w:bCs/>
                      <w:color w:val="auto"/>
                      <w:kern w:val="0"/>
                      <w:sz w:val="21"/>
                      <w:szCs w:val="21"/>
                      <w:lang w:val="en-US" w:eastAsia="zh-CN"/>
                    </w:rPr>
                    <w:t>（用于</w:t>
                  </w:r>
                  <w:r>
                    <w:rPr>
                      <w:rFonts w:hint="eastAsia" w:ascii="Times New Roman" w:hAnsi="Times New Roman" w:eastAsia="宋体" w:cs="Times New Roman"/>
                      <w:b w:val="0"/>
                      <w:bCs/>
                      <w:color w:val="auto"/>
                      <w:kern w:val="0"/>
                      <w:sz w:val="21"/>
                      <w:szCs w:val="21"/>
                      <w:lang w:val="en-US" w:eastAsia="zh-CN"/>
                    </w:rPr>
                    <w:t>华新盐井水泥</w:t>
                  </w:r>
                  <w:r>
                    <w:rPr>
                      <w:rFonts w:hint="default" w:ascii="Times New Roman" w:hAnsi="Times New Roman" w:eastAsia="宋体" w:cs="Times New Roman"/>
                      <w:b w:val="0"/>
                      <w:bCs/>
                      <w:color w:val="auto"/>
                      <w:kern w:val="0"/>
                      <w:sz w:val="21"/>
                      <w:szCs w:val="21"/>
                      <w:lang w:val="en-US" w:eastAsia="zh-CN"/>
                    </w:rPr>
                    <w:t>）</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0.035</w:t>
                  </w:r>
                </w:p>
              </w:tc>
              <w:tc>
                <w:tcPr>
                  <w:tcW w:w="424"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0.182</w:t>
                  </w:r>
                </w:p>
              </w:tc>
              <w:tc>
                <w:tcPr>
                  <w:tcW w:w="43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w:t>
                  </w:r>
                </w:p>
              </w:tc>
              <w:tc>
                <w:tcPr>
                  <w:tcW w:w="532"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0.032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0.164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0.0035</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9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0.0017</w:t>
                  </w:r>
                </w:p>
              </w:tc>
              <w:tc>
                <w:tcPr>
                  <w:tcW w:w="424"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w:t>
                  </w:r>
                </w:p>
              </w:tc>
              <w:tc>
                <w:tcPr>
                  <w:tcW w:w="43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w:t>
                  </w:r>
                </w:p>
              </w:tc>
              <w:tc>
                <w:tcPr>
                  <w:tcW w:w="532"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0.0015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0.008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0.0002</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污泥进料、混料臭气G4、G5</w:t>
                  </w:r>
                  <w:r>
                    <w:rPr>
                      <w:rFonts w:hint="eastAsia" w:ascii="Times New Roman" w:hAnsi="Times New Roman" w:eastAsia="宋体" w:cs="Times New Roman"/>
                      <w:b w:val="0"/>
                      <w:bCs/>
                      <w:color w:val="auto"/>
                      <w:kern w:val="0"/>
                      <w:sz w:val="21"/>
                      <w:szCs w:val="21"/>
                      <w:lang w:val="en-US" w:eastAsia="zh-CN"/>
                    </w:rPr>
                    <w:t>（用于生产营养土）</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0.043</w:t>
                  </w:r>
                </w:p>
              </w:tc>
              <w:tc>
                <w:tcPr>
                  <w:tcW w:w="42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0.038</w:t>
                  </w:r>
                </w:p>
              </w:tc>
              <w:tc>
                <w:tcPr>
                  <w:tcW w:w="430"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w:t>
                  </w:r>
                </w:p>
              </w:tc>
              <w:tc>
                <w:tcPr>
                  <w:tcW w:w="532"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0.039</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0.034</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0.0043</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9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0.0022</w:t>
                  </w:r>
                </w:p>
              </w:tc>
              <w:tc>
                <w:tcPr>
                  <w:tcW w:w="42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w:t>
                  </w:r>
                </w:p>
              </w:tc>
              <w:tc>
                <w:tcPr>
                  <w:tcW w:w="430"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w:t>
                  </w:r>
                </w:p>
              </w:tc>
              <w:tc>
                <w:tcPr>
                  <w:tcW w:w="532"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0.0018</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0.0002</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9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小计（用于华新盐井水泥）</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807"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0.121</w:t>
                  </w:r>
                </w:p>
              </w:tc>
              <w:tc>
                <w:tcPr>
                  <w:tcW w:w="698"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0.334</w:t>
                  </w:r>
                </w:p>
              </w:tc>
              <w:tc>
                <w:tcPr>
                  <w:tcW w:w="430"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75"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0.109</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0.3008</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0.0121</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9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807"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0.0057</w:t>
                  </w:r>
                </w:p>
              </w:tc>
              <w:tc>
                <w:tcPr>
                  <w:tcW w:w="698"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0.017</w:t>
                  </w:r>
                </w:p>
              </w:tc>
              <w:tc>
                <w:tcPr>
                  <w:tcW w:w="430"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75"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0.0051</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0.0152</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0.0006</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9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小计（用于生产营养土）</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807"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0.129</w:t>
                  </w:r>
                </w:p>
              </w:tc>
              <w:tc>
                <w:tcPr>
                  <w:tcW w:w="698"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0.114</w:t>
                  </w:r>
                </w:p>
              </w:tc>
              <w:tc>
                <w:tcPr>
                  <w:tcW w:w="430"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75"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0.116</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0.1024</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0.0129</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9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807"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0.0062</w:t>
                  </w:r>
                </w:p>
              </w:tc>
              <w:tc>
                <w:tcPr>
                  <w:tcW w:w="698"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0.006</w:t>
                  </w:r>
                </w:p>
              </w:tc>
              <w:tc>
                <w:tcPr>
                  <w:tcW w:w="430"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75"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0.0056</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0.0054</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0.0006</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合计</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80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w:t>
                  </w:r>
                </w:p>
              </w:tc>
              <w:tc>
                <w:tcPr>
                  <w:tcW w:w="698"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0.448</w:t>
                  </w:r>
                </w:p>
              </w:tc>
              <w:tc>
                <w:tcPr>
                  <w:tcW w:w="430"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75"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0.225</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0.4032</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0.025</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80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0.0119</w:t>
                  </w:r>
                </w:p>
              </w:tc>
              <w:tc>
                <w:tcPr>
                  <w:tcW w:w="698"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0.023</w:t>
                  </w:r>
                </w:p>
              </w:tc>
              <w:tc>
                <w:tcPr>
                  <w:tcW w:w="430"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75"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0.0107</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0.0206</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0.0012</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0.0024</w:t>
                  </w:r>
                </w:p>
              </w:tc>
            </w:tr>
          </w:tbl>
          <w:p>
            <w:pPr>
              <w:spacing w:beforeLines="0" w:afterLines="0" w:line="360" w:lineRule="auto"/>
              <w:ind w:firstLine="480"/>
              <w:rPr>
                <w:rFonts w:hint="eastAsia" w:ascii="Times New Roman" w:hAnsi="Times New Roman" w:eastAsia="宋体" w:cs="Times New Roman"/>
                <w:color w:val="auto"/>
                <w:sz w:val="24"/>
                <w:szCs w:val="24"/>
                <w:lang w:eastAsia="zh-CN"/>
              </w:rPr>
            </w:pPr>
          </w:p>
          <w:p>
            <w:pPr>
              <w:spacing w:beforeLines="0" w:afterLines="0"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污泥</w:t>
            </w:r>
            <w:r>
              <w:rPr>
                <w:rFonts w:hint="eastAsia" w:ascii="Times New Roman" w:hAnsi="Times New Roman" w:eastAsia="宋体" w:cs="Times New Roman"/>
                <w:color w:val="auto"/>
                <w:sz w:val="24"/>
                <w:szCs w:val="24"/>
                <w:lang w:val="en-US" w:eastAsia="zh-CN"/>
              </w:rPr>
              <w:t>储存</w:t>
            </w:r>
            <w:r>
              <w:rPr>
                <w:rFonts w:hint="eastAsia" w:ascii="Times New Roman" w:hAnsi="Times New Roman" w:eastAsia="宋体" w:cs="Times New Roman"/>
                <w:color w:val="auto"/>
                <w:sz w:val="24"/>
                <w:szCs w:val="24"/>
                <w:lang w:eastAsia="zh-CN"/>
              </w:rPr>
              <w:t>、破壁、</w:t>
            </w:r>
            <w:r>
              <w:rPr>
                <w:rFonts w:hint="eastAsia" w:ascii="Times New Roman" w:hAnsi="Times New Roman" w:eastAsia="宋体" w:cs="Times New Roman"/>
                <w:color w:val="auto"/>
                <w:sz w:val="24"/>
                <w:szCs w:val="24"/>
                <w:lang w:val="en-US" w:eastAsia="zh-CN"/>
              </w:rPr>
              <w:t>脱水</w:t>
            </w:r>
            <w:r>
              <w:rPr>
                <w:rFonts w:hint="eastAsia" w:ascii="Times New Roman" w:hAnsi="Times New Roman" w:eastAsia="宋体" w:cs="Times New Roman"/>
                <w:color w:val="auto"/>
                <w:sz w:val="24"/>
                <w:szCs w:val="24"/>
                <w:lang w:eastAsia="zh-CN"/>
              </w:rPr>
              <w:t>臭气分别采用</w:t>
            </w:r>
            <w:r>
              <w:rPr>
                <w:rFonts w:hint="eastAsia" w:ascii="Times New Roman" w:hAnsi="Times New Roman" w:eastAsia="宋体" w:cs="Times New Roman"/>
                <w:color w:val="auto"/>
                <w:sz w:val="24"/>
                <w:szCs w:val="24"/>
                <w:lang w:val="en-US" w:eastAsia="zh-CN"/>
              </w:rPr>
              <w:t>1套负压风机抽风收集后依托</w:t>
            </w:r>
            <w:r>
              <w:rPr>
                <w:rFonts w:hint="eastAsia" w:ascii="Times New Roman" w:hAnsi="Times New Roman" w:eastAsia="宋体" w:cs="Times New Roman"/>
                <w:color w:val="auto"/>
                <w:kern w:val="0"/>
                <w:sz w:val="24"/>
                <w:szCs w:val="24"/>
                <w:lang w:val="en-US" w:eastAsia="zh-CN"/>
              </w:rPr>
              <w:t>现有1#除臭系统处理</w:t>
            </w:r>
            <w:r>
              <w:rPr>
                <w:rFonts w:hint="eastAsia" w:ascii="Times New Roman" w:hAnsi="Times New Roman" w:eastAsia="宋体" w:cs="Times New Roman"/>
                <w:color w:val="auto"/>
                <w:sz w:val="24"/>
                <w:szCs w:val="24"/>
                <w:lang w:val="en-US" w:eastAsia="zh-CN"/>
              </w:rPr>
              <w:t>，干污泥</w:t>
            </w:r>
            <w:r>
              <w:rPr>
                <w:rFonts w:hint="default" w:ascii="Times New Roman" w:hAnsi="Times New Roman" w:eastAsia="宋体" w:cs="Times New Roman"/>
                <w:color w:val="auto"/>
                <w:sz w:val="24"/>
                <w:szCs w:val="24"/>
              </w:rPr>
              <w:t>储存</w:t>
            </w:r>
            <w:r>
              <w:rPr>
                <w:rFonts w:hint="eastAsia" w:ascii="Times New Roman" w:hAnsi="Times New Roman" w:eastAsia="宋体" w:cs="Times New Roman"/>
                <w:color w:val="auto"/>
                <w:sz w:val="24"/>
                <w:szCs w:val="24"/>
                <w:lang w:eastAsia="zh-CN"/>
              </w:rPr>
              <w:t>臭气依托现有废气收集系统收集后与</w:t>
            </w:r>
            <w:r>
              <w:rPr>
                <w:rFonts w:hint="default" w:ascii="Times New Roman" w:hAnsi="Times New Roman" w:eastAsia="宋体" w:cs="Times New Roman"/>
                <w:color w:val="auto"/>
                <w:sz w:val="24"/>
                <w:szCs w:val="24"/>
              </w:rPr>
              <w:t>污泥</w:t>
            </w:r>
            <w:r>
              <w:rPr>
                <w:rFonts w:hint="eastAsia" w:ascii="Times New Roman" w:hAnsi="Times New Roman" w:eastAsia="宋体" w:cs="Times New Roman"/>
                <w:color w:val="auto"/>
                <w:sz w:val="24"/>
                <w:szCs w:val="24"/>
                <w:lang w:val="en-US" w:eastAsia="zh-CN"/>
              </w:rPr>
              <w:t>储存</w:t>
            </w:r>
            <w:r>
              <w:rPr>
                <w:rFonts w:hint="eastAsia" w:ascii="Times New Roman" w:hAnsi="Times New Roman" w:eastAsia="宋体" w:cs="Times New Roman"/>
                <w:color w:val="auto"/>
                <w:sz w:val="24"/>
                <w:szCs w:val="24"/>
                <w:lang w:eastAsia="zh-CN"/>
              </w:rPr>
              <w:t>、破壁、</w:t>
            </w:r>
            <w:r>
              <w:rPr>
                <w:rFonts w:hint="eastAsia" w:ascii="Times New Roman" w:hAnsi="Times New Roman" w:eastAsia="宋体" w:cs="Times New Roman"/>
                <w:color w:val="auto"/>
                <w:sz w:val="24"/>
                <w:szCs w:val="24"/>
                <w:lang w:val="en-US" w:eastAsia="zh-CN"/>
              </w:rPr>
              <w:t>脱水</w:t>
            </w:r>
            <w:r>
              <w:rPr>
                <w:rFonts w:hint="eastAsia" w:ascii="Times New Roman" w:hAnsi="Times New Roman" w:eastAsia="宋体" w:cs="Times New Roman"/>
                <w:color w:val="auto"/>
                <w:sz w:val="24"/>
                <w:szCs w:val="24"/>
                <w:lang w:eastAsia="zh-CN"/>
              </w:rPr>
              <w:t>臭气一并</w:t>
            </w:r>
            <w:r>
              <w:rPr>
                <w:rFonts w:hint="eastAsia" w:ascii="Times New Roman" w:hAnsi="Times New Roman" w:eastAsia="宋体" w:cs="Times New Roman"/>
                <w:color w:val="auto"/>
                <w:sz w:val="24"/>
                <w:szCs w:val="24"/>
                <w:lang w:val="en-US" w:eastAsia="zh-CN"/>
              </w:rPr>
              <w:t>依托</w:t>
            </w:r>
            <w:r>
              <w:rPr>
                <w:rFonts w:hint="eastAsia" w:ascii="Times New Roman" w:hAnsi="Times New Roman" w:eastAsia="宋体" w:cs="Times New Roman"/>
                <w:color w:val="auto"/>
                <w:kern w:val="0"/>
                <w:sz w:val="24"/>
                <w:szCs w:val="24"/>
                <w:lang w:val="en-US" w:eastAsia="zh-CN"/>
              </w:rPr>
              <w:t>1#除臭系统处理达标后排放</w:t>
            </w:r>
            <w:r>
              <w:rPr>
                <w:rFonts w:hint="eastAsia" w:ascii="Times New Roman" w:hAnsi="Times New Roman" w:eastAsia="宋体" w:cs="Times New Roman"/>
                <w:color w:val="auto"/>
                <w:sz w:val="24"/>
                <w:szCs w:val="24"/>
                <w:lang w:eastAsia="zh-CN"/>
              </w:rPr>
              <w:t>，由于生产车间均为封闭车间，</w:t>
            </w:r>
            <w:r>
              <w:rPr>
                <w:rFonts w:hint="eastAsia" w:ascii="Times New Roman" w:hAnsi="Times New Roman" w:eastAsia="宋体" w:cs="Times New Roman"/>
                <w:color w:val="auto"/>
                <w:kern w:val="0"/>
                <w:sz w:val="24"/>
                <w:szCs w:val="24"/>
                <w:lang w:val="en-US" w:eastAsia="zh-CN"/>
              </w:rPr>
              <w:t>臭气</w:t>
            </w:r>
            <w:r>
              <w:rPr>
                <w:rFonts w:hint="default" w:ascii="Times New Roman" w:hAnsi="Times New Roman" w:eastAsia="宋体" w:cs="Times New Roman"/>
                <w:color w:val="auto"/>
                <w:sz w:val="24"/>
                <w:szCs w:val="24"/>
              </w:rPr>
              <w:t>收集效率按</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rPr>
              <w:t>%考虑</w:t>
            </w:r>
            <w:r>
              <w:rPr>
                <w:rFonts w:hint="eastAsia" w:ascii="Times New Roman" w:hAnsi="Times New Roman" w:eastAsia="宋体" w:cs="Times New Roman"/>
                <w:color w:val="auto"/>
                <w:sz w:val="24"/>
                <w:szCs w:val="24"/>
                <w:lang w:eastAsia="zh-CN"/>
              </w:rPr>
              <w:t>，根据现有项目环评报告可知，</w:t>
            </w:r>
            <w:r>
              <w:rPr>
                <w:rFonts w:hint="eastAsia" w:ascii="Times New Roman" w:hAnsi="Times New Roman" w:eastAsia="宋体" w:cs="Times New Roman"/>
                <w:color w:val="auto"/>
                <w:kern w:val="0"/>
                <w:sz w:val="24"/>
                <w:szCs w:val="24"/>
                <w:lang w:val="en-US" w:eastAsia="zh-CN"/>
              </w:rPr>
              <w:t>1#除臭系统采用两级化学洗涤除臭工艺，</w:t>
            </w:r>
            <w:r>
              <w:rPr>
                <w:rFonts w:hint="eastAsia" w:ascii="Times New Roman" w:hAnsi="Times New Roman" w:eastAsia="宋体" w:cs="Times New Roman"/>
                <w:color w:val="auto"/>
                <w:sz w:val="24"/>
                <w:szCs w:val="24"/>
                <w:lang w:val="en-US" w:eastAsia="zh-CN"/>
              </w:rPr>
              <w:t>臭气去除效率取95%</w:t>
            </w: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rPr>
              <w:t>污泥</w:t>
            </w:r>
            <w:r>
              <w:rPr>
                <w:rFonts w:hint="eastAsia" w:ascii="Times New Roman" w:hAnsi="Times New Roman" w:eastAsia="宋体" w:cs="Times New Roman"/>
                <w:color w:val="auto"/>
                <w:sz w:val="24"/>
                <w:szCs w:val="24"/>
                <w:lang w:val="en-US" w:eastAsia="zh-CN"/>
              </w:rPr>
              <w:t>臭气产排污情况详见表4.2-2。</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表</w:t>
            </w:r>
            <w:r>
              <w:rPr>
                <w:rFonts w:hint="eastAsia" w:ascii="Times New Roman" w:hAnsi="Times New Roman" w:eastAsia="宋体" w:cs="Times New Roman"/>
                <w:b/>
                <w:bCs/>
                <w:color w:val="auto"/>
                <w:kern w:val="0"/>
                <w:sz w:val="24"/>
                <w:szCs w:val="24"/>
                <w:lang w:val="en-US" w:eastAsia="zh-CN"/>
              </w:rPr>
              <w:t>4.2</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3</w:t>
            </w:r>
            <w:r>
              <w:rPr>
                <w:rFonts w:ascii="Times New Roman" w:hAnsi="Times New Roman" w:eastAsia="宋体" w:cs="Times New Roman"/>
                <w:b/>
                <w:bCs/>
                <w:color w:val="auto"/>
                <w:kern w:val="0"/>
                <w:sz w:val="24"/>
                <w:szCs w:val="24"/>
              </w:rPr>
              <w:t xml:space="preserve">  </w:t>
            </w:r>
            <w:r>
              <w:rPr>
                <w:rFonts w:hint="eastAsia" w:ascii="Times New Roman" w:hAnsi="Times New Roman" w:eastAsia="宋体" w:cs="Times New Roman"/>
                <w:b/>
                <w:color w:val="auto"/>
                <w:sz w:val="24"/>
                <w:szCs w:val="24"/>
                <w:lang w:eastAsia="zh-CN"/>
              </w:rPr>
              <w:t>污泥</w:t>
            </w:r>
            <w:r>
              <w:rPr>
                <w:rFonts w:hint="eastAsia" w:ascii="Times New Roman" w:hAnsi="Times New Roman" w:eastAsia="宋体" w:cs="Times New Roman"/>
                <w:b/>
                <w:color w:val="auto"/>
                <w:sz w:val="24"/>
                <w:szCs w:val="24"/>
                <w:lang w:val="en-US" w:eastAsia="zh-CN"/>
              </w:rPr>
              <w:t>储存</w:t>
            </w:r>
            <w:r>
              <w:rPr>
                <w:rFonts w:hint="eastAsia" w:ascii="Times New Roman" w:hAnsi="Times New Roman" w:eastAsia="宋体" w:cs="Times New Roman"/>
                <w:b/>
                <w:color w:val="auto"/>
                <w:sz w:val="24"/>
                <w:szCs w:val="24"/>
                <w:lang w:eastAsia="zh-CN"/>
              </w:rPr>
              <w:t>、破壁、</w:t>
            </w:r>
            <w:r>
              <w:rPr>
                <w:rFonts w:hint="eastAsia" w:ascii="Times New Roman" w:hAnsi="Times New Roman" w:eastAsia="宋体" w:cs="Times New Roman"/>
                <w:b/>
                <w:color w:val="auto"/>
                <w:sz w:val="24"/>
                <w:szCs w:val="24"/>
                <w:lang w:val="en-US" w:eastAsia="zh-CN"/>
              </w:rPr>
              <w:t>脱水、干污泥</w:t>
            </w:r>
            <w:r>
              <w:rPr>
                <w:rFonts w:hint="eastAsia" w:ascii="Times New Roman" w:hAnsi="Times New Roman" w:eastAsia="宋体" w:cs="Times New Roman"/>
                <w:b/>
                <w:color w:val="auto"/>
                <w:sz w:val="24"/>
                <w:szCs w:val="24"/>
                <w:lang w:eastAsia="zh-CN"/>
              </w:rPr>
              <w:t>储存、</w:t>
            </w:r>
            <w:r>
              <w:rPr>
                <w:rFonts w:hint="eastAsia" w:ascii="Times New Roman" w:hAnsi="Times New Roman" w:eastAsia="宋体" w:cs="Times New Roman"/>
                <w:b/>
                <w:color w:val="auto"/>
                <w:sz w:val="24"/>
                <w:szCs w:val="24"/>
                <w:lang w:val="en-US" w:eastAsia="zh-CN"/>
              </w:rPr>
              <w:t>进料、混料</w:t>
            </w:r>
            <w:r>
              <w:rPr>
                <w:rFonts w:hint="eastAsia" w:ascii="Times New Roman" w:hAnsi="Times New Roman" w:eastAsia="宋体" w:cs="Times New Roman"/>
                <w:b/>
                <w:color w:val="auto"/>
                <w:sz w:val="24"/>
                <w:szCs w:val="24"/>
                <w:lang w:eastAsia="zh-CN"/>
              </w:rPr>
              <w:t>臭气</w:t>
            </w:r>
            <w:r>
              <w:rPr>
                <w:rFonts w:ascii="Times New Roman" w:hAnsi="Times New Roman" w:eastAsia="宋体" w:cs="Times New Roman"/>
                <w:b/>
                <w:bCs/>
                <w:color w:val="auto"/>
                <w:kern w:val="0"/>
                <w:sz w:val="24"/>
                <w:szCs w:val="24"/>
              </w:rPr>
              <w:t>污染</w:t>
            </w:r>
            <w:r>
              <w:rPr>
                <w:rFonts w:hint="eastAsia" w:ascii="Times New Roman" w:hAnsi="Times New Roman" w:eastAsia="宋体" w:cs="Times New Roman"/>
                <w:b/>
                <w:bCs/>
                <w:color w:val="auto"/>
                <w:kern w:val="0"/>
                <w:sz w:val="24"/>
                <w:szCs w:val="24"/>
                <w:lang w:eastAsia="zh-CN"/>
              </w:rPr>
              <w:t>物产排污一览</w:t>
            </w:r>
            <w:r>
              <w:rPr>
                <w:rFonts w:ascii="Times New Roman" w:hAnsi="Times New Roman" w:eastAsia="宋体" w:cs="Times New Roman"/>
                <w:b/>
                <w:bCs/>
                <w:color w:val="auto"/>
                <w:kern w:val="0"/>
                <w:sz w:val="24"/>
                <w:szCs w:val="24"/>
              </w:rPr>
              <w:t>表</w:t>
            </w:r>
          </w:p>
          <w:tbl>
            <w:tblPr>
              <w:tblStyle w:val="20"/>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680"/>
              <w:gridCol w:w="807"/>
              <w:gridCol w:w="845"/>
              <w:gridCol w:w="728"/>
              <w:gridCol w:w="834"/>
              <w:gridCol w:w="693"/>
              <w:gridCol w:w="844"/>
              <w:gridCol w:w="871"/>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污染源</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名称</w:t>
                  </w:r>
                </w:p>
              </w:tc>
              <w:tc>
                <w:tcPr>
                  <w:tcW w:w="4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废气量Nm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产生浓度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mg/m</w:t>
                  </w:r>
                  <w:r>
                    <w:rPr>
                      <w:rFonts w:hint="default" w:ascii="Times New Roman" w:hAnsi="Times New Roman" w:eastAsia="宋体" w:cs="Times New Roman"/>
                      <w:b w:val="0"/>
                      <w:bCs/>
                      <w:color w:val="auto"/>
                      <w:kern w:val="0"/>
                      <w:sz w:val="21"/>
                      <w:szCs w:val="21"/>
                      <w:vertAlign w:val="superscript"/>
                    </w:rPr>
                    <w:t>3</w:t>
                  </w:r>
                </w:p>
              </w:tc>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5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产生量t/a</w:t>
                  </w:r>
                </w:p>
              </w:tc>
              <w:tc>
                <w:tcPr>
                  <w:tcW w:w="4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rPr>
                    <w:t>处理效率</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排放浓度mg/m</w:t>
                  </w:r>
                  <w:r>
                    <w:rPr>
                      <w:rFonts w:hint="default" w:ascii="Times New Roman" w:hAnsi="Times New Roman" w:eastAsia="宋体" w:cs="Times New Roman"/>
                      <w:b w:val="0"/>
                      <w:bCs/>
                      <w:color w:val="auto"/>
                      <w:kern w:val="0"/>
                      <w:sz w:val="21"/>
                      <w:szCs w:val="21"/>
                      <w:vertAlign w:val="superscript"/>
                    </w:rPr>
                    <w:t>3</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4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5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1#排气筒（用于华新盐井水泥）</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31200</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3.49 </w:t>
                  </w:r>
                </w:p>
              </w:tc>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0.109</w:t>
                  </w:r>
                </w:p>
              </w:tc>
              <w:tc>
                <w:tcPr>
                  <w:tcW w:w="5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0.3008</w:t>
                  </w:r>
                </w:p>
              </w:tc>
              <w:tc>
                <w:tcPr>
                  <w:tcW w:w="42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0.17 </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0.005 </w:t>
                  </w:r>
                </w:p>
              </w:tc>
              <w:tc>
                <w:tcPr>
                  <w:tcW w:w="4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kern w:val="0"/>
                      <w:sz w:val="21"/>
                      <w:szCs w:val="21"/>
                      <w:lang w:val="en-US" w:eastAsia="zh-CN"/>
                    </w:rPr>
                  </w:pP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0.16 </w:t>
                  </w:r>
                </w:p>
              </w:tc>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0.0051</w:t>
                  </w:r>
                </w:p>
              </w:tc>
              <w:tc>
                <w:tcPr>
                  <w:tcW w:w="5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0.0152</w:t>
                  </w:r>
                </w:p>
              </w:tc>
              <w:tc>
                <w:tcPr>
                  <w:tcW w:w="42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0.01 </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0.0003 </w:t>
                  </w:r>
                </w:p>
              </w:tc>
              <w:tc>
                <w:tcPr>
                  <w:tcW w:w="4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1#排气筒（用于生产营养土）</w:t>
                  </w:r>
                </w:p>
              </w:tc>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31200</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3.72 </w:t>
                  </w:r>
                </w:p>
              </w:tc>
              <w:tc>
                <w:tcPr>
                  <w:tcW w:w="44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0.116</w:t>
                  </w:r>
                </w:p>
              </w:tc>
              <w:tc>
                <w:tcPr>
                  <w:tcW w:w="5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0.1024</w:t>
                  </w:r>
                </w:p>
              </w:tc>
              <w:tc>
                <w:tcPr>
                  <w:tcW w:w="42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0.19 </w:t>
                  </w:r>
                </w:p>
              </w:tc>
              <w:tc>
                <w:tcPr>
                  <w:tcW w:w="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0.006 </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p>
              </w:tc>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0.18 </w:t>
                  </w:r>
                </w:p>
              </w:tc>
              <w:tc>
                <w:tcPr>
                  <w:tcW w:w="44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0.0056</w:t>
                  </w:r>
                </w:p>
              </w:tc>
              <w:tc>
                <w:tcPr>
                  <w:tcW w:w="5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0.0054</w:t>
                  </w:r>
                </w:p>
              </w:tc>
              <w:tc>
                <w:tcPr>
                  <w:tcW w:w="42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0.01 </w:t>
                  </w:r>
                </w:p>
              </w:tc>
              <w:tc>
                <w:tcPr>
                  <w:tcW w:w="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0.0003 </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1#排气筒（小计）</w:t>
                  </w:r>
                </w:p>
              </w:tc>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color w:val="auto"/>
                      <w:sz w:val="21"/>
                      <w:szCs w:val="21"/>
                    </w:rPr>
                    <w:t>31200</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45"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0.225</w:t>
                  </w:r>
                </w:p>
              </w:tc>
              <w:tc>
                <w:tcPr>
                  <w:tcW w:w="51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0.4032</w:t>
                  </w:r>
                </w:p>
              </w:tc>
              <w:tc>
                <w:tcPr>
                  <w:tcW w:w="42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32"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0.011</w:t>
                  </w:r>
                </w:p>
              </w:tc>
              <w:tc>
                <w:tcPr>
                  <w:tcW w:w="492"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p>
              </w:tc>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45"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0.0107</w:t>
                  </w:r>
                </w:p>
              </w:tc>
              <w:tc>
                <w:tcPr>
                  <w:tcW w:w="510"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0.0206</w:t>
                  </w:r>
                </w:p>
              </w:tc>
              <w:tc>
                <w:tcPr>
                  <w:tcW w:w="42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32"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0.0006</w:t>
                  </w:r>
                </w:p>
              </w:tc>
              <w:tc>
                <w:tcPr>
                  <w:tcW w:w="492"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eastAsia="zh-CN"/>
                    </w:rPr>
                    <w:t>无组织</w:t>
                  </w:r>
                  <w:r>
                    <w:rPr>
                      <w:rFonts w:hint="eastAsia" w:ascii="Times New Roman" w:hAnsi="Times New Roman" w:eastAsia="宋体" w:cs="Times New Roman"/>
                      <w:b w:val="0"/>
                      <w:bCs/>
                      <w:color w:val="auto"/>
                      <w:kern w:val="0"/>
                      <w:sz w:val="21"/>
                      <w:szCs w:val="21"/>
                      <w:lang w:val="en-US" w:eastAsia="zh-CN"/>
                    </w:rPr>
                    <w:t>（小计）</w:t>
                  </w:r>
                </w:p>
              </w:tc>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445"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0.025</w:t>
                  </w:r>
                </w:p>
              </w:tc>
              <w:tc>
                <w:tcPr>
                  <w:tcW w:w="510"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0.0448</w:t>
                  </w:r>
                </w:p>
              </w:tc>
              <w:tc>
                <w:tcPr>
                  <w:tcW w:w="4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32"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0.025</w:t>
                  </w:r>
                </w:p>
              </w:tc>
              <w:tc>
                <w:tcPr>
                  <w:tcW w:w="492"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p>
              </w:tc>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445"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0.0012</w:t>
                  </w:r>
                </w:p>
              </w:tc>
              <w:tc>
                <w:tcPr>
                  <w:tcW w:w="510"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0.0024</w:t>
                  </w:r>
                </w:p>
              </w:tc>
              <w:tc>
                <w:tcPr>
                  <w:tcW w:w="4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32"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0.0012</w:t>
                  </w:r>
                </w:p>
              </w:tc>
              <w:tc>
                <w:tcPr>
                  <w:tcW w:w="492"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0.0024</w:t>
                  </w:r>
                </w:p>
              </w:tc>
            </w:tr>
          </w:tbl>
          <w:p>
            <w:pPr>
              <w:autoSpaceDE w:val="0"/>
              <w:autoSpaceDN w:val="0"/>
              <w:adjustRightInd w:val="0"/>
              <w:snapToGrid w:val="0"/>
              <w:spacing w:line="360" w:lineRule="auto"/>
              <w:ind w:firstLine="480" w:firstLineChars="200"/>
              <w:jc w:val="left"/>
              <w:rPr>
                <w:rFonts w:hint="eastAsia" w:ascii="Times New Roman" w:hAnsi="Times New Roman" w:eastAsia="宋体" w:cs="Times New Roman"/>
                <w:bCs/>
                <w:color w:val="auto"/>
                <w:sz w:val="24"/>
                <w:szCs w:val="24"/>
                <w:lang w:eastAsia="zh-CN"/>
              </w:rPr>
            </w:pP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val="en-US" w:eastAsia="zh-CN"/>
              </w:rPr>
              <w:t>（2）污泥布料、发酵臭气G6、G7</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color w:val="auto"/>
                <w:sz w:val="24"/>
                <w:szCs w:val="24"/>
                <w:lang w:val="en-US" w:eastAsia="zh-CN"/>
              </w:rPr>
              <w:t>根据企业提供资料，全年华新盐井水泥停窑时间约110</w:t>
            </w:r>
            <w:r>
              <w:rPr>
                <w:rFonts w:hint="eastAsia" w:ascii="Times New Roman" w:hAnsi="Times New Roman" w:eastAsia="宋体" w:cs="Times New Roman"/>
                <w:bCs/>
                <w:color w:val="auto"/>
                <w:sz w:val="24"/>
                <w:szCs w:val="24"/>
                <w:lang w:val="en-US" w:eastAsia="zh-CN"/>
              </w:rPr>
              <w:t>天</w:t>
            </w:r>
            <w:r>
              <w:rPr>
                <w:rFonts w:hint="eastAsia" w:ascii="Times New Roman" w:hAnsi="Times New Roman" w:eastAsia="宋体" w:cs="Times New Roman"/>
                <w:color w:val="auto"/>
                <w:sz w:val="24"/>
                <w:szCs w:val="24"/>
                <w:lang w:val="en-US" w:eastAsia="zh-CN"/>
              </w:rPr>
              <w:t>，此时本项目污泥脱水后依托现有</w:t>
            </w:r>
            <w:r>
              <w:rPr>
                <w:rFonts w:hint="eastAsia" w:ascii="Times New Roman" w:hAnsi="Times New Roman" w:eastAsia="宋体" w:cs="Times New Roman"/>
                <w:color w:val="auto"/>
                <w:kern w:val="0"/>
                <w:sz w:val="24"/>
                <w:szCs w:val="24"/>
                <w:lang w:val="en-US" w:eastAsia="zh-CN"/>
              </w:rPr>
              <w:t>发酵生产线生产绿化营养土</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Cs/>
                <w:color w:val="auto"/>
                <w:sz w:val="24"/>
                <w:szCs w:val="24"/>
                <w:lang w:eastAsia="zh-CN"/>
              </w:rPr>
              <w:t>参照《大气氨源排放清单编制技术指南（试行）》氨源排放系数，废物处理中堆肥氨排放系数为1.275kg/t，秸秆堆肥氨排放系数为0.32kg/t，本项目处理污泥2640t/a（干重）用于发酵，秸秆等辅料堆肥使用量约1760t/a（干重），则本项目发酵过程中NH</w:t>
            </w:r>
            <w:r>
              <w:rPr>
                <w:rFonts w:hint="eastAsia" w:ascii="Times New Roman" w:hAnsi="Times New Roman" w:eastAsia="宋体" w:cs="Times New Roman"/>
                <w:bCs/>
                <w:color w:val="auto"/>
                <w:sz w:val="24"/>
                <w:szCs w:val="24"/>
                <w:vertAlign w:val="subscript"/>
                <w:lang w:eastAsia="zh-CN"/>
              </w:rPr>
              <w:t>3</w:t>
            </w:r>
            <w:r>
              <w:rPr>
                <w:rFonts w:hint="eastAsia" w:ascii="Times New Roman" w:hAnsi="Times New Roman" w:eastAsia="宋体" w:cs="Times New Roman"/>
                <w:bCs/>
                <w:color w:val="auto"/>
                <w:sz w:val="24"/>
                <w:szCs w:val="24"/>
                <w:lang w:eastAsia="zh-CN"/>
              </w:rPr>
              <w:t>产生量为3.929t/a（1.488kg/</w:t>
            </w:r>
            <w:r>
              <w:rPr>
                <w:rFonts w:hint="eastAsia" w:ascii="Times New Roman" w:hAnsi="Times New Roman" w:eastAsia="宋体" w:cs="Times New Roman"/>
                <w:bCs/>
                <w:color w:val="auto"/>
                <w:sz w:val="24"/>
                <w:szCs w:val="24"/>
                <w:lang w:val="en-US" w:eastAsia="zh-CN"/>
              </w:rPr>
              <w:t>h</w:t>
            </w:r>
            <w:r>
              <w:rPr>
                <w:rFonts w:hint="eastAsia" w:ascii="Times New Roman" w:hAnsi="Times New Roman" w:eastAsia="宋体" w:cs="Times New Roman"/>
                <w:bCs/>
                <w:color w:val="auto"/>
                <w:sz w:val="24"/>
                <w:szCs w:val="24"/>
                <w:lang w:eastAsia="zh-CN"/>
              </w:rPr>
              <w:t>），H</w:t>
            </w:r>
            <w:r>
              <w:rPr>
                <w:rFonts w:hint="eastAsia" w:ascii="Times New Roman" w:hAnsi="Times New Roman" w:eastAsia="宋体" w:cs="Times New Roman"/>
                <w:bCs/>
                <w:color w:val="auto"/>
                <w:sz w:val="24"/>
                <w:szCs w:val="24"/>
                <w:vertAlign w:val="subscript"/>
                <w:lang w:eastAsia="zh-CN"/>
              </w:rPr>
              <w:t>2</w:t>
            </w:r>
            <w:r>
              <w:rPr>
                <w:rFonts w:hint="eastAsia" w:ascii="Times New Roman" w:hAnsi="Times New Roman" w:eastAsia="宋体" w:cs="Times New Roman"/>
                <w:bCs/>
                <w:color w:val="auto"/>
                <w:sz w:val="24"/>
                <w:szCs w:val="24"/>
                <w:lang w:eastAsia="zh-CN"/>
              </w:rPr>
              <w:t>S按NH</w:t>
            </w:r>
            <w:r>
              <w:rPr>
                <w:rFonts w:hint="eastAsia" w:ascii="Times New Roman" w:hAnsi="Times New Roman" w:eastAsia="宋体" w:cs="Times New Roman"/>
                <w:bCs/>
                <w:color w:val="auto"/>
                <w:sz w:val="24"/>
                <w:szCs w:val="24"/>
                <w:vertAlign w:val="subscript"/>
                <w:lang w:eastAsia="zh-CN"/>
              </w:rPr>
              <w:t>3</w:t>
            </w:r>
            <w:r>
              <w:rPr>
                <w:rFonts w:hint="eastAsia" w:ascii="Times New Roman" w:hAnsi="Times New Roman" w:eastAsia="宋体" w:cs="Times New Roman"/>
                <w:bCs/>
                <w:color w:val="auto"/>
                <w:sz w:val="24"/>
                <w:szCs w:val="24"/>
                <w:lang w:eastAsia="zh-CN"/>
              </w:rPr>
              <w:t>的10%计，则H</w:t>
            </w:r>
            <w:r>
              <w:rPr>
                <w:rFonts w:hint="eastAsia" w:ascii="Times New Roman" w:hAnsi="Times New Roman" w:eastAsia="宋体" w:cs="Times New Roman"/>
                <w:bCs/>
                <w:color w:val="auto"/>
                <w:sz w:val="24"/>
                <w:szCs w:val="24"/>
                <w:vertAlign w:val="subscript"/>
                <w:lang w:eastAsia="zh-CN"/>
              </w:rPr>
              <w:t>2</w:t>
            </w:r>
            <w:r>
              <w:rPr>
                <w:rFonts w:hint="eastAsia" w:ascii="Times New Roman" w:hAnsi="Times New Roman" w:eastAsia="宋体" w:cs="Times New Roman"/>
                <w:bCs/>
                <w:color w:val="auto"/>
                <w:sz w:val="24"/>
                <w:szCs w:val="24"/>
                <w:lang w:eastAsia="zh-CN"/>
              </w:rPr>
              <w:t>S产生量为0.39</w:t>
            </w:r>
            <w:r>
              <w:rPr>
                <w:rFonts w:hint="eastAsia" w:ascii="Times New Roman" w:hAnsi="Times New Roman" w:eastAsia="宋体" w:cs="Times New Roman"/>
                <w:bCs/>
                <w:color w:val="auto"/>
                <w:sz w:val="24"/>
                <w:szCs w:val="24"/>
                <w:lang w:val="en-US" w:eastAsia="zh-CN"/>
              </w:rPr>
              <w:t>3</w:t>
            </w:r>
            <w:r>
              <w:rPr>
                <w:rFonts w:hint="eastAsia" w:ascii="Times New Roman" w:hAnsi="Times New Roman" w:eastAsia="宋体" w:cs="Times New Roman"/>
                <w:bCs/>
                <w:color w:val="auto"/>
                <w:sz w:val="24"/>
                <w:szCs w:val="24"/>
                <w:lang w:eastAsia="zh-CN"/>
              </w:rPr>
              <w:t>t/a（</w:t>
            </w:r>
            <w:r>
              <w:rPr>
                <w:rFonts w:hint="eastAsia" w:ascii="Times New Roman" w:hAnsi="Times New Roman" w:eastAsia="宋体" w:cs="Times New Roman"/>
                <w:bCs/>
                <w:color w:val="auto"/>
                <w:sz w:val="24"/>
                <w:szCs w:val="24"/>
                <w:lang w:val="en-US" w:eastAsia="zh-CN"/>
              </w:rPr>
              <w:t>0.</w:t>
            </w:r>
            <w:r>
              <w:rPr>
                <w:rFonts w:hint="eastAsia" w:ascii="Times New Roman" w:hAnsi="Times New Roman" w:eastAsia="宋体" w:cs="Times New Roman"/>
                <w:bCs/>
                <w:color w:val="auto"/>
                <w:sz w:val="24"/>
                <w:szCs w:val="24"/>
                <w:lang w:eastAsia="zh-CN"/>
              </w:rPr>
              <w:t>14</w:t>
            </w:r>
            <w:r>
              <w:rPr>
                <w:rFonts w:hint="eastAsia" w:ascii="Times New Roman" w:hAnsi="Times New Roman" w:eastAsia="宋体" w:cs="Times New Roman"/>
                <w:bCs/>
                <w:color w:val="auto"/>
                <w:sz w:val="24"/>
                <w:szCs w:val="24"/>
                <w:lang w:val="en-US" w:eastAsia="zh-CN"/>
              </w:rPr>
              <w:t>9</w:t>
            </w:r>
            <w:r>
              <w:rPr>
                <w:rFonts w:hint="eastAsia" w:ascii="Times New Roman" w:hAnsi="Times New Roman" w:eastAsia="宋体" w:cs="Times New Roman"/>
                <w:bCs/>
                <w:color w:val="auto"/>
                <w:sz w:val="24"/>
                <w:szCs w:val="24"/>
                <w:lang w:eastAsia="zh-CN"/>
              </w:rPr>
              <w:t>kg/</w:t>
            </w:r>
            <w:r>
              <w:rPr>
                <w:rFonts w:hint="eastAsia" w:ascii="Times New Roman" w:hAnsi="Times New Roman" w:eastAsia="宋体" w:cs="Times New Roman"/>
                <w:bCs/>
                <w:color w:val="auto"/>
                <w:sz w:val="24"/>
                <w:szCs w:val="24"/>
                <w:lang w:val="en-US" w:eastAsia="zh-CN"/>
              </w:rPr>
              <w:t>h</w:t>
            </w:r>
            <w:r>
              <w:rPr>
                <w:rFonts w:hint="eastAsia" w:ascii="Times New Roman" w:hAnsi="Times New Roman" w:eastAsia="宋体" w:cs="Times New Roman"/>
                <w:bCs/>
                <w:color w:val="auto"/>
                <w:sz w:val="24"/>
                <w:szCs w:val="24"/>
                <w:lang w:eastAsia="zh-CN"/>
              </w:rPr>
              <w:t>）。</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表</w:t>
            </w:r>
            <w:r>
              <w:rPr>
                <w:rFonts w:hint="eastAsia" w:ascii="Times New Roman" w:hAnsi="Times New Roman" w:eastAsia="宋体" w:cs="Times New Roman"/>
                <w:b/>
                <w:bCs/>
                <w:color w:val="auto"/>
                <w:kern w:val="0"/>
                <w:sz w:val="24"/>
                <w:szCs w:val="24"/>
                <w:lang w:val="en-US" w:eastAsia="zh-CN"/>
              </w:rPr>
              <w:t>4.2</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4</w:t>
            </w:r>
            <w:r>
              <w:rPr>
                <w:rFonts w:ascii="Times New Roman" w:hAnsi="Times New Roman" w:eastAsia="宋体" w:cs="Times New Roman"/>
                <w:b/>
                <w:bCs/>
                <w:color w:val="auto"/>
                <w:kern w:val="0"/>
                <w:sz w:val="24"/>
                <w:szCs w:val="24"/>
              </w:rPr>
              <w:t xml:space="preserve">  </w:t>
            </w:r>
            <w:r>
              <w:rPr>
                <w:rFonts w:hint="eastAsia" w:ascii="Times New Roman" w:hAnsi="Times New Roman" w:eastAsia="宋体" w:cs="Times New Roman"/>
                <w:b/>
                <w:color w:val="auto"/>
                <w:sz w:val="24"/>
                <w:szCs w:val="24"/>
                <w:lang w:eastAsia="zh-CN"/>
              </w:rPr>
              <w:t>污泥</w:t>
            </w:r>
            <w:r>
              <w:rPr>
                <w:rFonts w:hint="eastAsia" w:ascii="Times New Roman" w:hAnsi="Times New Roman" w:eastAsia="宋体" w:cs="Times New Roman"/>
                <w:b/>
                <w:color w:val="auto"/>
                <w:sz w:val="24"/>
                <w:szCs w:val="24"/>
                <w:lang w:val="en-US" w:eastAsia="zh-CN"/>
              </w:rPr>
              <w:t>布料、发酵</w:t>
            </w:r>
            <w:r>
              <w:rPr>
                <w:rFonts w:hint="eastAsia" w:ascii="Times New Roman" w:hAnsi="Times New Roman" w:eastAsia="宋体" w:cs="Times New Roman"/>
                <w:b/>
                <w:color w:val="auto"/>
                <w:sz w:val="24"/>
                <w:szCs w:val="24"/>
                <w:lang w:eastAsia="zh-CN"/>
              </w:rPr>
              <w:t>臭气</w:t>
            </w:r>
            <w:r>
              <w:rPr>
                <w:rFonts w:hint="eastAsia" w:ascii="Times New Roman" w:hAnsi="Times New Roman" w:eastAsia="宋体" w:cs="Times New Roman"/>
                <w:b/>
                <w:bCs/>
                <w:color w:val="auto"/>
                <w:kern w:val="0"/>
                <w:sz w:val="24"/>
                <w:szCs w:val="24"/>
                <w:lang w:eastAsia="zh-CN"/>
              </w:rPr>
              <w:t>源强</w:t>
            </w:r>
            <w:r>
              <w:rPr>
                <w:rFonts w:ascii="Times New Roman" w:hAnsi="Times New Roman" w:eastAsia="宋体" w:cs="Times New Roman"/>
                <w:b/>
                <w:bCs/>
                <w:color w:val="auto"/>
                <w:kern w:val="0"/>
                <w:sz w:val="24"/>
                <w:szCs w:val="24"/>
              </w:rPr>
              <w:t>表</w:t>
            </w:r>
          </w:p>
          <w:tbl>
            <w:tblPr>
              <w:tblStyle w:val="20"/>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772"/>
              <w:gridCol w:w="807"/>
              <w:gridCol w:w="698"/>
              <w:gridCol w:w="708"/>
              <w:gridCol w:w="875"/>
              <w:gridCol w:w="950"/>
              <w:gridCol w:w="950"/>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9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污染源</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污染物名称</w:t>
                  </w:r>
                </w:p>
              </w:tc>
              <w:tc>
                <w:tcPr>
                  <w:tcW w:w="4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产生速率kg/h</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产生量t/a</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eastAsia="zh-CN"/>
                    </w:rPr>
                    <w:t>收集</w:t>
                  </w:r>
                  <w:r>
                    <w:rPr>
                      <w:rFonts w:hint="default" w:ascii="Times New Roman" w:hAnsi="Times New Roman" w:eastAsia="宋体" w:cs="Times New Roman"/>
                      <w:b w:val="0"/>
                      <w:bCs/>
                      <w:color w:val="auto"/>
                      <w:kern w:val="0"/>
                      <w:sz w:val="21"/>
                      <w:szCs w:val="21"/>
                    </w:rPr>
                    <w:t>效率</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有组织</w:t>
                  </w:r>
                  <w:r>
                    <w:rPr>
                      <w:rFonts w:hint="default" w:ascii="Times New Roman" w:hAnsi="Times New Roman" w:eastAsia="宋体" w:cs="Times New Roman"/>
                      <w:b w:val="0"/>
                      <w:bCs/>
                      <w:color w:val="auto"/>
                      <w:kern w:val="0"/>
                      <w:sz w:val="21"/>
                      <w:szCs w:val="21"/>
                    </w:rPr>
                    <w:t>产生速率kg/h</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有组织产生量</w:t>
                  </w:r>
                  <w:r>
                    <w:rPr>
                      <w:rFonts w:hint="default" w:ascii="Times New Roman" w:hAnsi="Times New Roman" w:eastAsia="宋体" w:cs="Times New Roman"/>
                      <w:b w:val="0"/>
                      <w:bCs/>
                      <w:color w:val="auto"/>
                      <w:kern w:val="0"/>
                      <w:sz w:val="21"/>
                      <w:szCs w:val="21"/>
                    </w:rPr>
                    <w:t>t/a</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无组织</w:t>
                  </w:r>
                  <w:r>
                    <w:rPr>
                      <w:rFonts w:hint="default" w:ascii="Times New Roman" w:hAnsi="Times New Roman" w:eastAsia="宋体" w:cs="Times New Roman"/>
                      <w:b w:val="0"/>
                      <w:bCs/>
                      <w:color w:val="auto"/>
                      <w:kern w:val="0"/>
                      <w:sz w:val="21"/>
                      <w:szCs w:val="21"/>
                    </w:rPr>
                    <w:t>产生速率kg/h</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无组织产生量</w:t>
                  </w:r>
                  <w:r>
                    <w:rPr>
                      <w:rFonts w:hint="default" w:ascii="Times New Roman" w:hAnsi="Times New Roman" w:eastAsia="宋体" w:cs="Times New Roman"/>
                      <w:b w:val="0"/>
                      <w:bCs/>
                      <w:color w:val="auto"/>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1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1#排气筒</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0.441 </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1.163 </w:t>
                  </w:r>
                </w:p>
              </w:tc>
              <w:tc>
                <w:tcPr>
                  <w:tcW w:w="43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53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0.39</w:t>
                  </w:r>
                  <w:r>
                    <w:rPr>
                      <w:rFonts w:hint="eastAsia" w:ascii="Times New Roman" w:hAnsi="Times New Roman" w:eastAsia="宋体" w:cs="Times New Roman"/>
                      <w:color w:val="auto"/>
                      <w:sz w:val="21"/>
                      <w:szCs w:val="21"/>
                      <w:lang w:val="en-US" w:eastAsia="zh-CN"/>
                    </w:rPr>
                    <w:t>6</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1.047 </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0.044 </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0.044 </w:t>
                  </w:r>
                </w:p>
              </w:tc>
              <w:tc>
                <w:tcPr>
                  <w:tcW w:w="42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0.116 </w:t>
                  </w:r>
                </w:p>
              </w:tc>
              <w:tc>
                <w:tcPr>
                  <w:tcW w:w="43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53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0.040 </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0.105 </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0.004 </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2#排气筒</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1.047 </w:t>
                  </w:r>
                </w:p>
              </w:tc>
              <w:tc>
                <w:tcPr>
                  <w:tcW w:w="424"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2.766 </w:t>
                  </w:r>
                </w:p>
              </w:tc>
              <w:tc>
                <w:tcPr>
                  <w:tcW w:w="430"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532"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0.943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2.489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0.105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0.105 </w:t>
                  </w:r>
                </w:p>
              </w:tc>
              <w:tc>
                <w:tcPr>
                  <w:tcW w:w="424"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0.277 </w:t>
                  </w:r>
                </w:p>
              </w:tc>
              <w:tc>
                <w:tcPr>
                  <w:tcW w:w="430"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532"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0.094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0.249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0.010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小计</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1.488</w:t>
                  </w:r>
                </w:p>
              </w:tc>
              <w:tc>
                <w:tcPr>
                  <w:tcW w:w="42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3.929</w:t>
                  </w:r>
                </w:p>
              </w:tc>
              <w:tc>
                <w:tcPr>
                  <w:tcW w:w="430" w:type="pct"/>
                  <w:vMerge w:val="restar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532"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1.339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3.536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0.149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0.149</w:t>
                  </w:r>
                </w:p>
              </w:tc>
              <w:tc>
                <w:tcPr>
                  <w:tcW w:w="42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0.393</w:t>
                  </w:r>
                </w:p>
              </w:tc>
              <w:tc>
                <w:tcPr>
                  <w:tcW w:w="430" w:type="pct"/>
                  <w:vMerge w:val="continue"/>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p>
              </w:tc>
              <w:tc>
                <w:tcPr>
                  <w:tcW w:w="532"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0.134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0.354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0.015 </w:t>
                  </w:r>
                </w:p>
              </w:tc>
              <w:tc>
                <w:tcPr>
                  <w:tcW w:w="57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0.039 </w:t>
                  </w:r>
                </w:p>
              </w:tc>
            </w:tr>
          </w:tbl>
          <w:p>
            <w:pPr>
              <w:autoSpaceDE w:val="0"/>
              <w:autoSpaceDN w:val="0"/>
              <w:adjustRightInd w:val="0"/>
              <w:snapToGrid w:val="0"/>
              <w:spacing w:line="360" w:lineRule="auto"/>
              <w:ind w:firstLine="480" w:firstLineChars="200"/>
              <w:jc w:val="left"/>
              <w:rPr>
                <w:rFonts w:hint="eastAsia" w:ascii="Times New Roman" w:hAnsi="Times New Roman" w:eastAsia="宋体" w:cs="Times New Roman"/>
                <w:bCs/>
                <w:color w:val="auto"/>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0000FF"/>
                <w:sz w:val="24"/>
                <w:szCs w:val="24"/>
                <w:lang w:val="en-US" w:eastAsia="zh-CN"/>
              </w:rPr>
            </w:pPr>
            <w:r>
              <w:rPr>
                <w:rFonts w:hint="eastAsia" w:ascii="Times New Roman" w:hAnsi="Times New Roman" w:eastAsia="宋体" w:cs="Times New Roman"/>
                <w:bCs/>
                <w:color w:val="auto"/>
                <w:sz w:val="24"/>
                <w:szCs w:val="24"/>
                <w:lang w:val="en-US" w:eastAsia="zh-CN"/>
              </w:rPr>
              <w:t>污泥布料、发酵臭气</w:t>
            </w:r>
            <w:r>
              <w:rPr>
                <w:rFonts w:hint="eastAsia" w:ascii="Times New Roman" w:hAnsi="Times New Roman" w:eastAsia="宋体" w:cs="Times New Roman"/>
                <w:color w:val="auto"/>
                <w:kern w:val="0"/>
                <w:sz w:val="24"/>
                <w:szCs w:val="24"/>
                <w:lang w:val="en-US" w:eastAsia="zh-CN"/>
              </w:rPr>
              <w:t>依托现有2套除臭系统处理后通过对应15m排气筒排放，</w:t>
            </w:r>
            <w:r>
              <w:rPr>
                <w:rFonts w:hint="eastAsia" w:ascii="Times New Roman" w:hAnsi="Times New Roman" w:eastAsia="宋体" w:cs="Times New Roman"/>
                <w:color w:val="auto"/>
                <w:sz w:val="24"/>
                <w:szCs w:val="24"/>
                <w:lang w:eastAsia="zh-CN"/>
              </w:rPr>
              <w:t>由于发酵车间为封闭车间，</w:t>
            </w:r>
            <w:r>
              <w:rPr>
                <w:rFonts w:hint="eastAsia" w:ascii="Times New Roman" w:hAnsi="Times New Roman" w:eastAsia="宋体" w:cs="Times New Roman"/>
                <w:color w:val="auto"/>
                <w:kern w:val="0"/>
                <w:sz w:val="24"/>
                <w:szCs w:val="24"/>
                <w:lang w:val="en-US" w:eastAsia="zh-CN"/>
              </w:rPr>
              <w:t>臭气</w:t>
            </w:r>
            <w:r>
              <w:rPr>
                <w:rFonts w:hint="default" w:ascii="Times New Roman" w:hAnsi="Times New Roman" w:eastAsia="宋体" w:cs="Times New Roman"/>
                <w:color w:val="auto"/>
                <w:sz w:val="24"/>
                <w:szCs w:val="24"/>
              </w:rPr>
              <w:t>收集效率按</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rPr>
              <w:t>%考虑</w:t>
            </w:r>
            <w:r>
              <w:rPr>
                <w:rFonts w:hint="eastAsia" w:ascii="Times New Roman" w:hAnsi="Times New Roman" w:eastAsia="宋体" w:cs="Times New Roman"/>
                <w:color w:val="auto"/>
                <w:sz w:val="24"/>
                <w:szCs w:val="24"/>
                <w:lang w:eastAsia="zh-CN"/>
              </w:rPr>
              <w:t>，根据现有项目环评报告可知，</w:t>
            </w:r>
            <w:r>
              <w:rPr>
                <w:rFonts w:hint="eastAsia" w:ascii="Times New Roman" w:hAnsi="Times New Roman" w:eastAsia="宋体" w:cs="Times New Roman"/>
                <w:color w:val="auto"/>
                <w:kern w:val="0"/>
                <w:sz w:val="24"/>
                <w:szCs w:val="24"/>
                <w:lang w:val="en-US" w:eastAsia="zh-CN"/>
              </w:rPr>
              <w:t>除臭系统均采用两级化学洗涤除臭工艺，</w:t>
            </w:r>
            <w:r>
              <w:rPr>
                <w:rFonts w:hint="eastAsia" w:ascii="Times New Roman" w:hAnsi="Times New Roman" w:eastAsia="宋体" w:cs="Times New Roman"/>
                <w:color w:val="auto"/>
                <w:sz w:val="24"/>
                <w:szCs w:val="24"/>
                <w:lang w:val="en-US" w:eastAsia="zh-CN"/>
              </w:rPr>
              <w:t>臭气去除效率取95%</w:t>
            </w:r>
            <w:r>
              <w:rPr>
                <w:rFonts w:hint="eastAsia" w:ascii="Times New Roman" w:hAnsi="Times New Roman" w:eastAsia="宋体" w:cs="Times New Roman"/>
                <w:color w:val="auto"/>
                <w:sz w:val="24"/>
                <w:szCs w:val="24"/>
                <w:lang w:val="zh-CN" w:eastAsia="zh-CN"/>
              </w:rPr>
              <w:t>。</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表</w:t>
            </w:r>
            <w:r>
              <w:rPr>
                <w:rFonts w:hint="eastAsia" w:ascii="Times New Roman" w:hAnsi="Times New Roman" w:eastAsia="宋体" w:cs="Times New Roman"/>
                <w:b/>
                <w:bCs/>
                <w:color w:val="auto"/>
                <w:kern w:val="0"/>
                <w:sz w:val="24"/>
                <w:szCs w:val="24"/>
                <w:lang w:val="en-US" w:eastAsia="zh-CN"/>
              </w:rPr>
              <w:t>4.2</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5</w:t>
            </w:r>
            <w:r>
              <w:rPr>
                <w:rFonts w:ascii="Times New Roman" w:hAnsi="Times New Roman" w:eastAsia="宋体" w:cs="Times New Roman"/>
                <w:b/>
                <w:bCs/>
                <w:color w:val="auto"/>
                <w:kern w:val="0"/>
                <w:sz w:val="24"/>
                <w:szCs w:val="24"/>
              </w:rPr>
              <w:t xml:space="preserve">  </w:t>
            </w:r>
            <w:r>
              <w:rPr>
                <w:rFonts w:hint="eastAsia" w:ascii="Times New Roman" w:hAnsi="Times New Roman" w:eastAsia="宋体" w:cs="Times New Roman"/>
                <w:b/>
                <w:color w:val="auto"/>
                <w:sz w:val="24"/>
                <w:szCs w:val="24"/>
                <w:lang w:eastAsia="zh-CN"/>
              </w:rPr>
              <w:t>污泥</w:t>
            </w:r>
            <w:r>
              <w:rPr>
                <w:rFonts w:hint="eastAsia" w:ascii="Times New Roman" w:hAnsi="Times New Roman" w:eastAsia="宋体" w:cs="Times New Roman"/>
                <w:b/>
                <w:color w:val="auto"/>
                <w:sz w:val="24"/>
                <w:szCs w:val="24"/>
                <w:lang w:val="en-US" w:eastAsia="zh-CN"/>
              </w:rPr>
              <w:t>布料、发酵</w:t>
            </w:r>
            <w:r>
              <w:rPr>
                <w:rFonts w:hint="eastAsia" w:ascii="Times New Roman" w:hAnsi="Times New Roman" w:eastAsia="宋体" w:cs="Times New Roman"/>
                <w:b/>
                <w:color w:val="auto"/>
                <w:sz w:val="24"/>
                <w:szCs w:val="24"/>
                <w:lang w:eastAsia="zh-CN"/>
              </w:rPr>
              <w:t>臭气</w:t>
            </w:r>
            <w:r>
              <w:rPr>
                <w:rFonts w:ascii="Times New Roman" w:hAnsi="Times New Roman" w:eastAsia="宋体" w:cs="Times New Roman"/>
                <w:b/>
                <w:bCs/>
                <w:color w:val="auto"/>
                <w:kern w:val="0"/>
                <w:sz w:val="24"/>
                <w:szCs w:val="24"/>
              </w:rPr>
              <w:t>污染</w:t>
            </w:r>
            <w:r>
              <w:rPr>
                <w:rFonts w:hint="eastAsia" w:ascii="Times New Roman" w:hAnsi="Times New Roman" w:eastAsia="宋体" w:cs="Times New Roman"/>
                <w:b/>
                <w:bCs/>
                <w:color w:val="auto"/>
                <w:kern w:val="0"/>
                <w:sz w:val="24"/>
                <w:szCs w:val="24"/>
                <w:lang w:eastAsia="zh-CN"/>
              </w:rPr>
              <w:t>物产排污一览</w:t>
            </w:r>
            <w:r>
              <w:rPr>
                <w:rFonts w:ascii="Times New Roman" w:hAnsi="Times New Roman" w:eastAsia="宋体" w:cs="Times New Roman"/>
                <w:b/>
                <w:bCs/>
                <w:color w:val="auto"/>
                <w:kern w:val="0"/>
                <w:sz w:val="24"/>
                <w:szCs w:val="24"/>
              </w:rPr>
              <w:t>表</w:t>
            </w:r>
          </w:p>
          <w:tbl>
            <w:tblPr>
              <w:tblStyle w:val="20"/>
              <w:tblW w:w="50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680"/>
              <w:gridCol w:w="807"/>
              <w:gridCol w:w="845"/>
              <w:gridCol w:w="728"/>
              <w:gridCol w:w="834"/>
              <w:gridCol w:w="693"/>
              <w:gridCol w:w="844"/>
              <w:gridCol w:w="871"/>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污染源</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名称</w:t>
                  </w:r>
                </w:p>
              </w:tc>
              <w:tc>
                <w:tcPr>
                  <w:tcW w:w="4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废气量Nm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产生浓度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mg/m</w:t>
                  </w:r>
                  <w:r>
                    <w:rPr>
                      <w:rFonts w:hint="default" w:ascii="Times New Roman" w:hAnsi="Times New Roman" w:eastAsia="宋体" w:cs="Times New Roman"/>
                      <w:b w:val="0"/>
                      <w:bCs/>
                      <w:color w:val="auto"/>
                      <w:kern w:val="0"/>
                      <w:sz w:val="21"/>
                      <w:szCs w:val="21"/>
                      <w:vertAlign w:val="superscript"/>
                    </w:rPr>
                    <w:t>3</w:t>
                  </w:r>
                </w:p>
              </w:tc>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5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产生量t/a</w:t>
                  </w:r>
                </w:p>
              </w:tc>
              <w:tc>
                <w:tcPr>
                  <w:tcW w:w="4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rPr>
                    <w:t>处理效率</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排放浓度mg/m</w:t>
                  </w:r>
                  <w:r>
                    <w:rPr>
                      <w:rFonts w:hint="default" w:ascii="Times New Roman" w:hAnsi="Times New Roman" w:eastAsia="宋体" w:cs="Times New Roman"/>
                      <w:b w:val="0"/>
                      <w:bCs/>
                      <w:color w:val="auto"/>
                      <w:kern w:val="0"/>
                      <w:sz w:val="21"/>
                      <w:szCs w:val="21"/>
                      <w:vertAlign w:val="superscript"/>
                    </w:rPr>
                    <w:t>3</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4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1#排气筒</w:t>
                  </w:r>
                </w:p>
              </w:tc>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22650</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17.48 </w:t>
                  </w:r>
                </w:p>
              </w:tc>
              <w:tc>
                <w:tcPr>
                  <w:tcW w:w="7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0.396</w:t>
                  </w: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1.047</w:t>
                  </w:r>
                </w:p>
              </w:tc>
              <w:tc>
                <w:tcPr>
                  <w:tcW w:w="42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0.87 </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0.020 </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p>
              </w:tc>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1.77 </w:t>
                  </w:r>
                </w:p>
              </w:tc>
              <w:tc>
                <w:tcPr>
                  <w:tcW w:w="7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w:t>
                  </w: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0.105</w:t>
                  </w:r>
                </w:p>
              </w:tc>
              <w:tc>
                <w:tcPr>
                  <w:tcW w:w="42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0.09 </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0.002 </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2#排气筒</w:t>
                  </w:r>
                </w:p>
              </w:tc>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53850</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17.51 </w:t>
                  </w:r>
                </w:p>
              </w:tc>
              <w:tc>
                <w:tcPr>
                  <w:tcW w:w="7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0.943</w:t>
                  </w: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2.489</w:t>
                  </w:r>
                </w:p>
              </w:tc>
              <w:tc>
                <w:tcPr>
                  <w:tcW w:w="42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0.88 </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0.047 </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p>
              </w:tc>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8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1.75 </w:t>
                  </w:r>
                </w:p>
              </w:tc>
              <w:tc>
                <w:tcPr>
                  <w:tcW w:w="7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0.094</w:t>
                  </w: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0.249</w:t>
                  </w:r>
                </w:p>
              </w:tc>
              <w:tc>
                <w:tcPr>
                  <w:tcW w:w="42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0.09 </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 xml:space="preserve"> </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eastAsia="zh-CN"/>
                    </w:rPr>
                    <w:t>无组织</w:t>
                  </w:r>
                </w:p>
              </w:tc>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0.149 </w:t>
                  </w:r>
                </w:p>
              </w:tc>
              <w:tc>
                <w:tcPr>
                  <w:tcW w:w="5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0.393 </w:t>
                  </w:r>
                </w:p>
              </w:tc>
              <w:tc>
                <w:tcPr>
                  <w:tcW w:w="4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0.149 </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0.393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rPr>
                  </w:pPr>
                </w:p>
              </w:tc>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0.015 </w:t>
                  </w:r>
                </w:p>
              </w:tc>
              <w:tc>
                <w:tcPr>
                  <w:tcW w:w="5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0.039 </w:t>
                  </w:r>
                </w:p>
              </w:tc>
              <w:tc>
                <w:tcPr>
                  <w:tcW w:w="4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0.015 </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0.039 </w:t>
                  </w:r>
                </w:p>
              </w:tc>
            </w:tr>
          </w:tbl>
          <w:p>
            <w:pPr>
              <w:autoSpaceDE w:val="0"/>
              <w:autoSpaceDN w:val="0"/>
              <w:adjustRightInd w:val="0"/>
              <w:snapToGrid w:val="0"/>
              <w:spacing w:line="360" w:lineRule="auto"/>
              <w:ind w:firstLine="480" w:firstLineChars="200"/>
              <w:jc w:val="left"/>
              <w:rPr>
                <w:rFonts w:hint="eastAsia" w:ascii="Times New Roman" w:hAnsi="Times New Roman" w:eastAsia="宋体" w:cs="Times New Roman"/>
                <w:bCs/>
                <w:color w:val="0000FF"/>
                <w:sz w:val="24"/>
                <w:szCs w:val="24"/>
                <w:lang w:eastAsia="zh-CN"/>
              </w:rPr>
            </w:pP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3</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污水池臭气G8</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本项目</w:t>
            </w:r>
            <w:r>
              <w:rPr>
                <w:rFonts w:hint="eastAsia" w:ascii="Times New Roman" w:hAnsi="Times New Roman" w:eastAsia="宋体" w:cs="Times New Roman"/>
                <w:color w:val="auto"/>
                <w:kern w:val="0"/>
                <w:sz w:val="24"/>
                <w:szCs w:val="24"/>
                <w:lang w:val="en-US" w:eastAsia="zh-CN"/>
              </w:rPr>
              <w:t>污水池及柴油发电机房</w:t>
            </w:r>
            <w:r>
              <w:rPr>
                <w:rFonts w:hint="default" w:ascii="Times New Roman" w:hAnsi="Times New Roman" w:eastAsia="宋体" w:cs="Times New Roman"/>
                <w:color w:val="auto"/>
                <w:kern w:val="0"/>
                <w:sz w:val="24"/>
                <w:szCs w:val="24"/>
                <w:lang w:val="zh-CN" w:eastAsia="zh-CN"/>
              </w:rPr>
              <w:t>内设有</w:t>
            </w:r>
            <w:r>
              <w:rPr>
                <w:rFonts w:hint="eastAsia" w:ascii="Times New Roman" w:hAnsi="Times New Roman" w:eastAsia="宋体" w:cs="Times New Roman"/>
                <w:color w:val="auto"/>
                <w:kern w:val="0"/>
                <w:sz w:val="24"/>
                <w:szCs w:val="24"/>
                <w:lang w:val="en-US" w:eastAsia="zh-CN"/>
              </w:rPr>
              <w:t>2个污水池，</w:t>
            </w:r>
            <w:r>
              <w:rPr>
                <w:rFonts w:hint="eastAsia" w:ascii="Times New Roman" w:hAnsi="Times New Roman" w:eastAsia="宋体" w:cs="Times New Roman"/>
                <w:bCs/>
                <w:color w:val="auto"/>
                <w:sz w:val="24"/>
                <w:szCs w:val="24"/>
                <w:lang w:eastAsia="zh-CN"/>
              </w:rPr>
              <w:t>采用</w:t>
            </w:r>
            <w:r>
              <w:rPr>
                <w:rFonts w:hint="eastAsia" w:ascii="Times New Roman" w:hAnsi="Times New Roman" w:eastAsia="宋体" w:cs="Times New Roman"/>
                <w:bCs/>
                <w:color w:val="auto"/>
                <w:sz w:val="24"/>
                <w:szCs w:val="24"/>
                <w:lang w:val="en-US" w:eastAsia="zh-CN"/>
              </w:rPr>
              <w:t>污水池收集污泥压滤废水，废水在污水池储存过程会</w:t>
            </w:r>
            <w:r>
              <w:rPr>
                <w:rFonts w:hint="eastAsia" w:ascii="Times New Roman" w:hAnsi="Times New Roman" w:eastAsia="宋体" w:cs="Times New Roman"/>
                <w:bCs/>
                <w:color w:val="auto"/>
                <w:sz w:val="24"/>
                <w:szCs w:val="24"/>
                <w:lang w:eastAsia="zh-CN"/>
              </w:rPr>
              <w:t>产生少量臭气，由于废水每日外运，储存时间较短，因此，</w:t>
            </w:r>
            <w:r>
              <w:rPr>
                <w:rFonts w:hint="eastAsia" w:ascii="Times New Roman" w:hAnsi="Times New Roman" w:eastAsia="宋体" w:cs="Times New Roman"/>
                <w:bCs/>
                <w:color w:val="auto"/>
                <w:sz w:val="24"/>
                <w:szCs w:val="24"/>
                <w:lang w:val="en-US" w:eastAsia="zh-CN"/>
              </w:rPr>
              <w:t>污水池臭气产生量较小</w:t>
            </w:r>
            <w:r>
              <w:rPr>
                <w:rFonts w:hint="eastAsia" w:ascii="Times New Roman" w:hAnsi="Times New Roman" w:eastAsia="宋体" w:cs="Times New Roman"/>
                <w:bCs/>
                <w:color w:val="auto"/>
                <w:sz w:val="24"/>
                <w:szCs w:val="24"/>
                <w:lang w:eastAsia="zh-CN"/>
              </w:rPr>
              <w:t>。</w:t>
            </w:r>
          </w:p>
          <w:p>
            <w:pPr>
              <w:adjustRightInd w:val="0"/>
              <w:snapToGrid w:val="0"/>
              <w:spacing w:line="440" w:lineRule="exact"/>
              <w:ind w:firstLine="480" w:firstLineChars="200"/>
              <w:rPr>
                <w:rFonts w:hint="default"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sz w:val="24"/>
                <w:lang w:val="en-US" w:eastAsia="zh-CN"/>
              </w:rPr>
              <w:t>（4）</w:t>
            </w:r>
            <w:r>
              <w:rPr>
                <w:rFonts w:hint="eastAsia" w:ascii="Times New Roman" w:hAnsi="Times New Roman" w:eastAsia="宋体" w:cs="Times New Roman"/>
                <w:b w:val="0"/>
                <w:bCs w:val="0"/>
                <w:color w:val="auto"/>
                <w:kern w:val="0"/>
                <w:sz w:val="24"/>
                <w:szCs w:val="24"/>
                <w:lang w:val="en-US" w:eastAsia="zh-CN"/>
              </w:rPr>
              <w:t>运输扬尘</w:t>
            </w:r>
          </w:p>
          <w:p>
            <w:pPr>
              <w:tabs>
                <w:tab w:val="left" w:pos="1970"/>
              </w:tabs>
              <w:adjustRightInd w:val="0"/>
              <w:snapToGrid w:val="0"/>
              <w:spacing w:line="440" w:lineRule="exact"/>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污泥的运输均由产生单位负责，脱水后污泥由建设单位采用专用密闭车负责运输至华新盐井水泥，运输路线包括乡村道路—铜延路—三环高速—兰海高速—盐草路，总运输距离约52km，运输过程会产生少量运输扬尘。</w:t>
            </w:r>
          </w:p>
          <w:p>
            <w:pPr>
              <w:tabs>
                <w:tab w:val="left" w:pos="1970"/>
              </w:tabs>
              <w:adjustRightInd w:val="0"/>
              <w:snapToGrid w:val="0"/>
              <w:spacing w:line="440" w:lineRule="exact"/>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本次评价要求运输过程采取密闭运输车辆进行运输，避免污泥撒漏等，</w:t>
            </w:r>
            <w:r>
              <w:rPr>
                <w:rFonts w:hint="default" w:ascii="Times New Roman" w:hAnsi="Times New Roman" w:eastAsia="宋体" w:cs="Times New Roman"/>
                <w:color w:val="auto"/>
                <w:kern w:val="0"/>
                <w:sz w:val="24"/>
                <w:szCs w:val="24"/>
                <w:lang w:val="en-US" w:eastAsia="zh-CN"/>
              </w:rPr>
              <w:t>运输原则上应尽量避开人员密集区、水源保护区，尽可能选择高速公路、国道或省道，力求线路简短，避开交通拥堵道路，车速适中，并选用路线短、对沿路影响小的运输路线，尽可能减少经过河流水系的次数，避免在运途中产生二次污染</w:t>
            </w:r>
            <w:r>
              <w:rPr>
                <w:rFonts w:hint="eastAsia" w:ascii="Times New Roman" w:hAnsi="Times New Roman" w:eastAsia="宋体" w:cs="Times New Roman"/>
                <w:color w:val="auto"/>
                <w:kern w:val="0"/>
                <w:sz w:val="24"/>
                <w:szCs w:val="24"/>
                <w:lang w:val="en-US" w:eastAsia="zh-CN"/>
              </w:rPr>
              <w:t>。</w:t>
            </w:r>
          </w:p>
          <w:p>
            <w:pPr>
              <w:autoSpaceDE w:val="0"/>
              <w:autoSpaceDN w:val="0"/>
              <w:adjustRightInd w:val="0"/>
              <w:snapToGrid w:val="0"/>
              <w:spacing w:line="360" w:lineRule="auto"/>
              <w:ind w:firstLine="480" w:firstLineChars="200"/>
              <w:jc w:val="both"/>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本项目废气汇总情况见下表。</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color w:val="auto"/>
                <w:kern w:val="0"/>
                <w:sz w:val="24"/>
                <w:szCs w:val="24"/>
              </w:rPr>
            </w:pPr>
          </w:p>
          <w:p>
            <w:pPr>
              <w:autoSpaceDE w:val="0"/>
              <w:autoSpaceDN w:val="0"/>
              <w:adjustRightInd w:val="0"/>
              <w:snapToGrid w:val="0"/>
              <w:spacing w:line="360" w:lineRule="auto"/>
              <w:ind w:firstLine="482" w:firstLineChars="200"/>
              <w:jc w:val="center"/>
              <w:rPr>
                <w:rFonts w:ascii="Times New Roman" w:hAnsi="Times New Roman" w:eastAsia="宋体" w:cs="Times New Roman"/>
                <w:b/>
                <w:bCs/>
                <w:color w:val="auto"/>
                <w:kern w:val="0"/>
                <w:sz w:val="24"/>
                <w:szCs w:val="24"/>
              </w:rPr>
            </w:pPr>
          </w:p>
          <w:p>
            <w:pPr>
              <w:autoSpaceDE w:val="0"/>
              <w:autoSpaceDN w:val="0"/>
              <w:adjustRightInd w:val="0"/>
              <w:snapToGrid w:val="0"/>
              <w:spacing w:line="360" w:lineRule="auto"/>
              <w:ind w:firstLine="482" w:firstLineChars="200"/>
              <w:jc w:val="center"/>
              <w:rPr>
                <w:rFonts w:ascii="Times New Roman" w:hAnsi="Times New Roman" w:eastAsia="宋体" w:cs="Times New Roman"/>
                <w:b/>
                <w:bCs/>
                <w:color w:val="auto"/>
                <w:kern w:val="0"/>
                <w:sz w:val="24"/>
                <w:szCs w:val="24"/>
              </w:rPr>
            </w:pPr>
          </w:p>
          <w:p>
            <w:pPr>
              <w:autoSpaceDE w:val="0"/>
              <w:autoSpaceDN w:val="0"/>
              <w:adjustRightInd w:val="0"/>
              <w:snapToGrid w:val="0"/>
              <w:spacing w:line="360" w:lineRule="auto"/>
              <w:ind w:firstLine="482" w:firstLineChars="20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表</w:t>
            </w:r>
            <w:r>
              <w:rPr>
                <w:rFonts w:hint="eastAsia" w:ascii="Times New Roman" w:hAnsi="Times New Roman" w:eastAsia="宋体" w:cs="Times New Roman"/>
                <w:b/>
                <w:bCs/>
                <w:color w:val="auto"/>
                <w:kern w:val="0"/>
                <w:sz w:val="24"/>
                <w:szCs w:val="24"/>
                <w:lang w:val="en-US" w:eastAsia="zh-CN"/>
              </w:rPr>
              <w:t>4.2</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6</w:t>
            </w:r>
            <w:r>
              <w:rPr>
                <w:rFonts w:ascii="Times New Roman" w:hAnsi="Times New Roman" w:eastAsia="宋体" w:cs="Times New Roman"/>
                <w:b/>
                <w:bCs/>
                <w:color w:val="auto"/>
                <w:kern w:val="0"/>
                <w:sz w:val="24"/>
                <w:szCs w:val="24"/>
              </w:rPr>
              <w:t xml:space="preserve">  </w:t>
            </w:r>
            <w:r>
              <w:rPr>
                <w:rFonts w:hint="eastAsia" w:ascii="Times New Roman" w:hAnsi="Times New Roman" w:eastAsia="宋体" w:cs="Times New Roman"/>
                <w:b/>
                <w:bCs/>
                <w:color w:val="auto"/>
                <w:kern w:val="0"/>
                <w:sz w:val="24"/>
                <w:szCs w:val="24"/>
                <w:lang w:eastAsia="zh-CN"/>
              </w:rPr>
              <w:t>各</w:t>
            </w:r>
            <w:r>
              <w:rPr>
                <w:rFonts w:hint="eastAsia" w:ascii="Times New Roman" w:hAnsi="Times New Roman" w:eastAsia="宋体" w:cs="Times New Roman"/>
                <w:b/>
                <w:color w:val="auto"/>
                <w:sz w:val="24"/>
                <w:szCs w:val="24"/>
                <w:lang w:eastAsia="zh-CN"/>
              </w:rPr>
              <w:t>污泥臭气产排污汇总</w:t>
            </w:r>
            <w:r>
              <w:rPr>
                <w:rFonts w:ascii="Times New Roman" w:hAnsi="Times New Roman" w:eastAsia="宋体" w:cs="Times New Roman"/>
                <w:b/>
                <w:bCs/>
                <w:color w:val="auto"/>
                <w:kern w:val="0"/>
                <w:sz w:val="24"/>
                <w:szCs w:val="24"/>
              </w:rPr>
              <w:t>表</w:t>
            </w:r>
          </w:p>
          <w:tbl>
            <w:tblPr>
              <w:tblStyle w:val="20"/>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542"/>
              <w:gridCol w:w="1083"/>
              <w:gridCol w:w="812"/>
              <w:gridCol w:w="721"/>
              <w:gridCol w:w="814"/>
              <w:gridCol w:w="805"/>
              <w:gridCol w:w="708"/>
              <w:gridCol w:w="950"/>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eastAsia="zh-CN"/>
                    </w:rPr>
                    <w:t>生产时段</w:t>
                  </w:r>
                </w:p>
              </w:tc>
              <w:tc>
                <w:tcPr>
                  <w:tcW w:w="9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污染源</w:t>
                  </w:r>
                </w:p>
              </w:tc>
              <w:tc>
                <w:tcPr>
                  <w:tcW w:w="4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废气量Nm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4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污染物名称</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产生速率kg/h</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产生量t/a</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eastAsia="zh-CN"/>
                    </w:rPr>
                    <w:t>处理</w:t>
                  </w:r>
                  <w:r>
                    <w:rPr>
                      <w:rFonts w:hint="default" w:ascii="Times New Roman" w:hAnsi="Times New Roman" w:eastAsia="宋体" w:cs="Times New Roman"/>
                      <w:b w:val="0"/>
                      <w:bCs/>
                      <w:color w:val="auto"/>
                      <w:kern w:val="0"/>
                      <w:sz w:val="21"/>
                      <w:szCs w:val="21"/>
                    </w:rPr>
                    <w:t>效率</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排放速率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kg/h</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6" w:type="pct"/>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用于华新盐井水泥</w:t>
                  </w:r>
                </w:p>
              </w:tc>
              <w:tc>
                <w:tcPr>
                  <w:tcW w:w="32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1#排气筒</w:t>
                  </w:r>
                </w:p>
              </w:tc>
              <w:tc>
                <w:tcPr>
                  <w:tcW w:w="6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污泥储存、破壁、脱水、干污泥储存</w:t>
                  </w:r>
                </w:p>
              </w:tc>
              <w:tc>
                <w:tcPr>
                  <w:tcW w:w="494"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31200</w:t>
                  </w:r>
                </w:p>
              </w:tc>
              <w:tc>
                <w:tcPr>
                  <w:tcW w:w="4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0.109</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0.3008</w:t>
                  </w:r>
                </w:p>
              </w:tc>
              <w:tc>
                <w:tcPr>
                  <w:tcW w:w="43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0.005 </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6" w:type="pct"/>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6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494"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4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0.0051</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0.0152</w:t>
                  </w:r>
                </w:p>
              </w:tc>
              <w:tc>
                <w:tcPr>
                  <w:tcW w:w="430" w:type="pct"/>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0.0003 </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6" w:type="pct"/>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用于生产营养土</w:t>
                  </w:r>
                </w:p>
              </w:tc>
              <w:tc>
                <w:tcPr>
                  <w:tcW w:w="32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1#排气筒</w:t>
                  </w:r>
                </w:p>
              </w:tc>
              <w:tc>
                <w:tcPr>
                  <w:tcW w:w="6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污泥储存、破壁、脱水、</w:t>
                  </w:r>
                  <w:r>
                    <w:rPr>
                      <w:rFonts w:hint="default" w:ascii="Times New Roman" w:hAnsi="Times New Roman" w:eastAsia="宋体" w:cs="Times New Roman"/>
                      <w:b w:val="0"/>
                      <w:bCs/>
                      <w:color w:val="auto"/>
                      <w:kern w:val="0"/>
                      <w:sz w:val="21"/>
                      <w:szCs w:val="21"/>
                      <w:lang w:val="en-US" w:eastAsia="zh-CN"/>
                    </w:rPr>
                    <w:t>进料、混料</w:t>
                  </w:r>
                </w:p>
              </w:tc>
              <w:tc>
                <w:tcPr>
                  <w:tcW w:w="494"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31200</w:t>
                  </w:r>
                </w:p>
              </w:tc>
              <w:tc>
                <w:tcPr>
                  <w:tcW w:w="4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0.116</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0.1024</w:t>
                  </w:r>
                </w:p>
              </w:tc>
              <w:tc>
                <w:tcPr>
                  <w:tcW w:w="430" w:type="pct"/>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0.006 </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6" w:type="pct"/>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6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494"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4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0.0056</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0.0054</w:t>
                  </w:r>
                </w:p>
              </w:tc>
              <w:tc>
                <w:tcPr>
                  <w:tcW w:w="430" w:type="pct"/>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0.0003 </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6" w:type="pct"/>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6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污泥布料、发酵</w:t>
                  </w:r>
                </w:p>
              </w:tc>
              <w:tc>
                <w:tcPr>
                  <w:tcW w:w="494"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22650</w:t>
                  </w:r>
                </w:p>
              </w:tc>
              <w:tc>
                <w:tcPr>
                  <w:tcW w:w="4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0.39</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 xml:space="preserve"> </w:t>
                  </w:r>
                </w:p>
              </w:tc>
              <w:tc>
                <w:tcPr>
                  <w:tcW w:w="48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1.047 </w:t>
                  </w:r>
                </w:p>
              </w:tc>
              <w:tc>
                <w:tcPr>
                  <w:tcW w:w="43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0.020 </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6" w:type="pct"/>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6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494"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4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0.040 </w:t>
                  </w:r>
                </w:p>
              </w:tc>
              <w:tc>
                <w:tcPr>
                  <w:tcW w:w="48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0.105 </w:t>
                  </w:r>
                </w:p>
              </w:tc>
              <w:tc>
                <w:tcPr>
                  <w:tcW w:w="43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0.002</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6" w:type="pct"/>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6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小计</w:t>
                  </w:r>
                </w:p>
              </w:tc>
              <w:tc>
                <w:tcPr>
                  <w:tcW w:w="494"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53850</w:t>
                  </w:r>
                </w:p>
              </w:tc>
              <w:tc>
                <w:tcPr>
                  <w:tcW w:w="4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0.512</w:t>
                  </w:r>
                </w:p>
              </w:tc>
              <w:tc>
                <w:tcPr>
                  <w:tcW w:w="48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1.1494</w:t>
                  </w:r>
                </w:p>
              </w:tc>
              <w:tc>
                <w:tcPr>
                  <w:tcW w:w="4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0.026</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6" w:type="pct"/>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6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p>
              </w:tc>
              <w:tc>
                <w:tcPr>
                  <w:tcW w:w="494"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4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0.0456</w:t>
                  </w:r>
                </w:p>
              </w:tc>
              <w:tc>
                <w:tcPr>
                  <w:tcW w:w="48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0.1104</w:t>
                  </w:r>
                </w:p>
              </w:tc>
              <w:tc>
                <w:tcPr>
                  <w:tcW w:w="43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0.0023</w:t>
                  </w:r>
                </w:p>
              </w:tc>
              <w:tc>
                <w:tcPr>
                  <w:tcW w:w="57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Merge w:val="continue"/>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p>
              </w:tc>
              <w:tc>
                <w:tcPr>
                  <w:tcW w:w="3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2#排气筒</w:t>
                  </w:r>
                </w:p>
              </w:tc>
              <w:tc>
                <w:tcPr>
                  <w:tcW w:w="65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污泥布料、发酵</w:t>
                  </w:r>
                </w:p>
              </w:tc>
              <w:tc>
                <w:tcPr>
                  <w:tcW w:w="494"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53850</w:t>
                  </w:r>
                </w:p>
              </w:tc>
              <w:tc>
                <w:tcPr>
                  <w:tcW w:w="4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0.943</w:t>
                  </w:r>
                </w:p>
              </w:tc>
              <w:tc>
                <w:tcPr>
                  <w:tcW w:w="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2.489</w:t>
                  </w:r>
                </w:p>
              </w:tc>
              <w:tc>
                <w:tcPr>
                  <w:tcW w:w="430"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0.047 </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0.124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3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65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494"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4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0.094</w:t>
                  </w:r>
                </w:p>
              </w:tc>
              <w:tc>
                <w:tcPr>
                  <w:tcW w:w="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0.249</w:t>
                  </w:r>
                </w:p>
              </w:tc>
              <w:tc>
                <w:tcPr>
                  <w:tcW w:w="430"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 xml:space="preserve"> </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98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1#、2#排气筒合计</w:t>
                  </w:r>
                </w:p>
              </w:tc>
              <w:tc>
                <w:tcPr>
                  <w:tcW w:w="494"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107700</w:t>
                  </w:r>
                </w:p>
              </w:tc>
              <w:tc>
                <w:tcPr>
                  <w:tcW w:w="4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1.455</w:t>
                  </w:r>
                </w:p>
              </w:tc>
              <w:tc>
                <w:tcPr>
                  <w:tcW w:w="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3.6384</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0.073</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98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494"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4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0.1396</w:t>
                  </w:r>
                </w:p>
              </w:tc>
              <w:tc>
                <w:tcPr>
                  <w:tcW w:w="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0.3594</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0.0073</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总计</w:t>
                  </w:r>
                </w:p>
              </w:tc>
              <w:tc>
                <w:tcPr>
                  <w:tcW w:w="98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有组织</w:t>
                  </w:r>
                </w:p>
              </w:tc>
              <w:tc>
                <w:tcPr>
                  <w:tcW w:w="494"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1.564</w:t>
                  </w:r>
                </w:p>
              </w:tc>
              <w:tc>
                <w:tcPr>
                  <w:tcW w:w="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3.9392</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0.078</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98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494"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0.1447</w:t>
                  </w:r>
                </w:p>
              </w:tc>
              <w:tc>
                <w:tcPr>
                  <w:tcW w:w="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0.3746</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0.0076</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98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无组织</w:t>
                  </w:r>
                </w:p>
              </w:tc>
              <w:tc>
                <w:tcPr>
                  <w:tcW w:w="494"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0.174</w:t>
                  </w:r>
                </w:p>
              </w:tc>
              <w:tc>
                <w:tcPr>
                  <w:tcW w:w="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0.4378</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0.174</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98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rPr>
                  </w:pPr>
                </w:p>
              </w:tc>
              <w:tc>
                <w:tcPr>
                  <w:tcW w:w="494"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0.0162</w:t>
                  </w:r>
                </w:p>
              </w:tc>
              <w:tc>
                <w:tcPr>
                  <w:tcW w:w="4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0.0414</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0.0162</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0.0414</w:t>
                  </w:r>
                </w:p>
              </w:tc>
            </w:tr>
          </w:tbl>
          <w:p>
            <w:pPr>
              <w:adjustRightInd w:val="0"/>
              <w:snapToGrid w:val="0"/>
              <w:spacing w:line="440" w:lineRule="exact"/>
              <w:ind w:firstLine="482" w:firstLineChars="200"/>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3、</w:t>
            </w:r>
            <w:r>
              <w:rPr>
                <w:rFonts w:hint="default" w:ascii="Times New Roman" w:hAnsi="Times New Roman" w:eastAsia="宋体" w:cs="Times New Roman"/>
                <w:b/>
                <w:bCs/>
                <w:color w:val="auto"/>
                <w:kern w:val="0"/>
                <w:sz w:val="24"/>
                <w:szCs w:val="24"/>
                <w:lang w:val="en-US" w:eastAsia="zh-CN"/>
              </w:rPr>
              <w:t>排放口基本情况</w:t>
            </w:r>
          </w:p>
          <w:p>
            <w:pPr>
              <w:adjustRightInd w:val="0"/>
              <w:snapToGrid w:val="0"/>
              <w:spacing w:line="440" w:lineRule="exact"/>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本项目废气排放口基本情况见表</w:t>
            </w:r>
            <w:r>
              <w:rPr>
                <w:rFonts w:hint="default" w:ascii="Times New Roman" w:hAnsi="Times New Roman" w:eastAsia="宋体" w:cs="Times New Roman"/>
                <w:color w:val="auto"/>
                <w:kern w:val="0"/>
                <w:sz w:val="24"/>
                <w:szCs w:val="24"/>
                <w:lang w:val="en-US" w:eastAsia="zh-CN"/>
              </w:rPr>
              <w:t>4</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3。</w:t>
            </w:r>
          </w:p>
          <w:p>
            <w:pPr>
              <w:spacing w:line="360" w:lineRule="auto"/>
              <w:jc w:val="center"/>
              <w:rPr>
                <w:rFonts w:hint="default" w:ascii="Times New Roman" w:hAnsi="Times New Roman" w:eastAsia="宋体" w:cs="Times New Roman"/>
                <w:bCs/>
                <w:sz w:val="24"/>
                <w:szCs w:val="24"/>
              </w:rPr>
            </w:pPr>
            <w:r>
              <w:rPr>
                <w:rFonts w:hint="default" w:ascii="Times New Roman" w:hAnsi="Times New Roman" w:eastAsia="宋体" w:cs="Times New Roman"/>
                <w:b/>
                <w:spacing w:val="-10"/>
                <w:sz w:val="24"/>
                <w:szCs w:val="24"/>
              </w:rPr>
              <w:t>表</w:t>
            </w:r>
            <w:r>
              <w:rPr>
                <w:rFonts w:hint="default" w:ascii="Times New Roman" w:hAnsi="Times New Roman" w:eastAsia="宋体" w:cs="Times New Roman"/>
                <w:b/>
                <w:spacing w:val="-10"/>
                <w:sz w:val="24"/>
                <w:szCs w:val="24"/>
                <w:lang w:val="en-US" w:eastAsia="zh-CN"/>
              </w:rPr>
              <w:t>4.2-</w:t>
            </w:r>
            <w:r>
              <w:rPr>
                <w:rFonts w:hint="eastAsia" w:ascii="Times New Roman" w:hAnsi="Times New Roman" w:eastAsia="宋体" w:cs="Times New Roman"/>
                <w:b/>
                <w:spacing w:val="-10"/>
                <w:sz w:val="24"/>
                <w:szCs w:val="24"/>
                <w:lang w:val="en-US" w:eastAsia="zh-CN"/>
              </w:rPr>
              <w:t xml:space="preserve">3  </w:t>
            </w:r>
            <w:r>
              <w:rPr>
                <w:rFonts w:hint="default" w:ascii="Times New Roman" w:hAnsi="Times New Roman" w:eastAsia="宋体" w:cs="Times New Roman"/>
                <w:b/>
                <w:spacing w:val="-10"/>
                <w:sz w:val="24"/>
                <w:szCs w:val="24"/>
              </w:rPr>
              <w:t>废气排放口基本情况一览表</w:t>
            </w:r>
          </w:p>
          <w:tbl>
            <w:tblPr>
              <w:tblStyle w:val="20"/>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27"/>
              <w:gridCol w:w="1778"/>
              <w:gridCol w:w="1093"/>
              <w:gridCol w:w="1106"/>
              <w:gridCol w:w="1088"/>
              <w:gridCol w:w="758"/>
              <w:gridCol w:w="810"/>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9" w:hRule="atLeast"/>
                <w:jc w:val="center"/>
              </w:trPr>
              <w:tc>
                <w:tcPr>
                  <w:tcW w:w="827"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排放口编号</w:t>
                  </w:r>
                </w:p>
              </w:tc>
              <w:tc>
                <w:tcPr>
                  <w:tcW w:w="1778"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排放口名称</w:t>
                  </w:r>
                </w:p>
              </w:tc>
              <w:tc>
                <w:tcPr>
                  <w:tcW w:w="2199" w:type="dxa"/>
                  <w:gridSpan w:val="2"/>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排放口地理坐标</w:t>
                  </w:r>
                </w:p>
              </w:tc>
              <w:tc>
                <w:tcPr>
                  <w:tcW w:w="1088" w:type="dxa"/>
                  <w:vMerge w:val="restart"/>
                  <w:vAlign w:val="center"/>
                </w:tcPr>
                <w:p>
                  <w:pPr>
                    <w:pStyle w:val="5"/>
                    <w:keepNext w:val="0"/>
                    <w:keepLines w:val="0"/>
                    <w:pageBreakBefore w:val="0"/>
                    <w:widowControl/>
                    <w:kinsoku/>
                    <w:wordWrap/>
                    <w:overflowPunct/>
                    <w:topLinePunct w:val="0"/>
                    <w:autoSpaceDE/>
                    <w:autoSpaceDN/>
                    <w:bidi w:val="0"/>
                    <w:adjustRightInd/>
                    <w:snapToGrid/>
                    <w:spacing w:before="0" w:beforeAutospacing="0" w:after="0" w:afterAutospacing="0"/>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排放口类型</w:t>
                  </w:r>
                </w:p>
              </w:tc>
              <w:tc>
                <w:tcPr>
                  <w:tcW w:w="758"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排气筒高度（m）</w:t>
                  </w:r>
                </w:p>
              </w:tc>
              <w:tc>
                <w:tcPr>
                  <w:tcW w:w="810"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排气筒内径（m）</w:t>
                  </w:r>
                </w:p>
              </w:tc>
              <w:tc>
                <w:tcPr>
                  <w:tcW w:w="655"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827"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p>
              </w:tc>
              <w:tc>
                <w:tcPr>
                  <w:tcW w:w="1778"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p>
              </w:tc>
              <w:tc>
                <w:tcPr>
                  <w:tcW w:w="1093"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经度</w:t>
                  </w:r>
                </w:p>
              </w:tc>
              <w:tc>
                <w:tcPr>
                  <w:tcW w:w="1106"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纬度</w:t>
                  </w:r>
                </w:p>
              </w:tc>
              <w:tc>
                <w:tcPr>
                  <w:tcW w:w="1088" w:type="dxa"/>
                  <w:vMerge w:val="continue"/>
                  <w:vAlign w:val="center"/>
                </w:tcPr>
                <w:p>
                  <w:pPr>
                    <w:pStyle w:val="5"/>
                    <w:keepNext w:val="0"/>
                    <w:keepLines w:val="0"/>
                    <w:pageBreakBefore w:val="0"/>
                    <w:widowControl/>
                    <w:kinsoku/>
                    <w:wordWrap/>
                    <w:overflowPunct/>
                    <w:topLinePunct w:val="0"/>
                    <w:autoSpaceDE/>
                    <w:autoSpaceDN/>
                    <w:bidi w:val="0"/>
                    <w:adjustRightInd/>
                    <w:snapToGrid/>
                    <w:spacing w:before="0" w:beforeAutospacing="0" w:after="0" w:afterAutospacing="0"/>
                    <w:jc w:val="center"/>
                    <w:rPr>
                      <w:rFonts w:hint="default" w:ascii="Times New Roman" w:hAnsi="Times New Roman" w:eastAsia="宋体" w:cs="Times New Roman"/>
                      <w:b w:val="0"/>
                      <w:sz w:val="21"/>
                      <w:szCs w:val="21"/>
                    </w:rPr>
                  </w:pPr>
                </w:p>
              </w:tc>
              <w:tc>
                <w:tcPr>
                  <w:tcW w:w="758"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kern w:val="0"/>
                      <w:sz w:val="21"/>
                      <w:szCs w:val="21"/>
                      <w:lang w:bidi="ar"/>
                    </w:rPr>
                  </w:pPr>
                </w:p>
              </w:tc>
              <w:tc>
                <w:tcPr>
                  <w:tcW w:w="810"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kern w:val="0"/>
                      <w:sz w:val="21"/>
                      <w:szCs w:val="21"/>
                      <w:lang w:bidi="ar"/>
                    </w:rPr>
                  </w:pPr>
                </w:p>
              </w:tc>
              <w:tc>
                <w:tcPr>
                  <w:tcW w:w="655"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6" w:hRule="atLeast"/>
                <w:jc w:val="center"/>
              </w:trPr>
              <w:tc>
                <w:tcPr>
                  <w:tcW w:w="827"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DA001</w:t>
                  </w:r>
                </w:p>
              </w:tc>
              <w:tc>
                <w:tcPr>
                  <w:tcW w:w="1778"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1#除臭系统</w:t>
                  </w:r>
                  <w:r>
                    <w:rPr>
                      <w:rFonts w:hint="default" w:ascii="Times New Roman" w:hAnsi="Times New Roman" w:eastAsia="宋体" w:cs="Times New Roman"/>
                      <w:sz w:val="21"/>
                      <w:szCs w:val="21"/>
                    </w:rPr>
                    <w:t>排放口</w:t>
                  </w:r>
                </w:p>
              </w:tc>
              <w:tc>
                <w:tcPr>
                  <w:tcW w:w="1093"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both"/>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105°56′34.17″</w:t>
                  </w:r>
                </w:p>
              </w:tc>
              <w:tc>
                <w:tcPr>
                  <w:tcW w:w="1106"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both"/>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29°48′41.566″</w:t>
                  </w:r>
                </w:p>
              </w:tc>
              <w:tc>
                <w:tcPr>
                  <w:tcW w:w="1088" w:type="dxa"/>
                  <w:vAlign w:val="center"/>
                </w:tcPr>
                <w:p>
                  <w:pPr>
                    <w:pStyle w:val="5"/>
                    <w:keepNext w:val="0"/>
                    <w:keepLines w:val="0"/>
                    <w:pageBreakBefore w:val="0"/>
                    <w:widowControl/>
                    <w:kinsoku/>
                    <w:wordWrap/>
                    <w:overflowPunct/>
                    <w:topLinePunct w:val="0"/>
                    <w:autoSpaceDE/>
                    <w:autoSpaceDN/>
                    <w:bidi w:val="0"/>
                    <w:adjustRightInd/>
                    <w:snapToGrid/>
                    <w:spacing w:before="0" w:beforeAutospacing="0" w:after="0" w:afterAutospacing="0"/>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一般排放口</w:t>
                  </w:r>
                </w:p>
              </w:tc>
              <w:tc>
                <w:tcPr>
                  <w:tcW w:w="758"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15</w:t>
                  </w:r>
                </w:p>
              </w:tc>
              <w:tc>
                <w:tcPr>
                  <w:tcW w:w="81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1.2</w:t>
                  </w:r>
                </w:p>
              </w:tc>
              <w:tc>
                <w:tcPr>
                  <w:tcW w:w="65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6" w:hRule="atLeast"/>
                <w:jc w:val="center"/>
              </w:trPr>
              <w:tc>
                <w:tcPr>
                  <w:tcW w:w="827"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DA00</w:t>
                  </w:r>
                  <w:r>
                    <w:rPr>
                      <w:rFonts w:hint="eastAsia" w:ascii="Times New Roman" w:hAnsi="Times New Roman" w:eastAsia="宋体" w:cs="Times New Roman"/>
                      <w:sz w:val="21"/>
                      <w:szCs w:val="21"/>
                      <w:lang w:val="en-US" w:eastAsia="zh-CN"/>
                    </w:rPr>
                    <w:t>2</w:t>
                  </w:r>
                </w:p>
              </w:tc>
              <w:tc>
                <w:tcPr>
                  <w:tcW w:w="1778"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2#除臭系统</w:t>
                  </w:r>
                  <w:r>
                    <w:rPr>
                      <w:rFonts w:hint="default" w:ascii="Times New Roman" w:hAnsi="Times New Roman" w:eastAsia="宋体" w:cs="Times New Roman"/>
                      <w:sz w:val="21"/>
                      <w:szCs w:val="21"/>
                    </w:rPr>
                    <w:t>排放口</w:t>
                  </w:r>
                </w:p>
              </w:tc>
              <w:tc>
                <w:tcPr>
                  <w:tcW w:w="1093"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both"/>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105°56′34.837″</w:t>
                  </w:r>
                </w:p>
              </w:tc>
              <w:tc>
                <w:tcPr>
                  <w:tcW w:w="1106"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both"/>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29°48′41.634″</w:t>
                  </w:r>
                </w:p>
              </w:tc>
              <w:tc>
                <w:tcPr>
                  <w:tcW w:w="1088" w:type="dxa"/>
                  <w:vAlign w:val="center"/>
                </w:tcPr>
                <w:p>
                  <w:pPr>
                    <w:pStyle w:val="5"/>
                    <w:keepNext w:val="0"/>
                    <w:keepLines w:val="0"/>
                    <w:pageBreakBefore w:val="0"/>
                    <w:widowControl/>
                    <w:kinsoku/>
                    <w:wordWrap/>
                    <w:overflowPunct/>
                    <w:topLinePunct w:val="0"/>
                    <w:autoSpaceDE/>
                    <w:autoSpaceDN/>
                    <w:bidi w:val="0"/>
                    <w:adjustRightInd/>
                    <w:snapToGrid/>
                    <w:spacing w:before="0" w:beforeAutospacing="0" w:after="0" w:afterAutospacing="0"/>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一般排放口</w:t>
                  </w:r>
                </w:p>
              </w:tc>
              <w:tc>
                <w:tcPr>
                  <w:tcW w:w="758"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15</w:t>
                  </w:r>
                </w:p>
              </w:tc>
              <w:tc>
                <w:tcPr>
                  <w:tcW w:w="81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1.2</w:t>
                  </w:r>
                </w:p>
              </w:tc>
              <w:tc>
                <w:tcPr>
                  <w:tcW w:w="65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r>
          </w:tbl>
          <w:p>
            <w:pPr>
              <w:adjustRightInd w:val="0"/>
              <w:snapToGrid w:val="0"/>
              <w:spacing w:line="360" w:lineRule="auto"/>
              <w:ind w:firstLine="482"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4、废气排放口情况及监测要求</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根据《排污许可证申请与核发技术规范 环境卫生管理业》（HJ 1106—2020），项目废气监测要求见表4.2-4。</w:t>
            </w:r>
          </w:p>
          <w:p>
            <w:pPr>
              <w:adjustRightInd w:val="0"/>
              <w:snapToGrid w:val="0"/>
              <w:spacing w:line="440" w:lineRule="exact"/>
              <w:ind w:firstLine="482" w:firstLineChars="200"/>
              <w:jc w:val="center"/>
              <w:rPr>
                <w:rFonts w:hint="default" w:ascii="Times New Roman" w:hAnsi="Times New Roman" w:eastAsia="宋体" w:cs="Times New Roman"/>
                <w:b/>
                <w:bCs/>
                <w:color w:val="auto"/>
                <w:kern w:val="0"/>
                <w:sz w:val="24"/>
                <w:szCs w:val="24"/>
                <w:lang w:val="en-US" w:eastAsia="zh-CN"/>
              </w:rPr>
            </w:pPr>
          </w:p>
          <w:p>
            <w:pPr>
              <w:adjustRightInd w:val="0"/>
              <w:snapToGrid w:val="0"/>
              <w:spacing w:line="440" w:lineRule="exact"/>
              <w:ind w:firstLine="482" w:firstLineChars="200"/>
              <w:jc w:val="center"/>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表</w:t>
            </w:r>
            <w:r>
              <w:rPr>
                <w:rFonts w:hint="eastAsia" w:ascii="Times New Roman" w:hAnsi="Times New Roman" w:eastAsia="宋体" w:cs="Times New Roman"/>
                <w:b/>
                <w:bCs/>
                <w:color w:val="auto"/>
                <w:kern w:val="0"/>
                <w:sz w:val="24"/>
                <w:szCs w:val="24"/>
                <w:lang w:val="en-US" w:eastAsia="zh-CN"/>
              </w:rPr>
              <w:t>4.2</w:t>
            </w:r>
            <w:r>
              <w:rPr>
                <w:rFonts w:hint="default" w:ascii="Times New Roman" w:hAnsi="Times New Roman" w:eastAsia="宋体" w:cs="Times New Roman"/>
                <w:b/>
                <w:bCs/>
                <w:color w:val="auto"/>
                <w:kern w:val="0"/>
                <w:sz w:val="24"/>
                <w:szCs w:val="24"/>
                <w:lang w:val="en-US" w:eastAsia="zh-CN"/>
              </w:rPr>
              <w:t>-</w:t>
            </w:r>
            <w:r>
              <w:rPr>
                <w:rFonts w:hint="eastAsia" w:ascii="Times New Roman" w:hAnsi="Times New Roman" w:eastAsia="宋体" w:cs="Times New Roman"/>
                <w:b/>
                <w:bCs/>
                <w:color w:val="auto"/>
                <w:kern w:val="0"/>
                <w:sz w:val="24"/>
                <w:szCs w:val="24"/>
                <w:lang w:val="en-US" w:eastAsia="zh-CN"/>
              </w:rPr>
              <w:t>4</w:t>
            </w:r>
            <w:r>
              <w:rPr>
                <w:rFonts w:hint="default" w:ascii="Times New Roman" w:hAnsi="Times New Roman" w:eastAsia="宋体" w:cs="Times New Roman"/>
                <w:b/>
                <w:bCs/>
                <w:color w:val="auto"/>
                <w:kern w:val="0"/>
                <w:sz w:val="24"/>
                <w:szCs w:val="24"/>
                <w:lang w:val="en-US" w:eastAsia="zh-CN"/>
              </w:rPr>
              <w:t xml:space="preserve">   项目</w:t>
            </w:r>
            <w:r>
              <w:rPr>
                <w:rFonts w:hint="eastAsia" w:ascii="Times New Roman" w:hAnsi="Times New Roman" w:eastAsia="宋体" w:cs="Times New Roman"/>
                <w:b/>
                <w:bCs/>
                <w:color w:val="auto"/>
                <w:kern w:val="0"/>
                <w:sz w:val="24"/>
                <w:szCs w:val="24"/>
                <w:lang w:val="en-US" w:eastAsia="zh-CN"/>
              </w:rPr>
              <w:t>废气监测要求</w:t>
            </w:r>
            <w:r>
              <w:rPr>
                <w:rFonts w:hint="default" w:ascii="Times New Roman" w:hAnsi="Times New Roman" w:eastAsia="宋体" w:cs="Times New Roman"/>
                <w:b/>
                <w:bCs/>
                <w:color w:val="auto"/>
                <w:kern w:val="0"/>
                <w:sz w:val="24"/>
                <w:szCs w:val="24"/>
                <w:lang w:val="en-US" w:eastAsia="zh-CN"/>
              </w:rPr>
              <w:t>表</w:t>
            </w:r>
          </w:p>
          <w:tbl>
            <w:tblPr>
              <w:tblStyle w:val="20"/>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2925"/>
              <w:gridCol w:w="1120"/>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13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监测点位</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监测因子</w:t>
                  </w:r>
                </w:p>
              </w:tc>
              <w:tc>
                <w:tcPr>
                  <w:tcW w:w="112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监测频次</w:t>
                  </w:r>
                </w:p>
              </w:tc>
              <w:tc>
                <w:tcPr>
                  <w:tcW w:w="2036"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13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1#除臭系统</w:t>
                  </w:r>
                  <w:r>
                    <w:rPr>
                      <w:rFonts w:hint="default" w:ascii="Times New Roman" w:hAnsi="Times New Roman" w:eastAsia="宋体" w:cs="Times New Roman"/>
                      <w:sz w:val="21"/>
                      <w:szCs w:val="21"/>
                    </w:rPr>
                    <w:t>排放口</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氨气、硫化氢</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臭气浓度</w:t>
                  </w:r>
                </w:p>
              </w:tc>
              <w:tc>
                <w:tcPr>
                  <w:tcW w:w="112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1次/</w:t>
                  </w:r>
                  <w:r>
                    <w:rPr>
                      <w:rFonts w:hint="eastAsia" w:ascii="Times New Roman" w:hAnsi="Times New Roman" w:eastAsia="宋体" w:cs="Times New Roman"/>
                      <w:color w:val="auto"/>
                      <w:sz w:val="21"/>
                      <w:szCs w:val="21"/>
                      <w:lang w:eastAsia="zh-CN"/>
                    </w:rPr>
                    <w:t>半</w:t>
                  </w:r>
                  <w:r>
                    <w:rPr>
                      <w:rFonts w:hint="eastAsia" w:ascii="Times New Roman" w:hAnsi="Times New Roman" w:eastAsia="宋体" w:cs="Times New Roman"/>
                      <w:sz w:val="21"/>
                      <w:szCs w:val="21"/>
                    </w:rPr>
                    <w:t>年</w:t>
                  </w:r>
                </w:p>
              </w:tc>
              <w:tc>
                <w:tcPr>
                  <w:tcW w:w="2036"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eastAsia="zh-CN"/>
                    </w:rPr>
                  </w:pPr>
                  <w:r>
                    <w:rPr>
                      <w:rFonts w:ascii="Times New Roman" w:hAnsi="Times New Roman" w:eastAsia="宋体" w:cs="Times New Roman"/>
                      <w:snapToGrid w:val="0"/>
                      <w:color w:val="auto"/>
                      <w:kern w:val="24"/>
                      <w:szCs w:val="21"/>
                    </w:rPr>
                    <w:t>《恶臭污染物排放标准》（GB14554-93</w:t>
                  </w:r>
                  <w:r>
                    <w:rPr>
                      <w:rFonts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13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2#除臭系统</w:t>
                  </w:r>
                  <w:r>
                    <w:rPr>
                      <w:rFonts w:hint="default" w:ascii="Times New Roman" w:hAnsi="Times New Roman" w:eastAsia="宋体" w:cs="Times New Roman"/>
                      <w:sz w:val="21"/>
                      <w:szCs w:val="21"/>
                    </w:rPr>
                    <w:t>排放口</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氨气、硫化氢</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臭气浓度</w:t>
                  </w:r>
                </w:p>
              </w:tc>
              <w:tc>
                <w:tcPr>
                  <w:tcW w:w="112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1次/半年</w:t>
                  </w:r>
                </w:p>
              </w:tc>
              <w:tc>
                <w:tcPr>
                  <w:tcW w:w="2036"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ascii="Times New Roman" w:hAnsi="Times New Roman" w:eastAsia="宋体" w:cs="Times New Roman"/>
                      <w:snapToGrid w:val="0"/>
                      <w:color w:val="auto"/>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37"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厂界</w:t>
                  </w:r>
                </w:p>
              </w:tc>
              <w:tc>
                <w:tcPr>
                  <w:tcW w:w="292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氨气、硫化氢、臭气浓度</w:t>
                  </w:r>
                </w:p>
              </w:tc>
              <w:tc>
                <w:tcPr>
                  <w:tcW w:w="112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1次/季度</w:t>
                  </w:r>
                </w:p>
              </w:tc>
              <w:tc>
                <w:tcPr>
                  <w:tcW w:w="2036" w:type="dxa"/>
                  <w:vMerge w:val="continue"/>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eastAsia="zh-CN"/>
                    </w:rPr>
                  </w:pPr>
                </w:p>
              </w:tc>
            </w:tr>
          </w:tbl>
          <w:p>
            <w:pPr>
              <w:adjustRightInd w:val="0"/>
              <w:snapToGrid w:val="0"/>
              <w:spacing w:line="360" w:lineRule="auto"/>
              <w:ind w:firstLine="482" w:firstLineChars="200"/>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5、非正常排放</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非正常排放主要指生产过程中开车、停车、检修、发生故障时物料的泄漏，无严格控制措施或措施失效往往是造成环境污染的重要因素。根据生产工艺和污染物产生、处理特点，本评价非正常排放主要针对二级化学洗涤塔故障产生的非正常排放源强核算分析，排放持续时间按2小时计。具体情况如下表。</w:t>
            </w:r>
          </w:p>
          <w:p>
            <w:pPr>
              <w:adjustRightInd w:val="0"/>
              <w:snapToGrid w:val="0"/>
              <w:spacing w:line="360" w:lineRule="auto"/>
              <w:ind w:firstLine="482" w:firstLineChars="200"/>
              <w:jc w:val="center"/>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表4.2-5   非正常点源排放情况表</w:t>
            </w:r>
          </w:p>
          <w:tbl>
            <w:tblPr>
              <w:tblStyle w:val="20"/>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877"/>
              <w:gridCol w:w="1046"/>
              <w:gridCol w:w="1008"/>
              <w:gridCol w:w="832"/>
              <w:gridCol w:w="820"/>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1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排放方式</w:t>
                  </w:r>
                </w:p>
              </w:tc>
              <w:tc>
                <w:tcPr>
                  <w:tcW w:w="87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污染物名称</w:t>
                  </w:r>
                </w:p>
              </w:tc>
              <w:tc>
                <w:tcPr>
                  <w:tcW w:w="1046"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排放浓度</w:t>
                  </w: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100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排放速率</w:t>
                  </w:r>
                  <w:r>
                    <w:rPr>
                      <w:rFonts w:hint="default" w:ascii="Times New Roman" w:hAnsi="Times New Roman" w:eastAsia="宋体" w:cs="Times New Roman"/>
                      <w:sz w:val="21"/>
                      <w:szCs w:val="21"/>
                      <w:lang w:eastAsia="zh-CN"/>
                    </w:rPr>
                    <w:t>kg/h</w:t>
                  </w:r>
                </w:p>
              </w:tc>
              <w:tc>
                <w:tcPr>
                  <w:tcW w:w="8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持续时间</w:t>
                  </w:r>
                  <w:r>
                    <w:rPr>
                      <w:rFonts w:hint="default" w:ascii="Times New Roman" w:hAnsi="Times New Roman" w:eastAsia="宋体" w:cs="Times New Roman"/>
                      <w:sz w:val="21"/>
                      <w:szCs w:val="21"/>
                      <w:lang w:eastAsia="zh-CN"/>
                    </w:rPr>
                    <w:t>h</w:t>
                  </w:r>
                </w:p>
              </w:tc>
              <w:tc>
                <w:tcPr>
                  <w:tcW w:w="82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排放量</w:t>
                  </w:r>
                  <w:r>
                    <w:rPr>
                      <w:rFonts w:hint="default" w:ascii="Times New Roman" w:hAnsi="Times New Roman" w:eastAsia="宋体" w:cs="Times New Roman"/>
                      <w:sz w:val="21"/>
                      <w:szCs w:val="21"/>
                      <w:lang w:eastAsia="zh-CN"/>
                    </w:rPr>
                    <w:t>kg</w:t>
                  </w:r>
                </w:p>
              </w:tc>
              <w:tc>
                <w:tcPr>
                  <w:tcW w:w="2706"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1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1#除臭系统</w:t>
                  </w:r>
                  <w:r>
                    <w:rPr>
                      <w:rFonts w:hint="default" w:ascii="Times New Roman" w:hAnsi="Times New Roman" w:eastAsia="宋体" w:cs="Times New Roman"/>
                      <w:sz w:val="21"/>
                      <w:szCs w:val="21"/>
                    </w:rPr>
                    <w:t>排放口</w:t>
                  </w:r>
                </w:p>
              </w:tc>
              <w:tc>
                <w:tcPr>
                  <w:tcW w:w="8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17.48 </w:t>
                  </w:r>
                </w:p>
              </w:tc>
              <w:tc>
                <w:tcPr>
                  <w:tcW w:w="100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0.512</w:t>
                  </w:r>
                </w:p>
              </w:tc>
              <w:tc>
                <w:tcPr>
                  <w:tcW w:w="8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8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1.024</w:t>
                  </w:r>
                </w:p>
              </w:tc>
              <w:tc>
                <w:tcPr>
                  <w:tcW w:w="2706"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定期安排专人进行巡查，立即停止生产，待污染防治设施维修正常后方可投入生产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1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kern w:val="2"/>
                      <w:sz w:val="21"/>
                      <w:szCs w:val="21"/>
                      <w:lang w:val="en-US" w:eastAsia="zh-CN" w:bidi="ar-SA"/>
                    </w:rPr>
                  </w:pPr>
                </w:p>
              </w:tc>
              <w:tc>
                <w:tcPr>
                  <w:tcW w:w="8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1.77 </w:t>
                  </w:r>
                </w:p>
              </w:tc>
              <w:tc>
                <w:tcPr>
                  <w:tcW w:w="100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0.0456</w:t>
                  </w:r>
                </w:p>
              </w:tc>
              <w:tc>
                <w:tcPr>
                  <w:tcW w:w="8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8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0.0912</w:t>
                  </w:r>
                </w:p>
              </w:tc>
              <w:tc>
                <w:tcPr>
                  <w:tcW w:w="2706"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1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2#除臭系统</w:t>
                  </w:r>
                  <w:r>
                    <w:rPr>
                      <w:rFonts w:hint="default" w:ascii="Times New Roman" w:hAnsi="Times New Roman" w:eastAsia="宋体" w:cs="Times New Roman"/>
                      <w:sz w:val="21"/>
                      <w:szCs w:val="21"/>
                    </w:rPr>
                    <w:t>排放口</w:t>
                  </w:r>
                </w:p>
              </w:tc>
              <w:tc>
                <w:tcPr>
                  <w:tcW w:w="8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17.51 </w:t>
                  </w:r>
                </w:p>
              </w:tc>
              <w:tc>
                <w:tcPr>
                  <w:tcW w:w="10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0.943</w:t>
                  </w:r>
                </w:p>
              </w:tc>
              <w:tc>
                <w:tcPr>
                  <w:tcW w:w="8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w:t>
                  </w:r>
                </w:p>
              </w:tc>
              <w:tc>
                <w:tcPr>
                  <w:tcW w:w="82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1.886</w:t>
                  </w:r>
                </w:p>
              </w:tc>
              <w:tc>
                <w:tcPr>
                  <w:tcW w:w="2706"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1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kern w:val="2"/>
                      <w:sz w:val="21"/>
                      <w:szCs w:val="21"/>
                      <w:lang w:val="en-US" w:eastAsia="zh-CN" w:bidi="ar-SA"/>
                    </w:rPr>
                  </w:pPr>
                </w:p>
              </w:tc>
              <w:tc>
                <w:tcPr>
                  <w:tcW w:w="8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1.75 </w:t>
                  </w:r>
                </w:p>
              </w:tc>
              <w:tc>
                <w:tcPr>
                  <w:tcW w:w="10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0.094</w:t>
                  </w:r>
                </w:p>
              </w:tc>
              <w:tc>
                <w:tcPr>
                  <w:tcW w:w="83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w:t>
                  </w:r>
                </w:p>
              </w:tc>
              <w:tc>
                <w:tcPr>
                  <w:tcW w:w="82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0.188</w:t>
                  </w:r>
                </w:p>
              </w:tc>
              <w:tc>
                <w:tcPr>
                  <w:tcW w:w="2706"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center"/>
                    <w:rPr>
                      <w:rFonts w:hint="eastAsia" w:ascii="Times New Roman" w:hAnsi="Times New Roman" w:eastAsia="宋体" w:cs="Times New Roman"/>
                      <w:sz w:val="21"/>
                      <w:szCs w:val="21"/>
                      <w:lang w:val="en-US" w:eastAsia="zh-CN"/>
                    </w:rPr>
                  </w:pP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为避免项目运行过程中出现的非正常排放情况，本次评价建议建设单位定期安排专人进行巡查，合理安排环保设施的检修时间，同时加强各环保设施的日常维护的保养，一旦环保设施出现报警或自动停机的情况，企业必须马上停止生产，待其正常运行后，方可开机生产。</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6、环境影响分析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color w:val="auto"/>
                <w:sz w:val="24"/>
                <w:szCs w:val="24"/>
                <w:lang w:eastAsia="zh-CN"/>
              </w:rPr>
              <w:t>根据表</w:t>
            </w:r>
            <w:r>
              <w:rPr>
                <w:rFonts w:hint="eastAsia" w:ascii="Times New Roman" w:hAnsi="Times New Roman" w:eastAsia="宋体" w:cs="Times New Roman"/>
                <w:color w:val="auto"/>
                <w:sz w:val="24"/>
                <w:szCs w:val="24"/>
                <w:lang w:val="en-US" w:eastAsia="zh-CN"/>
              </w:rPr>
              <w:t>4.2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1可知，</w:t>
            </w:r>
            <w:r>
              <w:rPr>
                <w:rFonts w:hint="default" w:ascii="Times New Roman" w:hAnsi="Times New Roman" w:eastAsia="宋体" w:cs="Times New Roman"/>
                <w:color w:val="auto"/>
                <w:sz w:val="24"/>
                <w:szCs w:val="24"/>
              </w:rPr>
              <w:t>污泥</w:t>
            </w:r>
            <w:r>
              <w:rPr>
                <w:rFonts w:hint="eastAsia" w:ascii="Times New Roman" w:hAnsi="Times New Roman" w:eastAsia="宋体" w:cs="Times New Roman"/>
                <w:color w:val="auto"/>
                <w:sz w:val="24"/>
                <w:szCs w:val="24"/>
                <w:lang w:val="en-US" w:eastAsia="zh-CN"/>
              </w:rPr>
              <w:t>储存</w:t>
            </w:r>
            <w:r>
              <w:rPr>
                <w:rFonts w:hint="eastAsia" w:ascii="Times New Roman" w:hAnsi="Times New Roman" w:eastAsia="宋体" w:cs="Times New Roman"/>
                <w:color w:val="auto"/>
                <w:sz w:val="24"/>
                <w:szCs w:val="24"/>
                <w:lang w:eastAsia="zh-CN"/>
              </w:rPr>
              <w:t>、破壁、</w:t>
            </w:r>
            <w:r>
              <w:rPr>
                <w:rFonts w:hint="eastAsia" w:ascii="Times New Roman" w:hAnsi="Times New Roman" w:eastAsia="宋体" w:cs="Times New Roman"/>
                <w:color w:val="auto"/>
                <w:sz w:val="24"/>
                <w:szCs w:val="24"/>
                <w:lang w:val="en-US" w:eastAsia="zh-CN"/>
              </w:rPr>
              <w:t>脱水、干污泥</w:t>
            </w:r>
            <w:r>
              <w:rPr>
                <w:rFonts w:hint="default" w:ascii="Times New Roman" w:hAnsi="Times New Roman" w:eastAsia="宋体" w:cs="Times New Roman"/>
                <w:color w:val="auto"/>
                <w:sz w:val="24"/>
                <w:szCs w:val="24"/>
              </w:rPr>
              <w:t>储存</w:t>
            </w:r>
            <w:r>
              <w:rPr>
                <w:rFonts w:hint="eastAsia" w:ascii="Times New Roman" w:hAnsi="Times New Roman" w:eastAsia="宋体" w:cs="Times New Roman"/>
                <w:color w:val="auto"/>
                <w:sz w:val="24"/>
                <w:szCs w:val="24"/>
                <w:lang w:eastAsia="zh-CN"/>
              </w:rPr>
              <w:t>臭气均</w:t>
            </w:r>
            <w:r>
              <w:rPr>
                <w:rFonts w:hint="eastAsia" w:ascii="Times New Roman" w:hAnsi="Times New Roman" w:eastAsia="宋体" w:cs="Times New Roman"/>
                <w:color w:val="auto"/>
                <w:sz w:val="24"/>
                <w:szCs w:val="24"/>
                <w:lang w:val="en-US" w:eastAsia="zh-CN"/>
              </w:rPr>
              <w:t>依托</w:t>
            </w:r>
            <w:r>
              <w:rPr>
                <w:rFonts w:hint="eastAsia" w:ascii="Times New Roman" w:hAnsi="Times New Roman" w:eastAsia="宋体" w:cs="Times New Roman"/>
                <w:color w:val="auto"/>
                <w:kern w:val="0"/>
                <w:sz w:val="24"/>
                <w:szCs w:val="24"/>
                <w:lang w:val="en-US" w:eastAsia="zh-CN"/>
              </w:rPr>
              <w:t>现有1#除臭系统收集处理达标后</w:t>
            </w:r>
            <w:r>
              <w:rPr>
                <w:rFonts w:hint="eastAsia" w:ascii="Times New Roman" w:hAnsi="Times New Roman" w:eastAsia="宋体" w:cs="Times New Roman"/>
                <w:color w:val="auto"/>
                <w:sz w:val="24"/>
                <w:szCs w:val="24"/>
                <w:lang w:val="en-US" w:eastAsia="zh-CN"/>
              </w:rPr>
              <w:t>通过1根15m高1#排气筒排放，</w:t>
            </w:r>
            <w:r>
              <w:rPr>
                <w:rFonts w:hint="eastAsia" w:ascii="Times New Roman" w:hAnsi="Times New Roman" w:eastAsia="宋体" w:cs="Times New Roman"/>
                <w:bCs/>
                <w:color w:val="auto"/>
                <w:sz w:val="24"/>
                <w:szCs w:val="24"/>
                <w:lang w:val="en-US" w:eastAsia="zh-CN"/>
              </w:rPr>
              <w:t>污泥布料、发酵臭气</w:t>
            </w:r>
            <w:r>
              <w:rPr>
                <w:rFonts w:hint="eastAsia" w:ascii="Times New Roman" w:hAnsi="Times New Roman" w:eastAsia="宋体" w:cs="Times New Roman"/>
                <w:color w:val="auto"/>
                <w:sz w:val="24"/>
                <w:szCs w:val="24"/>
                <w:lang w:val="en-US" w:eastAsia="zh-CN"/>
              </w:rPr>
              <w:t>依托现有</w:t>
            </w:r>
            <w:r>
              <w:rPr>
                <w:rFonts w:hint="eastAsia" w:ascii="Times New Roman" w:hAnsi="Times New Roman" w:eastAsia="宋体" w:cs="Times New Roman"/>
                <w:color w:val="auto"/>
                <w:kern w:val="0"/>
                <w:sz w:val="24"/>
                <w:szCs w:val="24"/>
                <w:lang w:val="en-US" w:eastAsia="zh-CN"/>
              </w:rPr>
              <w:t>1#、2#除臭系统处理达标后分别</w:t>
            </w:r>
            <w:r>
              <w:rPr>
                <w:rFonts w:hint="eastAsia" w:ascii="Times New Roman" w:hAnsi="Times New Roman" w:eastAsia="宋体" w:cs="Times New Roman"/>
                <w:color w:val="auto"/>
                <w:sz w:val="24"/>
                <w:szCs w:val="24"/>
                <w:lang w:val="en-US" w:eastAsia="zh-CN"/>
              </w:rPr>
              <w:t>通过15m高1#、2#排气筒排放，废气</w:t>
            </w:r>
            <w:r>
              <w:rPr>
                <w:rFonts w:hint="eastAsia"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S和</w:t>
            </w:r>
            <w:r>
              <w:rPr>
                <w:rFonts w:hint="eastAsia" w:ascii="Times New Roman" w:hAnsi="Times New Roman" w:eastAsia="宋体" w:cs="Times New Roman"/>
                <w:color w:val="auto"/>
                <w:sz w:val="24"/>
                <w:szCs w:val="24"/>
                <w:lang w:val="en-US" w:eastAsia="zh-CN"/>
              </w:rPr>
              <w:t>臭气浓度</w:t>
            </w:r>
            <w:r>
              <w:rPr>
                <w:rFonts w:hint="eastAsia" w:ascii="Times New Roman" w:hAnsi="Times New Roman" w:eastAsia="宋体" w:cs="Times New Roman"/>
                <w:b w:val="0"/>
                <w:bCs/>
                <w:color w:val="auto"/>
                <w:sz w:val="24"/>
                <w:szCs w:val="24"/>
                <w:lang w:eastAsia="zh-CN"/>
              </w:rPr>
              <w:t>排放</w:t>
            </w:r>
            <w:r>
              <w:rPr>
                <w:rFonts w:hint="eastAsia" w:ascii="Times New Roman" w:hAnsi="Times New Roman" w:eastAsia="宋体" w:cs="Times New Roman"/>
                <w:b w:val="0"/>
                <w:bCs/>
                <w:color w:val="auto"/>
                <w:sz w:val="24"/>
                <w:szCs w:val="24"/>
                <w:lang w:val="en-US" w:eastAsia="zh-CN"/>
              </w:rPr>
              <w:t>速率及排放</w:t>
            </w:r>
            <w:r>
              <w:rPr>
                <w:rFonts w:hint="eastAsia" w:ascii="Times New Roman" w:hAnsi="Times New Roman" w:eastAsia="宋体" w:cs="Times New Roman"/>
                <w:b w:val="0"/>
                <w:bCs/>
                <w:color w:val="auto"/>
                <w:sz w:val="24"/>
                <w:szCs w:val="24"/>
                <w:lang w:eastAsia="zh-CN"/>
              </w:rPr>
              <w:t>浓度均满足</w:t>
            </w:r>
            <w:r>
              <w:rPr>
                <w:rFonts w:hint="eastAsia" w:ascii="Times New Roman" w:hAnsi="Times New Roman" w:eastAsia="宋体" w:cs="Times New Roman"/>
                <w:color w:val="auto"/>
                <w:sz w:val="24"/>
                <w:szCs w:val="24"/>
                <w:lang w:eastAsia="zh-CN"/>
              </w:rPr>
              <w:t>《恶臭污染物排放标准》（GB14554-93）</w:t>
            </w:r>
            <w:r>
              <w:rPr>
                <w:rFonts w:hint="eastAsia" w:ascii="Times New Roman" w:hAnsi="Times New Roman" w:eastAsia="宋体" w:cs="Times New Roman"/>
                <w:color w:val="auto"/>
                <w:sz w:val="24"/>
                <w:szCs w:val="24"/>
                <w:lang w:val="en-US" w:eastAsia="zh-CN"/>
              </w:rPr>
              <w:t>排放标准</w:t>
            </w:r>
            <w:r>
              <w:rPr>
                <w:rFonts w:hint="eastAsia" w:ascii="Times New Roman" w:hAnsi="Times New Roman" w:eastAsia="宋体" w:cs="Times New Roman"/>
                <w:b w:val="0"/>
                <w:bCs/>
                <w:color w:val="auto"/>
                <w:sz w:val="24"/>
                <w:szCs w:val="24"/>
                <w:lang w:eastAsia="zh-CN"/>
              </w:rPr>
              <w:t>要求。</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所在地属于达标区域，厂界外500米范围内环境空气保护目标主要为农村零散居民及学校等环境保护目标，且大部分保护目标与项目地势高差较大，受项目废气影响相对较小，且项目各污染物经处理后能够实现达标排放，因此，项目废气对周边环境影响较小。</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4.2.2废水</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1、污泥压滤废水</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根据前文2.2.8章节可知，项目污泥压滤脱水产生的废水量为22440</w:t>
            </w:r>
            <w:r>
              <w:rPr>
                <w:rFonts w:hint="default" w:ascii="Times New Roman" w:hAnsi="Times New Roman" w:eastAsia="宋体" w:cs="Times New Roman"/>
                <w:color w:val="auto"/>
                <w:kern w:val="0"/>
                <w:sz w:val="24"/>
                <w:szCs w:val="24"/>
                <w:lang w:val="en-US" w:eastAsia="zh-CN"/>
              </w:rPr>
              <w:t>m</w:t>
            </w:r>
            <w:r>
              <w:rPr>
                <w:rFonts w:hint="default"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/a（</w:t>
            </w:r>
            <w:r>
              <w:rPr>
                <w:rFonts w:hint="eastAsia" w:ascii="Times New Roman" w:hAnsi="Times New Roman" w:eastAsia="宋体" w:cs="Times New Roman"/>
                <w:color w:val="auto"/>
                <w:kern w:val="0"/>
                <w:sz w:val="24"/>
                <w:szCs w:val="24"/>
                <w:lang w:val="en-US" w:eastAsia="zh-CN"/>
              </w:rPr>
              <w:t>68</w:t>
            </w:r>
            <w:r>
              <w:rPr>
                <w:rFonts w:hint="default" w:ascii="Times New Roman" w:hAnsi="Times New Roman" w:eastAsia="宋体" w:cs="Times New Roman"/>
                <w:color w:val="auto"/>
                <w:kern w:val="0"/>
                <w:sz w:val="24"/>
                <w:szCs w:val="24"/>
                <w:lang w:val="en-US" w:eastAsia="zh-CN"/>
              </w:rPr>
              <w:t>m</w:t>
            </w:r>
            <w:r>
              <w:rPr>
                <w:rFonts w:hint="default"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/d）</w:t>
            </w:r>
            <w:r>
              <w:rPr>
                <w:rFonts w:hint="eastAsia" w:ascii="Times New Roman" w:hAnsi="Times New Roman" w:eastAsia="宋体" w:cs="Times New Roman"/>
                <w:color w:val="auto"/>
                <w:kern w:val="0"/>
                <w:sz w:val="24"/>
                <w:szCs w:val="24"/>
                <w:lang w:val="en-US" w:eastAsia="zh-CN"/>
              </w:rPr>
              <w:t>。由于项目脱水污泥主要来源于城市生活污水处理厂二沉池产生的剩余污泥，该部分污泥中废水基本已处理达</w:t>
            </w:r>
            <w:r>
              <w:rPr>
                <w:rFonts w:hint="eastAsia" w:ascii="Times New Roman" w:hAnsi="Times New Roman" w:eastAsia="宋体" w:cs="Times New Roman"/>
                <w:kern w:val="0"/>
                <w:sz w:val="24"/>
                <w:szCs w:val="24"/>
                <w:lang w:val="en-US" w:eastAsia="zh-CN"/>
              </w:rPr>
              <w:t>《污水综合排放标准》（GB8978-1996）中三级标准，因此，污泥</w:t>
            </w:r>
            <w:r>
              <w:rPr>
                <w:rFonts w:hint="eastAsia" w:ascii="Times New Roman" w:hAnsi="Times New Roman" w:eastAsia="宋体" w:cs="Times New Roman"/>
                <w:color w:val="auto"/>
                <w:kern w:val="0"/>
                <w:sz w:val="24"/>
                <w:szCs w:val="24"/>
                <w:lang w:val="en-US" w:eastAsia="zh-CN"/>
              </w:rPr>
              <w:t>压滤</w:t>
            </w:r>
            <w:r>
              <w:rPr>
                <w:rFonts w:hint="eastAsia" w:ascii="Times New Roman" w:hAnsi="Times New Roman" w:eastAsia="宋体" w:cs="Times New Roman"/>
                <w:kern w:val="0"/>
                <w:sz w:val="24"/>
                <w:szCs w:val="24"/>
                <w:lang w:val="en-US" w:eastAsia="zh-CN"/>
              </w:rPr>
              <w:t>产生的废水水质按GB8978-1996三级标准进行取值</w:t>
            </w:r>
            <w:r>
              <w:rPr>
                <w:rFonts w:hint="eastAsia" w:ascii="Times New Roman" w:hAnsi="Times New Roman" w:eastAsia="宋体" w:cs="Times New Roman"/>
                <w:color w:val="auto"/>
                <w:kern w:val="0"/>
                <w:sz w:val="24"/>
                <w:szCs w:val="24"/>
                <w:lang w:val="en-US" w:eastAsia="zh-CN"/>
              </w:rPr>
              <w:t>，主要污染物产生浓度为pH：6~9、COD：500mg/L、BOD</w:t>
            </w:r>
            <w:r>
              <w:rPr>
                <w:rFonts w:hint="eastAsia" w:ascii="Times New Roman" w:hAnsi="Times New Roman" w:eastAsia="宋体" w:cs="Times New Roman"/>
                <w:color w:val="auto"/>
                <w:kern w:val="0"/>
                <w:sz w:val="24"/>
                <w:szCs w:val="24"/>
                <w:vertAlign w:val="subscript"/>
                <w:lang w:val="en-US" w:eastAsia="zh-CN"/>
              </w:rPr>
              <w:t>5</w:t>
            </w:r>
            <w:r>
              <w:rPr>
                <w:rFonts w:hint="eastAsia" w:ascii="Times New Roman" w:hAnsi="Times New Roman" w:eastAsia="宋体" w:cs="Times New Roman"/>
                <w:color w:val="auto"/>
                <w:kern w:val="0"/>
                <w:sz w:val="24"/>
                <w:szCs w:val="24"/>
                <w:lang w:val="en-US" w:eastAsia="zh-CN"/>
              </w:rPr>
              <w:t>：300mg/L、SS：400 mg/L、氨氮：45mg/L。污泥压滤废水经2个污水池收集后通过专用罐车运至</w:t>
            </w:r>
            <w:r>
              <w:rPr>
                <w:rFonts w:hint="eastAsia" w:ascii="Times New Roman" w:hAnsi="Times New Roman" w:eastAsia="宋体" w:cs="Times New Roman"/>
                <w:kern w:val="0"/>
                <w:sz w:val="24"/>
                <w:szCs w:val="24"/>
                <w:lang w:val="en-US" w:eastAsia="zh-CN"/>
              </w:rPr>
              <w:t>重庆铜梁城区污水处理厂</w:t>
            </w:r>
            <w:r>
              <w:rPr>
                <w:rFonts w:hint="eastAsia" w:ascii="Times New Roman" w:hAnsi="Times New Roman" w:eastAsia="宋体" w:cs="Times New Roman"/>
                <w:color w:val="auto"/>
                <w:kern w:val="0"/>
                <w:sz w:val="24"/>
                <w:szCs w:val="24"/>
                <w:lang w:val="en-US" w:eastAsia="zh-CN"/>
              </w:rPr>
              <w:t>处理。</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2、设备清洗废水</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sz w:val="24"/>
                <w:szCs w:val="24"/>
                <w:lang w:eastAsia="zh-CN"/>
              </w:rPr>
              <w:t>设备清洗废水量约</w:t>
            </w:r>
            <w:r>
              <w:rPr>
                <w:rFonts w:hint="eastAsia" w:ascii="Times New Roman" w:hAnsi="Times New Roman" w:eastAsia="宋体" w:cs="Times New Roman"/>
                <w:color w:val="auto"/>
                <w:sz w:val="24"/>
                <w:szCs w:val="24"/>
                <w:lang w:val="en-US" w:eastAsia="zh-CN"/>
              </w:rPr>
              <w:t>0.9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297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kern w:val="0"/>
                <w:sz w:val="24"/>
                <w:szCs w:val="24"/>
                <w:lang w:val="en-US" w:eastAsia="zh-CN"/>
              </w:rPr>
              <w:t>设备清洗废水</w:t>
            </w:r>
            <w:r>
              <w:rPr>
                <w:rFonts w:hint="eastAsia" w:ascii="Times New Roman" w:hAnsi="Times New Roman" w:eastAsia="宋体" w:cs="Times New Roman"/>
                <w:color w:val="auto"/>
                <w:sz w:val="24"/>
                <w:szCs w:val="24"/>
                <w:lang w:eastAsia="zh-CN"/>
              </w:rPr>
              <w:t>依托现有生化池收集处理后用于</w:t>
            </w:r>
            <w:r>
              <w:rPr>
                <w:rFonts w:hint="eastAsia" w:ascii="Times New Roman" w:hAnsi="Times New Roman" w:eastAsia="宋体" w:cs="Times New Roman"/>
                <w:color w:val="auto"/>
                <w:sz w:val="24"/>
                <w:lang w:val="en-US" w:eastAsia="zh-CN"/>
              </w:rPr>
              <w:t>厂区绿化或作农肥</w:t>
            </w:r>
            <w:r>
              <w:rPr>
                <w:rFonts w:hint="eastAsia" w:ascii="Times New Roman" w:hAnsi="Times New Roman" w:eastAsia="宋体" w:cs="Times New Roman"/>
                <w:color w:val="auto"/>
                <w:sz w:val="24"/>
                <w:szCs w:val="24"/>
                <w:lang w:eastAsia="zh-CN"/>
              </w:rPr>
              <w:t>，不外排</w:t>
            </w:r>
            <w:r>
              <w:rPr>
                <w:rFonts w:hint="eastAsia" w:ascii="Times New Roman" w:hAnsi="Times New Roman" w:eastAsia="宋体" w:cs="Times New Roman"/>
                <w:color w:val="auto"/>
                <w:kern w:val="0"/>
                <w:sz w:val="24"/>
                <w:szCs w:val="24"/>
                <w:lang w:val="en-US" w:eastAsia="zh-CN"/>
              </w:rPr>
              <w:t>。</w:t>
            </w:r>
          </w:p>
          <w:p>
            <w:pPr>
              <w:spacing w:line="240" w:lineRule="atLeast"/>
              <w:ind w:firstLine="482" w:firstLineChars="200"/>
              <w:jc w:val="center"/>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表</w:t>
            </w:r>
            <w:r>
              <w:rPr>
                <w:rFonts w:hint="default" w:ascii="Times New Roman" w:hAnsi="Times New Roman" w:eastAsia="宋体" w:cs="Times New Roman"/>
                <w:b/>
                <w:bCs/>
                <w:color w:val="auto"/>
                <w:sz w:val="24"/>
                <w:lang w:val="en-US" w:eastAsia="zh-CN"/>
              </w:rPr>
              <w:t>4.2-</w:t>
            </w: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项目</w:t>
            </w:r>
            <w:r>
              <w:rPr>
                <w:rFonts w:hint="default" w:ascii="Times New Roman" w:hAnsi="Times New Roman" w:eastAsia="宋体" w:cs="Times New Roman"/>
                <w:b/>
                <w:bCs/>
                <w:color w:val="auto"/>
                <w:sz w:val="24"/>
                <w:lang w:eastAsia="zh-CN"/>
              </w:rPr>
              <w:t>废水</w:t>
            </w:r>
            <w:r>
              <w:rPr>
                <w:rFonts w:hint="default" w:ascii="Times New Roman" w:hAnsi="Times New Roman" w:eastAsia="宋体" w:cs="Times New Roman"/>
                <w:b/>
                <w:bCs/>
                <w:color w:val="auto"/>
                <w:sz w:val="24"/>
              </w:rPr>
              <w:t>污染物产生及排放情况</w:t>
            </w:r>
            <w:r>
              <w:rPr>
                <w:rFonts w:hint="default" w:ascii="Times New Roman" w:hAnsi="Times New Roman" w:eastAsia="宋体" w:cs="Times New Roman"/>
                <w:b/>
                <w:bCs/>
                <w:color w:val="auto"/>
                <w:sz w:val="24"/>
                <w:lang w:eastAsia="zh-CN"/>
              </w:rPr>
              <w:t>一览</w:t>
            </w:r>
            <w:r>
              <w:rPr>
                <w:rFonts w:hint="default" w:ascii="Times New Roman" w:hAnsi="Times New Roman" w:eastAsia="宋体" w:cs="Times New Roman"/>
                <w:b/>
                <w:bCs/>
                <w:color w:val="auto"/>
                <w:sz w:val="24"/>
              </w:rPr>
              <w:t>表</w:t>
            </w:r>
          </w:p>
          <w:tbl>
            <w:tblPr>
              <w:tblStyle w:val="20"/>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018"/>
              <w:gridCol w:w="983"/>
              <w:gridCol w:w="930"/>
              <w:gridCol w:w="818"/>
              <w:gridCol w:w="1761"/>
              <w:gridCol w:w="89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450" w:type="pct"/>
                  <w:vMerge w:val="restart"/>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项目</w:t>
                  </w:r>
                </w:p>
              </w:tc>
              <w:tc>
                <w:tcPr>
                  <w:tcW w:w="634" w:type="pct"/>
                  <w:vMerge w:val="restart"/>
                  <w:tcBorders>
                    <w:tl2br w:val="nil"/>
                    <w:tr2bl w:val="nil"/>
                  </w:tcBorders>
                  <w:noWrap w:val="0"/>
                  <w:vAlign w:val="center"/>
                </w:tcPr>
                <w:p>
                  <w:pPr>
                    <w:spacing w:line="240" w:lineRule="atLeas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废水产生量m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/a</w:t>
                  </w:r>
                </w:p>
              </w:tc>
              <w:tc>
                <w:tcPr>
                  <w:tcW w:w="613" w:type="pct"/>
                  <w:vMerge w:val="restart"/>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污染物</w:t>
                  </w:r>
                </w:p>
              </w:tc>
              <w:tc>
                <w:tcPr>
                  <w:tcW w:w="1090" w:type="pct"/>
                  <w:gridSpan w:val="2"/>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b w:val="0"/>
                      <w:bCs w:val="0"/>
                      <w:snapToGrid w:val="0"/>
                      <w:color w:val="auto"/>
                      <w:kern w:val="0"/>
                      <w:sz w:val="21"/>
                      <w:szCs w:val="21"/>
                      <w:lang w:val="en-US" w:eastAsia="zh-CN"/>
                    </w:rPr>
                  </w:pPr>
                  <w:r>
                    <w:rPr>
                      <w:rFonts w:hint="default" w:ascii="Times New Roman" w:hAnsi="Times New Roman" w:eastAsia="宋体" w:cs="Times New Roman"/>
                      <w:b w:val="0"/>
                      <w:bCs w:val="0"/>
                      <w:snapToGrid w:val="0"/>
                      <w:color w:val="auto"/>
                      <w:kern w:val="0"/>
                      <w:sz w:val="21"/>
                      <w:szCs w:val="21"/>
                      <w:lang w:val="en-US" w:eastAsia="zh-CN"/>
                    </w:rPr>
                    <w:t>污染物产生情况</w:t>
                  </w:r>
                </w:p>
              </w:tc>
              <w:tc>
                <w:tcPr>
                  <w:tcW w:w="1098" w:type="pct"/>
                  <w:vMerge w:val="restart"/>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snapToGrid w:val="0"/>
                      <w:color w:val="auto"/>
                      <w:kern w:val="0"/>
                      <w:sz w:val="21"/>
                      <w:szCs w:val="21"/>
                      <w:lang w:eastAsia="zh-CN"/>
                    </w:rPr>
                    <w:t>处理措施</w:t>
                  </w:r>
                </w:p>
              </w:tc>
              <w:tc>
                <w:tcPr>
                  <w:tcW w:w="1113" w:type="pct"/>
                  <w:gridSpan w:val="2"/>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b w:val="0"/>
                      <w:bCs w:val="0"/>
                      <w:snapToGrid w:val="0"/>
                      <w:color w:val="auto"/>
                      <w:kern w:val="0"/>
                      <w:sz w:val="21"/>
                      <w:szCs w:val="21"/>
                      <w:lang w:eastAsia="zh-CN"/>
                    </w:rPr>
                  </w:pPr>
                  <w:r>
                    <w:rPr>
                      <w:rFonts w:hint="default" w:ascii="Times New Roman" w:hAnsi="Times New Roman" w:eastAsia="宋体" w:cs="Times New Roman"/>
                      <w:b w:val="0"/>
                      <w:bCs w:val="0"/>
                      <w:snapToGrid w:val="0"/>
                      <w:color w:val="auto"/>
                      <w:kern w:val="0"/>
                      <w:sz w:val="21"/>
                      <w:szCs w:val="21"/>
                      <w:lang w:eastAsia="zh-CN"/>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450" w:type="pct"/>
                  <w:vMerge w:val="continue"/>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b w:val="0"/>
                      <w:bCs w:val="0"/>
                      <w:snapToGrid w:val="0"/>
                      <w:color w:val="auto"/>
                      <w:kern w:val="0"/>
                      <w:sz w:val="21"/>
                      <w:szCs w:val="21"/>
                    </w:rPr>
                  </w:pPr>
                </w:p>
              </w:tc>
              <w:tc>
                <w:tcPr>
                  <w:tcW w:w="634" w:type="pct"/>
                  <w:vMerge w:val="continue"/>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b w:val="0"/>
                      <w:bCs w:val="0"/>
                      <w:snapToGrid w:val="0"/>
                      <w:color w:val="auto"/>
                      <w:kern w:val="0"/>
                      <w:sz w:val="21"/>
                      <w:szCs w:val="21"/>
                    </w:rPr>
                  </w:pPr>
                </w:p>
              </w:tc>
              <w:tc>
                <w:tcPr>
                  <w:tcW w:w="613" w:type="pct"/>
                  <w:vMerge w:val="continue"/>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b w:val="0"/>
                      <w:bCs w:val="0"/>
                      <w:snapToGrid w:val="0"/>
                      <w:color w:val="auto"/>
                      <w:kern w:val="0"/>
                      <w:sz w:val="21"/>
                      <w:szCs w:val="21"/>
                    </w:rPr>
                  </w:pPr>
                </w:p>
              </w:tc>
              <w:tc>
                <w:tcPr>
                  <w:tcW w:w="580" w:type="pct"/>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浓度</w:t>
                  </w:r>
                </w:p>
                <w:p>
                  <w:pPr>
                    <w:adjustRightInd w:val="0"/>
                    <w:snapToGrid w:val="0"/>
                    <w:spacing w:line="240" w:lineRule="atLeast"/>
                    <w:ind w:left="-105" w:leftChars="-50" w:right="-105" w:rightChars="-5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(mg/L)</w:t>
                  </w:r>
                </w:p>
              </w:tc>
              <w:tc>
                <w:tcPr>
                  <w:tcW w:w="510" w:type="pct"/>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产生量</w:t>
                  </w:r>
                </w:p>
                <w:p>
                  <w:pPr>
                    <w:adjustRightInd w:val="0"/>
                    <w:snapToGrid w:val="0"/>
                    <w:spacing w:line="240" w:lineRule="atLeast"/>
                    <w:ind w:left="-105" w:leftChars="-50" w:right="-105" w:rightChars="-5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(t/a)</w:t>
                  </w:r>
                </w:p>
              </w:tc>
              <w:tc>
                <w:tcPr>
                  <w:tcW w:w="1098" w:type="pct"/>
                  <w:vMerge w:val="continue"/>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 w:val="0"/>
                      <w:bCs w:val="0"/>
                      <w:color w:val="auto"/>
                      <w:sz w:val="21"/>
                      <w:szCs w:val="21"/>
                    </w:rPr>
                  </w:pPr>
                </w:p>
              </w:tc>
              <w:tc>
                <w:tcPr>
                  <w:tcW w:w="555" w:type="pc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浓度</w:t>
                  </w:r>
                </w:p>
                <w:p>
                  <w:pPr>
                    <w:adjustRightInd w:val="0"/>
                    <w:snapToGrid w:val="0"/>
                    <w:spacing w:line="240" w:lineRule="atLeas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snapToGrid w:val="0"/>
                      <w:color w:val="auto"/>
                      <w:kern w:val="0"/>
                      <w:sz w:val="21"/>
                      <w:szCs w:val="21"/>
                    </w:rPr>
                    <w:t>(mg/L)</w:t>
                  </w:r>
                </w:p>
              </w:tc>
              <w:tc>
                <w:tcPr>
                  <w:tcW w:w="558" w:type="pct"/>
                  <w:tcBorders>
                    <w:tl2br w:val="nil"/>
                    <w:tr2bl w:val="nil"/>
                  </w:tcBorders>
                  <w:noWrap w:val="0"/>
                  <w:vAlign w:val="center"/>
                </w:tcPr>
                <w:p>
                  <w:pPr>
                    <w:adjustRightInd w:val="0"/>
                    <w:snapToGrid w:val="0"/>
                    <w:spacing w:line="240" w:lineRule="atLeast"/>
                    <w:ind w:left="-105" w:leftChars="-5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排放量</w:t>
                  </w:r>
                </w:p>
                <w:p>
                  <w:pPr>
                    <w:adjustRightInd w:val="0"/>
                    <w:snapToGrid w:val="0"/>
                    <w:spacing w:line="240" w:lineRule="atLeast"/>
                    <w:ind w:left="-105" w:lef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snapToGrid w:val="0"/>
                      <w:color w:val="auto"/>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50" w:type="pct"/>
                  <w:vMerge w:val="restart"/>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污泥</w:t>
                  </w:r>
                  <w:r>
                    <w:rPr>
                      <w:rFonts w:hint="eastAsia" w:ascii="Times New Roman" w:hAnsi="Times New Roman" w:eastAsia="宋体" w:cs="Times New Roman"/>
                      <w:color w:val="auto"/>
                      <w:sz w:val="21"/>
                      <w:szCs w:val="21"/>
                      <w:highlight w:val="none"/>
                      <w:lang w:val="en-US" w:eastAsia="zh-CN"/>
                    </w:rPr>
                    <w:t>压滤</w:t>
                  </w:r>
                  <w:r>
                    <w:rPr>
                      <w:rFonts w:hint="default" w:ascii="Times New Roman" w:hAnsi="Times New Roman" w:eastAsia="宋体" w:cs="Times New Roman"/>
                      <w:color w:val="auto"/>
                      <w:sz w:val="21"/>
                      <w:szCs w:val="21"/>
                      <w:highlight w:val="none"/>
                      <w:lang w:val="en-US" w:eastAsia="zh-CN"/>
                    </w:rPr>
                    <w:t>废水</w:t>
                  </w:r>
                </w:p>
              </w:tc>
              <w:tc>
                <w:tcPr>
                  <w:tcW w:w="634" w:type="pct"/>
                  <w:vMerge w:val="restart"/>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22440</w:t>
                  </w:r>
                </w:p>
              </w:tc>
              <w:tc>
                <w:tcPr>
                  <w:tcW w:w="613" w:type="pct"/>
                  <w:tcBorders>
                    <w:tl2br w:val="nil"/>
                    <w:tr2bl w:val="nil"/>
                  </w:tcBorders>
                  <w:noWrap w:val="0"/>
                  <w:vAlign w:val="center"/>
                </w:tcPr>
                <w:p>
                  <w:pPr>
                    <w:spacing w:line="240" w:lineRule="atLeas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58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51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98" w:type="pct"/>
                  <w:vMerge w:val="restart"/>
                  <w:tcBorders>
                    <w:tl2br w:val="nil"/>
                    <w:tr2bl w:val="nil"/>
                  </w:tcBorders>
                  <w:noWrap w:val="0"/>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经2个污水池收集后通过专用罐车运至重庆铜梁城区污水处理厂</w:t>
                  </w:r>
                </w:p>
              </w:tc>
              <w:tc>
                <w:tcPr>
                  <w:tcW w:w="55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5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50" w:type="pct"/>
                  <w:vMerge w:val="continue"/>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634" w:type="pct"/>
                  <w:vMerge w:val="continue"/>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613" w:type="pct"/>
                  <w:tcBorders>
                    <w:tl2br w:val="nil"/>
                    <w:tr2bl w:val="nil"/>
                  </w:tcBorders>
                  <w:noWrap w:val="0"/>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color w:val="auto"/>
                    </w:rPr>
                    <w:t>COD</w:t>
                  </w:r>
                </w:p>
              </w:tc>
              <w:tc>
                <w:tcPr>
                  <w:tcW w:w="58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51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11.22</w:t>
                  </w:r>
                </w:p>
              </w:tc>
              <w:tc>
                <w:tcPr>
                  <w:tcW w:w="109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5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5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50" w:type="pct"/>
                  <w:vMerge w:val="continue"/>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634" w:type="pct"/>
                  <w:vMerge w:val="continue"/>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613" w:type="pct"/>
                  <w:tcBorders>
                    <w:tl2br w:val="nil"/>
                    <w:tr2bl w:val="nil"/>
                  </w:tcBorders>
                  <w:noWrap w:val="0"/>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color w:val="auto"/>
                    </w:rPr>
                    <w:t>SS</w:t>
                  </w:r>
                </w:p>
              </w:tc>
              <w:tc>
                <w:tcPr>
                  <w:tcW w:w="58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51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8.98 </w:t>
                  </w:r>
                </w:p>
              </w:tc>
              <w:tc>
                <w:tcPr>
                  <w:tcW w:w="109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5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5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50" w:type="pct"/>
                  <w:vMerge w:val="continue"/>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634" w:type="pct"/>
                  <w:vMerge w:val="continue"/>
                  <w:tcBorders>
                    <w:tl2br w:val="nil"/>
                    <w:tr2bl w:val="nil"/>
                  </w:tcBorders>
                  <w:noWrap w:val="0"/>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613" w:type="pct"/>
                  <w:tcBorders>
                    <w:tl2br w:val="nil"/>
                    <w:tr2bl w:val="nil"/>
                  </w:tcBorders>
                  <w:noWrap w:val="0"/>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color w:val="auto"/>
                    </w:rPr>
                    <w:t>BOD</w:t>
                  </w:r>
                  <w:r>
                    <w:rPr>
                      <w:color w:val="auto"/>
                      <w:vertAlign w:val="subscript"/>
                    </w:rPr>
                    <w:t>5</w:t>
                  </w:r>
                </w:p>
              </w:tc>
              <w:tc>
                <w:tcPr>
                  <w:tcW w:w="58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51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6.73 </w:t>
                  </w:r>
                </w:p>
              </w:tc>
              <w:tc>
                <w:tcPr>
                  <w:tcW w:w="109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5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5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50" w:type="pct"/>
                  <w:vMerge w:val="continue"/>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634" w:type="pct"/>
                  <w:vMerge w:val="continue"/>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0" w:type="auto"/>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color w:val="auto"/>
                    </w:rPr>
                    <w:t>NH</w:t>
                  </w:r>
                  <w:r>
                    <w:rPr>
                      <w:color w:val="auto"/>
                      <w:vertAlign w:val="subscript"/>
                    </w:rPr>
                    <w:t>3</w:t>
                  </w:r>
                  <w:r>
                    <w:rPr>
                      <w:color w:val="auto"/>
                    </w:rPr>
                    <w:t>-N</w:t>
                  </w:r>
                </w:p>
              </w:tc>
              <w:tc>
                <w:tcPr>
                  <w:tcW w:w="58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51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1.01 </w:t>
                  </w:r>
                </w:p>
              </w:tc>
              <w:tc>
                <w:tcPr>
                  <w:tcW w:w="1098"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55"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55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50" w:type="pct"/>
                  <w:vMerge w:val="restart"/>
                  <w:vAlign w:val="center"/>
                </w:tcPr>
                <w:p>
                  <w:pPr>
                    <w:adjustRightInd w:val="0"/>
                    <w:snapToGrid w:val="0"/>
                    <w:spacing w:line="240" w:lineRule="atLeast"/>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排入环境</w:t>
                  </w:r>
                </w:p>
              </w:tc>
              <w:tc>
                <w:tcPr>
                  <w:tcW w:w="634" w:type="pct"/>
                  <w:vMerge w:val="restart"/>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22440</w:t>
                  </w:r>
                </w:p>
              </w:tc>
              <w:tc>
                <w:tcPr>
                  <w:tcW w:w="0" w:type="auto"/>
                  <w:vAlign w:val="center"/>
                </w:tcPr>
                <w:p>
                  <w:pPr>
                    <w:spacing w:line="240" w:lineRule="atLeas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580"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51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098" w:type="pct"/>
                  <w:vMerge w:val="restar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经</w:t>
                  </w:r>
                  <w:r>
                    <w:rPr>
                      <w:rFonts w:hint="default" w:ascii="Times New Roman" w:hAnsi="Times New Roman" w:eastAsia="宋体" w:cs="Times New Roman"/>
                      <w:i w:val="0"/>
                      <w:iCs w:val="0"/>
                      <w:color w:val="auto"/>
                      <w:kern w:val="0"/>
                      <w:sz w:val="21"/>
                      <w:szCs w:val="21"/>
                      <w:u w:val="none"/>
                      <w:lang w:val="en-US" w:eastAsia="zh-CN" w:bidi="ar"/>
                    </w:rPr>
                    <w:t>重庆铜梁城区污水处理厂</w:t>
                  </w:r>
                  <w:r>
                    <w:rPr>
                      <w:rFonts w:hint="eastAsia" w:ascii="Times New Roman" w:hAnsi="Times New Roman" w:eastAsia="宋体" w:cs="Times New Roman"/>
                      <w:i w:val="0"/>
                      <w:iCs w:val="0"/>
                      <w:color w:val="auto"/>
                      <w:kern w:val="0"/>
                      <w:sz w:val="21"/>
                      <w:szCs w:val="21"/>
                      <w:u w:val="none"/>
                      <w:lang w:val="en-US" w:eastAsia="zh-CN" w:bidi="ar"/>
                    </w:rPr>
                    <w:t>处理达《城镇污水处理厂污染物排放标准》（GB18918-2002）一级A 标准</w:t>
                  </w:r>
                </w:p>
              </w:tc>
              <w:tc>
                <w:tcPr>
                  <w:tcW w:w="555"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w:t>
                  </w:r>
                </w:p>
              </w:tc>
              <w:tc>
                <w:tcPr>
                  <w:tcW w:w="55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50" w:type="pct"/>
                  <w:vMerge w:val="continue"/>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634" w:type="pct"/>
                  <w:vMerge w:val="continue"/>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0" w:type="auto"/>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color w:val="auto"/>
                    </w:rPr>
                    <w:t>COD</w:t>
                  </w:r>
                </w:p>
              </w:tc>
              <w:tc>
                <w:tcPr>
                  <w:tcW w:w="58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51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11.22</w:t>
                  </w:r>
                </w:p>
              </w:tc>
              <w:tc>
                <w:tcPr>
                  <w:tcW w:w="1098"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55"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55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50" w:type="pct"/>
                  <w:vMerge w:val="continue"/>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634" w:type="pct"/>
                  <w:vMerge w:val="continue"/>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0" w:type="auto"/>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color w:val="auto"/>
                    </w:rPr>
                    <w:t>SS</w:t>
                  </w:r>
                </w:p>
              </w:tc>
              <w:tc>
                <w:tcPr>
                  <w:tcW w:w="58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51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8.98 </w:t>
                  </w:r>
                </w:p>
              </w:tc>
              <w:tc>
                <w:tcPr>
                  <w:tcW w:w="1098"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55"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55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50" w:type="pct"/>
                  <w:vMerge w:val="continue"/>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634" w:type="pct"/>
                  <w:vMerge w:val="continue"/>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0" w:type="auto"/>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color w:val="auto"/>
                    </w:rPr>
                    <w:t>BOD</w:t>
                  </w:r>
                  <w:r>
                    <w:rPr>
                      <w:color w:val="auto"/>
                      <w:vertAlign w:val="subscript"/>
                    </w:rPr>
                    <w:t>5</w:t>
                  </w:r>
                </w:p>
              </w:tc>
              <w:tc>
                <w:tcPr>
                  <w:tcW w:w="58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51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6.73 </w:t>
                  </w:r>
                </w:p>
              </w:tc>
              <w:tc>
                <w:tcPr>
                  <w:tcW w:w="1098"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55"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55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50" w:type="pct"/>
                  <w:vMerge w:val="continue"/>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634" w:type="pct"/>
                  <w:vMerge w:val="continue"/>
                  <w:vAlign w:val="center"/>
                </w:tcPr>
                <w:p>
                  <w:pPr>
                    <w:adjustRightInd w:val="0"/>
                    <w:snapToGrid w:val="0"/>
                    <w:spacing w:line="240" w:lineRule="atLeast"/>
                    <w:ind w:left="-105" w:leftChars="-50" w:right="-105" w:rightChars="-50"/>
                    <w:jc w:val="center"/>
                    <w:rPr>
                      <w:rFonts w:hint="default" w:ascii="Times New Roman" w:hAnsi="Times New Roman" w:eastAsia="宋体" w:cs="Times New Roman"/>
                      <w:color w:val="auto"/>
                      <w:sz w:val="21"/>
                      <w:szCs w:val="21"/>
                      <w:highlight w:val="none"/>
                    </w:rPr>
                  </w:pPr>
                </w:p>
              </w:tc>
              <w:tc>
                <w:tcPr>
                  <w:tcW w:w="0" w:type="auto"/>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color w:val="auto"/>
                    </w:rPr>
                    <w:t>NH</w:t>
                  </w:r>
                  <w:r>
                    <w:rPr>
                      <w:color w:val="auto"/>
                      <w:vertAlign w:val="subscript"/>
                    </w:rPr>
                    <w:t>3</w:t>
                  </w:r>
                  <w:r>
                    <w:rPr>
                      <w:color w:val="auto"/>
                    </w:rPr>
                    <w:t>-N</w:t>
                  </w:r>
                </w:p>
              </w:tc>
              <w:tc>
                <w:tcPr>
                  <w:tcW w:w="58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51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1.01 </w:t>
                  </w:r>
                </w:p>
              </w:tc>
              <w:tc>
                <w:tcPr>
                  <w:tcW w:w="1098"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55"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p>
              </w:tc>
              <w:tc>
                <w:tcPr>
                  <w:tcW w:w="55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0.11 </w:t>
                  </w:r>
                </w:p>
              </w:tc>
            </w:tr>
          </w:tbl>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7</w:t>
            </w:r>
            <w:r>
              <w:rPr>
                <w:rFonts w:hint="eastAsia" w:ascii="Times New Roman" w:hAnsi="Times New Roman" w:eastAsia="宋体" w:cs="Times New Roman"/>
                <w:color w:val="auto"/>
                <w:kern w:val="0"/>
                <w:sz w:val="24"/>
                <w:szCs w:val="24"/>
              </w:rPr>
              <w:t>、废水类别、污染物及污染治理设施信息</w:t>
            </w:r>
          </w:p>
          <w:p>
            <w:pPr>
              <w:adjustRightInd w:val="0"/>
              <w:snapToGrid w:val="0"/>
              <w:spacing w:line="360" w:lineRule="auto"/>
              <w:ind w:firstLine="482" w:firstLineChars="200"/>
              <w:jc w:val="center"/>
              <w:rPr>
                <w:rFonts w:hint="eastAsia" w:ascii="Times New Roman" w:hAnsi="Times New Roman" w:eastAsia="宋体" w:cs="Times New Roman"/>
                <w:b/>
                <w:bCs/>
                <w:color w:val="auto"/>
                <w:kern w:val="0"/>
                <w:sz w:val="24"/>
                <w:szCs w:val="24"/>
              </w:rPr>
            </w:pPr>
          </w:p>
          <w:p>
            <w:pPr>
              <w:adjustRightInd w:val="0"/>
              <w:snapToGrid w:val="0"/>
              <w:spacing w:line="360" w:lineRule="auto"/>
              <w:ind w:firstLine="482" w:firstLineChars="200"/>
              <w:jc w:val="center"/>
              <w:rPr>
                <w:rFonts w:hint="eastAsia" w:ascii="Times New Roman" w:hAnsi="Times New Roman" w:eastAsia="宋体" w:cs="Times New Roman"/>
                <w:b/>
                <w:bCs/>
                <w:color w:val="auto"/>
                <w:kern w:val="0"/>
                <w:sz w:val="24"/>
                <w:szCs w:val="24"/>
              </w:rPr>
            </w:pPr>
          </w:p>
          <w:p>
            <w:pPr>
              <w:adjustRightInd w:val="0"/>
              <w:snapToGrid w:val="0"/>
              <w:spacing w:line="360" w:lineRule="auto"/>
              <w:ind w:firstLine="482" w:firstLineChars="200"/>
              <w:jc w:val="center"/>
              <w:rPr>
                <w:rFonts w:hint="eastAsia" w:ascii="Times New Roman" w:hAnsi="Times New Roman" w:eastAsia="宋体" w:cs="Times New Roman"/>
                <w:b/>
                <w:bCs/>
                <w:color w:val="auto"/>
                <w:kern w:val="0"/>
                <w:sz w:val="24"/>
                <w:szCs w:val="24"/>
              </w:rPr>
            </w:pPr>
          </w:p>
          <w:p>
            <w:pPr>
              <w:adjustRightInd w:val="0"/>
              <w:snapToGrid w:val="0"/>
              <w:spacing w:line="360" w:lineRule="auto"/>
              <w:ind w:firstLine="482" w:firstLineChars="200"/>
              <w:jc w:val="center"/>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表4.2</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7</w:t>
            </w:r>
            <w:r>
              <w:rPr>
                <w:rFonts w:hint="eastAsia" w:ascii="Times New Roman" w:hAnsi="Times New Roman" w:eastAsia="宋体" w:cs="Times New Roman"/>
                <w:b/>
                <w:bCs/>
                <w:color w:val="auto"/>
                <w:kern w:val="0"/>
                <w:sz w:val="24"/>
                <w:szCs w:val="24"/>
              </w:rPr>
              <w:t xml:space="preserve">   </w:t>
            </w:r>
            <w:r>
              <w:rPr>
                <w:rFonts w:ascii="Times New Roman" w:hAnsi="Times New Roman" w:eastAsia="宋体" w:cs="Times New Roman"/>
                <w:b/>
                <w:bCs/>
                <w:color w:val="auto"/>
                <w:kern w:val="0"/>
                <w:sz w:val="24"/>
                <w:szCs w:val="24"/>
              </w:rPr>
              <w:t>项目废水类别、污染物及污染治理设施信息表</w:t>
            </w:r>
          </w:p>
          <w:tbl>
            <w:tblPr>
              <w:tblStyle w:val="2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38"/>
              <w:gridCol w:w="668"/>
              <w:gridCol w:w="705"/>
              <w:gridCol w:w="694"/>
              <w:gridCol w:w="668"/>
              <w:gridCol w:w="847"/>
              <w:gridCol w:w="338"/>
              <w:gridCol w:w="358"/>
              <w:gridCol w:w="413"/>
              <w:gridCol w:w="482"/>
              <w:gridCol w:w="412"/>
              <w:gridCol w:w="411"/>
              <w:gridCol w:w="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881" w:type="dxa"/>
                  <w:vMerge w:val="restart"/>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废水类别</w:t>
                  </w:r>
                </w:p>
              </w:tc>
              <w:tc>
                <w:tcPr>
                  <w:tcW w:w="838" w:type="dxa"/>
                  <w:vMerge w:val="restart"/>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污染物种类</w:t>
                  </w:r>
                </w:p>
              </w:tc>
              <w:tc>
                <w:tcPr>
                  <w:tcW w:w="2735" w:type="dxa"/>
                  <w:gridSpan w:val="4"/>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污染治理措施</w:t>
                  </w:r>
                </w:p>
              </w:tc>
              <w:tc>
                <w:tcPr>
                  <w:tcW w:w="847" w:type="dxa"/>
                  <w:vMerge w:val="restart"/>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排放去向</w:t>
                  </w:r>
                </w:p>
              </w:tc>
              <w:tc>
                <w:tcPr>
                  <w:tcW w:w="338" w:type="dxa"/>
                  <w:vMerge w:val="restart"/>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排放方式</w:t>
                  </w:r>
                </w:p>
              </w:tc>
              <w:tc>
                <w:tcPr>
                  <w:tcW w:w="358" w:type="dxa"/>
                  <w:vMerge w:val="restart"/>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排放规律</w:t>
                  </w:r>
                </w:p>
              </w:tc>
              <w:tc>
                <w:tcPr>
                  <w:tcW w:w="2162" w:type="dxa"/>
                  <w:gridSpan w:val="5"/>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r>
                    <w:rPr>
                      <w:rFonts w:ascii="Times New Roman" w:hAnsi="Times New Roman" w:eastAsia="宋体" w:cs="Times New Roman"/>
                      <w:color w:val="auto"/>
                      <w:szCs w:val="21"/>
                    </w:rPr>
                    <w:t>排放口基本情况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881" w:type="dxa"/>
                  <w:vMerge w:val="continue"/>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p>
              </w:tc>
              <w:tc>
                <w:tcPr>
                  <w:tcW w:w="838" w:type="dxa"/>
                  <w:vMerge w:val="continue"/>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p>
              </w:tc>
              <w:tc>
                <w:tcPr>
                  <w:tcW w:w="668" w:type="dxa"/>
                  <w:vMerge w:val="restart"/>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污染治理设施名称</w:t>
                  </w:r>
                </w:p>
              </w:tc>
              <w:tc>
                <w:tcPr>
                  <w:tcW w:w="705" w:type="dxa"/>
                  <w:vMerge w:val="restart"/>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治理工艺</w:t>
                  </w:r>
                </w:p>
              </w:tc>
              <w:tc>
                <w:tcPr>
                  <w:tcW w:w="694" w:type="dxa"/>
                  <w:vMerge w:val="restart"/>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设计处理能力t/h</w:t>
                  </w:r>
                </w:p>
              </w:tc>
              <w:tc>
                <w:tcPr>
                  <w:tcW w:w="668" w:type="dxa"/>
                  <w:vMerge w:val="restart"/>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snapToGrid w:val="0"/>
                      <w:color w:val="auto"/>
                      <w:kern w:val="0"/>
                      <w:szCs w:val="21"/>
                    </w:rPr>
                    <w:t>是否为可行技术</w:t>
                  </w:r>
                </w:p>
              </w:tc>
              <w:tc>
                <w:tcPr>
                  <w:tcW w:w="847"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338"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358"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413" w:type="dxa"/>
                  <w:vMerge w:val="restart"/>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排放口编号</w:t>
                  </w:r>
                </w:p>
              </w:tc>
              <w:tc>
                <w:tcPr>
                  <w:tcW w:w="482" w:type="dxa"/>
                  <w:vMerge w:val="restart"/>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排放口名称</w:t>
                  </w:r>
                </w:p>
              </w:tc>
              <w:tc>
                <w:tcPr>
                  <w:tcW w:w="412" w:type="dxa"/>
                  <w:vMerge w:val="restart"/>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排放口类型</w:t>
                  </w:r>
                </w:p>
              </w:tc>
              <w:tc>
                <w:tcPr>
                  <w:tcW w:w="855" w:type="dxa"/>
                  <w:gridSpan w:val="2"/>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881"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838"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668"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705"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69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668"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847"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338"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358"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413"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482"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412"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411" w:type="dxa"/>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经度</w:t>
                  </w:r>
                </w:p>
              </w:tc>
              <w:tc>
                <w:tcPr>
                  <w:tcW w:w="444" w:type="dxa"/>
                  <w:tcBorders>
                    <w:tl2br w:val="nil"/>
                    <w:tr2bl w:val="nil"/>
                  </w:tcBorders>
                  <w:vAlign w:val="center"/>
                </w:tcPr>
                <w:p>
                  <w:pPr>
                    <w:adjustRightInd w:val="0"/>
                    <w:snapToGrid w:val="0"/>
                    <w:jc w:val="center"/>
                    <w:rPr>
                      <w:rFonts w:ascii="Times New Roman" w:hAnsi="Times New Roman" w:eastAsia="宋体" w:cs="Times New Roman"/>
                      <w:snapToGrid w:val="0"/>
                      <w:color w:val="auto"/>
                      <w:kern w:val="0"/>
                      <w:szCs w:val="21"/>
                    </w:rPr>
                  </w:pPr>
                  <w:r>
                    <w:rPr>
                      <w:rFonts w:ascii="Times New Roman" w:hAnsi="Times New Roman" w:eastAsia="宋体" w:cs="Times New Roman"/>
                      <w:snapToGrid w:val="0"/>
                      <w:color w:val="auto"/>
                      <w:kern w:val="0"/>
                      <w:szCs w:val="21"/>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881"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设备清洗废水</w:t>
                  </w:r>
                </w:p>
              </w:tc>
              <w:tc>
                <w:tcPr>
                  <w:tcW w:w="838" w:type="dxa"/>
                  <w:tcBorders>
                    <w:tl2br w:val="nil"/>
                    <w:tr2bl w:val="nil"/>
                  </w:tcBorders>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pH、COD、</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BOD</w:t>
                  </w:r>
                  <w:r>
                    <w:rPr>
                      <w:rFonts w:ascii="Times New Roman" w:hAnsi="Times New Roman" w:eastAsia="宋体" w:cs="Times New Roman"/>
                      <w:color w:val="auto"/>
                      <w:szCs w:val="21"/>
                      <w:vertAlign w:val="subscript"/>
                    </w:rPr>
                    <w:t>5</w:t>
                  </w:r>
                </w:p>
                <w:p>
                  <w:pPr>
                    <w:adjustRightInd w:val="0"/>
                    <w:snapToGrid w:val="0"/>
                    <w:jc w:val="center"/>
                    <w:rPr>
                      <w:rFonts w:hint="eastAsia" w:ascii="Times New Roman" w:hAnsi="Times New Roman" w:eastAsia="宋体" w:cs="Times New Roman"/>
                      <w:bCs/>
                      <w:color w:val="auto"/>
                      <w:szCs w:val="21"/>
                      <w:lang w:eastAsia="zh-CN"/>
                    </w:rPr>
                  </w:pPr>
                  <w:r>
                    <w:rPr>
                      <w:rFonts w:ascii="Times New Roman" w:hAnsi="Times New Roman" w:eastAsia="宋体" w:cs="Times New Roman"/>
                      <w:color w:val="auto"/>
                      <w:szCs w:val="21"/>
                    </w:rPr>
                    <w:t>、SS、</w:t>
                  </w:r>
                  <w:r>
                    <w:rPr>
                      <w:rFonts w:ascii="Times New Roman" w:hAnsi="Times New Roman" w:eastAsia="宋体" w:cs="Times New Roman"/>
                      <w:bCs/>
                      <w:color w:val="auto"/>
                      <w:szCs w:val="21"/>
                    </w:rPr>
                    <w:t>NH</w:t>
                  </w:r>
                  <w:r>
                    <w:rPr>
                      <w:rFonts w:ascii="Times New Roman" w:hAnsi="Times New Roman" w:eastAsia="宋体" w:cs="Times New Roman"/>
                      <w:bCs/>
                      <w:color w:val="auto"/>
                      <w:szCs w:val="21"/>
                      <w:vertAlign w:val="subscript"/>
                    </w:rPr>
                    <w:t>3</w:t>
                  </w:r>
                  <w:r>
                    <w:rPr>
                      <w:rFonts w:ascii="Times New Roman" w:hAnsi="Times New Roman" w:eastAsia="宋体" w:cs="Times New Roman"/>
                      <w:bCs/>
                      <w:color w:val="auto"/>
                      <w:szCs w:val="21"/>
                    </w:rPr>
                    <w:t>-N</w:t>
                  </w:r>
                </w:p>
              </w:tc>
              <w:tc>
                <w:tcPr>
                  <w:tcW w:w="668" w:type="dxa"/>
                  <w:tcBorders>
                    <w:tl2br w:val="nil"/>
                    <w:tr2bl w:val="nil"/>
                  </w:tcBorders>
                  <w:vAlign w:val="center"/>
                </w:tcPr>
                <w:p>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现有生化池</w:t>
                  </w:r>
                </w:p>
              </w:tc>
              <w:tc>
                <w:tcPr>
                  <w:tcW w:w="705" w:type="dxa"/>
                  <w:tcBorders>
                    <w:tl2br w:val="nil"/>
                    <w:tr2bl w:val="nil"/>
                  </w:tcBorders>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pH 调节+沉淀+好氧+絮凝沉淀</w:t>
                  </w:r>
                </w:p>
              </w:tc>
              <w:tc>
                <w:tcPr>
                  <w:tcW w:w="694"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0.42</w:t>
                  </w:r>
                </w:p>
              </w:tc>
              <w:tc>
                <w:tcPr>
                  <w:tcW w:w="668" w:type="dxa"/>
                  <w:tcBorders>
                    <w:tl2br w:val="nil"/>
                    <w:tr2bl w:val="nil"/>
                  </w:tcBorders>
                  <w:vAlign w:val="center"/>
                </w:tcPr>
                <w:p>
                  <w:pPr>
                    <w:widowControl/>
                    <w:jc w:val="center"/>
                    <w:textAlignment w:val="center"/>
                    <w:rPr>
                      <w:rFonts w:ascii="Times New Roman" w:hAnsi="Times New Roman" w:eastAsia="宋体" w:cs="Times New Roman"/>
                      <w:color w:val="auto"/>
                      <w:kern w:val="0"/>
                      <w:szCs w:val="21"/>
                      <w:lang w:bidi="ar"/>
                    </w:rPr>
                  </w:pPr>
                  <w:r>
                    <w:rPr>
                      <w:rFonts w:ascii="Times New Roman" w:hAnsi="Times New Roman" w:eastAsia="宋体" w:cs="Times New Roman"/>
                      <w:color w:val="auto"/>
                      <w:kern w:val="0"/>
                      <w:szCs w:val="21"/>
                      <w:lang w:bidi="ar"/>
                    </w:rPr>
                    <w:t>是</w:t>
                  </w:r>
                </w:p>
              </w:tc>
              <w:tc>
                <w:tcPr>
                  <w:tcW w:w="847" w:type="dxa"/>
                  <w:tcBorders>
                    <w:tl2br w:val="nil"/>
                    <w:tr2bl w:val="nil"/>
                  </w:tcBorders>
                  <w:vAlign w:val="center"/>
                </w:tcPr>
                <w:p>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不外排</w:t>
                  </w:r>
                </w:p>
              </w:tc>
              <w:tc>
                <w:tcPr>
                  <w:tcW w:w="338"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58"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13"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82"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12"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11"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44"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881"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污泥</w:t>
                  </w:r>
                  <w:r>
                    <w:rPr>
                      <w:rFonts w:hint="eastAsia" w:ascii="Times New Roman" w:hAnsi="Times New Roman" w:eastAsia="宋体" w:cs="Times New Roman"/>
                      <w:color w:val="auto"/>
                      <w:sz w:val="21"/>
                      <w:szCs w:val="21"/>
                      <w:highlight w:val="none"/>
                      <w:lang w:val="en-US" w:eastAsia="zh-CN"/>
                    </w:rPr>
                    <w:t>压滤</w:t>
                  </w:r>
                  <w:r>
                    <w:rPr>
                      <w:rFonts w:hint="default" w:ascii="Times New Roman" w:hAnsi="Times New Roman" w:eastAsia="宋体" w:cs="Times New Roman"/>
                      <w:color w:val="auto"/>
                      <w:sz w:val="21"/>
                      <w:szCs w:val="21"/>
                      <w:highlight w:val="none"/>
                      <w:lang w:val="en-US" w:eastAsia="zh-CN"/>
                    </w:rPr>
                    <w:t>废水</w:t>
                  </w:r>
                </w:p>
              </w:tc>
              <w:tc>
                <w:tcPr>
                  <w:tcW w:w="838" w:type="dxa"/>
                  <w:tcBorders>
                    <w:tl2br w:val="nil"/>
                    <w:tr2bl w:val="nil"/>
                  </w:tcBorders>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pH、COD、</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BOD</w:t>
                  </w:r>
                  <w:r>
                    <w:rPr>
                      <w:rFonts w:ascii="Times New Roman" w:hAnsi="Times New Roman" w:eastAsia="宋体" w:cs="Times New Roman"/>
                      <w:color w:val="auto"/>
                      <w:szCs w:val="21"/>
                      <w:vertAlign w:val="subscript"/>
                    </w:rPr>
                    <w:t>5</w:t>
                  </w:r>
                </w:p>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、SS、</w:t>
                  </w:r>
                  <w:r>
                    <w:rPr>
                      <w:rFonts w:ascii="Times New Roman" w:hAnsi="Times New Roman" w:eastAsia="宋体" w:cs="Times New Roman"/>
                      <w:bCs/>
                      <w:color w:val="auto"/>
                      <w:szCs w:val="21"/>
                    </w:rPr>
                    <w:t>NH</w:t>
                  </w:r>
                  <w:r>
                    <w:rPr>
                      <w:rFonts w:ascii="Times New Roman" w:hAnsi="Times New Roman" w:eastAsia="宋体" w:cs="Times New Roman"/>
                      <w:bCs/>
                      <w:color w:val="auto"/>
                      <w:szCs w:val="21"/>
                      <w:vertAlign w:val="subscript"/>
                    </w:rPr>
                    <w:t>3</w:t>
                  </w:r>
                  <w:r>
                    <w:rPr>
                      <w:rFonts w:ascii="Times New Roman" w:hAnsi="Times New Roman" w:eastAsia="宋体" w:cs="Times New Roman"/>
                      <w:bCs/>
                      <w:color w:val="auto"/>
                      <w:szCs w:val="21"/>
                    </w:rPr>
                    <w:t>-N</w:t>
                  </w:r>
                </w:p>
              </w:tc>
              <w:tc>
                <w:tcPr>
                  <w:tcW w:w="668"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0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94" w:type="dxa"/>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68"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w:t>
                  </w:r>
                </w:p>
              </w:tc>
              <w:tc>
                <w:tcPr>
                  <w:tcW w:w="847"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专用罐车运至重庆铜梁城区污水处理厂</w:t>
                  </w:r>
                </w:p>
              </w:tc>
              <w:tc>
                <w:tcPr>
                  <w:tcW w:w="338"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间接</w:t>
                  </w:r>
                </w:p>
              </w:tc>
              <w:tc>
                <w:tcPr>
                  <w:tcW w:w="358"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间断</w:t>
                  </w:r>
                </w:p>
              </w:tc>
              <w:tc>
                <w:tcPr>
                  <w:tcW w:w="413"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482"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412"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41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444"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8、废水监测要求</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根据《排污许可证申请与核发技术规范 环境卫生管理业》（HJ 1106—2020），本项目废水监测要求见表4.2-8。</w:t>
            </w:r>
          </w:p>
          <w:p>
            <w:pPr>
              <w:pStyle w:val="18"/>
              <w:spacing w:before="0" w:beforeAutospacing="0" w:after="0" w:afterAutospacing="0" w:line="440" w:lineRule="exact"/>
              <w:jc w:val="center"/>
              <w:outlineLvl w:val="0"/>
              <w:rPr>
                <w:rFonts w:ascii="Times New Roman" w:hAnsi="Times New Roman"/>
                <w:b/>
                <w:bCs/>
                <w:snapToGrid w:val="0"/>
                <w:sz w:val="24"/>
                <w:szCs w:val="24"/>
              </w:rPr>
            </w:pPr>
            <w:r>
              <w:rPr>
                <w:rFonts w:ascii="Times New Roman" w:hAnsi="Times New Roman"/>
                <w:b/>
                <w:bCs/>
                <w:snapToGrid w:val="0"/>
                <w:sz w:val="24"/>
                <w:szCs w:val="24"/>
              </w:rPr>
              <w:t>表4.2</w:t>
            </w:r>
            <w:r>
              <w:rPr>
                <w:rFonts w:hint="eastAsia" w:ascii="Times New Roman" w:hAnsi="Times New Roman"/>
                <w:b/>
                <w:bCs/>
                <w:snapToGrid w:val="0"/>
                <w:sz w:val="24"/>
                <w:szCs w:val="24"/>
                <w:lang w:eastAsia="zh-CN"/>
              </w:rPr>
              <w:t>-</w:t>
            </w:r>
            <w:r>
              <w:rPr>
                <w:rFonts w:hint="eastAsia" w:ascii="Times New Roman" w:hAnsi="Times New Roman"/>
                <w:b/>
                <w:bCs/>
                <w:snapToGrid w:val="0"/>
                <w:sz w:val="24"/>
                <w:szCs w:val="24"/>
                <w:lang w:val="en-US" w:eastAsia="zh-CN"/>
              </w:rPr>
              <w:t>8</w:t>
            </w:r>
            <w:r>
              <w:rPr>
                <w:rFonts w:ascii="Times New Roman" w:hAnsi="Times New Roman"/>
                <w:b/>
                <w:bCs/>
                <w:snapToGrid w:val="0"/>
                <w:sz w:val="24"/>
                <w:szCs w:val="24"/>
              </w:rPr>
              <w:t xml:space="preserve">   </w:t>
            </w:r>
            <w:r>
              <w:rPr>
                <w:rFonts w:hint="eastAsia" w:ascii="Times New Roman" w:hAnsi="Times New Roman"/>
                <w:b/>
                <w:bCs/>
                <w:snapToGrid w:val="0"/>
                <w:sz w:val="24"/>
                <w:szCs w:val="24"/>
                <w:lang w:eastAsia="zh-CN"/>
              </w:rPr>
              <w:t>废水排放口监测要求</w:t>
            </w:r>
            <w:r>
              <w:rPr>
                <w:rFonts w:ascii="Times New Roman" w:hAnsi="Times New Roman"/>
                <w:b/>
                <w:bCs/>
                <w:snapToGrid w:val="0"/>
                <w:sz w:val="24"/>
                <w:szCs w:val="24"/>
              </w:rPr>
              <w:t>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426"/>
              <w:gridCol w:w="1840"/>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snapToGrid w:val="0"/>
                      <w:color w:val="auto"/>
                      <w:kern w:val="0"/>
                      <w:sz w:val="21"/>
                      <w:szCs w:val="21"/>
                      <w:lang w:eastAsia="zh-CN"/>
                    </w:rPr>
                  </w:pPr>
                  <w:r>
                    <w:rPr>
                      <w:rFonts w:hint="default" w:ascii="Times New Roman" w:hAnsi="Times New Roman" w:eastAsia="宋体" w:cs="Times New Roman"/>
                      <w:b w:val="0"/>
                      <w:bCs w:val="0"/>
                      <w:snapToGrid w:val="0"/>
                      <w:color w:val="auto"/>
                      <w:kern w:val="0"/>
                      <w:sz w:val="21"/>
                      <w:szCs w:val="21"/>
                      <w:lang w:eastAsia="zh-CN"/>
                    </w:rPr>
                    <w:t>监测点位</w:t>
                  </w:r>
                </w:p>
              </w:tc>
              <w:tc>
                <w:tcPr>
                  <w:tcW w:w="210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snapToGrid w:val="0"/>
                      <w:color w:val="auto"/>
                      <w:kern w:val="0"/>
                      <w:sz w:val="21"/>
                      <w:szCs w:val="21"/>
                      <w:lang w:eastAsia="zh-CN"/>
                    </w:rPr>
                  </w:pPr>
                  <w:r>
                    <w:rPr>
                      <w:rFonts w:hint="default" w:ascii="Times New Roman" w:hAnsi="Times New Roman" w:eastAsia="宋体" w:cs="Times New Roman"/>
                      <w:b w:val="0"/>
                      <w:bCs w:val="0"/>
                      <w:snapToGrid w:val="0"/>
                      <w:color w:val="auto"/>
                      <w:kern w:val="0"/>
                      <w:sz w:val="21"/>
                      <w:szCs w:val="21"/>
                      <w:lang w:eastAsia="zh-CN"/>
                    </w:rPr>
                    <w:t>监测</w:t>
                  </w:r>
                  <w:r>
                    <w:rPr>
                      <w:rFonts w:hint="eastAsia" w:ascii="Times New Roman" w:hAnsi="Times New Roman" w:eastAsia="宋体" w:cs="Times New Roman"/>
                      <w:b w:val="0"/>
                      <w:bCs w:val="0"/>
                      <w:snapToGrid w:val="0"/>
                      <w:color w:val="auto"/>
                      <w:kern w:val="0"/>
                      <w:sz w:val="21"/>
                      <w:szCs w:val="21"/>
                      <w:lang w:eastAsia="zh-CN"/>
                    </w:rPr>
                    <w:t>指标</w:t>
                  </w:r>
                </w:p>
              </w:tc>
              <w:tc>
                <w:tcPr>
                  <w:tcW w:w="11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snapToGrid w:val="0"/>
                      <w:color w:val="auto"/>
                      <w:kern w:val="0"/>
                      <w:sz w:val="21"/>
                      <w:szCs w:val="21"/>
                      <w:lang w:eastAsia="zh-CN"/>
                    </w:rPr>
                  </w:pPr>
                  <w:r>
                    <w:rPr>
                      <w:rFonts w:hint="default" w:ascii="Times New Roman" w:hAnsi="Times New Roman" w:eastAsia="宋体" w:cs="Times New Roman"/>
                      <w:b w:val="0"/>
                      <w:bCs w:val="0"/>
                      <w:snapToGrid w:val="0"/>
                      <w:color w:val="auto"/>
                      <w:kern w:val="0"/>
                      <w:sz w:val="21"/>
                      <w:szCs w:val="21"/>
                      <w:lang w:eastAsia="zh-CN"/>
                    </w:rPr>
                    <w:t>监测频次</w:t>
                  </w:r>
                </w:p>
              </w:tc>
              <w:tc>
                <w:tcPr>
                  <w:tcW w:w="7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snapToGrid w:val="0"/>
                      <w:color w:val="auto"/>
                      <w:kern w:val="0"/>
                      <w:sz w:val="21"/>
                      <w:szCs w:val="21"/>
                      <w:lang w:eastAsia="zh-CN"/>
                    </w:rPr>
                  </w:pPr>
                  <w:r>
                    <w:rPr>
                      <w:rFonts w:hint="eastAsia" w:ascii="Times New Roman" w:hAnsi="Times New Roman" w:eastAsia="宋体" w:cs="Times New Roman"/>
                      <w:b w:val="0"/>
                      <w:bCs w:val="0"/>
                      <w:snapToGrid w:val="0"/>
                      <w:color w:val="auto"/>
                      <w:kern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snapToGrid w:val="0"/>
                      <w:color w:val="auto"/>
                      <w:kern w:val="0"/>
                      <w:sz w:val="21"/>
                      <w:szCs w:val="21"/>
                      <w:lang w:eastAsia="zh-CN"/>
                    </w:rPr>
                  </w:pPr>
                  <w:r>
                    <w:rPr>
                      <w:rFonts w:hint="eastAsia" w:ascii="Times New Roman" w:hAnsi="Times New Roman" w:eastAsia="宋体" w:cs="Times New Roman"/>
                      <w:b w:val="0"/>
                      <w:bCs w:val="0"/>
                      <w:snapToGrid w:val="0"/>
                      <w:color w:val="auto"/>
                      <w:kern w:val="0"/>
                      <w:sz w:val="21"/>
                      <w:szCs w:val="21"/>
                      <w:lang w:val="en-US" w:eastAsia="zh-CN"/>
                    </w:rPr>
                    <w:t>污水池</w:t>
                  </w:r>
                </w:p>
              </w:tc>
              <w:tc>
                <w:tcPr>
                  <w:tcW w:w="2105"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b w:val="0"/>
                      <w:bCs w:val="0"/>
                      <w:snapToGrid w:val="0"/>
                      <w:color w:val="auto"/>
                      <w:kern w:val="0"/>
                      <w:sz w:val="21"/>
                      <w:szCs w:val="21"/>
                      <w:lang w:eastAsia="zh-CN"/>
                    </w:rPr>
                  </w:pPr>
                  <w:r>
                    <w:rPr>
                      <w:rFonts w:ascii="Times New Roman" w:hAnsi="Times New Roman" w:eastAsia="宋体" w:cs="Times New Roman"/>
                      <w:color w:val="auto"/>
                      <w:szCs w:val="21"/>
                    </w:rPr>
                    <w:t>pH、COD、BOD</w:t>
                  </w:r>
                  <w:r>
                    <w:rPr>
                      <w:rFonts w:ascii="Times New Roman" w:hAnsi="Times New Roman" w:eastAsia="宋体" w:cs="Times New Roman"/>
                      <w:color w:val="auto"/>
                      <w:szCs w:val="21"/>
                      <w:vertAlign w:val="subscript"/>
                    </w:rPr>
                    <w:t>5</w:t>
                  </w:r>
                  <w:r>
                    <w:rPr>
                      <w:rFonts w:ascii="Times New Roman" w:hAnsi="Times New Roman" w:eastAsia="宋体" w:cs="Times New Roman"/>
                      <w:color w:val="auto"/>
                      <w:szCs w:val="21"/>
                    </w:rPr>
                    <w:t>、SS</w:t>
                  </w:r>
                  <w:r>
                    <w:rPr>
                      <w:rFonts w:hint="eastAsia" w:ascii="Times New Roman" w:hAnsi="Times New Roman" w:eastAsia="宋体" w:cs="Times New Roman"/>
                      <w:color w:val="auto"/>
                      <w:szCs w:val="21"/>
                      <w:lang w:eastAsia="zh-CN"/>
                    </w:rPr>
                    <w:t>、</w:t>
                  </w:r>
                  <w:r>
                    <w:rPr>
                      <w:rFonts w:ascii="Times New Roman" w:hAnsi="Times New Roman" w:eastAsia="宋体" w:cs="Times New Roman"/>
                      <w:bCs/>
                      <w:color w:val="auto"/>
                      <w:szCs w:val="21"/>
                    </w:rPr>
                    <w:t>NH</w:t>
                  </w:r>
                  <w:r>
                    <w:rPr>
                      <w:rFonts w:ascii="Times New Roman" w:hAnsi="Times New Roman" w:eastAsia="宋体" w:cs="Times New Roman"/>
                      <w:bCs/>
                      <w:color w:val="auto"/>
                      <w:szCs w:val="21"/>
                      <w:vertAlign w:val="subscript"/>
                    </w:rPr>
                    <w:t>3</w:t>
                  </w:r>
                  <w:r>
                    <w:rPr>
                      <w:rFonts w:ascii="Times New Roman" w:hAnsi="Times New Roman" w:eastAsia="宋体" w:cs="Times New Roman"/>
                      <w:bCs/>
                      <w:color w:val="auto"/>
                      <w:szCs w:val="21"/>
                    </w:rPr>
                    <w:t>-N</w:t>
                  </w:r>
                </w:p>
              </w:tc>
              <w:tc>
                <w:tcPr>
                  <w:tcW w:w="11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snapToGrid w:val="0"/>
                      <w:color w:val="auto"/>
                      <w:kern w:val="0"/>
                      <w:sz w:val="21"/>
                      <w:szCs w:val="21"/>
                      <w:lang w:val="en-US" w:eastAsia="zh-CN"/>
                    </w:rPr>
                  </w:pPr>
                  <w:r>
                    <w:rPr>
                      <w:rFonts w:hint="eastAsia" w:ascii="Times New Roman" w:hAnsi="Times New Roman" w:eastAsia="宋体" w:cs="Times New Roman"/>
                      <w:b w:val="0"/>
                      <w:bCs w:val="0"/>
                      <w:snapToGrid w:val="0"/>
                      <w:color w:val="auto"/>
                      <w:kern w:val="0"/>
                      <w:sz w:val="21"/>
                      <w:szCs w:val="21"/>
                      <w:lang w:eastAsia="zh-CN"/>
                    </w:rPr>
                    <w:t>年</w:t>
                  </w:r>
                  <w:r>
                    <w:rPr>
                      <w:rFonts w:hint="eastAsia" w:ascii="Times New Roman" w:hAnsi="Times New Roman" w:eastAsia="宋体" w:cs="Times New Roman"/>
                      <w:b w:val="0"/>
                      <w:bCs w:val="0"/>
                      <w:snapToGrid w:val="0"/>
                      <w:color w:val="auto"/>
                      <w:kern w:val="0"/>
                      <w:sz w:val="21"/>
                      <w:szCs w:val="21"/>
                      <w:lang w:val="en-US" w:eastAsia="zh-CN"/>
                    </w:rPr>
                    <w:t>/次</w:t>
                  </w:r>
                </w:p>
              </w:tc>
              <w:tc>
                <w:tcPr>
                  <w:tcW w:w="7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snapToGrid w:val="0"/>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雨水排放口</w:t>
                  </w:r>
                </w:p>
              </w:tc>
              <w:tc>
                <w:tcPr>
                  <w:tcW w:w="2105"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化学需氧量、悬浮物</w:t>
                  </w:r>
                </w:p>
              </w:tc>
              <w:tc>
                <w:tcPr>
                  <w:tcW w:w="113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1次/月*</w:t>
                  </w:r>
                </w:p>
              </w:tc>
              <w:tc>
                <w:tcPr>
                  <w:tcW w:w="7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snapToGrid w:val="0"/>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both"/>
                    <w:rPr>
                      <w:rFonts w:hint="default" w:ascii="Times New Roman" w:hAnsi="Times New Roman" w:eastAsia="宋体" w:cs="Times New Roman"/>
                      <w:b w:val="0"/>
                      <w:bCs w:val="0"/>
                      <w:snapToGrid w:val="0"/>
                      <w:color w:val="auto"/>
                      <w:kern w:val="0"/>
                      <w:sz w:val="21"/>
                      <w:szCs w:val="21"/>
                      <w:lang w:eastAsia="zh-CN"/>
                    </w:rPr>
                  </w:pPr>
                  <w:r>
                    <w:rPr>
                      <w:rFonts w:hint="default" w:ascii="Times New Roman" w:hAnsi="Times New Roman" w:eastAsia="宋体" w:cs="Times New Roman"/>
                      <w:b w:val="0"/>
                      <w:bCs w:val="0"/>
                      <w:snapToGrid w:val="0"/>
                      <w:color w:val="auto"/>
                      <w:kern w:val="0"/>
                      <w:sz w:val="21"/>
                      <w:szCs w:val="21"/>
                      <w:lang w:eastAsia="zh-CN"/>
                    </w:rPr>
                    <w:t>注：*雨水排放口每月有流动水排放时开展一次监测。如监测一年无异常情况，可放宽至每季度有流动水排放时开展一次监测</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9、废水环境影响分析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（1）废水处理设施依托可行性分析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sz w:val="24"/>
                <w:szCs w:val="24"/>
                <w:lang w:eastAsia="zh-CN"/>
              </w:rPr>
              <w:t>现有</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座生化池处理能力</w:t>
            </w:r>
            <w:r>
              <w:rPr>
                <w:rFonts w:hint="eastAsia"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rPr>
              <w:t>10m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而现有生活污水</w:t>
            </w:r>
            <w:r>
              <w:rPr>
                <w:rFonts w:hint="eastAsia" w:ascii="Times New Roman" w:hAnsi="Times New Roman" w:eastAsia="宋体" w:cs="Times New Roman"/>
                <w:kern w:val="0"/>
                <w:sz w:val="24"/>
                <w:szCs w:val="24"/>
                <w:lang w:val="zh-CN" w:eastAsia="zh-CN"/>
              </w:rPr>
              <w:t>产生量为1.</w:t>
            </w:r>
            <w:r>
              <w:rPr>
                <w:rFonts w:hint="eastAsia" w:ascii="Times New Roman" w:hAnsi="Times New Roman" w:eastAsia="宋体" w:cs="Times New Roman"/>
                <w:kern w:val="0"/>
                <w:sz w:val="24"/>
                <w:szCs w:val="24"/>
                <w:lang w:val="en-US" w:eastAsia="zh-CN"/>
              </w:rPr>
              <w:t>08</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剩余处理能力为</w:t>
            </w:r>
            <w:r>
              <w:rPr>
                <w:rFonts w:hint="eastAsia" w:ascii="Times New Roman" w:hAnsi="Times New Roman" w:eastAsia="宋体" w:cs="Times New Roman"/>
                <w:color w:val="auto"/>
                <w:sz w:val="24"/>
                <w:szCs w:val="24"/>
                <w:lang w:val="en-US" w:eastAsia="zh-CN"/>
              </w:rPr>
              <w:t>8.92</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val="en-US" w:eastAsia="zh-CN"/>
              </w:rPr>
              <w:t>设备清洗废水</w:t>
            </w:r>
            <w:r>
              <w:rPr>
                <w:rFonts w:hint="eastAsia" w:ascii="Times New Roman" w:hAnsi="Times New Roman" w:eastAsia="宋体" w:cs="Times New Roman"/>
                <w:color w:val="auto"/>
                <w:sz w:val="24"/>
                <w:szCs w:val="24"/>
                <w:lang w:eastAsia="zh-CN"/>
              </w:rPr>
              <w:t>及</w:t>
            </w:r>
            <w:r>
              <w:rPr>
                <w:rFonts w:hint="eastAsia" w:ascii="Times New Roman" w:hAnsi="Times New Roman" w:eastAsia="宋体" w:cs="Times New Roman"/>
                <w:kern w:val="0"/>
                <w:sz w:val="24"/>
                <w:szCs w:val="24"/>
                <w:lang w:val="zh-CN" w:eastAsia="zh-CN"/>
              </w:rPr>
              <w:t>除臭系统废水总产生量为</w:t>
            </w:r>
            <w:r>
              <w:rPr>
                <w:rFonts w:hint="eastAsia" w:ascii="Times New Roman" w:hAnsi="Times New Roman" w:eastAsia="宋体" w:cs="Times New Roman"/>
                <w:kern w:val="0"/>
                <w:sz w:val="24"/>
                <w:szCs w:val="24"/>
                <w:lang w:val="en-US" w:eastAsia="zh-CN"/>
              </w:rPr>
              <w:t>1.34</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废水量远远小于生化池剩余处理能力，因此，</w:t>
            </w:r>
            <w:r>
              <w:rPr>
                <w:rFonts w:hint="eastAsia"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szCs w:val="24"/>
                <w:lang w:val="en-US" w:eastAsia="zh-CN"/>
              </w:rPr>
              <w:t>设备清洗废水</w:t>
            </w:r>
            <w:r>
              <w:rPr>
                <w:rFonts w:hint="eastAsia" w:ascii="Times New Roman" w:hAnsi="Times New Roman" w:eastAsia="宋体" w:cs="Times New Roman"/>
                <w:color w:val="auto"/>
                <w:sz w:val="24"/>
                <w:szCs w:val="24"/>
                <w:lang w:eastAsia="zh-CN"/>
              </w:rPr>
              <w:t>及</w:t>
            </w:r>
            <w:r>
              <w:rPr>
                <w:rFonts w:hint="eastAsia" w:ascii="Times New Roman" w:hAnsi="Times New Roman" w:eastAsia="宋体" w:cs="Times New Roman"/>
                <w:kern w:val="0"/>
                <w:sz w:val="24"/>
                <w:szCs w:val="24"/>
                <w:lang w:val="zh-CN" w:eastAsia="zh-CN"/>
              </w:rPr>
              <w:t>除臭系统废水依托</w:t>
            </w:r>
            <w:r>
              <w:rPr>
                <w:rFonts w:hint="eastAsia" w:ascii="Times New Roman" w:hAnsi="Times New Roman" w:eastAsia="宋体" w:cs="Times New Roman"/>
                <w:color w:val="auto"/>
                <w:sz w:val="24"/>
                <w:lang w:val="en-US" w:eastAsia="zh-CN"/>
              </w:rPr>
              <w:t>生化池处理合理可行。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重庆铜梁城区污水处理厂位于铜梁区南城街道岳阳路11号，于2014年建设，污水处理工艺采用A</w:t>
            </w:r>
            <w:r>
              <w:rPr>
                <w:rFonts w:hint="eastAsia" w:ascii="Times New Roman" w:hAnsi="Times New Roman" w:eastAsia="宋体" w:cs="Times New Roman"/>
                <w:color w:val="auto"/>
                <w:kern w:val="0"/>
                <w:sz w:val="24"/>
                <w:szCs w:val="24"/>
                <w:vertAlign w:val="superscript"/>
                <w:lang w:val="en-US" w:eastAsia="zh-CN"/>
              </w:rPr>
              <w:t>2</w:t>
            </w:r>
            <w:r>
              <w:rPr>
                <w:rFonts w:hint="eastAsia" w:ascii="Times New Roman" w:hAnsi="Times New Roman" w:eastAsia="宋体" w:cs="Times New Roman"/>
                <w:color w:val="auto"/>
                <w:kern w:val="0"/>
                <w:sz w:val="24"/>
                <w:szCs w:val="24"/>
                <w:lang w:val="en-US" w:eastAsia="zh-CN"/>
              </w:rPr>
              <w:t>/0氧化沟工艺，其设计规模为2万立方米/日；重庆铜梁城区污水处理厂二期扩建工程位于一期工程东侧，设计规模为2万立方米/日，污水处理工艺采用A</w:t>
            </w:r>
            <w:r>
              <w:rPr>
                <w:rFonts w:hint="eastAsia" w:ascii="Times New Roman" w:hAnsi="Times New Roman" w:eastAsia="宋体" w:cs="Times New Roman"/>
                <w:color w:val="auto"/>
                <w:kern w:val="0"/>
                <w:sz w:val="24"/>
                <w:szCs w:val="24"/>
                <w:vertAlign w:val="superscript"/>
                <w:lang w:val="en-US" w:eastAsia="zh-CN"/>
              </w:rPr>
              <w:t>2</w:t>
            </w:r>
            <w:r>
              <w:rPr>
                <w:rFonts w:hint="eastAsia" w:ascii="Times New Roman" w:hAnsi="Times New Roman" w:eastAsia="宋体" w:cs="Times New Roman"/>
                <w:color w:val="auto"/>
                <w:kern w:val="0"/>
                <w:sz w:val="24"/>
                <w:szCs w:val="24"/>
                <w:lang w:val="en-US" w:eastAsia="zh-CN"/>
              </w:rPr>
              <w:t>/0氧化沟工艺，出水水质达到《城镇污水处理厂污染物排放标准》（GB18918-2002）一级A标准。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本项目平均废水量约68</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val="en-US" w:eastAsia="zh-CN"/>
              </w:rPr>
              <w:t>d，远远小于</w:t>
            </w:r>
            <w:r>
              <w:rPr>
                <w:rFonts w:hint="eastAsia" w:ascii="Times New Roman" w:hAnsi="Times New Roman" w:eastAsia="宋体" w:cs="Times New Roman"/>
                <w:color w:val="auto"/>
                <w:kern w:val="0"/>
                <w:sz w:val="24"/>
                <w:szCs w:val="24"/>
                <w:lang w:val="en-US" w:eastAsia="zh-CN"/>
              </w:rPr>
              <w:t>重庆铜梁城区污水处理厂设计处理规模</w:t>
            </w:r>
            <w:r>
              <w:rPr>
                <w:rFonts w:hint="eastAsia" w:ascii="Times New Roman" w:hAnsi="Times New Roman" w:eastAsia="宋体" w:cs="Times New Roman"/>
                <w:b w:val="0"/>
                <w:bCs w:val="0"/>
                <w:color w:val="auto"/>
                <w:sz w:val="24"/>
                <w:szCs w:val="24"/>
                <w:lang w:val="en-US" w:eastAsia="zh-CN"/>
              </w:rPr>
              <w:t>，且项目污泥大部分均来源于</w:t>
            </w:r>
            <w:r>
              <w:rPr>
                <w:rFonts w:hint="eastAsia" w:ascii="Times New Roman" w:hAnsi="Times New Roman" w:eastAsia="宋体" w:cs="Times New Roman"/>
                <w:color w:val="auto"/>
                <w:kern w:val="0"/>
                <w:sz w:val="24"/>
                <w:szCs w:val="24"/>
                <w:lang w:val="en-US" w:eastAsia="zh-CN"/>
              </w:rPr>
              <w:t>重庆铜梁城区污水处理厂</w:t>
            </w:r>
            <w:r>
              <w:rPr>
                <w:rFonts w:hint="eastAsia" w:ascii="Times New Roman" w:hAnsi="Times New Roman" w:eastAsia="宋体" w:cs="Times New Roman"/>
                <w:b w:val="0"/>
                <w:bCs w:val="0"/>
                <w:color w:val="auto"/>
                <w:sz w:val="24"/>
                <w:szCs w:val="24"/>
                <w:lang w:val="en-US" w:eastAsia="zh-CN"/>
              </w:rPr>
              <w:t>，因此，本项目污泥压滤废水采用专用罐车运至该污水处理厂处理可行。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（2）废水环境影响分析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拟建项目新建2个污水池，单个容积约64.58</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，总容积约为129.17</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，而项目污泥压滤废水最大产生量为72</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val="en-US" w:eastAsia="zh-CN"/>
              </w:rPr>
              <w:t>d</w:t>
            </w:r>
            <w:r>
              <w:rPr>
                <w:rFonts w:hint="eastAsia" w:ascii="Times New Roman" w:hAnsi="Times New Roman" w:eastAsia="宋体" w:cs="Times New Roman"/>
                <w:color w:val="auto"/>
                <w:kern w:val="0"/>
                <w:sz w:val="24"/>
                <w:szCs w:val="24"/>
                <w:lang w:val="en-US" w:eastAsia="zh-CN"/>
              </w:rPr>
              <w:t>，废水经2个污水池收集后每日通过专用罐车运至重庆铜梁城区污水处理厂处理，因此，2个污水池能满足项目废水量收集</w:t>
            </w:r>
            <w:r>
              <w:rPr>
                <w:rFonts w:hint="eastAsia" w:ascii="Times New Roman" w:hAnsi="Times New Roman" w:eastAsia="宋体" w:cs="Times New Roman"/>
                <w:b w:val="0"/>
                <w:bCs w:val="0"/>
                <w:color w:val="auto"/>
                <w:sz w:val="24"/>
                <w:szCs w:val="24"/>
                <w:lang w:val="en-US" w:eastAsia="zh-CN"/>
              </w:rPr>
              <w:t>要求</w:t>
            </w:r>
            <w:r>
              <w:rPr>
                <w:rFonts w:hint="eastAsia" w:ascii="Times New Roman" w:hAnsi="Times New Roman" w:eastAsia="宋体" w:cs="Times New Roman"/>
                <w:color w:val="auto"/>
                <w:kern w:val="0"/>
                <w:sz w:val="24"/>
                <w:szCs w:val="24"/>
                <w:lang w:val="en-US" w:eastAsia="zh-CN"/>
              </w:rPr>
              <w:t>。设备清洗废水及车间地面清洁废水经生化池收集处理后用于厂区绿化或作农肥，不外排。</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Cs/>
                <w:color w:val="auto"/>
                <w:sz w:val="24"/>
                <w:szCs w:val="24"/>
                <w:lang w:eastAsia="zh-CN"/>
              </w:rPr>
              <w:t>根据调查，</w:t>
            </w:r>
            <w:r>
              <w:rPr>
                <w:rFonts w:hint="eastAsia" w:ascii="Times New Roman" w:hAnsi="Times New Roman" w:eastAsia="宋体" w:cs="Times New Roman"/>
                <w:color w:val="auto"/>
                <w:kern w:val="0"/>
                <w:sz w:val="24"/>
                <w:szCs w:val="24"/>
                <w:lang w:val="en-US" w:eastAsia="zh-CN"/>
              </w:rPr>
              <w:t>专用罐车</w:t>
            </w:r>
            <w:r>
              <w:rPr>
                <w:rFonts w:hint="eastAsia" w:ascii="Times New Roman" w:hAnsi="Times New Roman" w:eastAsia="宋体" w:cs="Times New Roman"/>
                <w:bCs/>
                <w:color w:val="auto"/>
                <w:sz w:val="24"/>
                <w:szCs w:val="24"/>
                <w:lang w:eastAsia="zh-CN"/>
              </w:rPr>
              <w:t>一次能运输</w:t>
            </w:r>
            <w:r>
              <w:rPr>
                <w:rFonts w:hint="eastAsia" w:ascii="Times New Roman" w:hAnsi="Times New Roman" w:eastAsia="宋体" w:cs="Times New Roman"/>
                <w:bCs/>
                <w:color w:val="auto"/>
                <w:sz w:val="24"/>
                <w:szCs w:val="24"/>
                <w:lang w:val="en-US" w:eastAsia="zh-CN"/>
              </w:rPr>
              <w:t>30吨废水，</w:t>
            </w:r>
            <w:r>
              <w:rPr>
                <w:rFonts w:hint="eastAsia" w:ascii="Times New Roman" w:hAnsi="Times New Roman" w:eastAsia="宋体" w:cs="Times New Roman"/>
                <w:b w:val="0"/>
                <w:bCs w:val="0"/>
                <w:color w:val="auto"/>
                <w:sz w:val="24"/>
                <w:szCs w:val="24"/>
                <w:lang w:val="en-US" w:eastAsia="zh-CN"/>
              </w:rPr>
              <w:t>每天需要运输3次，运输距离约20km，按运输速度40km/h计算，则每次往返运输时间为1h，每天运输时间为3h，因此，项目废水每天能全部完成运输。</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综上所述，项目各废水采取评价提出的污染防治措施后对环境影响较小，环境影响可接受。</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4.2.3噪声环境影响和保护措施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（1）源强</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auto"/>
                <w:kern w:val="0"/>
                <w:sz w:val="24"/>
                <w:szCs w:val="24"/>
                <w:lang w:val="en-US" w:eastAsia="zh-CN"/>
              </w:rPr>
              <w:t>本项目主要噪声设备为提升螺旋输送机、锥阀柱塞泵、混料机、污泥深度脱水系统等，</w:t>
            </w:r>
            <w:r>
              <w:rPr>
                <w:rFonts w:hint="eastAsia" w:ascii="Times New Roman" w:hAnsi="Times New Roman" w:eastAsia="宋体" w:cs="Times New Roman"/>
                <w:color w:val="auto"/>
                <w:sz w:val="24"/>
                <w:szCs w:val="24"/>
                <w:lang w:eastAsia="zh-CN"/>
              </w:rPr>
              <w:t>通过采用</w:t>
            </w:r>
            <w:r>
              <w:rPr>
                <w:rFonts w:ascii="Times New Roman" w:hAnsi="Times New Roman" w:eastAsia="宋体" w:cs="Times New Roman"/>
                <w:color w:val="auto"/>
                <w:sz w:val="24"/>
                <w:szCs w:val="24"/>
              </w:rPr>
              <w:t>选用低噪声设备、减振</w:t>
            </w:r>
            <w:r>
              <w:rPr>
                <w:rFonts w:hint="eastAsia" w:ascii="Times New Roman" w:hAnsi="Times New Roman" w:eastAsia="宋体" w:cs="Times New Roman"/>
                <w:color w:val="auto"/>
                <w:sz w:val="24"/>
                <w:szCs w:val="24"/>
                <w:lang w:eastAsia="zh-CN"/>
              </w:rPr>
              <w:t>、建筑隔声</w:t>
            </w:r>
            <w:r>
              <w:rPr>
                <w:rFonts w:ascii="Times New Roman" w:hAnsi="Times New Roman" w:eastAsia="宋体" w:cs="Times New Roman"/>
                <w:color w:val="auto"/>
                <w:sz w:val="24"/>
                <w:szCs w:val="24"/>
              </w:rPr>
              <w:t>等措施</w:t>
            </w:r>
            <w:r>
              <w:rPr>
                <w:rFonts w:hint="eastAsia" w:ascii="Times New Roman" w:hAnsi="Times New Roman" w:eastAsia="宋体" w:cs="Times New Roman"/>
                <w:color w:val="auto"/>
                <w:sz w:val="24"/>
                <w:szCs w:val="24"/>
                <w:lang w:eastAsia="zh-CN"/>
              </w:rPr>
              <w:t>进行降噪，可使声源</w:t>
            </w:r>
            <w:r>
              <w:rPr>
                <w:rFonts w:hint="eastAsia" w:ascii="Times New Roman" w:hAnsi="Times New Roman" w:eastAsia="宋体" w:cs="Times New Roman"/>
                <w:color w:val="000000"/>
                <w:kern w:val="2"/>
                <w:sz w:val="21"/>
                <w:szCs w:val="21"/>
                <w:lang w:val="en-US" w:eastAsia="zh-CN" w:bidi="ar-SA"/>
              </w:rPr>
              <w:t>噪声</w:t>
            </w:r>
            <w:r>
              <w:rPr>
                <w:rFonts w:hint="eastAsia" w:ascii="Times New Roman" w:hAnsi="Times New Roman" w:eastAsia="宋体" w:cs="Times New Roman"/>
                <w:color w:val="auto"/>
                <w:sz w:val="24"/>
                <w:szCs w:val="24"/>
                <w:lang w:eastAsia="zh-CN"/>
              </w:rPr>
              <w:t>值降低</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eastAsia="zh-CN"/>
              </w:rPr>
              <w:t>dB(A)左右。</w:t>
            </w:r>
            <w:r>
              <w:rPr>
                <w:rFonts w:hint="eastAsia" w:ascii="Times New Roman" w:hAnsi="Times New Roman" w:eastAsia="宋体" w:cs="Times New Roman"/>
                <w:color w:val="auto"/>
                <w:kern w:val="0"/>
                <w:sz w:val="24"/>
                <w:szCs w:val="24"/>
                <w:lang w:val="en-US" w:eastAsia="zh-CN"/>
              </w:rPr>
              <w:t>项目噪声源强及降噪措施见表4.2-9。</w:t>
            </w:r>
          </w:p>
        </w:tc>
      </w:tr>
    </w:tbl>
    <w:p>
      <w:pPr>
        <w:autoSpaceDE w:val="0"/>
        <w:autoSpaceDN w:val="0"/>
        <w:adjustRightInd w:val="0"/>
        <w:snapToGrid w:val="0"/>
        <w:jc w:val="center"/>
        <w:rPr>
          <w:rFonts w:ascii="Times New Roman" w:hAnsi="Times New Roman" w:eastAsia="宋体" w:cs="Times New Roman"/>
          <w:kern w:val="0"/>
          <w:sz w:val="22"/>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keepLines w:val="0"/>
        <w:pageBreakBefore w:val="0"/>
        <w:widowControl w:val="0"/>
        <w:kinsoku/>
        <w:wordWrap/>
        <w:overflowPunct/>
        <w:topLinePunct w:val="0"/>
        <w:autoSpaceDE/>
        <w:autoSpaceDN/>
        <w:bidi w:val="0"/>
        <w:spacing w:line="360" w:lineRule="auto"/>
        <w:jc w:val="center"/>
        <w:textAlignment w:val="auto"/>
        <w:outlineLvl w:val="9"/>
        <w:rPr>
          <w:rFonts w:hint="eastAsia"/>
          <w:b/>
          <w:color w:val="auto"/>
          <w:sz w:val="24"/>
          <w:szCs w:val="24"/>
          <w:lang w:val="en-US" w:eastAsia="zh-CN"/>
        </w:rPr>
      </w:pPr>
      <w:r>
        <w:rPr>
          <w:rFonts w:hint="default" w:ascii="Times New Roman" w:hAnsi="Times New Roman" w:eastAsia="宋体" w:cs="Times New Roman"/>
          <w:b/>
          <w:bCs/>
          <w:color w:val="auto"/>
          <w:sz w:val="24"/>
          <w:szCs w:val="24"/>
          <w:lang w:eastAsia="zh-CN"/>
        </w:rPr>
        <w:t>表</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 xml:space="preserve">  主要噪声源强及治理措施一览表</w:t>
      </w:r>
      <w:r>
        <w:rPr>
          <w:rFonts w:hint="eastAsia" w:ascii="Times New Roman" w:hAnsi="Times New Roman" w:eastAsia="宋体" w:cs="Times New Roman"/>
          <w:b/>
          <w:bCs/>
          <w:color w:val="auto"/>
          <w:sz w:val="24"/>
          <w:szCs w:val="24"/>
          <w:lang w:val="en-US" w:eastAsia="zh-CN"/>
        </w:rPr>
        <w:t>（室内噪声）</w:t>
      </w:r>
    </w:p>
    <w:tbl>
      <w:tblPr>
        <w:tblStyle w:val="20"/>
        <w:tblW w:w="508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93"/>
        <w:gridCol w:w="1050"/>
        <w:gridCol w:w="1974"/>
        <w:gridCol w:w="1084"/>
        <w:gridCol w:w="905"/>
        <w:gridCol w:w="870"/>
        <w:gridCol w:w="765"/>
        <w:gridCol w:w="888"/>
        <w:gridCol w:w="519"/>
        <w:gridCol w:w="879"/>
        <w:gridCol w:w="989"/>
        <w:gridCol w:w="659"/>
        <w:gridCol w:w="1126"/>
        <w:gridCol w:w="1045"/>
        <w:gridCol w:w="106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restar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序号</w:t>
            </w:r>
          </w:p>
        </w:tc>
        <w:tc>
          <w:tcPr>
            <w:tcW w:w="364" w:type="pct"/>
            <w:vMerge w:val="restar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建筑物名称</w:t>
            </w:r>
          </w:p>
        </w:tc>
        <w:tc>
          <w:tcPr>
            <w:tcW w:w="684" w:type="pct"/>
            <w:vMerge w:val="restar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声源</w:t>
            </w:r>
            <w:r>
              <w:rPr>
                <w:rFonts w:hint="default" w:ascii="Times New Roman" w:hAnsi="Times New Roman" w:eastAsia="宋体" w:cs="Times New Roman"/>
                <w:bCs/>
                <w:color w:val="auto"/>
                <w:sz w:val="21"/>
                <w:szCs w:val="21"/>
                <w:lang w:eastAsia="zh-CN"/>
              </w:rPr>
              <w:t>名称</w:t>
            </w:r>
          </w:p>
        </w:tc>
        <w:tc>
          <w:tcPr>
            <w:tcW w:w="376" w:type="pct"/>
            <w:vMerge w:val="restar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型号</w:t>
            </w:r>
          </w:p>
        </w:tc>
        <w:tc>
          <w:tcPr>
            <w:tcW w:w="313" w:type="pct"/>
            <w:vMerge w:val="restar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声功率级/dB(A)</w:t>
            </w:r>
          </w:p>
        </w:tc>
        <w:tc>
          <w:tcPr>
            <w:tcW w:w="301" w:type="pct"/>
            <w:vMerge w:val="restart"/>
            <w:tcBorders>
              <w:righ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声源控制</w:t>
            </w:r>
            <w:r>
              <w:rPr>
                <w:rFonts w:hint="default" w:ascii="Times New Roman" w:hAnsi="Times New Roman" w:eastAsia="宋体" w:cs="Times New Roman"/>
                <w:color w:val="auto"/>
                <w:sz w:val="21"/>
                <w:szCs w:val="21"/>
              </w:rPr>
              <w:t>措施</w:t>
            </w:r>
          </w:p>
        </w:tc>
        <w:tc>
          <w:tcPr>
            <w:tcW w:w="753" w:type="pct"/>
            <w:gridSpan w:val="3"/>
            <w:tcBorders>
              <w:righ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空间相对位置</w:t>
            </w:r>
            <w:r>
              <w:rPr>
                <w:rFonts w:hint="default" w:ascii="Times New Roman" w:hAnsi="Times New Roman" w:eastAsia="宋体" w:cs="Times New Roman"/>
                <w:color w:val="auto"/>
                <w:sz w:val="21"/>
                <w:szCs w:val="21"/>
                <w:lang w:val="en-US" w:eastAsia="zh-CN"/>
              </w:rPr>
              <w:t>/m</w:t>
            </w:r>
          </w:p>
        </w:tc>
        <w:tc>
          <w:tcPr>
            <w:tcW w:w="304" w:type="pct"/>
            <w:vMerge w:val="restart"/>
            <w:tcBorders>
              <w:righ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距室内边界距离</w:t>
            </w:r>
            <w:r>
              <w:rPr>
                <w:rFonts w:hint="default" w:ascii="Times New Roman" w:hAnsi="Times New Roman" w:eastAsia="宋体" w:cs="Times New Roman"/>
                <w:color w:val="auto"/>
                <w:sz w:val="21"/>
                <w:szCs w:val="21"/>
                <w:lang w:val="en-US" w:eastAsia="zh-CN"/>
              </w:rPr>
              <w:t>/m</w:t>
            </w:r>
          </w:p>
        </w:tc>
        <w:tc>
          <w:tcPr>
            <w:tcW w:w="343" w:type="pct"/>
            <w:vMerge w:val="restart"/>
            <w:tcBorders>
              <w:lef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室内边界</w:t>
            </w:r>
            <w:r>
              <w:rPr>
                <w:rFonts w:hint="default" w:ascii="Times New Roman" w:hAnsi="Times New Roman" w:eastAsia="宋体" w:cs="Times New Roman"/>
                <w:color w:val="auto"/>
                <w:sz w:val="21"/>
                <w:szCs w:val="21"/>
              </w:rPr>
              <w:t>声级</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Cs/>
                <w:color w:val="auto"/>
                <w:sz w:val="21"/>
                <w:szCs w:val="21"/>
              </w:rPr>
              <w:t>dB(A)</w:t>
            </w:r>
          </w:p>
        </w:tc>
        <w:tc>
          <w:tcPr>
            <w:tcW w:w="228" w:type="pct"/>
            <w:vMerge w:val="restart"/>
            <w:tcBorders>
              <w:lef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运行时段</w:t>
            </w:r>
          </w:p>
        </w:tc>
        <w:tc>
          <w:tcPr>
            <w:tcW w:w="390" w:type="pct"/>
            <w:vMerge w:val="restart"/>
            <w:tcBorders>
              <w:lef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建筑物插入损失</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Cs/>
                <w:color w:val="auto"/>
                <w:sz w:val="21"/>
                <w:szCs w:val="21"/>
              </w:rPr>
              <w:t>dB(A)</w:t>
            </w:r>
          </w:p>
        </w:tc>
        <w:tc>
          <w:tcPr>
            <w:tcW w:w="732" w:type="pct"/>
            <w:gridSpan w:val="2"/>
            <w:tcBorders>
              <w:lef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建筑物外噪声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4" w:type="pct"/>
            <w:vMerge w:val="continue"/>
            <w:tcBorders>
              <w:lef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76" w:type="pct"/>
            <w:vMerge w:val="continue"/>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13"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01"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Z</w:t>
            </w:r>
          </w:p>
        </w:tc>
        <w:tc>
          <w:tcPr>
            <w:tcW w:w="30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c>
          <w:tcPr>
            <w:tcW w:w="343" w:type="pct"/>
            <w:vMerge w:val="continue"/>
            <w:tcBorders>
              <w:lef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c>
          <w:tcPr>
            <w:tcW w:w="228" w:type="pct"/>
            <w:vMerge w:val="continue"/>
            <w:tcBorders>
              <w:lef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c>
          <w:tcPr>
            <w:tcW w:w="390" w:type="pct"/>
            <w:vMerge w:val="continue"/>
            <w:tcBorders>
              <w:lef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声</w:t>
            </w:r>
            <w:r>
              <w:rPr>
                <w:rFonts w:hint="default" w:ascii="Times New Roman" w:hAnsi="Times New Roman" w:eastAsia="宋体" w:cs="Times New Roman"/>
                <w:color w:val="auto"/>
                <w:sz w:val="21"/>
                <w:szCs w:val="21"/>
                <w:lang w:eastAsia="zh-CN"/>
              </w:rPr>
              <w:t>压率级</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Cs/>
                <w:color w:val="auto"/>
                <w:sz w:val="21"/>
                <w:szCs w:val="21"/>
              </w:rPr>
              <w:t>dB(A)</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建筑物外距离</w:t>
            </w:r>
            <w:r>
              <w:rPr>
                <w:rFonts w:hint="default" w:ascii="Times New Roman" w:hAnsi="Times New Roman" w:eastAsia="宋体" w:cs="Times New Roman"/>
                <w:color w:val="auto"/>
                <w:sz w:val="21"/>
                <w:szCs w:val="21"/>
                <w:lang w:val="en-US" w:eastAsia="zh-CN"/>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restar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64" w:type="pct"/>
            <w:vMerge w:val="restar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湿污泥储存间</w:t>
            </w: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提升螺旋输送机</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7.5kw</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301" w:type="pct"/>
            <w:vMerge w:val="restar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选用</w:t>
            </w:r>
            <w:r>
              <w:rPr>
                <w:rFonts w:hint="default" w:ascii="Times New Roman" w:hAnsi="Times New Roman" w:eastAsia="宋体" w:cs="Times New Roman"/>
                <w:b w:val="0"/>
                <w:bCs w:val="0"/>
                <w:color w:val="auto"/>
                <w:sz w:val="21"/>
                <w:szCs w:val="21"/>
                <w:vertAlign w:val="baseline"/>
                <w:lang w:val="en-US" w:eastAsia="zh-CN"/>
              </w:rPr>
              <w:t>低噪声设备、基础减振、</w:t>
            </w:r>
            <w:r>
              <w:rPr>
                <w:rFonts w:hint="eastAsia" w:ascii="Times New Roman" w:hAnsi="Times New Roman" w:eastAsia="宋体" w:cs="Times New Roman"/>
                <w:b w:val="0"/>
                <w:bCs w:val="0"/>
                <w:color w:val="auto"/>
                <w:sz w:val="21"/>
                <w:szCs w:val="21"/>
                <w:vertAlign w:val="baseline"/>
                <w:lang w:val="en-US" w:eastAsia="zh-CN"/>
              </w:rPr>
              <w:t>建筑</w:t>
            </w:r>
            <w:r>
              <w:rPr>
                <w:rFonts w:hint="default" w:ascii="Times New Roman" w:hAnsi="Times New Roman" w:eastAsia="宋体" w:cs="Times New Roman"/>
                <w:b w:val="0"/>
                <w:bCs w:val="0"/>
                <w:color w:val="auto"/>
                <w:sz w:val="21"/>
                <w:szCs w:val="21"/>
                <w:vertAlign w:val="baseline"/>
                <w:lang w:val="en-US" w:eastAsia="zh-CN"/>
              </w:rPr>
              <w:t>隔声等措施</w:t>
            </w: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64.95</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-33.11</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8.19</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76.53</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50.53</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提升螺旋输送机</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7.5kw</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64.95</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-33.11</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7.18</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76.53</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50.53</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提升螺旋输送机</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7.5kw</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64.95</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-33.11</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2.74</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76.62</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50.62</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提升螺旋输送机</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7.5kw</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64.95</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-33.11</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7.93</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76.53</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50.53</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restar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锥阀柱塞泵</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58.24</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-27.33</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1.54</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76.83</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50.83</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锥阀柱塞泵</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58.24</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-27.33</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13.33</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76.52</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50.52</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锥阀柱塞泵</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58.24</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-27.33</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9.39</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76.53</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50.53</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锥阀柱塞泵</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58.24</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-27.33</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2.05</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76.70</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50.70</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restar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混料机</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15kw</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61.67</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-33.42</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4.91</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71.55</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45.55</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混料机</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15kw</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61.67</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-33.42</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7.05</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71.53</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45.53</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混料机</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15kw</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61.67</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-33.42</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6.03</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71.54</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45.54</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混料机</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15kw</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61.67</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-33.42</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8.19</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71.53</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45.53</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restar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364" w:type="pct"/>
            <w:vMerge w:val="restar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污泥脱水车间</w:t>
            </w: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污泥深度脱水系统</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150</w:t>
            </w:r>
            <w:r>
              <w:rPr>
                <w:rFonts w:hint="eastAsia" w:ascii="Times New Roman" w:hAnsi="Times New Roman" w:eastAsia="宋体" w:cs="Times New Roman"/>
                <w:color w:val="auto"/>
                <w:kern w:val="2"/>
                <w:sz w:val="21"/>
                <w:szCs w:val="21"/>
                <w:lang w:val="en-US" w:eastAsia="zh-CN" w:bidi="ar-SA"/>
              </w:rPr>
              <w:t>t</w:t>
            </w:r>
            <w:r>
              <w:rPr>
                <w:rFonts w:hint="default" w:ascii="Times New Roman" w:hAnsi="Times New Roman" w:eastAsia="宋体" w:cs="Times New Roman"/>
                <w:color w:val="auto"/>
                <w:kern w:val="2"/>
                <w:sz w:val="21"/>
                <w:szCs w:val="21"/>
                <w:lang w:val="en-US" w:eastAsia="zh-CN" w:bidi="ar-SA"/>
              </w:rPr>
              <w:t>/d</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48.55</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-19.05</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5.07</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80.87</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54.87</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污泥深度脱水系统</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150</w:t>
            </w:r>
            <w:r>
              <w:rPr>
                <w:rFonts w:hint="eastAsia" w:ascii="Times New Roman" w:hAnsi="Times New Roman" w:eastAsia="宋体" w:cs="Times New Roman"/>
                <w:color w:val="auto"/>
                <w:kern w:val="2"/>
                <w:sz w:val="21"/>
                <w:szCs w:val="21"/>
                <w:lang w:val="en-US" w:eastAsia="zh-CN" w:bidi="ar-SA"/>
              </w:rPr>
              <w:t>t</w:t>
            </w:r>
            <w:r>
              <w:rPr>
                <w:rFonts w:hint="default" w:ascii="Times New Roman" w:hAnsi="Times New Roman" w:eastAsia="宋体" w:cs="Times New Roman"/>
                <w:color w:val="auto"/>
                <w:kern w:val="2"/>
                <w:sz w:val="21"/>
                <w:szCs w:val="21"/>
                <w:lang w:val="en-US" w:eastAsia="zh-CN" w:bidi="ar-SA"/>
              </w:rPr>
              <w:t>/d</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48.55</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-19.05</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10.75</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80.85</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54.85</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污泥深度脱水系统</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150</w:t>
            </w:r>
            <w:r>
              <w:rPr>
                <w:rFonts w:hint="eastAsia" w:ascii="Times New Roman" w:hAnsi="Times New Roman" w:eastAsia="宋体" w:cs="Times New Roman"/>
                <w:color w:val="auto"/>
                <w:kern w:val="2"/>
                <w:sz w:val="21"/>
                <w:szCs w:val="21"/>
                <w:lang w:val="en-US" w:eastAsia="zh-CN" w:bidi="ar-SA"/>
              </w:rPr>
              <w:t>t</w:t>
            </w:r>
            <w:r>
              <w:rPr>
                <w:rFonts w:hint="default" w:ascii="Times New Roman" w:hAnsi="Times New Roman" w:eastAsia="宋体" w:cs="Times New Roman"/>
                <w:color w:val="auto"/>
                <w:kern w:val="2"/>
                <w:sz w:val="21"/>
                <w:szCs w:val="21"/>
                <w:lang w:val="en-US" w:eastAsia="zh-CN" w:bidi="ar-SA"/>
              </w:rPr>
              <w:t>/d</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48.55</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-19.05</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4.61</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80.88</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54.88</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5"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vMerge w:val="continue"/>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4"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污泥深度脱水系统</w:t>
            </w:r>
          </w:p>
        </w:tc>
        <w:tc>
          <w:tcPr>
            <w:tcW w:w="37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150</w:t>
            </w:r>
            <w:r>
              <w:rPr>
                <w:rFonts w:hint="eastAsia" w:ascii="Times New Roman" w:hAnsi="Times New Roman" w:eastAsia="宋体" w:cs="Times New Roman"/>
                <w:color w:val="auto"/>
                <w:kern w:val="2"/>
                <w:sz w:val="21"/>
                <w:szCs w:val="21"/>
                <w:lang w:val="en-US" w:eastAsia="zh-CN" w:bidi="ar-SA"/>
              </w:rPr>
              <w:t>t</w:t>
            </w:r>
            <w:r>
              <w:rPr>
                <w:rFonts w:hint="default" w:ascii="Times New Roman" w:hAnsi="Times New Roman" w:eastAsia="宋体" w:cs="Times New Roman"/>
                <w:color w:val="auto"/>
                <w:kern w:val="2"/>
                <w:sz w:val="21"/>
                <w:szCs w:val="21"/>
                <w:lang w:val="en-US" w:eastAsia="zh-CN" w:bidi="ar-SA"/>
              </w:rPr>
              <w:t>/d</w:t>
            </w:r>
          </w:p>
        </w:tc>
        <w:tc>
          <w:tcPr>
            <w:tcW w:w="313"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301" w:type="pct"/>
            <w:vMerge w:val="continue"/>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65"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48.55</w:t>
            </w:r>
          </w:p>
        </w:tc>
        <w:tc>
          <w:tcPr>
            <w:tcW w:w="308"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-19.05</w:t>
            </w:r>
          </w:p>
        </w:tc>
        <w:tc>
          <w:tcPr>
            <w:tcW w:w="180"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304"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13.31</w:t>
            </w:r>
          </w:p>
        </w:tc>
        <w:tc>
          <w:tcPr>
            <w:tcW w:w="343"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80.84</w:t>
            </w:r>
          </w:p>
        </w:tc>
        <w:tc>
          <w:tcPr>
            <w:tcW w:w="22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p>
        </w:tc>
        <w:tc>
          <w:tcPr>
            <w:tcW w:w="39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20</w:t>
            </w:r>
          </w:p>
        </w:tc>
        <w:tc>
          <w:tcPr>
            <w:tcW w:w="362"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54.84</w:t>
            </w:r>
          </w:p>
        </w:tc>
        <w:tc>
          <w:tcPr>
            <w:tcW w:w="370"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r>
    </w:tbl>
    <w:p>
      <w:pPr>
        <w:autoSpaceDE w:val="0"/>
        <w:autoSpaceDN w:val="0"/>
        <w:adjustRightInd w:val="0"/>
        <w:snapToGrid w:val="0"/>
        <w:jc w:val="both"/>
        <w:rPr>
          <w:rFonts w:ascii="Times New Roman" w:hAnsi="Times New Roman" w:eastAsia="宋体" w:cs="Times New Roman"/>
          <w:kern w:val="0"/>
          <w:sz w:val="22"/>
        </w:rPr>
      </w:pPr>
      <w:r>
        <w:rPr>
          <w:rFonts w:hint="eastAsia" w:ascii="Times New Roman" w:hAnsi="Times New Roman" w:eastAsia="宋体" w:cs="Times New Roman"/>
          <w:kern w:val="0"/>
          <w:sz w:val="22"/>
          <w:lang w:eastAsia="zh-CN"/>
        </w:rPr>
        <w:t>注：以现有发酵车间中心点作为坐标原点（</w:t>
      </w:r>
      <w:r>
        <w:rPr>
          <w:rFonts w:hint="eastAsia" w:ascii="Times New Roman" w:hAnsi="Times New Roman" w:eastAsia="宋体" w:cs="Times New Roman"/>
          <w:kern w:val="0"/>
          <w:sz w:val="22"/>
          <w:lang w:val="en-US" w:eastAsia="zh-CN"/>
        </w:rPr>
        <w:t>0,0</w:t>
      </w:r>
      <w:r>
        <w:rPr>
          <w:rFonts w:hint="eastAsia" w:ascii="Times New Roman" w:hAnsi="Times New Roman" w:eastAsia="宋体" w:cs="Times New Roman"/>
          <w:kern w:val="0"/>
          <w:sz w:val="22"/>
          <w:lang w:eastAsia="zh-CN"/>
        </w:rPr>
        <w:t>）</w:t>
      </w:r>
      <w:r>
        <w:rPr>
          <w:rFonts w:ascii="Times New Roman" w:hAnsi="Times New Roman" w:eastAsia="宋体" w:cs="Times New Roman"/>
          <w:kern w:val="0"/>
          <w:sz w:val="22"/>
        </w:rPr>
        <w:br w:type="page"/>
      </w:r>
    </w:p>
    <w:p>
      <w:pPr>
        <w:autoSpaceDE w:val="0"/>
        <w:autoSpaceDN w:val="0"/>
        <w:adjustRightInd w:val="0"/>
        <w:snapToGrid w:val="0"/>
        <w:jc w:val="center"/>
        <w:rPr>
          <w:rFonts w:ascii="Times New Roman" w:hAnsi="Times New Roman" w:eastAsia="宋体" w:cs="Times New Roman"/>
          <w:kern w:val="0"/>
          <w:sz w:val="22"/>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19" w:charSpace="0"/>
        </w:sectPr>
      </w:pPr>
    </w:p>
    <w:tbl>
      <w:tblPr>
        <w:tblStyle w:val="20"/>
        <w:tblW w:w="9062"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363"/>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82"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运营期环境影响和保护措施</w:t>
            </w:r>
          </w:p>
        </w:tc>
        <w:tc>
          <w:tcPr>
            <w:tcW w:w="8363" w:type="dxa"/>
            <w:vAlign w:val="center"/>
          </w:tcPr>
          <w:p>
            <w:pPr>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2</w:t>
            </w:r>
            <w:r>
              <w:rPr>
                <w:rFonts w:hint="eastAsia" w:ascii="Times New Roman" w:hAnsi="Times New Roman" w:eastAsia="宋体" w:cs="Times New Roman"/>
                <w:b/>
                <w:bCs/>
                <w:sz w:val="24"/>
                <w:lang w:eastAsia="zh-CN"/>
              </w:rPr>
              <w:t>、</w:t>
            </w:r>
            <w:r>
              <w:rPr>
                <w:rFonts w:hint="default" w:ascii="Times New Roman" w:hAnsi="Times New Roman" w:eastAsia="宋体" w:cs="Times New Roman"/>
                <w:b/>
                <w:bCs/>
                <w:sz w:val="24"/>
              </w:rPr>
              <w:t>预测模式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1</w:t>
            </w:r>
            <w:r>
              <w:rPr>
                <w:rFonts w:hint="default" w:ascii="Times New Roman" w:hAnsi="Times New Roman" w:eastAsia="宋体" w:cs="Times New Roman"/>
                <w:b w:val="0"/>
                <w:bCs/>
                <w:color w:val="auto"/>
                <w:sz w:val="24"/>
                <w:szCs w:val="24"/>
                <w:lang w:eastAsia="zh-CN"/>
              </w:rPr>
              <w:t>）预测点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本项目厂</w:t>
            </w:r>
            <w:r>
              <w:rPr>
                <w:rFonts w:hint="default" w:ascii="Times New Roman" w:hAnsi="Times New Roman" w:eastAsia="宋体" w:cs="Times New Roman"/>
                <w:b w:val="0"/>
                <w:bCs/>
                <w:color w:val="auto"/>
                <w:sz w:val="24"/>
                <w:szCs w:val="24"/>
                <w:lang w:eastAsia="zh-CN"/>
              </w:rPr>
              <w:t>界外</w:t>
            </w:r>
            <w:r>
              <w:rPr>
                <w:rFonts w:hint="default" w:ascii="Times New Roman" w:hAnsi="Times New Roman" w:eastAsia="宋体" w:cs="Times New Roman"/>
                <w:b w:val="0"/>
                <w:bCs/>
                <w:color w:val="auto"/>
                <w:sz w:val="24"/>
                <w:szCs w:val="24"/>
              </w:rPr>
              <w:t>周围</w:t>
            </w:r>
            <w:r>
              <w:rPr>
                <w:rFonts w:hint="default"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rPr>
              <w:t>0m范围</w:t>
            </w:r>
            <w:r>
              <w:rPr>
                <w:rFonts w:hint="default" w:ascii="Times New Roman" w:hAnsi="Times New Roman" w:eastAsia="宋体" w:cs="Times New Roman"/>
                <w:b w:val="0"/>
                <w:bCs/>
                <w:color w:val="auto"/>
                <w:sz w:val="24"/>
                <w:szCs w:val="24"/>
                <w:lang w:eastAsia="zh-CN"/>
              </w:rPr>
              <w:t>无</w:t>
            </w:r>
            <w:r>
              <w:rPr>
                <w:rFonts w:hint="default" w:ascii="Times New Roman" w:hAnsi="Times New Roman" w:eastAsia="宋体" w:cs="Times New Roman"/>
                <w:b w:val="0"/>
                <w:bCs/>
                <w:color w:val="auto"/>
                <w:sz w:val="24"/>
                <w:szCs w:val="24"/>
              </w:rPr>
              <w:t>声环境保护目标，</w:t>
            </w:r>
            <w:r>
              <w:rPr>
                <w:rFonts w:hint="default" w:ascii="Times New Roman" w:hAnsi="Times New Roman" w:eastAsia="宋体" w:cs="Times New Roman"/>
                <w:b w:val="0"/>
                <w:bCs/>
                <w:color w:val="auto"/>
                <w:sz w:val="24"/>
                <w:szCs w:val="24"/>
                <w:lang w:eastAsia="zh-CN"/>
              </w:rPr>
              <w:t>因此，</w:t>
            </w:r>
            <w:r>
              <w:rPr>
                <w:rFonts w:hint="default" w:ascii="Times New Roman" w:hAnsi="Times New Roman" w:eastAsia="宋体" w:cs="Times New Roman"/>
                <w:b w:val="0"/>
                <w:bCs/>
                <w:color w:val="auto"/>
                <w:sz w:val="24"/>
                <w:szCs w:val="24"/>
              </w:rPr>
              <w:t>本评价</w:t>
            </w:r>
            <w:r>
              <w:rPr>
                <w:rFonts w:hint="default" w:ascii="Times New Roman" w:hAnsi="Times New Roman" w:eastAsia="宋体" w:cs="Times New Roman"/>
                <w:b w:val="0"/>
                <w:bCs/>
                <w:color w:val="auto"/>
                <w:sz w:val="24"/>
                <w:szCs w:val="24"/>
                <w:lang w:eastAsia="zh-CN"/>
              </w:rPr>
              <w:t>仅对</w:t>
            </w:r>
            <w:r>
              <w:rPr>
                <w:rFonts w:hint="default" w:ascii="Times New Roman" w:hAnsi="Times New Roman" w:eastAsia="宋体" w:cs="Times New Roman"/>
                <w:b w:val="0"/>
                <w:bCs/>
                <w:color w:val="auto"/>
                <w:sz w:val="24"/>
                <w:szCs w:val="24"/>
              </w:rPr>
              <w:t>厂界噪声</w:t>
            </w:r>
            <w:r>
              <w:rPr>
                <w:rFonts w:hint="default" w:ascii="Times New Roman" w:hAnsi="Times New Roman" w:eastAsia="宋体" w:cs="Times New Roman"/>
                <w:b w:val="0"/>
                <w:bCs/>
                <w:color w:val="auto"/>
                <w:sz w:val="24"/>
                <w:szCs w:val="24"/>
                <w:lang w:eastAsia="zh-CN"/>
              </w:rPr>
              <w:t>进行</w:t>
            </w:r>
            <w:r>
              <w:rPr>
                <w:rFonts w:hint="default" w:ascii="Times New Roman" w:hAnsi="Times New Roman" w:eastAsia="宋体" w:cs="Times New Roman"/>
                <w:b w:val="0"/>
                <w:bCs/>
                <w:color w:val="auto"/>
                <w:sz w:val="24"/>
                <w:szCs w:val="24"/>
              </w:rPr>
              <w:t>预测。</w:t>
            </w:r>
            <w:r>
              <w:rPr>
                <w:rFonts w:hint="eastAsia" w:ascii="Times New Roman" w:hAnsi="Times New Roman" w:eastAsia="宋体" w:cs="Times New Roman"/>
                <w:bCs/>
                <w:color w:val="auto"/>
                <w:sz w:val="24"/>
                <w:szCs w:val="24"/>
              </w:rPr>
              <w:t>四周</w:t>
            </w:r>
            <w:r>
              <w:rPr>
                <w:rFonts w:ascii="Times New Roman" w:hAnsi="Times New Roman" w:eastAsia="宋体" w:cs="Times New Roman"/>
                <w:bCs/>
                <w:color w:val="auto"/>
                <w:sz w:val="24"/>
                <w:szCs w:val="24"/>
              </w:rPr>
              <w:t>厂界</w:t>
            </w:r>
            <w:r>
              <w:rPr>
                <w:rFonts w:hint="eastAsia" w:ascii="Times New Roman" w:hAnsi="Times New Roman" w:eastAsia="宋体" w:cs="Times New Roman"/>
                <w:bCs/>
                <w:color w:val="auto"/>
                <w:sz w:val="24"/>
                <w:szCs w:val="24"/>
              </w:rPr>
              <w:t>噪声，</w:t>
            </w:r>
            <w:r>
              <w:rPr>
                <w:rFonts w:ascii="Times New Roman" w:hAnsi="Times New Roman" w:eastAsia="宋体" w:cs="Times New Roman"/>
                <w:bCs/>
                <w:color w:val="auto"/>
                <w:sz w:val="24"/>
                <w:szCs w:val="24"/>
              </w:rPr>
              <w:t>自</w:t>
            </w:r>
            <w:r>
              <w:rPr>
                <w:rFonts w:hint="eastAsia" w:ascii="Times New Roman" w:hAnsi="Times New Roman" w:eastAsia="宋体" w:cs="Times New Roman"/>
                <w:bCs/>
                <w:color w:val="auto"/>
                <w:sz w:val="24"/>
                <w:szCs w:val="24"/>
                <w:lang w:eastAsia="zh-CN"/>
              </w:rPr>
              <w:t>南</w:t>
            </w:r>
            <w:r>
              <w:rPr>
                <w:rFonts w:ascii="Times New Roman" w:hAnsi="Times New Roman" w:eastAsia="宋体" w:cs="Times New Roman"/>
                <w:bCs/>
                <w:color w:val="auto"/>
                <w:sz w:val="24"/>
                <w:szCs w:val="24"/>
              </w:rPr>
              <w:t>侧厂界顶点起</w:t>
            </w:r>
            <w:r>
              <w:rPr>
                <w:rFonts w:hint="eastAsia" w:ascii="Times New Roman" w:hAnsi="Times New Roman" w:eastAsia="宋体" w:cs="Times New Roman"/>
                <w:bCs/>
                <w:color w:val="auto"/>
                <w:sz w:val="24"/>
                <w:szCs w:val="24"/>
              </w:rPr>
              <w:t>，沿厂界每隔1</w:t>
            </w:r>
            <w:r>
              <w:rPr>
                <w:rFonts w:ascii="Times New Roman" w:hAnsi="Times New Roman" w:eastAsia="宋体" w:cs="Times New Roman"/>
                <w:bCs/>
                <w:color w:val="auto"/>
                <w:sz w:val="24"/>
                <w:szCs w:val="24"/>
              </w:rPr>
              <w:t>0 m</w:t>
            </w:r>
            <w:r>
              <w:rPr>
                <w:rFonts w:hint="eastAsia" w:ascii="Times New Roman" w:hAnsi="Times New Roman" w:eastAsia="宋体" w:cs="Times New Roman"/>
                <w:bCs/>
                <w:color w:val="auto"/>
                <w:sz w:val="24"/>
                <w:szCs w:val="24"/>
              </w:rPr>
              <w:t>步长的噪声预测点</w:t>
            </w:r>
            <w:r>
              <w:rPr>
                <w:rFonts w:hint="eastAsia" w:ascii="Times New Roman" w:hAnsi="Times New Roman" w:eastAsia="宋体" w:cs="Times New Roman"/>
                <w:bCs/>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rPr>
              <w:t>预测考虑厂区内建筑墙体对声源的隔声衰减，但不考虑建筑的反射作用</w:t>
            </w:r>
            <w:r>
              <w:rPr>
                <w:rFonts w:hint="default" w:ascii="Times New Roman" w:hAnsi="Times New Roman" w:eastAsia="宋体" w:cs="Times New Roman"/>
                <w:b w:val="0"/>
                <w:bCs/>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w:t>
            </w:r>
            <w:r>
              <w:rPr>
                <w:rFonts w:hint="default"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rPr>
              <w:t>）室内声源等效室外声源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采用《环境影响评价技术导则 声环境》（HJ2.4-2021）中推荐的室内声源等效室外声源计算方法：</w:t>
            </w:r>
          </w:p>
          <w:p>
            <w:pPr>
              <w:pStyle w:val="29"/>
              <w:spacing w:line="360" w:lineRule="auto"/>
              <w:jc w:val="righ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position w:val="-10"/>
                <w:sz w:val="24"/>
                <w:szCs w:val="24"/>
              </w:rPr>
              <w:object>
                <v:shape id="_x0000_i1030" o:spt="75" type="#_x0000_t75" style="height:19.35pt;width:121.5pt;" o:ole="t" filled="f" o:preferrelative="t" stroked="f" coordsize="21600,21600">
                  <v:path/>
                  <v:fill on="f" focussize="0,0"/>
                  <v:stroke on="f"/>
                  <v:imagedata r:id="rId23" o:title=""/>
                  <o:lock v:ext="edit" aspectratio="t"/>
                  <w10:wrap type="none"/>
                  <w10:anchorlock/>
                </v:shape>
                <o:OLEObject Type="Embed" ProgID="Equation.3" ShapeID="_x0000_i1030" DrawAspect="Content" ObjectID="_1468075730" r:id="rId22">
                  <o:LockedField>false</o:LockedField>
                </o:OLEObject>
              </w:object>
            </w:r>
            <w:r>
              <w:rPr>
                <w:rFonts w:hint="default" w:ascii="Times New Roman" w:hAnsi="Times New Roman" w:eastAsia="宋体" w:cs="Times New Roman"/>
                <w:color w:val="auto"/>
                <w:kern w:val="2"/>
                <w:sz w:val="24"/>
                <w:szCs w:val="24"/>
              </w:rPr>
              <w:t xml:space="preserve">                （式B.1）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——靠近开口处（或窗户）室内某倍频带的声压级或A声级，dB；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——靠近开口处（或窗户）室外某倍频带的声压级或A声级，dB；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i/>
                <w:iCs/>
                <w:color w:val="auto"/>
                <w:sz w:val="24"/>
                <w:szCs w:val="24"/>
                <w:vertAlign w:val="subscript"/>
              </w:rPr>
              <w:t>L</w:t>
            </w:r>
            <w:r>
              <w:rPr>
                <w:rFonts w:hint="default" w:ascii="Times New Roman" w:hAnsi="Times New Roman" w:eastAsia="宋体" w:cs="Times New Roman"/>
                <w:color w:val="auto"/>
                <w:sz w:val="24"/>
                <w:szCs w:val="24"/>
              </w:rPr>
              <w:t>——隔墙（或窗户）倍频带或A声级的隔声量，dB。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也可按式（B.2）计算某一室内声源靠近围护结构处产生的倍频带声压级或A 声级：</w:t>
            </w:r>
          </w:p>
          <w:p>
            <w:pPr>
              <w:adjustRightInd w:val="0"/>
              <w:snapToGrid w:val="0"/>
              <w:spacing w:line="360" w:lineRule="auto"/>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133600" cy="476250"/>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4"/>
                          <a:stretch>
                            <a:fillRect/>
                          </a:stretch>
                        </pic:blipFill>
                        <pic:spPr>
                          <a:xfrm>
                            <a:off x="0" y="0"/>
                            <a:ext cx="2133600" cy="47625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 xml:space="preserve">             （式B.2）</w:t>
            </w:r>
          </w:p>
          <w:p>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——靠近开口处（或窗户）室内某倍频带的声压级或A声级，dB；</w:t>
            </w:r>
          </w:p>
          <w:p>
            <w:pPr>
              <w:keepNext w:val="0"/>
              <w:keepLines w:val="0"/>
              <w:pageBreakBefore w:val="0"/>
              <w:widowControl w:val="0"/>
              <w:kinsoku/>
              <w:wordWrap/>
              <w:overflowPunct/>
              <w:topLinePunct w:val="0"/>
              <w:bidi w:val="0"/>
              <w:adjustRightInd w:val="0"/>
              <w:snapToGrid w:val="0"/>
              <w:spacing w:line="360" w:lineRule="auto"/>
              <w:ind w:firstLine="720" w:firstLine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w</w:t>
            </w:r>
            <w:r>
              <w:rPr>
                <w:rFonts w:hint="default" w:ascii="Times New Roman" w:hAnsi="Times New Roman" w:eastAsia="宋体" w:cs="Times New Roman"/>
                <w:color w:val="auto"/>
                <w:sz w:val="24"/>
                <w:szCs w:val="24"/>
              </w:rPr>
              <w:t xml:space="preserve">——点声源声功率级（A 计权或倍频带），dB； </w:t>
            </w:r>
          </w:p>
          <w:p>
            <w:pPr>
              <w:keepNext w:val="0"/>
              <w:keepLines w:val="0"/>
              <w:pageBreakBefore w:val="0"/>
              <w:widowControl w:val="0"/>
              <w:kinsoku/>
              <w:wordWrap/>
              <w:overflowPunct/>
              <w:topLinePunct w:val="0"/>
              <w:bidi w:val="0"/>
              <w:adjustRightInd w:val="0"/>
              <w:snapToGrid w:val="0"/>
              <w:spacing w:line="360" w:lineRule="auto"/>
              <w:ind w:firstLine="720" w:firstLine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Q</w:t>
            </w:r>
            <w:r>
              <w:rPr>
                <w:rFonts w:hint="default" w:ascii="Times New Roman" w:hAnsi="Times New Roman" w:eastAsia="宋体" w:cs="Times New Roman"/>
                <w:color w:val="auto"/>
                <w:sz w:val="24"/>
                <w:szCs w:val="24"/>
              </w:rPr>
              <w:t>——指向性因数；通常对无指向性声源，当声源放在房间中心时，</w:t>
            </w:r>
            <w:r>
              <w:rPr>
                <w:rFonts w:hint="default" w:ascii="Times New Roman" w:hAnsi="Times New Roman" w:eastAsia="宋体" w:cs="Times New Roman"/>
                <w:i/>
                <w:iCs/>
                <w:color w:val="auto"/>
                <w:sz w:val="24"/>
                <w:szCs w:val="24"/>
              </w:rPr>
              <w:t>Q</w:t>
            </w:r>
            <w:r>
              <w:rPr>
                <w:rFonts w:hint="default" w:ascii="Times New Roman" w:hAnsi="Times New Roman" w:eastAsia="宋体" w:cs="Times New Roman"/>
                <w:color w:val="auto"/>
                <w:sz w:val="24"/>
                <w:szCs w:val="24"/>
              </w:rPr>
              <w:t xml:space="preserve"> =1；当放在一面墙的中心时，</w:t>
            </w:r>
            <w:r>
              <w:rPr>
                <w:rFonts w:hint="default" w:ascii="Times New Roman" w:hAnsi="Times New Roman" w:eastAsia="宋体" w:cs="Times New Roman"/>
                <w:i/>
                <w:iCs/>
                <w:color w:val="auto"/>
                <w:sz w:val="24"/>
                <w:szCs w:val="24"/>
              </w:rPr>
              <w:t>Q</w:t>
            </w:r>
            <w:r>
              <w:rPr>
                <w:rFonts w:hint="default" w:ascii="Times New Roman" w:hAnsi="Times New Roman" w:eastAsia="宋体" w:cs="Times New Roman"/>
                <w:color w:val="auto"/>
                <w:sz w:val="24"/>
                <w:szCs w:val="24"/>
              </w:rPr>
              <w:t xml:space="preserve"> =2；当放在两面墙夹角处时，</w:t>
            </w:r>
            <w:r>
              <w:rPr>
                <w:rFonts w:hint="default" w:ascii="Times New Roman" w:hAnsi="Times New Roman" w:eastAsia="宋体" w:cs="Times New Roman"/>
                <w:i/>
                <w:iCs/>
                <w:color w:val="auto"/>
                <w:sz w:val="24"/>
                <w:szCs w:val="24"/>
              </w:rPr>
              <w:t>Q</w:t>
            </w:r>
            <w:r>
              <w:rPr>
                <w:rFonts w:hint="default" w:ascii="Times New Roman" w:hAnsi="Times New Roman" w:eastAsia="宋体" w:cs="Times New Roman"/>
                <w:color w:val="auto"/>
                <w:sz w:val="24"/>
                <w:szCs w:val="24"/>
              </w:rPr>
              <w:t xml:space="preserve"> =4；当放在三面墙夹角处时，</w:t>
            </w:r>
            <w:r>
              <w:rPr>
                <w:rFonts w:hint="default" w:ascii="Times New Roman" w:hAnsi="Times New Roman" w:eastAsia="宋体" w:cs="Times New Roman"/>
                <w:i/>
                <w:iCs/>
                <w:color w:val="auto"/>
                <w:sz w:val="24"/>
                <w:szCs w:val="24"/>
              </w:rPr>
              <w:t>Q</w:t>
            </w:r>
            <w:r>
              <w:rPr>
                <w:rFonts w:hint="default" w:ascii="Times New Roman" w:hAnsi="Times New Roman" w:eastAsia="宋体" w:cs="Times New Roman"/>
                <w:color w:val="auto"/>
                <w:sz w:val="24"/>
                <w:szCs w:val="24"/>
              </w:rPr>
              <w:t xml:space="preserve"> =8；</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本项目设备主要沿厂房墙壁四周布置，故本项目Q取</w:t>
            </w:r>
            <w:r>
              <w:rPr>
                <w:rFonts w:hint="default" w:ascii="Times New Roman" w:hAnsi="Times New Roman" w:eastAsia="宋体" w:cs="Times New Roman"/>
                <w:i/>
                <w:iCs/>
                <w:color w:val="auto"/>
                <w:sz w:val="24"/>
                <w:szCs w:val="24"/>
              </w:rPr>
              <w:t>Q</w:t>
            </w:r>
            <w:r>
              <w:rPr>
                <w:rFonts w:hint="default" w:ascii="Times New Roman" w:hAnsi="Times New Roman" w:eastAsia="宋体" w:cs="Times New Roman"/>
                <w:color w:val="auto"/>
                <w:sz w:val="24"/>
                <w:szCs w:val="24"/>
              </w:rPr>
              <w:t xml:space="preserve"> =2。</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R</w:t>
            </w:r>
            <w:r>
              <w:rPr>
                <w:rFonts w:hint="default" w:ascii="Times New Roman" w:hAnsi="Times New Roman" w:eastAsia="宋体" w:cs="Times New Roman"/>
                <w:color w:val="auto"/>
                <w:sz w:val="24"/>
                <w:szCs w:val="24"/>
              </w:rPr>
              <w:t>——房间常数；</w:t>
            </w:r>
            <w:r>
              <w:rPr>
                <w:rFonts w:hint="default" w:ascii="Times New Roman" w:hAnsi="Times New Roman" w:eastAsia="宋体" w:cs="Times New Roman"/>
                <w:color w:val="auto"/>
                <w:position w:val="-6"/>
                <w:sz w:val="24"/>
                <w:szCs w:val="24"/>
              </w:rPr>
              <w:object>
                <v:shape id="_x0000_i1031" o:spt="75" type="#_x0000_t75" style="height:15pt;width:95.25pt;" o:ole="t" filled="f" o:preferrelative="t" stroked="f" coordsize="21600,21600">
                  <v:path/>
                  <v:fill on="f" focussize="0,0"/>
                  <v:stroke on="f"/>
                  <v:imagedata r:id="rId26" o:title=""/>
                  <o:lock v:ext="edit" aspectratio="t"/>
                  <w10:wrap type="none"/>
                  <w10:anchorlock/>
                </v:shape>
                <o:OLEObject Type="Embed" ProgID="Equation.3" ShapeID="_x0000_i1031" DrawAspect="Content" ObjectID="_1468075731" r:id="rId25">
                  <o:LockedField>false</o:LockedField>
                </o:OLEObject>
              </w:object>
            </w:r>
            <w:r>
              <w:rPr>
                <w:rFonts w:hint="default" w:ascii="Times New Roman" w:hAnsi="Times New Roman" w:eastAsia="宋体" w:cs="Times New Roman"/>
                <w:color w:val="auto"/>
                <w:sz w:val="24"/>
                <w:szCs w:val="24"/>
              </w:rPr>
              <w:t>， S为房间内表面面积，m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；α为平均吸声系数；</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本项目设备主要沿厂房墙壁四周布置，故本次评价主要计算直达声噪声。</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r——声源到靠近围护结构某点处的距离，m。</w:t>
            </w:r>
          </w:p>
          <w:p>
            <w:pPr>
              <w:pStyle w:val="29"/>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然后按式（B.3）计算出所有室内声源在围护结构处产生的i 倍频带叠加声压级：</w:t>
            </w:r>
          </w:p>
          <w:p>
            <w:pPr>
              <w:pStyle w:val="29"/>
              <w:spacing w:line="360" w:lineRule="auto"/>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114550" cy="590550"/>
                  <wp:effectExtent l="0" t="0" r="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7"/>
                          <a:stretch>
                            <a:fillRect/>
                          </a:stretch>
                        </pic:blipFill>
                        <pic:spPr>
                          <a:xfrm>
                            <a:off x="0" y="0"/>
                            <a:ext cx="2114550" cy="59055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kern w:val="2"/>
                <w:sz w:val="24"/>
                <w:szCs w:val="24"/>
              </w:rPr>
              <w:t>（式B.</w:t>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kern w:val="2"/>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sz w:val="24"/>
                <w:szCs w:val="24"/>
              </w:rPr>
              <w:drawing>
                <wp:inline distT="0" distB="0" distL="114300" distR="114300">
                  <wp:extent cx="466725" cy="200025"/>
                  <wp:effectExtent l="0" t="0" r="9525" b="952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8"/>
                          <a:stretch>
                            <a:fillRect/>
                          </a:stretch>
                        </pic:blipFill>
                        <pic:spPr>
                          <a:xfrm>
                            <a:off x="0" y="0"/>
                            <a:ext cx="466725" cy="200025"/>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——靠近围护结构处室内N个声源i倍频带的叠加声压级，dB；</w:t>
            </w:r>
            <w:r>
              <w:rPr>
                <w:rFonts w:hint="default" w:ascii="Times New Roman" w:hAnsi="Times New Roman" w:eastAsia="宋体" w:cs="Times New Roman"/>
                <w:color w:val="auto"/>
                <w:sz w:val="24"/>
                <w:szCs w:val="24"/>
              </w:rPr>
              <w:sym w:font="Times New Roman" w:char="F028"/>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rPr>
              <w:sym w:font="Times New Roman" w:char="F029"/>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rPr>
              <w:drawing>
                <wp:inline distT="0" distB="0" distL="114300" distR="114300">
                  <wp:extent cx="342900" cy="247650"/>
                  <wp:effectExtent l="0" t="0" r="0"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29"/>
                          <a:stretch>
                            <a:fillRect/>
                          </a:stretch>
                        </pic:blipFill>
                        <pic:spPr>
                          <a:xfrm>
                            <a:off x="0" y="0"/>
                            <a:ext cx="342900" cy="24765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 xml:space="preserve">——室内j声源i倍频带的声压级，dB； </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N——室内声源总数。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在室内近似为扩散声场时，按式（B.4）计算出靠近室外围护结构处的声压级：</w:t>
            </w:r>
          </w:p>
          <w:p>
            <w:pPr>
              <w:adjustRightInd w:val="0"/>
              <w:snapToGrid w:val="0"/>
              <w:spacing w:line="360" w:lineRule="auto"/>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1905000" cy="304800"/>
                  <wp:effectExtent l="0" t="0" r="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30"/>
                          <a:stretch>
                            <a:fillRect/>
                          </a:stretch>
                        </pic:blipFill>
                        <pic:spPr>
                          <a:xfrm>
                            <a:off x="0" y="0"/>
                            <a:ext cx="1905000" cy="30480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 xml:space="preserve">             （式B.4）</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sz w:val="24"/>
                <w:szCs w:val="24"/>
              </w:rPr>
              <w:drawing>
                <wp:inline distT="0" distB="0" distL="114300" distR="114300">
                  <wp:extent cx="438150" cy="200025"/>
                  <wp:effectExtent l="0" t="0" r="0" b="952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31"/>
                          <a:stretch>
                            <a:fillRect/>
                          </a:stretch>
                        </pic:blipFill>
                        <pic:spPr>
                          <a:xfrm>
                            <a:off x="0" y="0"/>
                            <a:ext cx="438150" cy="200025"/>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——靠近围护结构处室外N 个声源i 倍频带的叠加声压级，dB；</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drawing>
                <wp:inline distT="0" distB="0" distL="114300" distR="114300">
                  <wp:extent cx="466725" cy="219075"/>
                  <wp:effectExtent l="0" t="0" r="9525" b="9525"/>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32"/>
                          <a:stretch>
                            <a:fillRect/>
                          </a:stretch>
                        </pic:blipFill>
                        <pic:spPr>
                          <a:xfrm>
                            <a:off x="0" y="0"/>
                            <a:ext cx="466725" cy="219075"/>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——靠近围护结构处室内N 个声源i 倍频带的叠加声压级，dB；</w:t>
            </w:r>
          </w:p>
          <w:p>
            <w:pPr>
              <w:keepNext w:val="0"/>
              <w:keepLines w:val="0"/>
              <w:pageBreakBefore w:val="0"/>
              <w:widowControl w:val="0"/>
              <w:kinsoku/>
              <w:wordWrap/>
              <w:overflowPunct/>
              <w:topLinePunct w:val="0"/>
              <w:autoSpaceDE/>
              <w:autoSpaceDN/>
              <w:bidi w:val="0"/>
              <w:spacing w:line="360" w:lineRule="auto"/>
              <w:ind w:firstLine="720" w:firstLineChars="3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drawing>
                <wp:inline distT="0" distB="0" distL="114300" distR="114300">
                  <wp:extent cx="228600" cy="190500"/>
                  <wp:effectExtent l="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33"/>
                          <a:stretch>
                            <a:fillRect/>
                          </a:stretch>
                        </pic:blipFill>
                        <pic:spPr>
                          <a:xfrm>
                            <a:off x="0" y="0"/>
                            <a:ext cx="228600" cy="19050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——围护结构i 倍频带的隔声量，dB</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）预测值计算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然后按式（B.5）将室外声源的声压级和透过面积换算成等效的室外声源，计算出中心位置位于透声面积（S）处的等效声源的倍频带声功率级。</w:t>
            </w:r>
          </w:p>
          <w:p>
            <w:pPr>
              <w:adjustRightInd w:val="0"/>
              <w:snapToGrid w:val="0"/>
              <w:spacing w:line="360" w:lineRule="auto"/>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rPr>
              <w:drawing>
                <wp:inline distT="0" distB="0" distL="114300" distR="114300">
                  <wp:extent cx="1771650" cy="285750"/>
                  <wp:effectExtent l="0" t="0" r="0"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pic:cNvPicPr>
                        </pic:nvPicPr>
                        <pic:blipFill>
                          <a:blip r:embed="rId34"/>
                          <a:stretch>
                            <a:fillRect/>
                          </a:stretch>
                        </pic:blipFill>
                        <pic:spPr>
                          <a:xfrm>
                            <a:off x="0" y="0"/>
                            <a:ext cx="1771650" cy="28575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 xml:space="preserve">              （式B.5）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w:t>
            </w:r>
            <w:r>
              <w:rPr>
                <w:rFonts w:hint="default" w:ascii="Times New Roman" w:hAnsi="Times New Roman" w:eastAsia="宋体" w:cs="Times New Roman"/>
                <w:color w:val="auto"/>
                <w:sz w:val="24"/>
                <w:szCs w:val="24"/>
              </w:rPr>
              <w:t>——中心位置位于透声面积（</w:t>
            </w:r>
            <w:r>
              <w:rPr>
                <w:rFonts w:hint="default" w:ascii="Times New Roman" w:hAnsi="Times New Roman" w:eastAsia="宋体" w:cs="Times New Roman"/>
                <w:i/>
                <w:iCs/>
                <w:color w:val="auto"/>
                <w:sz w:val="24"/>
                <w:szCs w:val="24"/>
              </w:rPr>
              <w:t>S</w:t>
            </w:r>
            <w:r>
              <w:rPr>
                <w:rFonts w:hint="default" w:ascii="Times New Roman" w:hAnsi="Times New Roman" w:eastAsia="宋体" w:cs="Times New Roman"/>
                <w:color w:val="auto"/>
                <w:sz w:val="24"/>
                <w:szCs w:val="24"/>
              </w:rPr>
              <w:t>）处的等效声源的倍频带声功率级，dB；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rPr>
              <w:t xml:space="preserve">) ——靠近围护结构处室外声源的声压级，dB；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S</w:t>
            </w:r>
            <w:r>
              <w:rPr>
                <w:rFonts w:hint="default" w:ascii="Times New Roman" w:hAnsi="Times New Roman" w:eastAsia="宋体" w:cs="Times New Roman"/>
                <w:color w:val="auto"/>
                <w:sz w:val="24"/>
                <w:szCs w:val="24"/>
              </w:rPr>
              <w:t>——透声面积，m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 声环境》（HJ2.4-2021）“B.1.4如预测点在靠近声源处，但不能满足点声源条件时，需按线声源或面声源模型计算。”项目等效到厂房室外的噪声源采用面声源几何发散衰减模式进行厂界噪声预测。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面声源的几何发散衰减：当预测点和面声源中心距离r 处于以下条件时，可按下述方法近似计算：r＜a/π 时，几乎不衰减（A</w:t>
            </w:r>
            <w:r>
              <w:rPr>
                <w:rFonts w:hint="default" w:ascii="Times New Roman" w:hAnsi="Times New Roman" w:eastAsia="宋体" w:cs="Times New Roman"/>
                <w:color w:val="auto"/>
                <w:sz w:val="24"/>
                <w:szCs w:val="24"/>
                <w:vertAlign w:val="subscript"/>
              </w:rPr>
              <w:t xml:space="preserve"> div</w:t>
            </w:r>
            <w:r>
              <w:rPr>
                <w:rFonts w:hint="default" w:ascii="Times New Roman" w:hAnsi="Times New Roman" w:eastAsia="宋体" w:cs="Times New Roman"/>
                <w:color w:val="auto"/>
                <w:sz w:val="24"/>
                <w:szCs w:val="24"/>
              </w:rPr>
              <w:t>≈0）；当a/π＜r＜b/π，距离加倍衰减3 dB左右，类似线声源衰减特性[A</w:t>
            </w:r>
            <w:r>
              <w:rPr>
                <w:rFonts w:hint="default" w:ascii="Times New Roman" w:hAnsi="Times New Roman" w:eastAsia="宋体" w:cs="Times New Roman"/>
                <w:color w:val="auto"/>
                <w:sz w:val="24"/>
                <w:szCs w:val="24"/>
                <w:vertAlign w:val="subscript"/>
              </w:rPr>
              <w:t xml:space="preserve"> div</w:t>
            </w:r>
            <w:r>
              <w:rPr>
                <w:rFonts w:hint="default" w:ascii="Times New Roman" w:hAnsi="Times New Roman" w:eastAsia="宋体" w:cs="Times New Roman"/>
                <w:color w:val="auto"/>
                <w:sz w:val="24"/>
                <w:szCs w:val="24"/>
              </w:rPr>
              <w:t>≈10lg(r/r</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)）]；当r＞b/π时，距离加倍衰减趋近于6 dB，类似点声源衰减特性[A</w:t>
            </w:r>
            <w:r>
              <w:rPr>
                <w:rFonts w:hint="default" w:ascii="Times New Roman" w:hAnsi="Times New Roman" w:eastAsia="宋体" w:cs="Times New Roman"/>
                <w:color w:val="auto"/>
                <w:sz w:val="24"/>
                <w:szCs w:val="24"/>
                <w:vertAlign w:val="subscript"/>
              </w:rPr>
              <w:t xml:space="preserve"> div</w:t>
            </w:r>
            <w:r>
              <w:rPr>
                <w:rFonts w:hint="default" w:ascii="Times New Roman" w:hAnsi="Times New Roman" w:eastAsia="宋体" w:cs="Times New Roman"/>
                <w:color w:val="auto"/>
                <w:sz w:val="24"/>
                <w:szCs w:val="24"/>
              </w:rPr>
              <w:t>≈20lg(r/r</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 ，其中面声源的b＞a。</w:t>
            </w:r>
          </w:p>
          <w:p>
            <w:pPr>
              <w:pStyle w:val="29"/>
              <w:jc w:val="center"/>
              <w:rPr>
                <w:rFonts w:hint="eastAsia"/>
                <w:color w:val="auto"/>
              </w:rPr>
            </w:pPr>
            <w:r>
              <w:rPr>
                <w:color w:val="auto"/>
              </w:rPr>
              <w:drawing>
                <wp:inline distT="0" distB="0" distL="114300" distR="114300">
                  <wp:extent cx="3402330" cy="2217420"/>
                  <wp:effectExtent l="0" t="0" r="7620" b="1143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35"/>
                          <a:stretch>
                            <a:fillRect/>
                          </a:stretch>
                        </pic:blipFill>
                        <pic:spPr>
                          <a:xfrm>
                            <a:off x="0" y="0"/>
                            <a:ext cx="3402330" cy="22174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厂界预测点贡献值计算</w:t>
            </w:r>
            <w:r>
              <w:rPr>
                <w:rFonts w:hint="default" w:ascii="Times New Roman" w:hAnsi="Times New Roman" w:eastAsia="宋体" w:cs="Times New Roman"/>
                <w:b/>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color w:val="auto"/>
                <w:sz w:val="24"/>
              </w:rPr>
            </w:pPr>
            <w:r>
              <w:rPr>
                <w:color w:val="auto"/>
              </w:rPr>
              <w:drawing>
                <wp:anchor distT="0" distB="0" distL="114300" distR="114300" simplePos="0" relativeHeight="251659264" behindDoc="0" locked="0" layoutInCell="1" allowOverlap="1">
                  <wp:simplePos x="0" y="0"/>
                  <wp:positionH relativeFrom="column">
                    <wp:posOffset>596265</wp:posOffset>
                  </wp:positionH>
                  <wp:positionV relativeFrom="paragraph">
                    <wp:posOffset>86995</wp:posOffset>
                  </wp:positionV>
                  <wp:extent cx="4042410" cy="657860"/>
                  <wp:effectExtent l="0" t="0" r="15240" b="889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6"/>
                          <a:stretch>
                            <a:fillRect/>
                          </a:stretch>
                        </pic:blipFill>
                        <pic:spPr>
                          <a:xfrm>
                            <a:off x="0" y="0"/>
                            <a:ext cx="4042410" cy="657860"/>
                          </a:xfrm>
                          <a:prstGeom prst="rect">
                            <a:avLst/>
                          </a:prstGeom>
                          <a:noFill/>
                          <a:ln>
                            <a:noFill/>
                          </a:ln>
                        </pic:spPr>
                      </pic:pic>
                    </a:graphicData>
                  </a:graphic>
                </wp:anchor>
              </w:drawing>
            </w:r>
          </w:p>
          <w:p>
            <w:pPr>
              <w:pStyle w:val="29"/>
              <w:spacing w:line="360" w:lineRule="auto"/>
              <w:rPr>
                <w:rFonts w:hint="eastAsia"/>
                <w:color w:val="auto"/>
              </w:rPr>
            </w:pPr>
          </w:p>
          <w:p>
            <w:pPr>
              <w:snapToGrid w:val="0"/>
              <w:spacing w:line="440" w:lineRule="exact"/>
              <w:ind w:firstLine="720" w:firstLineChars="300"/>
              <w:jc w:val="left"/>
              <w:rPr>
                <w:rFonts w:hint="eastAsia"/>
                <w:color w:val="auto"/>
                <w:sz w:val="24"/>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i/>
                <w:iCs/>
                <w:color w:val="auto"/>
                <w:sz w:val="24"/>
              </w:rPr>
              <w:t>L</w:t>
            </w:r>
            <w:r>
              <w:rPr>
                <w:rFonts w:hint="default" w:ascii="Times New Roman" w:hAnsi="Times New Roman" w:eastAsia="宋体" w:cs="Times New Roman"/>
                <w:color w:val="auto"/>
                <w:sz w:val="24"/>
                <w:vertAlign w:val="subscript"/>
              </w:rPr>
              <w:t>eqg</w:t>
            </w:r>
            <w:r>
              <w:rPr>
                <w:rFonts w:hint="default" w:ascii="Times New Roman" w:hAnsi="Times New Roman" w:eastAsia="宋体" w:cs="Times New Roman"/>
                <w:color w:val="auto"/>
                <w:sz w:val="24"/>
              </w:rPr>
              <w:t>——建设项目声源在预测点产生的噪声贡献值，dB；</w:t>
            </w:r>
          </w:p>
          <w:p>
            <w:pPr>
              <w:keepNext w:val="0"/>
              <w:keepLines w:val="0"/>
              <w:pageBreakBefore w:val="0"/>
              <w:widowControl w:val="0"/>
              <w:kinsoku/>
              <w:wordWrap/>
              <w:overflowPunct/>
              <w:topLinePunct w:val="0"/>
              <w:autoSpaceDE/>
              <w:autoSpaceDN/>
              <w:bidi w:val="0"/>
              <w:adjustRightInd/>
              <w:snapToGrid w:val="0"/>
              <w:spacing w:line="360" w:lineRule="auto"/>
              <w:ind w:firstLine="720" w:firstLineChars="3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i/>
                <w:iCs/>
                <w:color w:val="auto"/>
                <w:sz w:val="24"/>
              </w:rPr>
              <w:t xml:space="preserve">T </w:t>
            </w:r>
            <w:r>
              <w:rPr>
                <w:rFonts w:hint="default" w:ascii="Times New Roman" w:hAnsi="Times New Roman" w:eastAsia="宋体" w:cs="Times New Roman"/>
                <w:color w:val="auto"/>
                <w:sz w:val="24"/>
              </w:rPr>
              <w:t>——用于计算等效声级的时间，s；</w:t>
            </w:r>
          </w:p>
          <w:p>
            <w:pPr>
              <w:keepNext w:val="0"/>
              <w:keepLines w:val="0"/>
              <w:pageBreakBefore w:val="0"/>
              <w:widowControl w:val="0"/>
              <w:kinsoku/>
              <w:wordWrap/>
              <w:overflowPunct/>
              <w:topLinePunct w:val="0"/>
              <w:autoSpaceDE/>
              <w:autoSpaceDN/>
              <w:bidi w:val="0"/>
              <w:adjustRightInd/>
              <w:snapToGrid w:val="0"/>
              <w:spacing w:line="360" w:lineRule="auto"/>
              <w:ind w:firstLine="720" w:firstLineChars="3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i/>
                <w:iCs/>
                <w:color w:val="auto"/>
                <w:sz w:val="24"/>
              </w:rPr>
              <w:t xml:space="preserve">N </w:t>
            </w:r>
            <w:r>
              <w:rPr>
                <w:rFonts w:hint="default" w:ascii="Times New Roman" w:hAnsi="Times New Roman" w:eastAsia="宋体" w:cs="Times New Roman"/>
                <w:color w:val="auto"/>
                <w:sz w:val="24"/>
              </w:rPr>
              <w:t>——室外声源个数；</w:t>
            </w:r>
          </w:p>
          <w:p>
            <w:pPr>
              <w:keepNext w:val="0"/>
              <w:keepLines w:val="0"/>
              <w:pageBreakBefore w:val="0"/>
              <w:widowControl w:val="0"/>
              <w:kinsoku/>
              <w:wordWrap/>
              <w:overflowPunct/>
              <w:topLinePunct w:val="0"/>
              <w:autoSpaceDE/>
              <w:autoSpaceDN/>
              <w:bidi w:val="0"/>
              <w:adjustRightInd/>
              <w:snapToGrid w:val="0"/>
              <w:spacing w:line="360" w:lineRule="auto"/>
              <w:ind w:firstLine="720" w:firstLineChars="3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i/>
                <w:iCs/>
                <w:color w:val="auto"/>
                <w:sz w:val="24"/>
              </w:rPr>
              <w:t>i</w:t>
            </w:r>
            <w:r>
              <w:rPr>
                <w:rFonts w:hint="default" w:ascii="Times New Roman" w:hAnsi="Times New Roman" w:eastAsia="宋体" w:cs="Times New Roman"/>
                <w:i/>
                <w:iCs/>
                <w:color w:val="auto"/>
                <w:sz w:val="24"/>
                <w:vertAlign w:val="subscript"/>
              </w:rPr>
              <w:t xml:space="preserve"> t </w:t>
            </w:r>
            <w:r>
              <w:rPr>
                <w:rFonts w:hint="default" w:ascii="Times New Roman" w:hAnsi="Times New Roman" w:eastAsia="宋体" w:cs="Times New Roman"/>
                <w:color w:val="auto"/>
                <w:sz w:val="24"/>
              </w:rPr>
              <w:t>——在</w:t>
            </w:r>
            <w:r>
              <w:rPr>
                <w:rFonts w:hint="default" w:ascii="Times New Roman" w:hAnsi="Times New Roman" w:eastAsia="宋体" w:cs="Times New Roman"/>
                <w:i/>
                <w:iCs/>
                <w:color w:val="auto"/>
                <w:sz w:val="24"/>
              </w:rPr>
              <w:t xml:space="preserve">T </w:t>
            </w:r>
            <w:r>
              <w:rPr>
                <w:rFonts w:hint="default" w:ascii="Times New Roman" w:hAnsi="Times New Roman" w:eastAsia="宋体" w:cs="Times New Roman"/>
                <w:color w:val="auto"/>
                <w:sz w:val="24"/>
              </w:rPr>
              <w:t>时间内</w:t>
            </w:r>
            <w:r>
              <w:rPr>
                <w:rFonts w:hint="default" w:ascii="Times New Roman" w:hAnsi="Times New Roman" w:eastAsia="宋体" w:cs="Times New Roman"/>
                <w:i/>
                <w:iCs/>
                <w:color w:val="auto"/>
                <w:sz w:val="24"/>
              </w:rPr>
              <w:t xml:space="preserve">i </w:t>
            </w:r>
            <w:r>
              <w:rPr>
                <w:rFonts w:hint="default" w:ascii="Times New Roman" w:hAnsi="Times New Roman" w:eastAsia="宋体" w:cs="Times New Roman"/>
                <w:color w:val="auto"/>
                <w:sz w:val="24"/>
              </w:rPr>
              <w:t>声源工作时间，s；</w:t>
            </w:r>
          </w:p>
          <w:p>
            <w:pPr>
              <w:keepNext w:val="0"/>
              <w:keepLines w:val="0"/>
              <w:pageBreakBefore w:val="0"/>
              <w:widowControl w:val="0"/>
              <w:kinsoku/>
              <w:wordWrap/>
              <w:overflowPunct/>
              <w:topLinePunct w:val="0"/>
              <w:autoSpaceDE/>
              <w:autoSpaceDN/>
              <w:bidi w:val="0"/>
              <w:adjustRightInd/>
              <w:snapToGrid w:val="0"/>
              <w:spacing w:line="360" w:lineRule="auto"/>
              <w:ind w:firstLine="720" w:firstLineChars="3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i/>
                <w:iCs/>
                <w:color w:val="auto"/>
                <w:sz w:val="24"/>
              </w:rPr>
              <w:t xml:space="preserve">M </w:t>
            </w:r>
            <w:r>
              <w:rPr>
                <w:rFonts w:hint="default" w:ascii="Times New Roman" w:hAnsi="Times New Roman" w:eastAsia="宋体" w:cs="Times New Roman"/>
                <w:color w:val="auto"/>
                <w:sz w:val="24"/>
              </w:rPr>
              <w:t>——等效室外声源个数；</w:t>
            </w:r>
          </w:p>
          <w:p>
            <w:pPr>
              <w:spacing w:line="360" w:lineRule="auto"/>
              <w:ind w:firstLine="720" w:firstLineChars="300"/>
              <w:rPr>
                <w:rFonts w:hint="default" w:ascii="Times New Roman" w:hAnsi="Times New Roman" w:eastAsia="宋体" w:cs="Times New Roman"/>
                <w:color w:val="auto"/>
                <w:sz w:val="24"/>
              </w:rPr>
            </w:pPr>
            <w:r>
              <w:rPr>
                <w:rFonts w:hint="default" w:ascii="Times New Roman" w:hAnsi="Times New Roman" w:eastAsia="宋体" w:cs="Times New Roman"/>
                <w:i/>
                <w:iCs/>
                <w:color w:val="auto"/>
                <w:sz w:val="24"/>
              </w:rPr>
              <w:t>j</w:t>
            </w:r>
            <w:r>
              <w:rPr>
                <w:rFonts w:hint="default" w:ascii="Times New Roman" w:hAnsi="Times New Roman" w:eastAsia="宋体" w:cs="Times New Roman"/>
                <w:i/>
                <w:iCs/>
                <w:color w:val="auto"/>
                <w:sz w:val="24"/>
                <w:vertAlign w:val="subscript"/>
              </w:rPr>
              <w:t xml:space="preserve"> t </w:t>
            </w:r>
            <w:r>
              <w:rPr>
                <w:rFonts w:hint="default" w:ascii="Times New Roman" w:hAnsi="Times New Roman" w:eastAsia="宋体" w:cs="Times New Roman"/>
                <w:color w:val="auto"/>
                <w:sz w:val="24"/>
              </w:rPr>
              <w:t>——在</w:t>
            </w:r>
            <w:r>
              <w:rPr>
                <w:rFonts w:hint="default" w:ascii="Times New Roman" w:hAnsi="Times New Roman" w:eastAsia="宋体" w:cs="Times New Roman"/>
                <w:i/>
                <w:iCs/>
                <w:color w:val="auto"/>
                <w:sz w:val="24"/>
              </w:rPr>
              <w:t xml:space="preserve">T </w:t>
            </w:r>
            <w:r>
              <w:rPr>
                <w:rFonts w:hint="default" w:ascii="Times New Roman" w:hAnsi="Times New Roman" w:eastAsia="宋体" w:cs="Times New Roman"/>
                <w:color w:val="auto"/>
                <w:sz w:val="24"/>
              </w:rPr>
              <w:t>时间内</w:t>
            </w:r>
            <w:r>
              <w:rPr>
                <w:rFonts w:hint="default" w:ascii="Times New Roman" w:hAnsi="Times New Roman" w:eastAsia="宋体" w:cs="Times New Roman"/>
                <w:i/>
                <w:iCs/>
                <w:color w:val="auto"/>
                <w:sz w:val="24"/>
              </w:rPr>
              <w:t>j</w:t>
            </w:r>
            <w:r>
              <w:rPr>
                <w:rFonts w:hint="default" w:ascii="Times New Roman" w:hAnsi="Times New Roman" w:eastAsia="宋体" w:cs="Times New Roman"/>
                <w:color w:val="auto"/>
                <w:sz w:val="24"/>
              </w:rPr>
              <w:t>声源工作时间，s。</w:t>
            </w:r>
          </w:p>
          <w:p>
            <w:pPr>
              <w:spacing w:line="360" w:lineRule="auto"/>
              <w:ind w:firstLine="482" w:firstLineChars="200"/>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3、</w:t>
            </w:r>
            <w:r>
              <w:rPr>
                <w:rFonts w:hint="default" w:ascii="Times New Roman" w:hAnsi="Times New Roman" w:eastAsia="宋体" w:cs="Times New Roman"/>
                <w:b/>
                <w:bCs/>
                <w:sz w:val="24"/>
              </w:rPr>
              <w:t>预测结果</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lang w:eastAsia="zh-CN"/>
              </w:rPr>
            </w:pPr>
            <w:r>
              <w:rPr>
                <w:rFonts w:hint="default" w:ascii="Times New Roman" w:hAnsi="Times New Roman" w:eastAsia="宋体" w:cs="Times New Roman"/>
                <w:sz w:val="24"/>
                <w:lang w:eastAsia="zh-CN"/>
              </w:rPr>
              <w:t>本项目</w:t>
            </w:r>
            <w:r>
              <w:rPr>
                <w:rFonts w:hint="eastAsia" w:ascii="Times New Roman" w:hAnsi="Times New Roman" w:eastAsia="宋体" w:cs="Times New Roman"/>
                <w:sz w:val="24"/>
                <w:lang w:eastAsia="zh-CN"/>
              </w:rPr>
              <w:t>夜间不生产，仅预测昼间厂界噪声</w:t>
            </w:r>
            <w:r>
              <w:rPr>
                <w:rFonts w:hint="default" w:ascii="Times New Roman" w:hAnsi="Times New Roman" w:eastAsia="宋体" w:cs="Times New Roman"/>
                <w:sz w:val="24"/>
              </w:rPr>
              <w:t>。</w:t>
            </w:r>
            <w:r>
              <w:rPr>
                <w:rFonts w:hint="eastAsia" w:ascii="Times New Roman" w:hAnsi="Times New Roman" w:eastAsia="宋体" w:cs="Times New Roman"/>
                <w:sz w:val="24"/>
                <w:lang w:eastAsia="zh-CN"/>
              </w:rPr>
              <w:t>厂界噪声背景值来源于</w:t>
            </w:r>
            <w:r>
              <w:rPr>
                <w:rFonts w:hint="eastAsia" w:ascii="Times New Roman" w:hAnsi="Times New Roman" w:eastAsia="宋体" w:cs="Times New Roman"/>
                <w:sz w:val="24"/>
                <w:lang w:val="en-US" w:eastAsia="zh-CN"/>
              </w:rPr>
              <w:t>2023年3月24日建设单位委托重庆博信</w:t>
            </w:r>
            <w:r>
              <w:rPr>
                <w:rFonts w:hint="eastAsia" w:ascii="Times New Roman" w:hAnsi="Times New Roman" w:eastAsia="宋体" w:cs="Times New Roman"/>
                <w:sz w:val="24"/>
                <w:szCs w:val="24"/>
                <w:lang w:val="en-US" w:eastAsia="zh-CN"/>
              </w:rPr>
              <w:t>检测技术有限公司出具的监测报告（</w:t>
            </w:r>
            <w:r>
              <w:rPr>
                <w:rFonts w:hint="eastAsia" w:ascii="Times New Roman" w:hAnsi="Times New Roman" w:eastAsia="宋体" w:cs="Times New Roman"/>
                <w:sz w:val="24"/>
                <w:szCs w:val="24"/>
                <w:lang w:eastAsia="zh-CN"/>
              </w:rPr>
              <w:t>博环（检）字【</w:t>
            </w:r>
            <w:r>
              <w:rPr>
                <w:rFonts w:hint="eastAsia" w:ascii="Times New Roman" w:hAnsi="Times New Roman" w:eastAsia="宋体" w:cs="Times New Roman"/>
                <w:sz w:val="24"/>
                <w:szCs w:val="24"/>
                <w:lang w:val="en-US" w:eastAsia="zh-CN"/>
              </w:rPr>
              <w:t>2023</w:t>
            </w:r>
            <w:r>
              <w:rPr>
                <w:rFonts w:hint="eastAsia" w:ascii="Times New Roman" w:hAnsi="Times New Roman" w:eastAsia="宋体" w:cs="Times New Roman"/>
                <w:sz w:val="24"/>
                <w:szCs w:val="24"/>
                <w:lang w:eastAsia="zh-CN"/>
              </w:rPr>
              <w:t>】第</w:t>
            </w:r>
            <w:r>
              <w:rPr>
                <w:rFonts w:hint="eastAsia" w:ascii="Times New Roman" w:hAnsi="Times New Roman" w:eastAsia="宋体" w:cs="Times New Roman"/>
                <w:sz w:val="24"/>
                <w:szCs w:val="24"/>
                <w:lang w:val="en-US" w:eastAsia="zh-CN"/>
              </w:rPr>
              <w:t>WT0347号）中的厂界噪声</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根据上述</w:t>
            </w:r>
            <w:r>
              <w:rPr>
                <w:rFonts w:hint="default" w:ascii="Times New Roman" w:hAnsi="Times New Roman" w:eastAsia="宋体" w:cs="Times New Roman"/>
                <w:sz w:val="24"/>
              </w:rPr>
              <w:t>公式，厂界噪声预测结果详见表4.2-</w:t>
            </w:r>
            <w:r>
              <w:rPr>
                <w:rFonts w:hint="eastAsia" w:ascii="Times New Roman" w:hAnsi="Times New Roman" w:eastAsia="宋体" w:cs="Times New Roman"/>
                <w:sz w:val="24"/>
                <w:lang w:val="en-US" w:eastAsia="zh-CN"/>
              </w:rPr>
              <w:t>10</w:t>
            </w:r>
            <w:r>
              <w:rPr>
                <w:rFonts w:hint="eastAsia" w:ascii="Times New Roman" w:hAnsi="Times New Roman" w:eastAsia="宋体" w:cs="Times New Roman"/>
                <w:sz w:val="24"/>
                <w:lang w:eastAsia="zh-CN"/>
              </w:rPr>
              <w:t>。</w:t>
            </w:r>
          </w:p>
          <w:p>
            <w:pPr>
              <w:spacing w:line="360" w:lineRule="auto"/>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表4.2-</w:t>
            </w:r>
            <w:r>
              <w:rPr>
                <w:rFonts w:hint="eastAsia" w:ascii="Times New Roman" w:hAnsi="Times New Roman" w:eastAsia="宋体" w:cs="Times New Roman"/>
                <w:b/>
                <w:bCs/>
                <w:sz w:val="24"/>
                <w:lang w:val="en-US" w:eastAsia="zh-CN"/>
              </w:rPr>
              <w:t>10</w:t>
            </w:r>
            <w:r>
              <w:rPr>
                <w:rFonts w:hint="default" w:ascii="Times New Roman" w:hAnsi="Times New Roman" w:eastAsia="宋体" w:cs="Times New Roman"/>
                <w:b/>
                <w:bCs/>
                <w:sz w:val="24"/>
              </w:rPr>
              <w:t xml:space="preserve">   营运期厂界</w:t>
            </w:r>
            <w:r>
              <w:rPr>
                <w:rFonts w:hint="default" w:ascii="Times New Roman" w:hAnsi="Times New Roman" w:eastAsia="宋体" w:cs="Times New Roman"/>
                <w:b/>
                <w:bCs/>
                <w:sz w:val="24"/>
                <w:lang w:val="en-US" w:eastAsia="zh-CN"/>
              </w:rPr>
              <w:t>昼间</w:t>
            </w:r>
            <w:r>
              <w:rPr>
                <w:rFonts w:hint="default" w:ascii="Times New Roman" w:hAnsi="Times New Roman" w:eastAsia="宋体" w:cs="Times New Roman"/>
                <w:b/>
                <w:bCs/>
                <w:sz w:val="24"/>
              </w:rPr>
              <w:t>噪声排放预测结果  dB(A)</w:t>
            </w:r>
          </w:p>
          <w:tbl>
            <w:tblPr>
              <w:tblStyle w:val="20"/>
              <w:tblW w:w="491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92"/>
              <w:gridCol w:w="1323"/>
              <w:gridCol w:w="1437"/>
              <w:gridCol w:w="1008"/>
              <w:gridCol w:w="1285"/>
              <w:gridCol w:w="15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1" w:hRule="atLeast"/>
                <w:jc w:val="center"/>
              </w:trPr>
              <w:tc>
                <w:tcPr>
                  <w:tcW w:w="870" w:type="pct"/>
                  <w:noWrap w:val="0"/>
                  <w:vAlign w:val="center"/>
                </w:tcPr>
                <w:p>
                  <w:pPr>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eastAsia="zh-CN"/>
                    </w:rPr>
                    <w:t>预测点位</w:t>
                  </w:r>
                </w:p>
              </w:tc>
              <w:tc>
                <w:tcPr>
                  <w:tcW w:w="826" w:type="pct"/>
                  <w:noWrap w:val="0"/>
                  <w:vAlign w:val="center"/>
                </w:tcPr>
                <w:p>
                  <w:pPr>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贡献值</w:t>
                  </w:r>
                </w:p>
              </w:tc>
              <w:tc>
                <w:tcPr>
                  <w:tcW w:w="89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背景值</w:t>
                  </w:r>
                </w:p>
              </w:tc>
              <w:tc>
                <w:tcPr>
                  <w:tcW w:w="630"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预测值</w:t>
                  </w:r>
                </w:p>
              </w:tc>
              <w:tc>
                <w:tcPr>
                  <w:tcW w:w="803" w:type="pct"/>
                  <w:noWrap w:val="0"/>
                  <w:vAlign w:val="center"/>
                </w:tcPr>
                <w:p>
                  <w:pPr>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eastAsia="zh-CN"/>
                    </w:rPr>
                    <w:t>标准值</w:t>
                  </w:r>
                </w:p>
              </w:tc>
              <w:tc>
                <w:tcPr>
                  <w:tcW w:w="971" w:type="pct"/>
                  <w:noWrap w:val="0"/>
                  <w:vAlign w:val="center"/>
                </w:tcPr>
                <w:p>
                  <w:pPr>
                    <w:spacing w:line="240" w:lineRule="auto"/>
                    <w:jc w:val="center"/>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eastAsia="zh-CN"/>
                    </w:rPr>
                    <w:t>评价结果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1" w:hRule="atLeast"/>
                <w:jc w:val="center"/>
              </w:trPr>
              <w:tc>
                <w:tcPr>
                  <w:tcW w:w="870" w:type="pc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东</w:t>
                  </w:r>
                  <w:r>
                    <w:rPr>
                      <w:rFonts w:hint="default" w:ascii="Times New Roman" w:hAnsi="Times New Roman" w:eastAsia="宋体" w:cs="Times New Roman"/>
                      <w:color w:val="auto"/>
                      <w:sz w:val="21"/>
                      <w:szCs w:val="21"/>
                      <w:lang w:eastAsia="zh-CN"/>
                    </w:rPr>
                    <w:t>厂界</w:t>
                  </w:r>
                </w:p>
              </w:tc>
              <w:tc>
                <w:tcPr>
                  <w:tcW w:w="82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r>
                    <w:rPr>
                      <w:rFonts w:hint="eastAsia" w:ascii="Times New Roman" w:hAnsi="Times New Roman" w:eastAsia="宋体" w:cs="Times New Roman"/>
                      <w:color w:val="auto"/>
                      <w:kern w:val="2"/>
                      <w:sz w:val="21"/>
                      <w:szCs w:val="21"/>
                      <w:lang w:val="en-US" w:eastAsia="zh-CN" w:bidi="ar-SA"/>
                    </w:rPr>
                    <w:t>3</w:t>
                  </w:r>
                </w:p>
              </w:tc>
              <w:tc>
                <w:tcPr>
                  <w:tcW w:w="89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630"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w:t>
                  </w:r>
                </w:p>
              </w:tc>
              <w:tc>
                <w:tcPr>
                  <w:tcW w:w="803"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971" w:type="pct"/>
                  <w:noWrap w:val="0"/>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1" w:hRule="atLeast"/>
                <w:jc w:val="center"/>
              </w:trPr>
              <w:tc>
                <w:tcPr>
                  <w:tcW w:w="870" w:type="pc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南</w:t>
                  </w:r>
                  <w:r>
                    <w:rPr>
                      <w:rFonts w:hint="default" w:ascii="Times New Roman" w:hAnsi="Times New Roman" w:eastAsia="宋体" w:cs="Times New Roman"/>
                      <w:color w:val="auto"/>
                      <w:sz w:val="21"/>
                      <w:szCs w:val="21"/>
                      <w:lang w:eastAsia="zh-CN"/>
                    </w:rPr>
                    <w:t>厂界</w:t>
                  </w:r>
                </w:p>
              </w:tc>
              <w:tc>
                <w:tcPr>
                  <w:tcW w:w="82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r>
                    <w:rPr>
                      <w:rFonts w:hint="eastAsia" w:ascii="Times New Roman" w:hAnsi="Times New Roman" w:eastAsia="宋体" w:cs="Times New Roman"/>
                      <w:color w:val="auto"/>
                      <w:kern w:val="2"/>
                      <w:sz w:val="21"/>
                      <w:szCs w:val="21"/>
                      <w:lang w:val="en-US" w:eastAsia="zh-CN" w:bidi="ar-SA"/>
                    </w:rPr>
                    <w:t>3</w:t>
                  </w:r>
                </w:p>
              </w:tc>
              <w:tc>
                <w:tcPr>
                  <w:tcW w:w="89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630"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w:t>
                  </w:r>
                </w:p>
              </w:tc>
              <w:tc>
                <w:tcPr>
                  <w:tcW w:w="803"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971" w:type="pct"/>
                  <w:noWrap w:val="0"/>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1" w:hRule="atLeast"/>
                <w:jc w:val="center"/>
              </w:trPr>
              <w:tc>
                <w:tcPr>
                  <w:tcW w:w="870" w:type="pc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西</w:t>
                  </w:r>
                  <w:r>
                    <w:rPr>
                      <w:rFonts w:hint="default" w:ascii="Times New Roman" w:hAnsi="Times New Roman" w:eastAsia="宋体" w:cs="Times New Roman"/>
                      <w:color w:val="auto"/>
                      <w:sz w:val="21"/>
                      <w:szCs w:val="21"/>
                      <w:lang w:eastAsia="zh-CN"/>
                    </w:rPr>
                    <w:t>厂界</w:t>
                  </w:r>
                </w:p>
              </w:tc>
              <w:tc>
                <w:tcPr>
                  <w:tcW w:w="82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5</w:t>
                  </w:r>
                </w:p>
              </w:tc>
              <w:tc>
                <w:tcPr>
                  <w:tcW w:w="89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630"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803"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971" w:type="pct"/>
                  <w:noWrap w:val="0"/>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870"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r>
                    <w:rPr>
                      <w:rFonts w:hint="default" w:ascii="Times New Roman" w:hAnsi="Times New Roman" w:eastAsia="宋体" w:cs="Times New Roman"/>
                      <w:color w:val="auto"/>
                      <w:sz w:val="21"/>
                      <w:szCs w:val="21"/>
                      <w:lang w:eastAsia="zh-CN"/>
                    </w:rPr>
                    <w:t>厂界</w:t>
                  </w:r>
                </w:p>
              </w:tc>
              <w:tc>
                <w:tcPr>
                  <w:tcW w:w="82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5</w:t>
                  </w:r>
                </w:p>
              </w:tc>
              <w:tc>
                <w:tcPr>
                  <w:tcW w:w="89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630"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803"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971" w:type="pct"/>
                  <w:noWrap w:val="0"/>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达标</w:t>
                  </w:r>
                </w:p>
              </w:tc>
            </w:tr>
          </w:tbl>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sz w:val="21"/>
                <w:szCs w:val="21"/>
                <w:lang w:val="en-US"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由上表可知，本项目建成后，厂界昼间噪声</w:t>
            </w:r>
            <w:r>
              <w:rPr>
                <w:rFonts w:hint="eastAsia" w:ascii="Times New Roman" w:hAnsi="Times New Roman" w:eastAsia="宋体" w:cs="Times New Roman"/>
                <w:sz w:val="24"/>
                <w:lang w:val="en-US" w:eastAsia="zh-CN"/>
              </w:rPr>
              <w:t>贡献值</w:t>
            </w:r>
            <w:r>
              <w:rPr>
                <w:rFonts w:hint="eastAsia" w:ascii="Times New Roman" w:hAnsi="Times New Roman" w:eastAsia="宋体" w:cs="Times New Roman"/>
                <w:sz w:val="24"/>
                <w:lang w:eastAsia="zh-CN"/>
              </w:rPr>
              <w:t>最大值为</w:t>
            </w:r>
            <w:r>
              <w:rPr>
                <w:rFonts w:hint="eastAsia" w:ascii="Times New Roman" w:hAnsi="Times New Roman" w:eastAsia="宋体" w:cs="Times New Roman"/>
                <w:sz w:val="24"/>
                <w:lang w:val="en-US" w:eastAsia="zh-CN"/>
              </w:rPr>
              <w:t>58</w:t>
            </w:r>
            <w:r>
              <w:rPr>
                <w:rFonts w:hint="eastAsia" w:ascii="Times New Roman" w:hAnsi="Times New Roman" w:eastAsia="宋体" w:cs="Times New Roman"/>
                <w:sz w:val="24"/>
                <w:lang w:eastAsia="zh-CN"/>
              </w:rPr>
              <w:t>dB(A)，位于东、南两侧厂界。昼间各厂界噪声预测值均满足《工业企业厂界环境噪声排放标准》</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类标准要求，同时，项目周边50m范围内没有声环境保护目标分布，因此，不会造成噪声扰民现象，但建设单位仍应引起重视，合理布置高噪声设备，进一步完善降噪措施，降低噪声对环境的影响。</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（3）监测计划</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根据</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 </w:t>
            </w:r>
            <w:r>
              <w:rPr>
                <w:rFonts w:hint="eastAsia" w:ascii="Times New Roman" w:hAnsi="Times New Roman" w:eastAsia="宋体" w:cs="Times New Roman"/>
                <w:color w:val="auto"/>
                <w:kern w:val="0"/>
                <w:sz w:val="24"/>
                <w:szCs w:val="24"/>
                <w:lang w:val="en-US" w:eastAsia="zh-CN"/>
              </w:rPr>
              <w:fldChar w:fldCharType="begin"/>
            </w:r>
            <w:r>
              <w:rPr>
                <w:rFonts w:hint="eastAsia" w:ascii="Times New Roman" w:hAnsi="Times New Roman" w:eastAsia="宋体" w:cs="Times New Roman"/>
                <w:color w:val="auto"/>
                <w:kern w:val="0"/>
                <w:sz w:val="24"/>
                <w:szCs w:val="24"/>
                <w:lang w:val="en-US" w:eastAsia="zh-CN"/>
              </w:rPr>
              <w:instrText xml:space="preserve"> HYPERLINK "https://www.mee.gov.cn/ywgz/fgbz/bz/bzwb/pwxk/202308/W020230919349861394526.pdf" </w:instrText>
            </w:r>
            <w:r>
              <w:rPr>
                <w:rFonts w:hint="eastAsia" w:ascii="Times New Roman" w:hAnsi="Times New Roman" w:eastAsia="宋体" w:cs="Times New Roman"/>
                <w:color w:val="auto"/>
                <w:kern w:val="0"/>
                <w:sz w:val="24"/>
                <w:szCs w:val="24"/>
                <w:lang w:val="en-US" w:eastAsia="zh-CN"/>
              </w:rPr>
              <w:fldChar w:fldCharType="separate"/>
            </w:r>
            <w:r>
              <w:rPr>
                <w:rFonts w:hint="eastAsia" w:ascii="Times New Roman" w:hAnsi="Times New Roman" w:eastAsia="宋体" w:cs="Times New Roman"/>
                <w:color w:val="auto"/>
                <w:kern w:val="0"/>
                <w:sz w:val="24"/>
                <w:szCs w:val="24"/>
                <w:lang w:eastAsia="zh-CN"/>
              </w:rPr>
              <w:t>排污许可证申请与核发技术规范 工业噪声》（HJ 1301—2023）</w:t>
            </w:r>
            <w:r>
              <w:rPr>
                <w:rFonts w:hint="eastAsia" w:ascii="Times New Roman" w:hAnsi="Times New Roman" w:eastAsia="宋体" w:cs="Times New Roman"/>
                <w:color w:val="auto"/>
                <w:kern w:val="0"/>
                <w:sz w:val="24"/>
                <w:szCs w:val="24"/>
                <w:lang w:val="en-US" w:eastAsia="zh-CN"/>
              </w:rPr>
              <w:fldChar w:fldCharType="end"/>
            </w:r>
            <w:r>
              <w:rPr>
                <w:rFonts w:hint="eastAsia" w:ascii="Times New Roman" w:hAnsi="Times New Roman" w:eastAsia="宋体" w:cs="Times New Roman"/>
                <w:sz w:val="24"/>
                <w:lang w:eastAsia="zh-CN"/>
              </w:rPr>
              <w:t>，项目噪声监测计划见下表4.2-</w:t>
            </w:r>
            <w:r>
              <w:rPr>
                <w:rFonts w:hint="eastAsia" w:ascii="Times New Roman" w:hAnsi="Times New Roman" w:eastAsia="宋体" w:cs="Times New Roman"/>
                <w:sz w:val="24"/>
                <w:lang w:val="en-US" w:eastAsia="zh-CN"/>
              </w:rPr>
              <w:t>11</w:t>
            </w:r>
            <w:r>
              <w:rPr>
                <w:rFonts w:hint="eastAsia" w:ascii="Times New Roman" w:hAnsi="Times New Roman" w:eastAsia="宋体" w:cs="Times New Roman"/>
                <w:sz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2" w:firstLineChars="200"/>
              <w:jc w:val="center"/>
              <w:textAlignment w:val="auto"/>
              <w:rPr>
                <w:rFonts w:hint="eastAsia" w:ascii="Times New Roman" w:hAnsi="Times New Roman" w:eastAsia="宋体" w:cs="Times New Roman"/>
                <w:b/>
                <w:bCs/>
                <w:sz w:val="24"/>
                <w:lang w:eastAsia="zh-CN"/>
              </w:rPr>
            </w:pPr>
            <w:r>
              <w:rPr>
                <w:rFonts w:hint="eastAsia" w:ascii="Times New Roman" w:hAnsi="Times New Roman" w:eastAsia="宋体" w:cs="Times New Roman"/>
                <w:b/>
                <w:bCs/>
                <w:sz w:val="24"/>
                <w:lang w:eastAsia="zh-CN"/>
              </w:rPr>
              <w:t>表4.2-</w:t>
            </w:r>
            <w:r>
              <w:rPr>
                <w:rFonts w:hint="eastAsia" w:ascii="Times New Roman" w:hAnsi="Times New Roman" w:eastAsia="宋体" w:cs="Times New Roman"/>
                <w:b/>
                <w:bCs/>
                <w:sz w:val="24"/>
                <w:lang w:val="en-US" w:eastAsia="zh-CN"/>
              </w:rPr>
              <w:t>11</w:t>
            </w:r>
            <w:r>
              <w:rPr>
                <w:rFonts w:hint="eastAsia" w:ascii="Times New Roman" w:hAnsi="Times New Roman" w:eastAsia="宋体" w:cs="Times New Roman"/>
                <w:b/>
                <w:bCs/>
                <w:sz w:val="24"/>
                <w:lang w:eastAsia="zh-CN"/>
              </w:rPr>
              <w:t xml:space="preserve">   噪声监测计划表</w:t>
            </w:r>
          </w:p>
          <w:tbl>
            <w:tblPr>
              <w:tblStyle w:val="20"/>
              <w:tblW w:w="496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90"/>
              <w:gridCol w:w="2471"/>
              <w:gridCol w:w="1318"/>
              <w:gridCol w:w="1645"/>
              <w:gridCol w:w="165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4" w:hRule="atLeast"/>
              </w:trPr>
              <w:tc>
                <w:tcPr>
                  <w:tcW w:w="990" w:type="dxa"/>
                  <w:shd w:val="clear" w:color="auto" w:fill="auto"/>
                  <w:noWrap/>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类别</w:t>
                  </w:r>
                </w:p>
              </w:tc>
              <w:tc>
                <w:tcPr>
                  <w:tcW w:w="2471" w:type="dxa"/>
                  <w:shd w:val="clear" w:color="auto" w:fill="auto"/>
                  <w:noWrap/>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监测点位</w:t>
                  </w:r>
                </w:p>
              </w:tc>
              <w:tc>
                <w:tcPr>
                  <w:tcW w:w="1318" w:type="dxa"/>
                  <w:shd w:val="clear" w:color="auto" w:fill="auto"/>
                  <w:noWrap/>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测点数</w:t>
                  </w:r>
                </w:p>
              </w:tc>
              <w:tc>
                <w:tcPr>
                  <w:tcW w:w="1645" w:type="dxa"/>
                  <w:shd w:val="clear" w:color="auto" w:fill="auto"/>
                  <w:noWrap/>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监测项目</w:t>
                  </w:r>
                </w:p>
              </w:tc>
              <w:tc>
                <w:tcPr>
                  <w:tcW w:w="1654" w:type="dxa"/>
                  <w:shd w:val="clear" w:color="auto" w:fill="auto"/>
                  <w:noWrap/>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监测频率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7" w:hRule="atLeast"/>
              </w:trPr>
              <w:tc>
                <w:tcPr>
                  <w:tcW w:w="990" w:type="dxa"/>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噪声</w:t>
                  </w:r>
                </w:p>
              </w:tc>
              <w:tc>
                <w:tcPr>
                  <w:tcW w:w="2471" w:type="dxa"/>
                  <w:shd w:val="clear" w:color="auto" w:fill="auto"/>
                  <w:noWrap/>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厂界四周外</w:t>
                  </w:r>
                  <w:r>
                    <w:rPr>
                      <w:rFonts w:hint="default" w:ascii="Times New Roman" w:hAnsi="Times New Roman" w:eastAsia="宋体" w:cs="Times New Roman"/>
                      <w:b w:val="0"/>
                      <w:bCs/>
                      <w:color w:val="auto"/>
                      <w:sz w:val="21"/>
                      <w:szCs w:val="21"/>
                      <w:lang w:eastAsia="zh-CN"/>
                    </w:rPr>
                    <w:t>1m</w:t>
                  </w:r>
                </w:p>
              </w:tc>
              <w:tc>
                <w:tcPr>
                  <w:tcW w:w="1318" w:type="dxa"/>
                  <w:shd w:val="clear" w:color="auto" w:fill="auto"/>
                  <w:noWrap/>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4</w:t>
                  </w:r>
                </w:p>
              </w:tc>
              <w:tc>
                <w:tcPr>
                  <w:tcW w:w="1645" w:type="dxa"/>
                  <w:shd w:val="clear" w:color="auto" w:fill="auto"/>
                  <w:noWrap/>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等效声级</w:t>
                  </w:r>
                </w:p>
              </w:tc>
              <w:tc>
                <w:tcPr>
                  <w:tcW w:w="1654" w:type="dxa"/>
                  <w:shd w:val="clear" w:color="auto" w:fill="auto"/>
                  <w:noWrap/>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1</w:t>
                  </w:r>
                  <w:r>
                    <w:rPr>
                      <w:rFonts w:hint="eastAsia" w:ascii="Times New Roman" w:hAnsi="Times New Roman" w:eastAsia="宋体" w:cs="Times New Roman"/>
                      <w:b w:val="0"/>
                      <w:bCs/>
                      <w:color w:val="auto"/>
                      <w:sz w:val="21"/>
                      <w:szCs w:val="21"/>
                      <w:lang w:eastAsia="zh-CN"/>
                    </w:rPr>
                    <w:t>次</w:t>
                  </w:r>
                  <w:r>
                    <w:rPr>
                      <w:rFonts w:hint="default" w:ascii="Times New Roman" w:hAnsi="Times New Roman" w:eastAsia="宋体" w:cs="Times New Roman"/>
                      <w:b w:val="0"/>
                      <w:bCs/>
                      <w:color w:val="auto"/>
                      <w:sz w:val="21"/>
                      <w:szCs w:val="21"/>
                      <w:lang w:eastAsia="zh-CN"/>
                    </w:rPr>
                    <w:t>/</w:t>
                  </w:r>
                  <w:r>
                    <w:rPr>
                      <w:rFonts w:hint="eastAsia" w:ascii="Times New Roman" w:hAnsi="Times New Roman" w:eastAsia="宋体" w:cs="Times New Roman"/>
                      <w:b w:val="0"/>
                      <w:bCs/>
                      <w:color w:val="auto"/>
                      <w:sz w:val="21"/>
                      <w:szCs w:val="21"/>
                      <w:lang w:eastAsia="zh-CN"/>
                    </w:rPr>
                    <w:t>季度</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lang w:eastAsia="zh-CN"/>
              </w:rPr>
            </w:pPr>
          </w:p>
          <w:p>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4.2.4固体废物环境影响和保护措施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1、固废产生、排放情况</w:t>
            </w:r>
          </w:p>
          <w:p>
            <w:pPr>
              <w:adjustRightInd w:val="0"/>
              <w:snapToGrid w:val="0"/>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sz w:val="24"/>
                <w:szCs w:val="24"/>
                <w:lang w:eastAsia="zh-CN"/>
              </w:rPr>
              <w:t>本项目不涉及新增产生固体废物，不新增</w:t>
            </w:r>
            <w:r>
              <w:rPr>
                <w:rFonts w:hint="eastAsia" w:ascii="Times New Roman" w:hAnsi="Times New Roman" w:eastAsia="宋体" w:cs="Times New Roman"/>
                <w:bCs/>
                <w:sz w:val="24"/>
                <w:szCs w:val="24"/>
              </w:rPr>
              <w:t>劳动定员</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sz w:val="24"/>
                <w:szCs w:val="24"/>
                <w:lang w:eastAsia="zh-CN"/>
              </w:rPr>
              <w:t>不涉及新增</w:t>
            </w:r>
            <w:r>
              <w:rPr>
                <w:rFonts w:hint="eastAsia" w:ascii="Times New Roman" w:hAnsi="Times New Roman" w:eastAsia="宋体" w:cs="Times New Roman"/>
                <w:bCs/>
                <w:sz w:val="24"/>
                <w:szCs w:val="24"/>
                <w:lang w:eastAsia="zh-CN"/>
              </w:rPr>
              <w:t>生活垃圾。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环境管理要求</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本项目城市生活污泥属于第I类工业固体废物，湿污泥储存间、污泥脱水车间等应按照《一般工业固体废物贮存和填埋污染控制标准》（GB 18599-2020）要求，应满足相应防渗漏、防雨淋、防扬尘等环境保护要求。</w:t>
            </w:r>
          </w:p>
          <w:p>
            <w:pPr>
              <w:adjustRightInd w:val="0"/>
              <w:snapToGrid w:val="0"/>
              <w:spacing w:line="360" w:lineRule="auto"/>
              <w:rPr>
                <w:rFonts w:ascii="Times New Roman" w:hAnsi="Times New Roman" w:cs="Times New Roman"/>
                <w:b/>
                <w:color w:val="auto"/>
                <w:sz w:val="24"/>
                <w:szCs w:val="24"/>
              </w:rPr>
            </w:pPr>
            <w:r>
              <w:rPr>
                <w:rFonts w:hint="eastAsia" w:ascii="Times New Roman" w:hAnsi="Times New Roman" w:cs="Times New Roman"/>
                <w:b/>
                <w:color w:val="auto"/>
                <w:sz w:val="24"/>
                <w:szCs w:val="24"/>
              </w:rPr>
              <w:t>4.2.5</w:t>
            </w:r>
            <w:r>
              <w:rPr>
                <w:rFonts w:ascii="Times New Roman" w:hAnsi="Times New Roman" w:eastAsia="宋体" w:cs="Times New Roman"/>
                <w:b/>
                <w:color w:val="auto"/>
                <w:sz w:val="24"/>
                <w:szCs w:val="24"/>
              </w:rPr>
              <w:t>“三本账”</w:t>
            </w:r>
            <w:r>
              <w:rPr>
                <w:rFonts w:hint="eastAsia" w:ascii="Times New Roman" w:hAnsi="Times New Roman" w:eastAsia="宋体" w:cs="Times New Roman"/>
                <w:b/>
                <w:color w:val="auto"/>
                <w:sz w:val="24"/>
                <w:szCs w:val="24"/>
              </w:rPr>
              <w:t>核算</w:t>
            </w:r>
          </w:p>
          <w:p>
            <w:pPr>
              <w:tabs>
                <w:tab w:val="left" w:pos="72"/>
              </w:tabs>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项目</w:t>
            </w:r>
            <w:r>
              <w:rPr>
                <w:rFonts w:hint="eastAsia" w:ascii="Times New Roman" w:hAnsi="Times New Roman" w:eastAsia="宋体" w:cs="Times New Roman"/>
                <w:color w:val="auto"/>
                <w:sz w:val="24"/>
                <w:lang w:eastAsia="zh-CN"/>
              </w:rPr>
              <w:t>改扩建</w:t>
            </w:r>
            <w:r>
              <w:rPr>
                <w:rFonts w:hint="eastAsia" w:ascii="Times New Roman" w:hAnsi="Times New Roman" w:eastAsia="宋体" w:cs="Times New Roman"/>
                <w:color w:val="auto"/>
                <w:sz w:val="24"/>
              </w:rPr>
              <w:t>前后</w:t>
            </w:r>
            <w:r>
              <w:rPr>
                <w:rFonts w:ascii="Times New Roman" w:hAnsi="Times New Roman" w:eastAsia="宋体" w:cs="Times New Roman"/>
                <w:color w:val="auto"/>
                <w:sz w:val="24"/>
              </w:rPr>
              <w:t>“三本账”核算见表4.2-1</w:t>
            </w:r>
            <w:r>
              <w:rPr>
                <w:rFonts w:hint="eastAsia" w:ascii="Times New Roman" w:hAnsi="Times New Roman" w:eastAsia="宋体" w:cs="Times New Roman"/>
                <w:color w:val="auto"/>
                <w:sz w:val="24"/>
                <w:lang w:val="en-US" w:eastAsia="zh-CN"/>
              </w:rPr>
              <w:t>2</w:t>
            </w:r>
            <w:r>
              <w:rPr>
                <w:rFonts w:ascii="Times New Roman" w:hAnsi="Times New Roman" w:eastAsia="宋体" w:cs="Times New Roman"/>
                <w:color w:val="auto"/>
                <w:sz w:val="24"/>
              </w:rPr>
              <w:t>。</w:t>
            </w:r>
          </w:p>
          <w:p>
            <w:pPr>
              <w:adjustRightInd w:val="0"/>
              <w:snapToGrid w:val="0"/>
              <w:spacing w:line="440" w:lineRule="exact"/>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表4.2-1</w:t>
            </w:r>
            <w:r>
              <w:rPr>
                <w:rFonts w:hint="eastAsia" w:ascii="Times New Roman" w:hAnsi="Times New Roman" w:eastAsia="宋体" w:cs="Times New Roman"/>
                <w:b/>
                <w:color w:val="auto"/>
                <w:sz w:val="24"/>
                <w:szCs w:val="24"/>
                <w:lang w:val="en-US" w:eastAsia="zh-CN"/>
              </w:rPr>
              <w:t>2</w:t>
            </w:r>
            <w:r>
              <w:rPr>
                <w:rFonts w:ascii="Times New Roman" w:hAnsi="Times New Roman" w:eastAsia="宋体" w:cs="Times New Roman"/>
                <w:b/>
                <w:color w:val="auto"/>
                <w:sz w:val="24"/>
                <w:szCs w:val="24"/>
              </w:rPr>
              <w:t xml:space="preserve">  污染物排放“三本账”一览表  单位：t/a</w:t>
            </w:r>
          </w:p>
          <w:tbl>
            <w:tblPr>
              <w:tblStyle w:val="20"/>
              <w:tblW w:w="50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1"/>
              <w:gridCol w:w="1207"/>
              <w:gridCol w:w="1255"/>
              <w:gridCol w:w="1249"/>
              <w:gridCol w:w="1306"/>
              <w:gridCol w:w="1300"/>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1070" w:type="pct"/>
                  <w:gridSpan w:val="2"/>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r>
                    <w:rPr>
                      <w:color w:val="auto"/>
                    </w:rPr>
                    <w:t>项  目</w:t>
                  </w:r>
                </w:p>
              </w:tc>
              <w:tc>
                <w:tcPr>
                  <w:tcW w:w="768"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r>
                    <w:rPr>
                      <w:color w:val="auto"/>
                    </w:rPr>
                    <w:t>现有工程</w:t>
                  </w:r>
                </w:p>
              </w:tc>
              <w:tc>
                <w:tcPr>
                  <w:tcW w:w="765"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r>
                    <w:rPr>
                      <w:color w:val="auto"/>
                    </w:rPr>
                    <w:t>本项目</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r>
                    <w:rPr>
                      <w:color w:val="auto"/>
                    </w:rPr>
                    <w:t>“以新带老”削减量</w:t>
                  </w:r>
                </w:p>
              </w:tc>
              <w:tc>
                <w:tcPr>
                  <w:tcW w:w="796"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r>
                    <w:rPr>
                      <w:color w:val="auto"/>
                    </w:rPr>
                    <w:t>排放总量</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r>
                    <w:rPr>
                      <w:color w:val="auto"/>
                    </w:rPr>
                    <w:t>增减值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1" w:type="pct"/>
                  <w:vMerge w:val="restar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r>
                    <w:rPr>
                      <w:color w:val="auto"/>
                    </w:rPr>
                    <w:t>废水</w:t>
                  </w:r>
                </w:p>
              </w:tc>
              <w:tc>
                <w:tcPr>
                  <w:tcW w:w="73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color w:val="auto"/>
                    </w:rPr>
                    <w:t>COD</w:t>
                  </w:r>
                </w:p>
              </w:tc>
              <w:tc>
                <w:tcPr>
                  <w:tcW w:w="768"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eastAsia"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0.0073 </w:t>
                  </w:r>
                </w:p>
              </w:tc>
              <w:tc>
                <w:tcPr>
                  <w:tcW w:w="765"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1.12 </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0.0073 </w:t>
                  </w:r>
                </w:p>
              </w:tc>
              <w:tc>
                <w:tcPr>
                  <w:tcW w:w="796"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1.12 </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eastAsia" w:ascii="Times New Roman" w:hAnsi="Times New Roman" w:eastAsia="宋体" w:cs="Times New Roman"/>
                      <w:color w:val="auto"/>
                      <w:kern w:val="2"/>
                      <w:sz w:val="21"/>
                      <w:szCs w:val="18"/>
                      <w:lang w:val="en-US" w:eastAsia="zh-CN" w:bidi="ar-SA"/>
                    </w:rPr>
                  </w:pPr>
                  <w:r>
                    <w:rPr>
                      <w:rFonts w:hint="eastAsia" w:ascii="Times New Roman" w:hAnsi="Times New Roman" w:eastAsia="宋体" w:cs="Times New Roman"/>
                      <w:color w:val="auto"/>
                      <w:lang w:val="en-US" w:eastAsia="zh-CN"/>
                    </w:rPr>
                    <w:t>1.1127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1" w:type="pct"/>
                  <w:vMerge w:val="continue"/>
                  <w:tcBorders>
                    <w:left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p>
              </w:tc>
              <w:tc>
                <w:tcPr>
                  <w:tcW w:w="73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color w:val="auto"/>
                    </w:rPr>
                    <w:t>SS</w:t>
                  </w:r>
                </w:p>
              </w:tc>
              <w:tc>
                <w:tcPr>
                  <w:tcW w:w="768"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eastAsia"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0.0015 </w:t>
                  </w:r>
                </w:p>
              </w:tc>
              <w:tc>
                <w:tcPr>
                  <w:tcW w:w="765"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0.0015 </w:t>
                  </w:r>
                </w:p>
              </w:tc>
              <w:tc>
                <w:tcPr>
                  <w:tcW w:w="796"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eastAsia" w:ascii="Times New Roman" w:hAnsi="Times New Roman" w:eastAsia="宋体" w:cs="Times New Roman"/>
                      <w:color w:val="auto"/>
                      <w:kern w:val="2"/>
                      <w:sz w:val="21"/>
                      <w:szCs w:val="18"/>
                      <w:lang w:val="en-US" w:eastAsia="zh-CN" w:bidi="ar-SA"/>
                    </w:rPr>
                  </w:pPr>
                  <w:r>
                    <w:rPr>
                      <w:rFonts w:hint="eastAsia" w:ascii="Times New Roman" w:hAnsi="Times New Roman" w:eastAsia="宋体" w:cs="Times New Roman"/>
                      <w:color w:val="auto"/>
                      <w:lang w:val="en-US" w:eastAsia="zh-CN"/>
                    </w:rPr>
                    <w:t>0.2185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1" w:type="pct"/>
                  <w:vMerge w:val="continue"/>
                  <w:tcBorders>
                    <w:left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p>
              </w:tc>
              <w:tc>
                <w:tcPr>
                  <w:tcW w:w="73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color w:val="auto"/>
                    </w:rPr>
                    <w:t>BOD</w:t>
                  </w:r>
                  <w:r>
                    <w:rPr>
                      <w:color w:val="auto"/>
                      <w:vertAlign w:val="subscript"/>
                    </w:rPr>
                    <w:t>5</w:t>
                  </w:r>
                </w:p>
              </w:tc>
              <w:tc>
                <w:tcPr>
                  <w:tcW w:w="768"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eastAsia"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0.0015 </w:t>
                  </w:r>
                </w:p>
              </w:tc>
              <w:tc>
                <w:tcPr>
                  <w:tcW w:w="765"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0.0015 </w:t>
                  </w:r>
                </w:p>
              </w:tc>
              <w:tc>
                <w:tcPr>
                  <w:tcW w:w="796"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eastAsia" w:ascii="Times New Roman" w:hAnsi="Times New Roman" w:eastAsia="宋体" w:cs="Times New Roman"/>
                      <w:color w:val="auto"/>
                      <w:kern w:val="2"/>
                      <w:sz w:val="21"/>
                      <w:szCs w:val="18"/>
                      <w:lang w:val="en-US" w:eastAsia="zh-CN" w:bidi="ar-SA"/>
                    </w:rPr>
                  </w:pPr>
                  <w:r>
                    <w:rPr>
                      <w:rFonts w:hint="eastAsia" w:ascii="Times New Roman" w:hAnsi="Times New Roman" w:eastAsia="宋体" w:cs="Times New Roman"/>
                      <w:color w:val="auto"/>
                      <w:lang w:val="en-US" w:eastAsia="zh-CN"/>
                    </w:rPr>
                    <w:t>0.2185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1" w:type="pct"/>
                  <w:vMerge w:val="continue"/>
                  <w:tcBorders>
                    <w:top w:val="single" w:color="auto" w:sz="4" w:space="0"/>
                    <w:left w:val="single" w:color="auto" w:sz="4" w:space="0"/>
                    <w:bottom w:val="single" w:color="auto" w:sz="4" w:space="0"/>
                    <w:right w:val="single" w:color="auto" w:sz="4" w:space="0"/>
                  </w:tcBorders>
                  <w:vAlign w:val="center"/>
                </w:tcPr>
                <w:p>
                  <w:pPr>
                    <w:pStyle w:val="41"/>
                    <w:snapToGrid w:val="0"/>
                    <w:spacing w:line="240" w:lineRule="auto"/>
                    <w:ind w:firstLine="0" w:firstLineChars="0"/>
                    <w:textAlignment w:val="auto"/>
                    <w:rPr>
                      <w:color w:val="auto"/>
                    </w:rPr>
                  </w:pPr>
                </w:p>
              </w:tc>
              <w:tc>
                <w:tcPr>
                  <w:tcW w:w="73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color w:val="auto"/>
                    </w:rPr>
                    <w:t>NH</w:t>
                  </w:r>
                  <w:r>
                    <w:rPr>
                      <w:color w:val="auto"/>
                      <w:vertAlign w:val="subscript"/>
                    </w:rPr>
                    <w:t>3</w:t>
                  </w:r>
                  <w:r>
                    <w:rPr>
                      <w:color w:val="auto"/>
                    </w:rPr>
                    <w:t>-N</w:t>
                  </w:r>
                </w:p>
              </w:tc>
              <w:tc>
                <w:tcPr>
                  <w:tcW w:w="768"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eastAsia"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0.0007 </w:t>
                  </w:r>
                </w:p>
              </w:tc>
              <w:tc>
                <w:tcPr>
                  <w:tcW w:w="765"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0.11 </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0.0007 </w:t>
                  </w:r>
                </w:p>
              </w:tc>
              <w:tc>
                <w:tcPr>
                  <w:tcW w:w="796"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0.11 </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79"/>
                    <w:ind w:firstLine="0" w:firstLineChars="0"/>
                    <w:rPr>
                      <w:rFonts w:hint="eastAsia" w:ascii="Times New Roman" w:hAnsi="Times New Roman" w:eastAsia="宋体" w:cs="Times New Roman"/>
                      <w:color w:val="auto"/>
                      <w:kern w:val="2"/>
                      <w:sz w:val="21"/>
                      <w:szCs w:val="18"/>
                      <w:lang w:val="en-US" w:eastAsia="zh-CN" w:bidi="ar-SA"/>
                    </w:rPr>
                  </w:pPr>
                  <w:r>
                    <w:rPr>
                      <w:rFonts w:hint="eastAsia" w:ascii="Times New Roman" w:hAnsi="Times New Roman" w:eastAsia="宋体" w:cs="Times New Roman"/>
                      <w:color w:val="auto"/>
                      <w:lang w:val="en-US" w:eastAsia="zh-CN"/>
                    </w:rPr>
                    <w:t>0.1093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1" w:type="pct"/>
                  <w:vMerge w:val="restart"/>
                  <w:tcBorders>
                    <w:top w:val="single" w:color="auto" w:sz="4" w:space="0"/>
                    <w:left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r>
                    <w:rPr>
                      <w:color w:val="auto"/>
                    </w:rPr>
                    <w:t>废气</w:t>
                  </w:r>
                </w:p>
              </w:tc>
              <w:tc>
                <w:tcPr>
                  <w:tcW w:w="73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768"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0.0412</w:t>
                  </w:r>
                </w:p>
              </w:tc>
              <w:tc>
                <w:tcPr>
                  <w:tcW w:w="765"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0.196</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0.0412</w:t>
                  </w:r>
                </w:p>
              </w:tc>
              <w:tc>
                <w:tcPr>
                  <w:tcW w:w="796"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0.196</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1" w:type="pct"/>
                  <w:vMerge w:val="continue"/>
                  <w:tcBorders>
                    <w:left w:val="single" w:color="auto" w:sz="4" w:space="0"/>
                    <w:right w:val="single" w:color="auto" w:sz="4" w:space="0"/>
                  </w:tcBorders>
                  <w:vAlign w:val="center"/>
                </w:tcPr>
                <w:p>
                  <w:pPr>
                    <w:pStyle w:val="41"/>
                    <w:snapToGrid w:val="0"/>
                    <w:spacing w:line="240" w:lineRule="auto"/>
                    <w:ind w:firstLine="0" w:firstLineChars="0"/>
                    <w:textAlignment w:val="auto"/>
                    <w:rPr>
                      <w:color w:val="auto"/>
                    </w:rPr>
                  </w:pPr>
                </w:p>
              </w:tc>
              <w:tc>
                <w:tcPr>
                  <w:tcW w:w="73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768"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0.011</w:t>
                  </w:r>
                </w:p>
              </w:tc>
              <w:tc>
                <w:tcPr>
                  <w:tcW w:w="765"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0.0181</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0.011</w:t>
                  </w:r>
                </w:p>
              </w:tc>
              <w:tc>
                <w:tcPr>
                  <w:tcW w:w="796"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0.0181</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1" w:type="pct"/>
                  <w:vMerge w:val="restart"/>
                  <w:tcBorders>
                    <w:top w:val="single" w:color="auto" w:sz="4" w:space="0"/>
                    <w:left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r>
                    <w:rPr>
                      <w:color w:val="auto"/>
                    </w:rPr>
                    <w:t>固废</w:t>
                  </w:r>
                </w:p>
              </w:tc>
              <w:tc>
                <w:tcPr>
                  <w:tcW w:w="73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pacing w:line="240" w:lineRule="auto"/>
                    <w:ind w:firstLine="0" w:firstLineChars="0"/>
                    <w:textAlignment w:val="auto"/>
                    <w:rPr>
                      <w:color w:val="auto"/>
                    </w:rPr>
                  </w:pPr>
                  <w:r>
                    <w:rPr>
                      <w:rFonts w:hint="eastAsia"/>
                      <w:color w:val="auto"/>
                    </w:rPr>
                    <w:t>生活垃圾</w:t>
                  </w:r>
                </w:p>
              </w:tc>
              <w:tc>
                <w:tcPr>
                  <w:tcW w:w="768"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pacing w:line="240" w:lineRule="auto"/>
                    <w:ind w:firstLine="0" w:firstLineChars="0"/>
                    <w:textAlignment w:val="auto"/>
                    <w:rPr>
                      <w:rFonts w:hint="eastAsia" w:eastAsia="宋体"/>
                      <w:color w:val="auto"/>
                      <w:lang w:eastAsia="zh-CN"/>
                    </w:rPr>
                  </w:pPr>
                  <w:r>
                    <w:rPr>
                      <w:color w:val="auto"/>
                    </w:rPr>
                    <w:t>0</w:t>
                  </w:r>
                  <w:r>
                    <w:rPr>
                      <w:rFonts w:hint="eastAsia"/>
                      <w:color w:val="auto"/>
                      <w:lang w:eastAsia="zh-CN"/>
                    </w:rPr>
                    <w:t>（</w:t>
                  </w:r>
                  <w:r>
                    <w:rPr>
                      <w:rFonts w:hint="eastAsia"/>
                      <w:color w:val="auto"/>
                      <w:lang w:val="en-US" w:eastAsia="zh-CN"/>
                    </w:rPr>
                    <w:t>5.32</w:t>
                  </w:r>
                  <w:r>
                    <w:rPr>
                      <w:rFonts w:hint="eastAsia"/>
                      <w:color w:val="auto"/>
                      <w:lang w:eastAsia="zh-CN"/>
                    </w:rPr>
                    <w:t>）</w:t>
                  </w:r>
                </w:p>
              </w:tc>
              <w:tc>
                <w:tcPr>
                  <w:tcW w:w="765"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r>
                    <w:rPr>
                      <w:color w:val="auto"/>
                    </w:rPr>
                    <w:t>0</w:t>
                  </w:r>
                  <w:r>
                    <w:rPr>
                      <w:rFonts w:hint="eastAsia"/>
                      <w:color w:val="auto"/>
                      <w:lang w:eastAsia="zh-CN"/>
                    </w:rPr>
                    <w:t>（</w:t>
                  </w:r>
                  <w:r>
                    <w:rPr>
                      <w:rFonts w:hint="eastAsia"/>
                      <w:color w:val="auto"/>
                      <w:lang w:val="en-US" w:eastAsia="zh-CN"/>
                    </w:rPr>
                    <w:t>0</w:t>
                  </w:r>
                  <w:r>
                    <w:rPr>
                      <w:rFonts w:hint="eastAsia"/>
                      <w:color w:val="auto"/>
                      <w:lang w:eastAsia="zh-CN"/>
                    </w:rPr>
                    <w:t>）</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rFonts w:ascii="Times New Roman" w:hAnsi="Times New Roman" w:eastAsia="宋体" w:cs="Times New Roman"/>
                      <w:color w:val="auto"/>
                      <w:kern w:val="2"/>
                      <w:sz w:val="21"/>
                      <w:szCs w:val="21"/>
                      <w:lang w:val="en-US" w:eastAsia="zh-CN" w:bidi="ar-SA"/>
                    </w:rPr>
                  </w:pPr>
                  <w:r>
                    <w:rPr>
                      <w:color w:val="auto"/>
                    </w:rPr>
                    <w:t>0</w:t>
                  </w:r>
                  <w:r>
                    <w:rPr>
                      <w:rFonts w:hint="eastAsia"/>
                      <w:color w:val="auto"/>
                      <w:lang w:eastAsia="zh-CN"/>
                    </w:rPr>
                    <w:t>（</w:t>
                  </w:r>
                  <w:r>
                    <w:rPr>
                      <w:rFonts w:hint="eastAsia"/>
                      <w:color w:val="auto"/>
                      <w:lang w:val="en-US" w:eastAsia="zh-CN"/>
                    </w:rPr>
                    <w:t>0</w:t>
                  </w:r>
                  <w:r>
                    <w:rPr>
                      <w:rFonts w:hint="eastAsia"/>
                      <w:color w:val="auto"/>
                      <w:lang w:eastAsia="zh-CN"/>
                    </w:rPr>
                    <w:t>）</w:t>
                  </w:r>
                </w:p>
              </w:tc>
              <w:tc>
                <w:tcPr>
                  <w:tcW w:w="796"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color w:val="auto"/>
                    </w:rPr>
                    <w:t>0</w:t>
                  </w:r>
                  <w:r>
                    <w:rPr>
                      <w:rFonts w:hint="eastAsia"/>
                      <w:color w:val="auto"/>
                      <w:lang w:eastAsia="zh-CN"/>
                    </w:rPr>
                    <w:t>（</w:t>
                  </w:r>
                  <w:r>
                    <w:rPr>
                      <w:rFonts w:hint="eastAsia"/>
                      <w:color w:val="auto"/>
                      <w:lang w:val="en-US" w:eastAsia="zh-CN"/>
                    </w:rPr>
                    <w:t>5.32</w:t>
                  </w:r>
                  <w:r>
                    <w:rPr>
                      <w:rFonts w:hint="eastAsia"/>
                      <w:color w:val="auto"/>
                      <w:lang w:eastAsia="zh-CN"/>
                    </w:rPr>
                    <w:t>）</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rFonts w:ascii="Times New Roman" w:hAnsi="Times New Roman" w:eastAsia="宋体" w:cs="Times New Roman"/>
                      <w:color w:val="auto"/>
                      <w:kern w:val="2"/>
                      <w:sz w:val="21"/>
                      <w:szCs w:val="21"/>
                      <w:lang w:val="en-US" w:eastAsia="zh-CN" w:bidi="ar-SA"/>
                    </w:rPr>
                  </w:pPr>
                  <w:r>
                    <w:rPr>
                      <w:color w:val="auto"/>
                    </w:rPr>
                    <w:t>0</w:t>
                  </w:r>
                  <w:r>
                    <w:rPr>
                      <w:rFonts w:hint="eastAsia"/>
                      <w:color w:val="auto"/>
                      <w:lang w:eastAsia="zh-CN"/>
                    </w:rPr>
                    <w:t>（</w:t>
                  </w:r>
                  <w:r>
                    <w:rPr>
                      <w:rFonts w:hint="eastAsia"/>
                      <w:color w:val="auto"/>
                      <w:lang w:val="en-US" w:eastAsia="zh-CN"/>
                    </w:rPr>
                    <w:t>0</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1" w:type="pct"/>
                  <w:vMerge w:val="continue"/>
                  <w:tcBorders>
                    <w:left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p>
              </w:tc>
              <w:tc>
                <w:tcPr>
                  <w:tcW w:w="73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pacing w:line="240" w:lineRule="auto"/>
                    <w:ind w:firstLine="0" w:firstLineChars="0"/>
                    <w:textAlignment w:val="auto"/>
                    <w:rPr>
                      <w:color w:val="auto"/>
                    </w:rPr>
                  </w:pPr>
                  <w:r>
                    <w:rPr>
                      <w:color w:val="auto"/>
                    </w:rPr>
                    <w:t>一般固废</w:t>
                  </w:r>
                </w:p>
              </w:tc>
              <w:tc>
                <w:tcPr>
                  <w:tcW w:w="768"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pacing w:line="240" w:lineRule="auto"/>
                    <w:ind w:firstLine="0" w:firstLineChars="0"/>
                    <w:textAlignment w:val="auto"/>
                    <w:rPr>
                      <w:rFonts w:hint="eastAsia" w:eastAsia="宋体"/>
                      <w:color w:val="auto"/>
                      <w:lang w:eastAsia="zh-CN"/>
                    </w:rPr>
                  </w:pPr>
                  <w:r>
                    <w:rPr>
                      <w:color w:val="auto"/>
                    </w:rPr>
                    <w:t>0</w:t>
                  </w:r>
                  <w:r>
                    <w:rPr>
                      <w:rFonts w:hint="eastAsia"/>
                      <w:color w:val="auto"/>
                      <w:lang w:eastAsia="zh-CN"/>
                    </w:rPr>
                    <w:t>（</w:t>
                  </w:r>
                  <w:r>
                    <w:rPr>
                      <w:rFonts w:hint="eastAsia"/>
                      <w:color w:val="auto"/>
                      <w:lang w:val="en-US" w:eastAsia="zh-CN"/>
                    </w:rPr>
                    <w:t>1</w:t>
                  </w:r>
                  <w:r>
                    <w:rPr>
                      <w:rFonts w:hint="eastAsia"/>
                      <w:color w:val="auto"/>
                      <w:lang w:eastAsia="zh-CN"/>
                    </w:rPr>
                    <w:t>）</w:t>
                  </w:r>
                </w:p>
              </w:tc>
              <w:tc>
                <w:tcPr>
                  <w:tcW w:w="765"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rFonts w:hint="eastAsia" w:eastAsia="宋体"/>
                      <w:color w:val="auto"/>
                      <w:lang w:eastAsia="zh-CN"/>
                    </w:rPr>
                  </w:pPr>
                  <w:r>
                    <w:rPr>
                      <w:color w:val="auto"/>
                    </w:rPr>
                    <w:t>0</w:t>
                  </w:r>
                  <w:r>
                    <w:rPr>
                      <w:rFonts w:hint="eastAsia"/>
                      <w:color w:val="auto"/>
                      <w:lang w:eastAsia="zh-CN"/>
                    </w:rPr>
                    <w:t>（</w:t>
                  </w:r>
                  <w:r>
                    <w:rPr>
                      <w:rFonts w:hint="eastAsia"/>
                      <w:color w:val="auto"/>
                      <w:lang w:val="en-US" w:eastAsia="zh-CN"/>
                    </w:rPr>
                    <w:t>0</w:t>
                  </w:r>
                  <w:r>
                    <w:rPr>
                      <w:rFonts w:hint="eastAsia"/>
                      <w:color w:val="auto"/>
                      <w:lang w:eastAsia="zh-CN"/>
                    </w:rPr>
                    <w:t>）</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color w:val="auto"/>
                    </w:rPr>
                    <w:t>0</w:t>
                  </w:r>
                  <w:r>
                    <w:rPr>
                      <w:rFonts w:hint="eastAsia"/>
                      <w:color w:val="auto"/>
                      <w:lang w:eastAsia="zh-CN"/>
                    </w:rPr>
                    <w:t>（</w:t>
                  </w:r>
                  <w:r>
                    <w:rPr>
                      <w:rFonts w:hint="eastAsia"/>
                      <w:color w:val="auto"/>
                      <w:lang w:val="en-US" w:eastAsia="zh-CN"/>
                    </w:rPr>
                    <w:t>0</w:t>
                  </w:r>
                  <w:r>
                    <w:rPr>
                      <w:rFonts w:hint="eastAsia"/>
                      <w:color w:val="auto"/>
                      <w:lang w:eastAsia="zh-CN"/>
                    </w:rPr>
                    <w:t>）</w:t>
                  </w:r>
                </w:p>
              </w:tc>
              <w:tc>
                <w:tcPr>
                  <w:tcW w:w="796"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color w:val="auto"/>
                    </w:rPr>
                    <w:t>0</w:t>
                  </w:r>
                  <w:r>
                    <w:rPr>
                      <w:rFonts w:hint="eastAsia"/>
                      <w:color w:val="auto"/>
                      <w:lang w:eastAsia="zh-CN"/>
                    </w:rPr>
                    <w:t>（</w:t>
                  </w:r>
                  <w:r>
                    <w:rPr>
                      <w:rFonts w:hint="eastAsia"/>
                      <w:color w:val="auto"/>
                      <w:lang w:val="en-US" w:eastAsia="zh-CN"/>
                    </w:rPr>
                    <w:t>1</w:t>
                  </w:r>
                  <w:r>
                    <w:rPr>
                      <w:rFonts w:hint="eastAsia"/>
                      <w:color w:val="auto"/>
                      <w:lang w:eastAsia="zh-CN"/>
                    </w:rPr>
                    <w:t>）</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color w:val="auto"/>
                    </w:rPr>
                    <w:t>0</w:t>
                  </w:r>
                  <w:r>
                    <w:rPr>
                      <w:rFonts w:hint="eastAsia"/>
                      <w:color w:val="auto"/>
                      <w:lang w:eastAsia="zh-CN"/>
                    </w:rPr>
                    <w:t>（</w:t>
                  </w:r>
                  <w:r>
                    <w:rPr>
                      <w:rFonts w:hint="eastAsia"/>
                      <w:color w:val="auto"/>
                      <w:lang w:val="en-US" w:eastAsia="zh-CN"/>
                    </w:rPr>
                    <w:t>0</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1" w:type="pct"/>
                  <w:vMerge w:val="continue"/>
                  <w:tcBorders>
                    <w:left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color w:val="auto"/>
                    </w:rPr>
                  </w:pPr>
                </w:p>
              </w:tc>
              <w:tc>
                <w:tcPr>
                  <w:tcW w:w="73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pacing w:line="240" w:lineRule="auto"/>
                    <w:ind w:firstLine="0" w:firstLineChars="0"/>
                    <w:textAlignment w:val="auto"/>
                    <w:rPr>
                      <w:rFonts w:hint="eastAsia" w:eastAsia="宋体"/>
                      <w:color w:val="auto"/>
                      <w:lang w:eastAsia="zh-CN"/>
                    </w:rPr>
                  </w:pPr>
                  <w:r>
                    <w:rPr>
                      <w:rFonts w:hint="eastAsia"/>
                      <w:color w:val="auto"/>
                      <w:lang w:eastAsia="zh-CN"/>
                    </w:rPr>
                    <w:t>危险废物</w:t>
                  </w:r>
                </w:p>
              </w:tc>
              <w:tc>
                <w:tcPr>
                  <w:tcW w:w="768"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pacing w:line="240" w:lineRule="auto"/>
                    <w:ind w:firstLine="0" w:firstLineChars="0"/>
                    <w:textAlignment w:val="auto"/>
                    <w:rPr>
                      <w:rFonts w:hint="eastAsia" w:eastAsia="宋体"/>
                      <w:color w:val="auto"/>
                      <w:lang w:val="en-US" w:eastAsia="zh-CN"/>
                    </w:rPr>
                  </w:pPr>
                  <w:r>
                    <w:rPr>
                      <w:rFonts w:hint="eastAsia"/>
                      <w:color w:val="auto"/>
                      <w:lang w:val="en-US" w:eastAsia="zh-CN"/>
                    </w:rPr>
                    <w:t>0（1.1）</w:t>
                  </w:r>
                </w:p>
              </w:tc>
              <w:tc>
                <w:tcPr>
                  <w:tcW w:w="765"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rFonts w:hint="eastAsia" w:eastAsia="宋体"/>
                      <w:color w:val="auto"/>
                      <w:lang w:val="en-US" w:eastAsia="zh-CN"/>
                    </w:rPr>
                  </w:pPr>
                  <w:r>
                    <w:rPr>
                      <w:rFonts w:hint="eastAsia"/>
                      <w:color w:val="auto"/>
                      <w:lang w:val="en-US" w:eastAsia="zh-CN"/>
                    </w:rPr>
                    <w:t>0（</w:t>
                  </w:r>
                  <w:r>
                    <w:rPr>
                      <w:rFonts w:hint="eastAsia" w:cs="Times New Roman"/>
                      <w:color w:val="auto"/>
                      <w:kern w:val="2"/>
                      <w:sz w:val="21"/>
                      <w:szCs w:val="21"/>
                      <w:lang w:val="en-US" w:eastAsia="zh-CN" w:bidi="ar-SA"/>
                    </w:rPr>
                    <w:t>0</w:t>
                  </w:r>
                  <w:r>
                    <w:rPr>
                      <w:rFonts w:hint="eastAsia"/>
                      <w:color w:val="auto"/>
                      <w:lang w:val="en-US" w:eastAsia="zh-CN"/>
                    </w:rPr>
                    <w:t>）</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w:t>
                  </w:r>
                  <w:r>
                    <w:rPr>
                      <w:rFonts w:hint="eastAsia" w:cs="Times New Roman"/>
                      <w:color w:val="auto"/>
                      <w:kern w:val="2"/>
                      <w:sz w:val="21"/>
                      <w:szCs w:val="21"/>
                      <w:lang w:val="en-US" w:eastAsia="zh-CN" w:bidi="ar-SA"/>
                    </w:rPr>
                    <w:t>0</w:t>
                  </w:r>
                  <w:r>
                    <w:rPr>
                      <w:rFonts w:hint="eastAsia"/>
                      <w:color w:val="auto"/>
                      <w:lang w:val="en-US" w:eastAsia="zh-CN"/>
                    </w:rPr>
                    <w:t>）</w:t>
                  </w:r>
                </w:p>
              </w:tc>
              <w:tc>
                <w:tcPr>
                  <w:tcW w:w="796"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0（1.1）</w:t>
                  </w:r>
                </w:p>
              </w:tc>
              <w:tc>
                <w:tcPr>
                  <w:tcW w:w="799" w:type="pct"/>
                  <w:tcBorders>
                    <w:top w:val="single" w:color="auto" w:sz="4" w:space="0"/>
                    <w:left w:val="single" w:color="auto" w:sz="4" w:space="0"/>
                    <w:bottom w:val="single" w:color="auto" w:sz="4" w:space="0"/>
                    <w:right w:val="single" w:color="auto" w:sz="4" w:space="0"/>
                  </w:tcBorders>
                  <w:tcMar>
                    <w:top w:w="15" w:type="dxa"/>
                    <w:left w:w="57" w:type="dxa"/>
                    <w:bottom w:w="15" w:type="dxa"/>
                    <w:right w:w="57" w:type="dxa"/>
                  </w:tcMar>
                  <w:vAlign w:val="center"/>
                </w:tcPr>
                <w:p>
                  <w:pPr>
                    <w:pStyle w:val="41"/>
                    <w:snapToGrid w:val="0"/>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w:t>
                  </w:r>
                  <w:r>
                    <w:rPr>
                      <w:rFonts w:hint="eastAsia" w:cs="Times New Roman"/>
                      <w:color w:val="auto"/>
                      <w:kern w:val="2"/>
                      <w:sz w:val="21"/>
                      <w:szCs w:val="21"/>
                      <w:lang w:val="en-US" w:eastAsia="zh-CN" w:bidi="ar-SA"/>
                    </w:rPr>
                    <w:t>0</w:t>
                  </w:r>
                  <w:r>
                    <w:rPr>
                      <w:rFonts w:hint="eastAsia"/>
                      <w:color w:val="auto"/>
                      <w:lang w:val="en-US" w:eastAsia="zh-CN"/>
                    </w:rPr>
                    <w:t>）</w:t>
                  </w:r>
                </w:p>
              </w:tc>
            </w:tr>
          </w:tbl>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val="en-US" w:eastAsia="zh-CN"/>
              </w:rPr>
              <w:t>4.2.6</w:t>
            </w:r>
            <w:r>
              <w:rPr>
                <w:rFonts w:hint="eastAsia" w:ascii="Times New Roman" w:hAnsi="Times New Roman" w:eastAsia="宋体" w:cs="Times New Roman"/>
                <w:b/>
                <w:bCs/>
                <w:sz w:val="24"/>
                <w:szCs w:val="24"/>
                <w:lang w:eastAsia="zh-CN"/>
              </w:rPr>
              <w:t>地下水及土壤环境</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（1）污染源及污染途径</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本项目排放的涉及大气沉降入地下水、土壤的污染物主要为</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w:t>
            </w:r>
            <w:r>
              <w:rPr>
                <w:rFonts w:hint="eastAsia" w:ascii="Times New Roman" w:hAnsi="Times New Roman" w:eastAsia="宋体" w:cs="Times New Roman"/>
                <w:sz w:val="24"/>
                <w:szCs w:val="24"/>
                <w:lang w:eastAsia="zh-CN"/>
              </w:rPr>
              <w:t>，在采取环评提出的污染治理措施后，废气排放可满足相应排放标准要求，涉及大气沉降的污染物沉降到土壤的输入量很小，在土壤吸附、络合、沉淀和阻留作用下，迁移速度较缓慢，大部分残留在土壤耕作层，极少向下层土壤迁移，大气沉降对土壤影响较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本项目湿污泥进厂后送至湿污泥储存间内的密闭污泥料仓进行中转储存，然后直接加药进行破壁处理，然后将污泥采用密闭皮带输送至污泥脱水车间进行压滤脱水。污泥压滤废水经污水池收集后采用专用罐车运至重庆铜梁城区污水处理厂深度处理，污水池位于封闭污水池及柴油发电机房内。当华新盐井水泥生产时，脱水后干污泥临时储存在</w:t>
            </w:r>
            <w:r>
              <w:rPr>
                <w:rFonts w:hint="eastAsia" w:ascii="Times New Roman" w:hAnsi="Times New Roman" w:eastAsia="宋体" w:cs="Times New Roman"/>
                <w:sz w:val="24"/>
                <w:szCs w:val="24"/>
                <w:lang w:val="en-US" w:eastAsia="zh-CN"/>
              </w:rPr>
              <w:t>发酵及成品车间进料区北侧干污泥储存区</w:t>
            </w:r>
            <w:r>
              <w:rPr>
                <w:rFonts w:hint="eastAsia" w:ascii="Times New Roman" w:hAnsi="Times New Roman" w:eastAsia="宋体" w:cs="Times New Roman"/>
                <w:sz w:val="24"/>
                <w:szCs w:val="24"/>
                <w:lang w:eastAsia="zh-CN"/>
              </w:rPr>
              <w:t>，当华新盐井水泥停窑时，脱水后污泥不储存，直接依托现有发酵生产线生产绿化营养土。设备清洗废水</w:t>
            </w:r>
            <w:r>
              <w:rPr>
                <w:rFonts w:hint="eastAsia" w:ascii="Times New Roman" w:hAnsi="Times New Roman" w:eastAsia="宋体" w:cs="Times New Roman"/>
                <w:color w:val="auto"/>
                <w:sz w:val="24"/>
                <w:szCs w:val="24"/>
                <w:lang w:eastAsia="zh-CN"/>
              </w:rPr>
              <w:t>依托现有生化池收集处理后用于厂区绿化或作农肥，不外排</w:t>
            </w:r>
            <w:r>
              <w:rPr>
                <w:rFonts w:hint="eastAsia" w:ascii="Times New Roman" w:hAnsi="Times New Roman" w:eastAsia="宋体" w:cs="Times New Roman"/>
                <w:sz w:val="24"/>
                <w:szCs w:val="24"/>
                <w:lang w:eastAsia="zh-CN"/>
              </w:rPr>
              <w:t>，因此，正常情况下，湿污泥、废水等基本不会污染土壤及地下水。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事故情况下，假设污水池损坏，</w:t>
            </w:r>
            <w:r>
              <w:rPr>
                <w:rFonts w:hint="eastAsia" w:ascii="Times New Roman" w:hAnsi="Times New Roman" w:eastAsia="宋体" w:cs="Times New Roman"/>
                <w:sz w:val="24"/>
                <w:szCs w:val="24"/>
                <w:lang w:val="en-US" w:eastAsia="zh-CN"/>
              </w:rPr>
              <w:t>设备清洗废水及</w:t>
            </w:r>
            <w:r>
              <w:rPr>
                <w:rFonts w:hint="eastAsia" w:ascii="Times New Roman" w:hAnsi="Times New Roman" w:eastAsia="宋体" w:cs="Times New Roman"/>
                <w:sz w:val="24"/>
                <w:szCs w:val="24"/>
                <w:lang w:eastAsia="zh-CN"/>
              </w:rPr>
              <w:t>污泥压滤废水泄漏可能会污染土壤及地下水。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sz w:val="24"/>
                <w:szCs w:val="24"/>
                <w:lang w:eastAsia="zh-CN"/>
              </w:rPr>
              <w:t>（2）防控措施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地下水污染防治措施按照“源头控制、分区防治、污染监控、应急响应”相结合的原则，从污染物的产生、入渗、扩散、应急响应全方位进行控制。本项目对厂区采取分区防渗措施，污水池设置为重点防渗区，</w:t>
            </w:r>
            <w:r>
              <w:rPr>
                <w:rFonts w:hint="eastAsia" w:ascii="Times New Roman" w:hAnsi="Times New Roman" w:eastAsia="宋体" w:cs="Times New Roman"/>
                <w:color w:val="auto"/>
                <w:sz w:val="24"/>
                <w:szCs w:val="24"/>
                <w:lang w:val="en-US" w:eastAsia="zh-CN"/>
              </w:rPr>
              <w:t>湿污泥储存间、污泥脱水车间设置为一般防渗区，</w:t>
            </w:r>
            <w:r>
              <w:rPr>
                <w:rFonts w:hint="eastAsia" w:ascii="Times New Roman" w:hAnsi="Times New Roman" w:eastAsia="宋体" w:cs="Times New Roman"/>
                <w:color w:val="auto"/>
                <w:sz w:val="24"/>
                <w:szCs w:val="24"/>
                <w:lang w:eastAsia="zh-CN"/>
              </w:rPr>
              <w:t>采取相应防腐、防渗等处理措施。</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13</w:t>
            </w:r>
            <w:r>
              <w:rPr>
                <w:rFonts w:hint="default" w:ascii="Times New Roman" w:hAnsi="Times New Roman" w:eastAsia="宋体" w:cs="Times New Roman"/>
                <w:b/>
                <w:color w:val="auto"/>
                <w:sz w:val="24"/>
                <w:szCs w:val="24"/>
              </w:rPr>
              <w:t xml:space="preserve">    防渗等级分区表</w:t>
            </w:r>
          </w:p>
          <w:tbl>
            <w:tblPr>
              <w:tblStyle w:val="20"/>
              <w:tblpPr w:leftFromText="180" w:rightFromText="180" w:vertAnchor="text" w:tblpXSpec="center" w:tblpY="1"/>
              <w:tblOverlap w:val="never"/>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3819"/>
              <w:gridCol w:w="2341"/>
              <w:gridCol w:w="6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noWrap w:val="0"/>
                  <w:vAlign w:val="center"/>
                </w:tcPr>
                <w:p>
                  <w:pPr>
                    <w:spacing w:line="240" w:lineRule="auto"/>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防渗分区</w:t>
                  </w:r>
                </w:p>
              </w:tc>
              <w:tc>
                <w:tcPr>
                  <w:tcW w:w="3819" w:type="dxa"/>
                  <w:noWrap w:val="0"/>
                  <w:vAlign w:val="center"/>
                </w:tcPr>
                <w:p>
                  <w:pPr>
                    <w:spacing w:line="240" w:lineRule="auto"/>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防渗技术要求</w:t>
                  </w:r>
                </w:p>
              </w:tc>
              <w:tc>
                <w:tcPr>
                  <w:tcW w:w="2341" w:type="dxa"/>
                  <w:noWrap w:val="0"/>
                  <w:vAlign w:val="center"/>
                </w:tcPr>
                <w:p>
                  <w:pPr>
                    <w:spacing w:line="240" w:lineRule="auto"/>
                    <w:jc w:val="center"/>
                    <w:textAlignment w:val="center"/>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lang w:eastAsia="zh-CN"/>
                    </w:rPr>
                    <w:t>防渗</w:t>
                  </w:r>
                  <w:r>
                    <w:rPr>
                      <w:rFonts w:hint="default" w:ascii="Times New Roman" w:hAnsi="Times New Roman" w:eastAsia="宋体" w:cs="Times New Roman"/>
                      <w:b w:val="0"/>
                      <w:bCs/>
                      <w:color w:val="auto"/>
                      <w:sz w:val="21"/>
                      <w:szCs w:val="21"/>
                    </w:rPr>
                    <w:t>区域</w:t>
                  </w:r>
                </w:p>
              </w:tc>
              <w:tc>
                <w:tcPr>
                  <w:tcW w:w="697" w:type="dxa"/>
                  <w:noWrap w:val="0"/>
                  <w:vAlign w:val="center"/>
                </w:tcPr>
                <w:p>
                  <w:pPr>
                    <w:spacing w:line="240" w:lineRule="auto"/>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noWrap w:val="0"/>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p>
              </w:tc>
              <w:tc>
                <w:tcPr>
                  <w:tcW w:w="3819" w:type="dxa"/>
                  <w:noWrap w:val="0"/>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等效黏土防渗层Mb≥6m，K≤1×10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cm/s；或参照GB18598执行</w:t>
                  </w:r>
                </w:p>
              </w:tc>
              <w:tc>
                <w:tcPr>
                  <w:tcW w:w="2341" w:type="dxa"/>
                  <w:noWrap w:val="0"/>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污水池</w:t>
                  </w:r>
                </w:p>
              </w:tc>
              <w:tc>
                <w:tcPr>
                  <w:tcW w:w="697" w:type="dxa"/>
                  <w:noWrap w:val="0"/>
                  <w:vAlign w:val="center"/>
                </w:tcPr>
                <w:p>
                  <w:pPr>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noWrap w:val="0"/>
                  <w:vAlign w:val="center"/>
                </w:tcPr>
                <w:p>
                  <w:pPr>
                    <w:spacing w:line="240" w:lineRule="auto"/>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一般防渗区</w:t>
                  </w:r>
                </w:p>
              </w:tc>
              <w:tc>
                <w:tcPr>
                  <w:tcW w:w="3819" w:type="dxa"/>
                  <w:noWrap w:val="0"/>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等效黏土防渗层Mb≥</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m，K≤1×10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cm/s；或参照GB16889执行</w:t>
                  </w:r>
                </w:p>
              </w:tc>
              <w:tc>
                <w:tcPr>
                  <w:tcW w:w="2341" w:type="dxa"/>
                  <w:noWrap w:val="0"/>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湿污泥储存间、污泥脱水车间</w:t>
                  </w:r>
                </w:p>
              </w:tc>
              <w:tc>
                <w:tcPr>
                  <w:tcW w:w="697" w:type="dxa"/>
                  <w:noWrap w:val="0"/>
                  <w:vAlign w:val="center"/>
                </w:tcPr>
                <w:p>
                  <w:pPr>
                    <w:spacing w:line="240" w:lineRule="auto"/>
                    <w:jc w:val="center"/>
                    <w:textAlignment w:val="center"/>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综上所述，采取以上措施后，本项目对地下水、土壤环境影响可接受。</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val="en-US" w:eastAsia="zh-CN"/>
              </w:rPr>
              <w:t>4.2.7</w:t>
            </w:r>
            <w:r>
              <w:rPr>
                <w:rFonts w:hint="eastAsia" w:ascii="Times New Roman" w:hAnsi="Times New Roman" w:eastAsia="宋体" w:cs="Times New Roman"/>
                <w:b/>
                <w:bCs/>
                <w:sz w:val="24"/>
                <w:szCs w:val="24"/>
                <w:lang w:eastAsia="zh-CN"/>
              </w:rPr>
              <w:t>生态环境</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本项目利用</w:t>
            </w:r>
            <w:r>
              <w:rPr>
                <w:rFonts w:hint="eastAsia" w:ascii="Times New Roman" w:hAnsi="Times New Roman" w:eastAsia="宋体" w:cs="Times New Roman"/>
                <w:sz w:val="24"/>
                <w:szCs w:val="24"/>
                <w:lang w:val="en-US" w:eastAsia="zh-CN"/>
              </w:rPr>
              <w:t>现有辅料车间改建为污泥脱水车间，同时利用现有厂区空地新建</w:t>
            </w:r>
            <w:r>
              <w:rPr>
                <w:rFonts w:hint="eastAsia" w:ascii="Times New Roman" w:hAnsi="Times New Roman" w:eastAsia="宋体" w:cs="Times New Roman"/>
                <w:bCs/>
                <w:color w:val="auto"/>
                <w:sz w:val="24"/>
                <w:szCs w:val="24"/>
                <w:lang w:val="en-US" w:eastAsia="zh-CN"/>
              </w:rPr>
              <w:t>1个湿污泥储存间和1个污水池及柴油发电机房</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eastAsia="zh-CN"/>
              </w:rPr>
              <w:t>不新增占地，对项目周边生态环境影响较小。</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val="en-US" w:eastAsia="zh-CN"/>
              </w:rPr>
              <w:t>4.2.8</w:t>
            </w:r>
            <w:r>
              <w:rPr>
                <w:rFonts w:hint="eastAsia" w:ascii="Times New Roman" w:hAnsi="Times New Roman" w:eastAsia="宋体" w:cs="Times New Roman"/>
                <w:b/>
                <w:bCs/>
                <w:sz w:val="24"/>
                <w:szCs w:val="24"/>
                <w:lang w:eastAsia="zh-CN"/>
              </w:rPr>
              <w:t>环境风险</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对照《建设项目环境风险评价技术导则》（HJ169-2018），</w:t>
            </w:r>
            <w:r>
              <w:rPr>
                <w:rFonts w:hint="eastAsia" w:ascii="Times New Roman" w:hAnsi="Times New Roman" w:eastAsia="宋体" w:cs="Times New Roman"/>
                <w:color w:val="auto"/>
                <w:sz w:val="24"/>
                <w:szCs w:val="24"/>
                <w:lang w:eastAsia="zh-CN"/>
              </w:rPr>
              <w:t>本项目不涉及新增硫酸、次氯酸钠等环境风险物质年用量及储存量，不会增加环境风险，项目环境风险较小。现有硫酸、次氯酸钠等环境风险物质储存在综合楼药剂间内，药剂间已采取相应防腐防渗措施，因此，本项目环境风险可接受</w:t>
            </w:r>
            <w:r>
              <w:rPr>
                <w:rFonts w:hint="eastAsia" w:ascii="Times New Roman" w:hAnsi="Times New Roman" w:eastAsia="宋体" w:cs="Times New Roman"/>
                <w:color w:val="auto"/>
                <w:sz w:val="24"/>
                <w:szCs w:val="24"/>
                <w:lang w:val="en-US" w:eastAsia="zh-CN"/>
              </w:rPr>
              <w:t>。</w:t>
            </w:r>
          </w:p>
        </w:tc>
      </w:tr>
      <w:bookmarkEnd w:id="8"/>
    </w:tbl>
    <w:p>
      <w:pPr>
        <w:widowControl/>
        <w:jc w:val="left"/>
        <w:rPr>
          <w:rFonts w:ascii="Times New Roman" w:hAnsi="Times New Roman" w:eastAsia="宋体" w:cs="Times New Roman"/>
        </w:rPr>
      </w:pPr>
      <w:r>
        <w:rPr>
          <w:rFonts w:ascii="Times New Roman" w:hAnsi="Times New Roman" w:eastAsia="宋体" w:cs="Times New Roman"/>
        </w:rPr>
        <w:br w:type="page"/>
      </w:r>
    </w:p>
    <w:p>
      <w:pPr>
        <w:jc w:val="center"/>
        <w:outlineLvl w:val="0"/>
        <w:rPr>
          <w:rFonts w:ascii="Times New Roman" w:hAnsi="Times New Roman" w:eastAsia="宋体" w:cs="Times New Roman"/>
          <w:b/>
          <w:bCs/>
          <w:sz w:val="30"/>
          <w:szCs w:val="30"/>
        </w:rPr>
      </w:pPr>
      <w:r>
        <w:rPr>
          <w:rFonts w:ascii="Times New Roman" w:hAnsi="Times New Roman" w:eastAsia="宋体" w:cs="Times New Roman"/>
          <w:b/>
          <w:bCs/>
          <w:sz w:val="30"/>
          <w:szCs w:val="30"/>
        </w:rPr>
        <w:t>五、环境保护措施监督检查清单</w:t>
      </w:r>
    </w:p>
    <w:tbl>
      <w:tblPr>
        <w:tblStyle w:val="20"/>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699"/>
        <w:gridCol w:w="1057"/>
        <w:gridCol w:w="2526"/>
        <w:gridCol w:w="25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1" w:type="dxa"/>
            <w:tcBorders>
              <w:tl2br w:val="single" w:color="auto" w:sz="4" w:space="0"/>
            </w:tcBorders>
            <w:vAlign w:val="center"/>
          </w:tcPr>
          <w:p>
            <w:pPr>
              <w:jc w:val="right"/>
              <w:rPr>
                <w:rFonts w:ascii="Times New Roman" w:hAnsi="Times New Roman" w:eastAsia="宋体" w:cs="Times New Roman"/>
              </w:rPr>
            </w:pPr>
            <w:r>
              <w:rPr>
                <w:rFonts w:ascii="Times New Roman" w:hAnsi="Times New Roman" w:eastAsia="宋体" w:cs="Times New Roman"/>
              </w:rPr>
              <w:t>内容</w:t>
            </w:r>
          </w:p>
          <w:p>
            <w:pPr>
              <w:jc w:val="left"/>
              <w:rPr>
                <w:rFonts w:ascii="Times New Roman" w:hAnsi="Times New Roman" w:eastAsia="宋体" w:cs="Times New Roman"/>
              </w:rPr>
            </w:pPr>
            <w:r>
              <w:rPr>
                <w:rFonts w:ascii="Times New Roman" w:hAnsi="Times New Roman" w:eastAsia="宋体" w:cs="Times New Roman"/>
              </w:rPr>
              <w:t>要素</w:t>
            </w:r>
          </w:p>
        </w:tc>
        <w:tc>
          <w:tcPr>
            <w:tcW w:w="1699" w:type="dxa"/>
            <w:vAlign w:val="center"/>
          </w:tcPr>
          <w:p>
            <w:pPr>
              <w:jc w:val="center"/>
              <w:rPr>
                <w:rFonts w:ascii="Times New Roman" w:hAnsi="Times New Roman" w:eastAsia="宋体" w:cs="Times New Roman"/>
              </w:rPr>
            </w:pPr>
            <w:r>
              <w:rPr>
                <w:rFonts w:ascii="Times New Roman" w:hAnsi="Times New Roman" w:eastAsia="宋体" w:cs="Times New Roman"/>
              </w:rPr>
              <w:t>排放口(编号、</w:t>
            </w:r>
          </w:p>
          <w:p>
            <w:pPr>
              <w:jc w:val="center"/>
              <w:rPr>
                <w:rFonts w:ascii="Times New Roman" w:hAnsi="Times New Roman" w:eastAsia="宋体" w:cs="Times New Roman"/>
              </w:rPr>
            </w:pPr>
            <w:r>
              <w:rPr>
                <w:rFonts w:ascii="Times New Roman" w:hAnsi="Times New Roman" w:eastAsia="宋体" w:cs="Times New Roman"/>
              </w:rPr>
              <w:t>名称)/污染源</w:t>
            </w:r>
          </w:p>
        </w:tc>
        <w:tc>
          <w:tcPr>
            <w:tcW w:w="1057" w:type="dxa"/>
            <w:vAlign w:val="center"/>
          </w:tcPr>
          <w:p>
            <w:pPr>
              <w:jc w:val="center"/>
              <w:rPr>
                <w:rFonts w:ascii="Times New Roman" w:hAnsi="Times New Roman" w:eastAsia="宋体" w:cs="Times New Roman"/>
              </w:rPr>
            </w:pPr>
            <w:r>
              <w:rPr>
                <w:rFonts w:ascii="Times New Roman" w:hAnsi="Times New Roman" w:eastAsia="宋体" w:cs="Times New Roman"/>
              </w:rPr>
              <w:t>污染物项目</w:t>
            </w:r>
          </w:p>
        </w:tc>
        <w:tc>
          <w:tcPr>
            <w:tcW w:w="2526" w:type="dxa"/>
            <w:vAlign w:val="center"/>
          </w:tcPr>
          <w:p>
            <w:pPr>
              <w:jc w:val="center"/>
              <w:rPr>
                <w:rFonts w:ascii="Times New Roman" w:hAnsi="Times New Roman" w:eastAsia="宋体" w:cs="Times New Roman"/>
              </w:rPr>
            </w:pPr>
            <w:r>
              <w:rPr>
                <w:rFonts w:ascii="Times New Roman" w:hAnsi="Times New Roman" w:eastAsia="宋体" w:cs="Times New Roman"/>
              </w:rPr>
              <w:t>环境保护措施</w:t>
            </w:r>
          </w:p>
        </w:tc>
        <w:tc>
          <w:tcPr>
            <w:tcW w:w="2537" w:type="dxa"/>
            <w:vAlign w:val="center"/>
          </w:tcPr>
          <w:p>
            <w:pPr>
              <w:jc w:val="center"/>
              <w:rPr>
                <w:rFonts w:ascii="Times New Roman" w:hAnsi="Times New Roman" w:eastAsia="宋体" w:cs="Times New Roman"/>
              </w:rPr>
            </w:pPr>
            <w:r>
              <w:rPr>
                <w:rFonts w:ascii="Times New Roman" w:hAnsi="Times New Roman" w:eastAsia="宋体" w:cs="Times New Roman"/>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1"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大气</w:t>
            </w:r>
          </w:p>
          <w:p>
            <w:pPr>
              <w:jc w:val="center"/>
              <w:rPr>
                <w:rFonts w:ascii="Times New Roman" w:hAnsi="Times New Roman" w:eastAsia="宋体" w:cs="Times New Roman"/>
              </w:rPr>
            </w:pPr>
            <w:r>
              <w:rPr>
                <w:rFonts w:ascii="Times New Roman" w:hAnsi="Times New Roman" w:eastAsia="宋体" w:cs="Times New Roman"/>
              </w:rPr>
              <w:t>环境</w:t>
            </w:r>
          </w:p>
        </w:tc>
        <w:tc>
          <w:tcPr>
            <w:tcW w:w="1699" w:type="dxa"/>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1#</w:t>
            </w:r>
            <w:r>
              <w:rPr>
                <w:rFonts w:hint="eastAsia" w:ascii="Times New Roman" w:hAnsi="Times New Roman" w:eastAsia="宋体" w:cs="Times New Roman"/>
                <w:szCs w:val="21"/>
                <w:lang w:eastAsia="zh-CN"/>
              </w:rPr>
              <w:t>除臭系统</w:t>
            </w:r>
            <w:r>
              <w:rPr>
                <w:rFonts w:ascii="Times New Roman" w:hAnsi="Times New Roman" w:eastAsia="宋体" w:cs="Times New Roman"/>
                <w:szCs w:val="21"/>
              </w:rPr>
              <w:t>排气筒（编号DA001）</w:t>
            </w:r>
          </w:p>
        </w:tc>
        <w:tc>
          <w:tcPr>
            <w:tcW w:w="1057" w:type="dxa"/>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lang w:eastAsia="zh-CN"/>
              </w:rPr>
              <w:t>氨、硫化氢、臭气浓度</w:t>
            </w:r>
          </w:p>
        </w:tc>
        <w:tc>
          <w:tcPr>
            <w:tcW w:w="2526" w:type="dxa"/>
            <w:vMerge w:val="restar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污泥储存、破壁、脱水、干污泥储存等</w:t>
            </w:r>
            <w:r>
              <w:rPr>
                <w:rFonts w:hint="eastAsia" w:ascii="Times New Roman" w:hAnsi="Times New Roman" w:eastAsia="宋体" w:cs="Times New Roman"/>
                <w:color w:val="auto"/>
                <w:kern w:val="2"/>
                <w:sz w:val="21"/>
                <w:szCs w:val="21"/>
                <w:lang w:val="zh-CN" w:eastAsia="zh-CN" w:bidi="ar-SA"/>
              </w:rPr>
              <w:t>臭气</w:t>
            </w:r>
            <w:r>
              <w:rPr>
                <w:rFonts w:hint="eastAsia" w:ascii="Times New Roman" w:hAnsi="Times New Roman" w:eastAsia="宋体" w:cs="Times New Roman"/>
                <w:color w:val="auto"/>
                <w:kern w:val="2"/>
                <w:sz w:val="21"/>
                <w:szCs w:val="21"/>
                <w:lang w:val="en-US" w:eastAsia="zh-CN" w:bidi="ar-SA"/>
              </w:rPr>
              <w:t>均依托现有1#除臭系统收集处理达标后通过1根15m高1#排气筒排放；污泥布料、发酵臭气依托现有1#、2#除臭系统处理达标后分别通过15m高1#、2#排气筒排放</w:t>
            </w:r>
          </w:p>
        </w:tc>
        <w:tc>
          <w:tcPr>
            <w:tcW w:w="2537" w:type="dxa"/>
            <w:vMerge w:val="restart"/>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napToGrid w:val="0"/>
                <w:color w:val="auto"/>
                <w:kern w:val="24"/>
                <w:szCs w:val="21"/>
              </w:rPr>
              <w:t>《恶臭污染物排放标准》（GB14554-93</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bCs/>
                <w:color w:val="auto"/>
                <w:lang w:eastAsia="zh-CN"/>
              </w:rPr>
              <w:t>氨</w:t>
            </w:r>
            <w:r>
              <w:rPr>
                <w:rFonts w:ascii="Times New Roman" w:hAnsi="Times New Roman" w:eastAsia="宋体" w:cs="Times New Roman"/>
                <w:bCs/>
                <w:color w:val="auto"/>
                <w:szCs w:val="21"/>
              </w:rPr>
              <w:t>≤</w:t>
            </w:r>
            <w:r>
              <w:rPr>
                <w:rFonts w:hint="eastAsia" w:ascii="Times New Roman" w:hAnsi="Times New Roman" w:eastAsia="宋体" w:cs="Times New Roman"/>
                <w:color w:val="auto"/>
                <w:szCs w:val="21"/>
                <w:lang w:val="en-US" w:eastAsia="zh-CN"/>
              </w:rPr>
              <w:t>4.9kg/h；</w:t>
            </w:r>
            <w:r>
              <w:rPr>
                <w:rFonts w:hint="eastAsia" w:ascii="Times New Roman" w:hAnsi="Times New Roman" w:eastAsia="宋体" w:cs="Times New Roman"/>
                <w:bCs/>
                <w:color w:val="auto"/>
                <w:lang w:eastAsia="zh-CN"/>
              </w:rPr>
              <w:t>硫化氢</w:t>
            </w:r>
            <w:r>
              <w:rPr>
                <w:rFonts w:ascii="Times New Roman" w:hAnsi="Times New Roman" w:eastAsia="宋体" w:cs="Times New Roman"/>
                <w:bCs/>
                <w:color w:val="auto"/>
                <w:szCs w:val="21"/>
              </w:rPr>
              <w:t>≤</w:t>
            </w:r>
            <w:r>
              <w:rPr>
                <w:rFonts w:hint="eastAsia" w:ascii="Times New Roman" w:hAnsi="Times New Roman" w:eastAsia="宋体" w:cs="Times New Roman"/>
                <w:color w:val="auto"/>
                <w:szCs w:val="21"/>
                <w:lang w:val="en-US" w:eastAsia="zh-CN"/>
              </w:rPr>
              <w:t>0.33kg/h；臭气浓度</w:t>
            </w:r>
            <w:r>
              <w:rPr>
                <w:rFonts w:ascii="Times New Roman" w:hAnsi="Times New Roman" w:eastAsia="宋体" w:cs="Times New Roman"/>
                <w:bCs/>
                <w:color w:val="auto"/>
                <w:szCs w:val="21"/>
              </w:rPr>
              <w:t>≤</w:t>
            </w:r>
            <w:r>
              <w:rPr>
                <w:rFonts w:hint="eastAsia" w:ascii="Times New Roman" w:hAnsi="Times New Roman" w:eastAsia="宋体" w:cs="Times New Roman"/>
                <w:color w:val="auto"/>
                <w:szCs w:val="21"/>
                <w:lang w:val="en-US" w:eastAsia="zh-CN"/>
              </w:rPr>
              <w:t>2000无量纲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1" w:type="dxa"/>
            <w:vMerge w:val="continue"/>
            <w:vAlign w:val="center"/>
          </w:tcPr>
          <w:p>
            <w:pPr>
              <w:jc w:val="center"/>
              <w:rPr>
                <w:rFonts w:ascii="Times New Roman" w:hAnsi="Times New Roman" w:eastAsia="宋体" w:cs="Times New Roman"/>
              </w:rPr>
            </w:pPr>
          </w:p>
        </w:tc>
        <w:tc>
          <w:tcPr>
            <w:tcW w:w="1699" w:type="dxa"/>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w:t>
            </w:r>
            <w:r>
              <w:rPr>
                <w:rFonts w:hint="eastAsia" w:ascii="Times New Roman" w:hAnsi="Times New Roman" w:eastAsia="宋体" w:cs="Times New Roman"/>
                <w:szCs w:val="21"/>
                <w:lang w:eastAsia="zh-CN"/>
              </w:rPr>
              <w:t>除臭系统</w:t>
            </w:r>
            <w:r>
              <w:rPr>
                <w:rFonts w:ascii="Times New Roman" w:hAnsi="Times New Roman" w:eastAsia="宋体" w:cs="Times New Roman"/>
                <w:szCs w:val="21"/>
              </w:rPr>
              <w:t>排气筒（编号DA00</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w:t>
            </w:r>
          </w:p>
        </w:tc>
        <w:tc>
          <w:tcPr>
            <w:tcW w:w="1057"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lang w:eastAsia="zh-CN"/>
              </w:rPr>
              <w:t>氨、硫化氢、臭气浓度</w:t>
            </w:r>
          </w:p>
        </w:tc>
        <w:tc>
          <w:tcPr>
            <w:tcW w:w="2526" w:type="dxa"/>
            <w:vMerge w:val="continue"/>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2537" w:type="dxa"/>
            <w:vMerge w:val="continue"/>
            <w:vAlign w:val="center"/>
          </w:tcPr>
          <w:p>
            <w:pPr>
              <w:jc w:val="center"/>
              <w:rPr>
                <w:rFonts w:ascii="Times New Roman" w:hAnsi="Times New Roman" w:eastAsia="宋体" w:cs="Times New Roman"/>
                <w:snapToGrid w:val="0"/>
                <w:color w:val="auto"/>
                <w:kern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1" w:type="dxa"/>
            <w:vMerge w:val="continue"/>
            <w:vAlign w:val="center"/>
          </w:tcPr>
          <w:p>
            <w:pPr>
              <w:jc w:val="center"/>
              <w:rPr>
                <w:rFonts w:ascii="Times New Roman" w:hAnsi="Times New Roman" w:eastAsia="宋体" w:cs="Times New Roman"/>
              </w:rPr>
            </w:pPr>
          </w:p>
        </w:tc>
        <w:tc>
          <w:tcPr>
            <w:tcW w:w="1699"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无组织废气</w:t>
            </w:r>
          </w:p>
        </w:tc>
        <w:tc>
          <w:tcPr>
            <w:tcW w:w="1057" w:type="dxa"/>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lang w:eastAsia="zh-CN"/>
              </w:rPr>
              <w:t>氨、硫化氢、臭气浓度</w:t>
            </w:r>
          </w:p>
        </w:tc>
        <w:tc>
          <w:tcPr>
            <w:tcW w:w="252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2537" w:type="dxa"/>
            <w:vAlign w:val="center"/>
          </w:tcPr>
          <w:p>
            <w:pPr>
              <w:jc w:val="center"/>
              <w:rPr>
                <w:rFonts w:ascii="Times New Roman" w:hAnsi="Times New Roman" w:eastAsia="宋体" w:cs="Times New Roman"/>
                <w:szCs w:val="21"/>
              </w:rPr>
            </w:pPr>
            <w:r>
              <w:rPr>
                <w:rFonts w:ascii="Times New Roman" w:hAnsi="Times New Roman" w:eastAsia="宋体" w:cs="Times New Roman"/>
                <w:snapToGrid w:val="0"/>
                <w:kern w:val="24"/>
                <w:szCs w:val="21"/>
              </w:rPr>
              <w:t>《恶臭污染物排放标准》（GB14554-93</w:t>
            </w:r>
            <w:r>
              <w:rPr>
                <w:rFonts w:ascii="Times New Roman" w:hAnsi="Times New Roman" w:eastAsia="宋体" w:cs="Times New Roman"/>
                <w:kern w:val="0"/>
                <w:szCs w:val="21"/>
              </w:rPr>
              <w:t>）：</w:t>
            </w:r>
            <w:r>
              <w:rPr>
                <w:rFonts w:ascii="Times New Roman" w:hAnsi="Times New Roman" w:eastAsia="宋体" w:cs="Times New Roman"/>
                <w:szCs w:val="21"/>
              </w:rPr>
              <w:t>氨气≤1.5mg/m</w:t>
            </w:r>
            <w:r>
              <w:rPr>
                <w:rFonts w:ascii="Times New Roman" w:hAnsi="Times New Roman" w:eastAsia="宋体" w:cs="Times New Roman"/>
                <w:szCs w:val="21"/>
                <w:vertAlign w:val="superscript"/>
              </w:rPr>
              <w:t>3</w:t>
            </w:r>
          </w:p>
          <w:p>
            <w:pPr>
              <w:jc w:val="center"/>
              <w:rPr>
                <w:rFonts w:ascii="Times New Roman" w:hAnsi="Times New Roman" w:eastAsia="宋体" w:cs="Times New Roman"/>
                <w:szCs w:val="21"/>
              </w:rPr>
            </w:pPr>
            <w:r>
              <w:rPr>
                <w:rFonts w:hint="eastAsia"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S≤0.06mg/m</w:t>
            </w:r>
            <w:r>
              <w:rPr>
                <w:rFonts w:ascii="Times New Roman" w:hAnsi="Times New Roman" w:eastAsia="宋体" w:cs="Times New Roman"/>
                <w:szCs w:val="21"/>
                <w:vertAlign w:val="superscript"/>
              </w:rPr>
              <w:t>3</w:t>
            </w:r>
          </w:p>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臭气浓度≤20（无量纲）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1"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地表水环境</w:t>
            </w:r>
          </w:p>
        </w:tc>
        <w:tc>
          <w:tcPr>
            <w:tcW w:w="1699" w:type="dxa"/>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污泥压滤废水</w:t>
            </w:r>
          </w:p>
        </w:tc>
        <w:tc>
          <w:tcPr>
            <w:tcW w:w="1057" w:type="dxa"/>
            <w:vMerge w:val="restart"/>
            <w:vAlign w:val="center"/>
          </w:tcPr>
          <w:p>
            <w:pPr>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pH、COD、</w:t>
            </w:r>
          </w:p>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BOD</w:t>
            </w:r>
            <w:r>
              <w:rPr>
                <w:rFonts w:ascii="Times New Roman" w:hAnsi="Times New Roman" w:eastAsia="宋体" w:cs="Times New Roman"/>
                <w:color w:val="auto"/>
                <w:szCs w:val="21"/>
                <w:vertAlign w:val="subscript"/>
              </w:rPr>
              <w:t>5</w:t>
            </w:r>
          </w:p>
          <w:p>
            <w:pPr>
              <w:jc w:val="center"/>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、SS、</w:t>
            </w:r>
            <w:r>
              <w:rPr>
                <w:rFonts w:ascii="Times New Roman" w:hAnsi="Times New Roman" w:eastAsia="宋体" w:cs="Times New Roman"/>
                <w:bCs/>
                <w:color w:val="auto"/>
                <w:szCs w:val="21"/>
              </w:rPr>
              <w:t>NH</w:t>
            </w:r>
            <w:r>
              <w:rPr>
                <w:rFonts w:ascii="Times New Roman" w:hAnsi="Times New Roman" w:eastAsia="宋体" w:cs="Times New Roman"/>
                <w:bCs/>
                <w:color w:val="auto"/>
                <w:szCs w:val="21"/>
                <w:vertAlign w:val="subscript"/>
              </w:rPr>
              <w:t>3</w:t>
            </w:r>
            <w:r>
              <w:rPr>
                <w:rFonts w:ascii="Times New Roman" w:hAnsi="Times New Roman" w:eastAsia="宋体" w:cs="Times New Roman"/>
                <w:bCs/>
                <w:color w:val="auto"/>
                <w:szCs w:val="21"/>
              </w:rPr>
              <w:t>-N</w:t>
            </w:r>
          </w:p>
        </w:tc>
        <w:tc>
          <w:tcPr>
            <w:tcW w:w="2526" w:type="dxa"/>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经2个污水池收集后通过专用罐车运至重庆铜梁城区污水处理厂处理</w:t>
            </w:r>
          </w:p>
        </w:tc>
        <w:tc>
          <w:tcPr>
            <w:tcW w:w="2537"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满足相关环保要求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1" w:type="dxa"/>
            <w:vMerge w:val="continue"/>
            <w:vAlign w:val="center"/>
          </w:tcPr>
          <w:p>
            <w:pPr>
              <w:jc w:val="center"/>
              <w:rPr>
                <w:rFonts w:ascii="Times New Roman" w:hAnsi="Times New Roman" w:eastAsia="宋体" w:cs="Times New Roman"/>
              </w:rPr>
            </w:pPr>
          </w:p>
        </w:tc>
        <w:tc>
          <w:tcPr>
            <w:tcW w:w="1699"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设备清洗废水及除臭系统废水</w:t>
            </w:r>
          </w:p>
        </w:tc>
        <w:tc>
          <w:tcPr>
            <w:tcW w:w="1057" w:type="dxa"/>
            <w:vMerge w:val="continue"/>
            <w:vAlign w:val="center"/>
          </w:tcPr>
          <w:p>
            <w:pPr>
              <w:jc w:val="center"/>
              <w:rPr>
                <w:rFonts w:ascii="Times New Roman" w:hAnsi="Times New Roman" w:eastAsia="宋体" w:cs="Times New Roman"/>
                <w:color w:val="auto"/>
                <w:szCs w:val="21"/>
              </w:rPr>
            </w:pPr>
          </w:p>
        </w:tc>
        <w:tc>
          <w:tcPr>
            <w:tcW w:w="2526" w:type="dxa"/>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依托现有生化池收集处理后用于厂区绿化或作农肥，不外排</w:t>
            </w:r>
          </w:p>
        </w:tc>
        <w:tc>
          <w:tcPr>
            <w:tcW w:w="2537" w:type="dxa"/>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声环境</w:t>
            </w:r>
          </w:p>
        </w:tc>
        <w:tc>
          <w:tcPr>
            <w:tcW w:w="1699" w:type="dxa"/>
            <w:vAlign w:val="center"/>
          </w:tcPr>
          <w:p>
            <w:pPr>
              <w:jc w:val="center"/>
              <w:rPr>
                <w:rFonts w:ascii="Times New Roman" w:hAnsi="Times New Roman" w:eastAsia="宋体" w:cs="Times New Roman"/>
              </w:rPr>
            </w:pPr>
            <w:r>
              <w:rPr>
                <w:rFonts w:ascii="Times New Roman" w:hAnsi="Times New Roman" w:eastAsia="宋体" w:cs="Times New Roman"/>
              </w:rPr>
              <w:t>设备噪声</w:t>
            </w:r>
          </w:p>
        </w:tc>
        <w:tc>
          <w:tcPr>
            <w:tcW w:w="1057" w:type="dxa"/>
            <w:vAlign w:val="center"/>
          </w:tcPr>
          <w:p>
            <w:pPr>
              <w:jc w:val="center"/>
              <w:rPr>
                <w:rFonts w:ascii="Times New Roman" w:hAnsi="Times New Roman" w:eastAsia="宋体" w:cs="Times New Roman"/>
              </w:rPr>
            </w:pPr>
            <w:r>
              <w:rPr>
                <w:rFonts w:ascii="Times New Roman" w:hAnsi="Times New Roman" w:eastAsia="宋体" w:cs="Times New Roman"/>
              </w:rPr>
              <w:t>连续等效A声级</w:t>
            </w:r>
          </w:p>
        </w:tc>
        <w:tc>
          <w:tcPr>
            <w:tcW w:w="2526" w:type="dxa"/>
            <w:vAlign w:val="center"/>
          </w:tcPr>
          <w:p>
            <w:pPr>
              <w:jc w:val="center"/>
              <w:rPr>
                <w:rFonts w:ascii="Times New Roman" w:hAnsi="Times New Roman" w:eastAsia="宋体" w:cs="Times New Roman"/>
              </w:rPr>
            </w:pPr>
            <w:r>
              <w:rPr>
                <w:rFonts w:hint="eastAsia" w:ascii="Times New Roman" w:hAnsi="Times New Roman" w:eastAsia="宋体" w:cs="Times New Roman"/>
                <w:lang w:eastAsia="zh-CN"/>
              </w:rPr>
              <w:t>采用</w:t>
            </w:r>
            <w:r>
              <w:rPr>
                <w:rFonts w:ascii="Times New Roman" w:hAnsi="Times New Roman" w:eastAsia="宋体" w:cs="Times New Roman"/>
              </w:rPr>
              <w:t>选用低噪声设备、</w:t>
            </w:r>
            <w:r>
              <w:rPr>
                <w:rFonts w:hint="eastAsia" w:ascii="Times New Roman" w:hAnsi="Times New Roman" w:eastAsia="宋体" w:cs="Times New Roman"/>
                <w:lang w:eastAsia="zh-CN"/>
              </w:rPr>
              <w:t>基础</w:t>
            </w:r>
            <w:r>
              <w:rPr>
                <w:rFonts w:ascii="Times New Roman" w:hAnsi="Times New Roman" w:eastAsia="宋体" w:cs="Times New Roman"/>
              </w:rPr>
              <w:t>减振</w:t>
            </w:r>
            <w:r>
              <w:rPr>
                <w:rFonts w:hint="eastAsia" w:ascii="Times New Roman" w:hAnsi="Times New Roman" w:eastAsia="宋体" w:cs="Times New Roman"/>
              </w:rPr>
              <w:t>、建筑隔声</w:t>
            </w:r>
            <w:r>
              <w:rPr>
                <w:rFonts w:ascii="Times New Roman" w:hAnsi="Times New Roman" w:eastAsia="宋体" w:cs="Times New Roman"/>
              </w:rPr>
              <w:t>等措施</w:t>
            </w:r>
          </w:p>
        </w:tc>
        <w:tc>
          <w:tcPr>
            <w:tcW w:w="2537" w:type="dxa"/>
            <w:vAlign w:val="center"/>
          </w:tcPr>
          <w:p>
            <w:pPr>
              <w:jc w:val="center"/>
              <w:rPr>
                <w:rFonts w:ascii="Times New Roman" w:hAnsi="Times New Roman" w:eastAsia="宋体" w:cs="Times New Roman"/>
              </w:rPr>
            </w:pPr>
            <w:r>
              <w:rPr>
                <w:rFonts w:ascii="Times New Roman" w:hAnsi="Times New Roman" w:eastAsia="宋体" w:cs="Times New Roman"/>
              </w:rPr>
              <w:t>《工业企业厂界环境噪声排放标准》(GB12348-2008)</w:t>
            </w:r>
          </w:p>
          <w:p>
            <w:pPr>
              <w:jc w:val="center"/>
              <w:rPr>
                <w:rFonts w:hint="eastAsia" w:ascii="Times New Roman" w:hAnsi="Times New Roman" w:eastAsia="宋体" w:cs="Times New Roman"/>
                <w:lang w:eastAsia="zh-CN"/>
              </w:rPr>
            </w:pPr>
            <w:r>
              <w:rPr>
                <w:rFonts w:ascii="Times New Roman" w:hAnsi="Times New Roman" w:eastAsia="宋体" w:cs="Times New Roman"/>
              </w:rPr>
              <w:t>2类标准</w:t>
            </w:r>
            <w:r>
              <w:rPr>
                <w:rFonts w:hint="eastAsia" w:ascii="Times New Roman" w:hAnsi="Times New Roman" w:eastAsia="宋体" w:cs="Times New Roman"/>
                <w:lang w:eastAsia="zh-CN"/>
              </w:rPr>
              <w:t>：</w:t>
            </w:r>
            <w:r>
              <w:rPr>
                <w:rFonts w:ascii="Times New Roman" w:hAnsi="Times New Roman" w:eastAsia="宋体" w:cs="Times New Roman"/>
              </w:rPr>
              <w:t>昼间≤60dB(A)</w:t>
            </w:r>
            <w:r>
              <w:rPr>
                <w:rFonts w:hint="eastAsia" w:ascii="Times New Roman" w:hAnsi="Times New Roman" w:eastAsia="宋体" w:cs="Times New Roman"/>
                <w:lang w:eastAsia="zh-CN"/>
              </w:rPr>
              <w:t>、</w:t>
            </w:r>
          </w:p>
          <w:p>
            <w:pPr>
              <w:jc w:val="center"/>
              <w:rPr>
                <w:rFonts w:ascii="Times New Roman" w:hAnsi="Times New Roman" w:eastAsia="宋体" w:cs="Times New Roman"/>
              </w:rPr>
            </w:pPr>
            <w:r>
              <w:rPr>
                <w:rFonts w:ascii="Times New Roman" w:hAnsi="Times New Roman" w:eastAsia="宋体" w:cs="Times New Roman"/>
              </w:rPr>
              <w:t>夜间≤50dB(A)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电磁辐射</w:t>
            </w:r>
          </w:p>
        </w:tc>
        <w:tc>
          <w:tcPr>
            <w:tcW w:w="7819" w:type="dxa"/>
            <w:gridSpan w:val="4"/>
            <w:vAlign w:val="center"/>
          </w:tcPr>
          <w:p>
            <w:pPr>
              <w:jc w:val="center"/>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固体废物</w:t>
            </w:r>
          </w:p>
        </w:tc>
        <w:tc>
          <w:tcPr>
            <w:tcW w:w="7819" w:type="dxa"/>
            <w:gridSpan w:val="4"/>
            <w:vAlign w:val="center"/>
          </w:tcPr>
          <w:p>
            <w:pPr>
              <w:jc w:val="both"/>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本项目</w:t>
            </w:r>
            <w:r>
              <w:rPr>
                <w:rFonts w:hint="eastAsia" w:ascii="Times New Roman" w:hAnsi="Times New Roman" w:eastAsia="宋体"/>
                <w:color w:val="auto"/>
                <w:sz w:val="21"/>
                <w:szCs w:val="21"/>
                <w:lang w:eastAsia="zh-CN"/>
              </w:rPr>
              <w:t>不涉及新增固体废物；现有</w:t>
            </w:r>
            <w:r>
              <w:rPr>
                <w:rFonts w:hint="eastAsia" w:ascii="Times New Roman" w:hAnsi="Times New Roman" w:eastAsia="宋体" w:cs="Times New Roman"/>
                <w:color w:val="auto"/>
                <w:szCs w:val="21"/>
                <w:lang w:val="en-US" w:eastAsia="zh-CN"/>
              </w:rPr>
              <w:t>生活垃圾交环卫部门处理，</w:t>
            </w:r>
            <w:r>
              <w:rPr>
                <w:rFonts w:hint="eastAsia" w:ascii="Times New Roman" w:hAnsi="Times New Roman" w:eastAsia="宋体"/>
                <w:color w:val="auto"/>
                <w:sz w:val="21"/>
                <w:szCs w:val="21"/>
                <w:lang w:eastAsia="zh-CN"/>
              </w:rPr>
              <w:t>现有</w:t>
            </w:r>
            <w:r>
              <w:rPr>
                <w:rFonts w:hint="eastAsia" w:ascii="Times New Roman" w:hAnsi="Times New Roman" w:eastAsia="宋体" w:cs="Times New Roman"/>
                <w:color w:val="auto"/>
                <w:szCs w:val="21"/>
                <w:lang w:val="en-US" w:eastAsia="zh-CN"/>
              </w:rPr>
              <w:t>废包装物由供货商回收，</w:t>
            </w:r>
            <w:r>
              <w:rPr>
                <w:rFonts w:hint="eastAsia" w:ascii="Times New Roman" w:hAnsi="Times New Roman" w:eastAsia="宋体"/>
                <w:color w:val="auto"/>
                <w:sz w:val="21"/>
                <w:szCs w:val="21"/>
                <w:lang w:eastAsia="zh-CN"/>
              </w:rPr>
              <w:t>现有</w:t>
            </w:r>
            <w:r>
              <w:rPr>
                <w:rFonts w:hint="eastAsia" w:ascii="Times New Roman" w:hAnsi="Times New Roman" w:eastAsia="宋体" w:cs="Times New Roman"/>
                <w:color w:val="auto"/>
                <w:szCs w:val="21"/>
              </w:rPr>
              <w:t>废含油棉纱、手套</w:t>
            </w:r>
            <w:r>
              <w:rPr>
                <w:rFonts w:hint="eastAsia" w:ascii="Times New Roman" w:hAnsi="Times New Roman" w:eastAsia="宋体" w:cs="Times New Roman"/>
                <w:color w:val="auto"/>
                <w:szCs w:val="21"/>
                <w:lang w:eastAsia="zh-CN"/>
              </w:rPr>
              <w:t>、废</w:t>
            </w:r>
            <w:r>
              <w:rPr>
                <w:rFonts w:hint="eastAsia" w:ascii="Times New Roman" w:hAnsi="Times New Roman" w:eastAsia="宋体" w:cs="Times New Roman"/>
                <w:color w:val="auto"/>
                <w:szCs w:val="21"/>
                <w:lang w:val="en-US" w:eastAsia="zh-CN"/>
              </w:rPr>
              <w:t>液压油</w:t>
            </w:r>
            <w:r>
              <w:rPr>
                <w:rFonts w:hint="eastAsia" w:ascii="Times New Roman" w:hAnsi="Times New Roman" w:eastAsia="宋体" w:cs="Times New Roman"/>
                <w:color w:val="auto"/>
                <w:szCs w:val="21"/>
                <w:lang w:eastAsia="zh-CN"/>
              </w:rPr>
              <w:t>交有资质单位处置</w:t>
            </w:r>
            <w:r>
              <w:rPr>
                <w:rFonts w:hint="eastAsia" w:ascii="Times New Roman" w:hAnsi="Times New Roman" w:eastAsia="宋体" w:cs="Times New Roman"/>
                <w:color w:val="auto"/>
                <w:szCs w:val="21"/>
                <w:lang w:val="en-US" w:eastAsia="zh-CN"/>
              </w:rPr>
              <w:t>。</w:t>
            </w:r>
          </w:p>
          <w:p>
            <w:pPr>
              <w:jc w:val="both"/>
              <w:rPr>
                <w:rFonts w:ascii="Times New Roman" w:hAnsi="Times New Roman" w:eastAsia="宋体" w:cs="Times New Roman"/>
              </w:rPr>
            </w:pPr>
            <w:r>
              <w:rPr>
                <w:rFonts w:hint="eastAsia" w:ascii="Times New Roman" w:hAnsi="Times New Roman" w:eastAsia="宋体" w:cs="Times New Roman"/>
                <w:color w:val="auto"/>
                <w:szCs w:val="21"/>
                <w:lang w:val="en-US" w:eastAsia="zh-CN"/>
              </w:rPr>
              <w:t>项目对城市生活污泥进行脱水处理，污泥属于第I类工业固体废物，污泥储存池应按照《一般工业固体废物贮存和填埋污染控制标准》（GB 18599-2020）要求，应满足相应防渗漏、防雨淋、防扬尘等环境保护要求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土壤及地下水</w:t>
            </w:r>
          </w:p>
          <w:p>
            <w:pPr>
              <w:jc w:val="center"/>
              <w:rPr>
                <w:rFonts w:ascii="Times New Roman" w:hAnsi="Times New Roman" w:eastAsia="宋体" w:cs="Times New Roman"/>
              </w:rPr>
            </w:pPr>
            <w:r>
              <w:rPr>
                <w:rFonts w:ascii="Times New Roman" w:hAnsi="Times New Roman" w:eastAsia="宋体" w:cs="Times New Roman"/>
              </w:rPr>
              <w:t>污染防治措施</w:t>
            </w:r>
          </w:p>
        </w:tc>
        <w:tc>
          <w:tcPr>
            <w:tcW w:w="7819" w:type="dxa"/>
            <w:gridSpan w:val="4"/>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lang w:eastAsia="zh-CN"/>
              </w:rPr>
              <w:t>采取分区防渗措施，污水池设置为重点防渗区，</w:t>
            </w:r>
            <w:r>
              <w:rPr>
                <w:rFonts w:hint="eastAsia" w:ascii="Times New Roman" w:hAnsi="Times New Roman" w:eastAsia="宋体" w:cs="Times New Roman"/>
                <w:szCs w:val="21"/>
                <w:lang w:val="en-US" w:eastAsia="zh-CN"/>
              </w:rPr>
              <w:t>湿污泥储存间、污泥脱水车间设置为一般防渗区，</w:t>
            </w:r>
            <w:r>
              <w:rPr>
                <w:rFonts w:hint="eastAsia" w:ascii="Times New Roman" w:hAnsi="Times New Roman" w:eastAsia="宋体" w:cs="Times New Roman"/>
                <w:lang w:eastAsia="zh-CN"/>
              </w:rPr>
              <w:t>采取相应防腐、防渗等处理措施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生态保护措施</w:t>
            </w:r>
          </w:p>
        </w:tc>
        <w:tc>
          <w:tcPr>
            <w:tcW w:w="7819" w:type="dxa"/>
            <w:gridSpan w:val="4"/>
            <w:vAlign w:val="center"/>
          </w:tcPr>
          <w:p>
            <w:pPr>
              <w:jc w:val="center"/>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环境风险防范措施</w:t>
            </w:r>
          </w:p>
        </w:tc>
        <w:tc>
          <w:tcPr>
            <w:tcW w:w="7819" w:type="dxa"/>
            <w:gridSpan w:val="4"/>
            <w:vAlign w:val="center"/>
          </w:tcPr>
          <w:p>
            <w:pPr>
              <w:jc w:val="center"/>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其他环境管理要求</w:t>
            </w:r>
          </w:p>
        </w:tc>
        <w:tc>
          <w:tcPr>
            <w:tcW w:w="7819" w:type="dxa"/>
            <w:gridSpan w:val="4"/>
            <w:vAlign w:val="center"/>
          </w:tcPr>
          <w:p>
            <w:pPr>
              <w:spacing w:line="440" w:lineRule="exact"/>
              <w:rPr>
                <w:rFonts w:ascii="Times New Roman" w:hAnsi="Times New Roman" w:eastAsia="宋体" w:cs="Times New Roman"/>
                <w:b/>
                <w:bCs/>
                <w:color w:val="auto"/>
              </w:rPr>
            </w:pPr>
            <w:r>
              <w:rPr>
                <w:rFonts w:ascii="Times New Roman" w:hAnsi="Times New Roman" w:eastAsia="宋体" w:cs="Times New Roman"/>
                <w:b/>
                <w:bCs/>
                <w:color w:val="auto"/>
              </w:rPr>
              <w:t>1、竣工环境保护验收内容及要求</w:t>
            </w:r>
          </w:p>
          <w:p>
            <w:pPr>
              <w:spacing w:line="44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根据国务院令第682号《建设项目环境保护管理条例》（2017年修订），编制环境影响报告书、环境影响报告表的建设项目竣工后，建设单位应当按照国务院环境保护行政主管部门规定的标准和程序，对配套建设的环境保护设施进行验收，编制竣工验收报告，除按照国家规定需要保密的情形外，建设单位应依法向社会公开竣工验收报告和竣工验收意见；配套建设的环境保护设施经验收合格，方可投入生产或者使用。</w:t>
            </w:r>
          </w:p>
          <w:p>
            <w:pPr>
              <w:spacing w:line="44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本项目竣工环保验收内容及要求按本节</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环境保护措施监督检查清单</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开展。</w:t>
            </w:r>
          </w:p>
          <w:p>
            <w:pPr>
              <w:spacing w:line="440" w:lineRule="exact"/>
              <w:rPr>
                <w:rFonts w:ascii="Times New Roman" w:hAnsi="Times New Roman" w:eastAsia="宋体" w:cs="Times New Roman"/>
                <w:b/>
                <w:bCs/>
                <w:color w:val="auto"/>
              </w:rPr>
            </w:pPr>
            <w:r>
              <w:rPr>
                <w:rFonts w:ascii="Times New Roman" w:hAnsi="Times New Roman" w:eastAsia="宋体" w:cs="Times New Roman"/>
                <w:b/>
                <w:bCs/>
                <w:color w:val="auto"/>
              </w:rPr>
              <w:t>2、环境管理机构设置及职责</w:t>
            </w:r>
          </w:p>
          <w:p>
            <w:pPr>
              <w:spacing w:line="44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由</w:t>
            </w:r>
            <w:r>
              <w:rPr>
                <w:rFonts w:hint="eastAsia" w:ascii="Times New Roman" w:hAnsi="Times New Roman" w:eastAsia="宋体" w:cs="Times New Roman"/>
                <w:color w:val="auto"/>
                <w:lang w:eastAsia="zh-CN"/>
              </w:rPr>
              <w:t>建设单位</w:t>
            </w:r>
            <w:r>
              <w:rPr>
                <w:rFonts w:ascii="Times New Roman" w:hAnsi="Times New Roman" w:eastAsia="宋体" w:cs="Times New Roman"/>
                <w:color w:val="auto"/>
              </w:rPr>
              <w:t>配备专职或兼职管理干部1人，负责组织、落实、监督本工程营运期的环境保护工作，主要职责为：</w:t>
            </w:r>
          </w:p>
          <w:p>
            <w:pPr>
              <w:spacing w:line="440" w:lineRule="exact"/>
              <w:ind w:firstLine="420" w:firstLineChars="200"/>
              <w:rPr>
                <w:rFonts w:ascii="Times New Roman" w:hAnsi="Times New Roman" w:eastAsia="宋体" w:cs="Times New Roman"/>
                <w:color w:val="auto"/>
              </w:rPr>
            </w:pPr>
            <w:r>
              <w:rPr>
                <w:rFonts w:hint="eastAsia" w:ascii="宋体" w:hAnsi="宋体" w:eastAsia="宋体" w:cs="宋体"/>
                <w:color w:val="auto"/>
              </w:rPr>
              <w:t>①</w:t>
            </w:r>
            <w:r>
              <w:rPr>
                <w:rFonts w:ascii="Times New Roman" w:hAnsi="Times New Roman" w:eastAsia="宋体" w:cs="Times New Roman"/>
                <w:color w:val="auto"/>
              </w:rPr>
              <w:t>建立完善的环境保护规章制度，并认真监督实施；</w:t>
            </w:r>
          </w:p>
          <w:p>
            <w:pPr>
              <w:spacing w:line="440" w:lineRule="exact"/>
              <w:ind w:firstLine="420" w:firstLineChars="200"/>
              <w:rPr>
                <w:rFonts w:ascii="Times New Roman" w:hAnsi="Times New Roman" w:eastAsia="宋体" w:cs="Times New Roman"/>
                <w:color w:val="auto"/>
              </w:rPr>
            </w:pPr>
            <w:r>
              <w:rPr>
                <w:rFonts w:hint="eastAsia" w:ascii="宋体" w:hAnsi="宋体" w:eastAsia="宋体" w:cs="宋体"/>
                <w:color w:val="auto"/>
              </w:rPr>
              <w:t>②</w:t>
            </w:r>
            <w:r>
              <w:rPr>
                <w:rFonts w:ascii="Times New Roman" w:hAnsi="Times New Roman" w:eastAsia="宋体" w:cs="Times New Roman"/>
                <w:color w:val="auto"/>
              </w:rPr>
              <w:t>对各种设备的运行状况进行监督管理，确保设备正常高效运行；</w:t>
            </w:r>
          </w:p>
          <w:p>
            <w:pPr>
              <w:spacing w:line="440" w:lineRule="exact"/>
              <w:ind w:firstLine="420" w:firstLineChars="200"/>
              <w:rPr>
                <w:rFonts w:ascii="Times New Roman" w:hAnsi="Times New Roman" w:eastAsia="宋体" w:cs="Times New Roman"/>
                <w:color w:val="auto"/>
              </w:rPr>
            </w:pPr>
            <w:r>
              <w:rPr>
                <w:rFonts w:hint="eastAsia" w:ascii="宋体" w:hAnsi="宋体" w:eastAsia="宋体" w:cs="宋体"/>
                <w:color w:val="auto"/>
              </w:rPr>
              <w:t>③</w:t>
            </w:r>
            <w:r>
              <w:rPr>
                <w:rFonts w:ascii="Times New Roman" w:hAnsi="Times New Roman" w:eastAsia="宋体" w:cs="Times New Roman"/>
                <w:color w:val="auto"/>
              </w:rPr>
              <w:t>落实环境监测制度，做好监测结果、设备运行指标的统计工作，建立环境档案，编制环境保护年度计划和环境保护统计报表；</w:t>
            </w:r>
          </w:p>
          <w:p>
            <w:pPr>
              <w:spacing w:line="440" w:lineRule="exact"/>
              <w:ind w:firstLine="420" w:firstLineChars="200"/>
              <w:rPr>
                <w:rFonts w:ascii="Times New Roman" w:hAnsi="Times New Roman" w:eastAsia="宋体" w:cs="Times New Roman"/>
                <w:color w:val="auto"/>
              </w:rPr>
            </w:pPr>
            <w:r>
              <w:rPr>
                <w:rFonts w:hint="eastAsia" w:ascii="宋体" w:hAnsi="宋体" w:eastAsia="宋体" w:cs="宋体"/>
                <w:color w:val="auto"/>
              </w:rPr>
              <w:t>④</w:t>
            </w:r>
            <w:r>
              <w:rPr>
                <w:rFonts w:ascii="Times New Roman" w:hAnsi="Times New Roman" w:eastAsia="宋体" w:cs="Times New Roman"/>
                <w:color w:val="auto"/>
              </w:rPr>
              <w:t>搞好环境保护宣传和职工环保意识教育工作；</w:t>
            </w:r>
          </w:p>
          <w:p>
            <w:pPr>
              <w:spacing w:line="440" w:lineRule="exact"/>
              <w:ind w:firstLine="420" w:firstLineChars="200"/>
              <w:rPr>
                <w:rFonts w:ascii="Times New Roman" w:hAnsi="Times New Roman" w:eastAsia="宋体" w:cs="Times New Roman"/>
                <w:color w:val="auto"/>
              </w:rPr>
            </w:pPr>
            <w:r>
              <w:rPr>
                <w:rFonts w:hint="eastAsia" w:ascii="宋体" w:hAnsi="宋体" w:eastAsia="宋体" w:cs="宋体"/>
                <w:color w:val="auto"/>
              </w:rPr>
              <w:t>⑤</w:t>
            </w:r>
            <w:r>
              <w:rPr>
                <w:rFonts w:ascii="Times New Roman" w:hAnsi="Times New Roman" w:eastAsia="宋体" w:cs="Times New Roman"/>
                <w:color w:val="auto"/>
              </w:rPr>
              <w:t>负责落实环保保护行政主管部门要求落实的相关环保工作。</w:t>
            </w:r>
          </w:p>
          <w:p>
            <w:pPr>
              <w:spacing w:line="440" w:lineRule="exact"/>
              <w:ind w:firstLine="420" w:firstLineChars="200"/>
              <w:rPr>
                <w:rFonts w:ascii="Times New Roman" w:hAnsi="Times New Roman" w:eastAsia="宋体" w:cs="Times New Roman"/>
                <w:color w:val="auto"/>
              </w:rPr>
            </w:pPr>
            <w:r>
              <w:rPr>
                <w:rFonts w:hint="eastAsia" w:ascii="宋体" w:hAnsi="宋体" w:eastAsia="宋体" w:cs="宋体"/>
                <w:color w:val="auto"/>
              </w:rPr>
              <w:t>⑥</w:t>
            </w:r>
            <w:r>
              <w:rPr>
                <w:rFonts w:ascii="Times New Roman" w:hAnsi="Times New Roman" w:eastAsia="宋体" w:cs="Times New Roman"/>
                <w:color w:val="auto"/>
              </w:rPr>
              <w:t>负责强化对环保设施运行的监督，环保设施操作人员的技术培训，管理、建立环保设施运行、维护、维修等技术档案，确保环保设施处于正常运行情况。建立原辅材料消耗台账，不得随意变更环评报告中确定的原辅材料类型和成分组成。</w:t>
            </w:r>
          </w:p>
          <w:p>
            <w:pPr>
              <w:spacing w:line="44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当地环境保护行政管理部门对项目的环境保护行使监督管理职能。</w:t>
            </w:r>
          </w:p>
          <w:p>
            <w:pPr>
              <w:spacing w:line="440" w:lineRule="exact"/>
              <w:rPr>
                <w:rFonts w:ascii="Times New Roman" w:hAnsi="Times New Roman" w:eastAsia="宋体" w:cs="Times New Roman"/>
                <w:b/>
                <w:bCs/>
                <w:color w:val="auto"/>
              </w:rPr>
            </w:pPr>
            <w:r>
              <w:rPr>
                <w:rFonts w:ascii="Times New Roman" w:hAnsi="Times New Roman" w:eastAsia="宋体" w:cs="Times New Roman"/>
                <w:b/>
                <w:bCs/>
                <w:color w:val="auto"/>
              </w:rPr>
              <w:t>3、信息公开</w:t>
            </w:r>
          </w:p>
          <w:p>
            <w:pPr>
              <w:spacing w:line="44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根据《企业事业单位环境信息公开办法》（环境保护部令 第31号），排污单位应当通过其网站、企业事业单位环境信息公开平台或者当地报刊等便于公众知晓的方式公开环境信息，其具体公开的信息内容如下：</w:t>
            </w:r>
          </w:p>
          <w:p>
            <w:pPr>
              <w:spacing w:line="440" w:lineRule="exact"/>
              <w:ind w:firstLine="420" w:firstLineChars="200"/>
              <w:rPr>
                <w:rFonts w:ascii="Times New Roman" w:hAnsi="Times New Roman" w:eastAsia="宋体" w:cs="Times New Roman"/>
                <w:color w:val="auto"/>
              </w:rPr>
            </w:pPr>
            <w:r>
              <w:rPr>
                <w:rFonts w:hint="eastAsia" w:ascii="宋体" w:hAnsi="宋体" w:eastAsia="宋体" w:cs="宋体"/>
                <w:color w:val="auto"/>
              </w:rPr>
              <w:t>①</w:t>
            </w:r>
            <w:r>
              <w:rPr>
                <w:rFonts w:ascii="Times New Roman" w:hAnsi="Times New Roman" w:eastAsia="宋体" w:cs="Times New Roman"/>
                <w:color w:val="auto"/>
              </w:rPr>
              <w:t>基础信息，包括单位名称、组织机构代码、法定代表人、生产地址、联系方式，以及生产经营和管理服务的主要内容、产品及规模；</w:t>
            </w:r>
          </w:p>
          <w:p>
            <w:pPr>
              <w:spacing w:line="440" w:lineRule="atLeast"/>
              <w:ind w:firstLine="420" w:firstLineChars="200"/>
              <w:rPr>
                <w:rFonts w:ascii="Times New Roman" w:hAnsi="Times New Roman" w:eastAsia="宋体" w:cs="Times New Roman"/>
                <w:color w:val="auto"/>
              </w:rPr>
            </w:pPr>
            <w:r>
              <w:rPr>
                <w:rFonts w:hint="eastAsia" w:ascii="宋体" w:hAnsi="宋体" w:eastAsia="宋体" w:cs="宋体"/>
                <w:color w:val="auto"/>
              </w:rPr>
              <w:t>②</w:t>
            </w:r>
            <w:r>
              <w:rPr>
                <w:rFonts w:ascii="Times New Roman" w:hAnsi="Times New Roman" w:eastAsia="宋体" w:cs="Times New Roman"/>
                <w:color w:val="auto"/>
              </w:rPr>
              <w:t>排污信息，包括主要污染物及特征污染物的名称、排放方式、排放口数量和分布情况、排放浓度和总量、超标情况，以及执行的污染物排放标准、核定的排放总量；</w:t>
            </w:r>
          </w:p>
          <w:p>
            <w:pPr>
              <w:spacing w:line="440" w:lineRule="atLeast"/>
              <w:ind w:firstLine="420" w:firstLineChars="200"/>
              <w:rPr>
                <w:rFonts w:ascii="Times New Roman" w:hAnsi="Times New Roman" w:eastAsia="宋体" w:cs="Times New Roman"/>
                <w:color w:val="auto"/>
              </w:rPr>
            </w:pPr>
            <w:r>
              <w:rPr>
                <w:rFonts w:hint="eastAsia" w:ascii="宋体" w:hAnsi="宋体" w:eastAsia="宋体" w:cs="宋体"/>
                <w:color w:val="auto"/>
              </w:rPr>
              <w:t>③</w:t>
            </w:r>
            <w:r>
              <w:rPr>
                <w:rFonts w:ascii="Times New Roman" w:hAnsi="Times New Roman" w:eastAsia="宋体" w:cs="Times New Roman"/>
                <w:color w:val="auto"/>
              </w:rPr>
              <w:t>防治污染设施的而建设和运行情况；</w:t>
            </w:r>
          </w:p>
          <w:p>
            <w:pPr>
              <w:spacing w:line="440" w:lineRule="atLeast"/>
              <w:ind w:firstLine="420" w:firstLineChars="200"/>
              <w:rPr>
                <w:rFonts w:ascii="Times New Roman" w:hAnsi="Times New Roman" w:eastAsia="宋体" w:cs="Times New Roman"/>
                <w:color w:val="auto"/>
              </w:rPr>
            </w:pPr>
            <w:r>
              <w:rPr>
                <w:rFonts w:hint="eastAsia" w:ascii="宋体" w:hAnsi="宋体" w:eastAsia="宋体" w:cs="宋体"/>
                <w:color w:val="auto"/>
              </w:rPr>
              <w:t>④</w:t>
            </w:r>
            <w:r>
              <w:rPr>
                <w:rFonts w:ascii="Times New Roman" w:hAnsi="Times New Roman" w:eastAsia="宋体" w:cs="Times New Roman"/>
                <w:color w:val="auto"/>
              </w:rPr>
              <w:t>建设项目环境影响评价及其他环境保护行政许可情况；</w:t>
            </w:r>
          </w:p>
          <w:p>
            <w:pPr>
              <w:spacing w:line="440" w:lineRule="atLeast"/>
              <w:ind w:firstLine="420" w:firstLineChars="200"/>
              <w:rPr>
                <w:rFonts w:ascii="Times New Roman" w:hAnsi="Times New Roman" w:eastAsia="宋体" w:cs="Times New Roman"/>
                <w:color w:val="auto"/>
              </w:rPr>
            </w:pPr>
            <w:r>
              <w:rPr>
                <w:rFonts w:hint="eastAsia" w:ascii="宋体" w:hAnsi="宋体" w:eastAsia="宋体" w:cs="宋体"/>
                <w:color w:val="auto"/>
              </w:rPr>
              <w:t>⑤</w:t>
            </w:r>
            <w:r>
              <w:rPr>
                <w:rFonts w:ascii="Times New Roman" w:hAnsi="Times New Roman" w:eastAsia="宋体" w:cs="Times New Roman"/>
                <w:color w:val="auto"/>
              </w:rPr>
              <w:t>突发环境事件应急预案；</w:t>
            </w:r>
          </w:p>
          <w:p>
            <w:pPr>
              <w:spacing w:line="440" w:lineRule="atLeast"/>
              <w:ind w:firstLine="420" w:firstLineChars="200"/>
              <w:rPr>
                <w:rFonts w:ascii="Times New Roman" w:hAnsi="Times New Roman" w:eastAsia="宋体" w:cs="Times New Roman"/>
                <w:color w:val="auto"/>
              </w:rPr>
            </w:pPr>
            <w:r>
              <w:rPr>
                <w:rFonts w:hint="eastAsia" w:ascii="宋体" w:hAnsi="宋体" w:eastAsia="宋体" w:cs="宋体"/>
                <w:color w:val="auto"/>
              </w:rPr>
              <w:t>⑥</w:t>
            </w:r>
            <w:r>
              <w:rPr>
                <w:rFonts w:ascii="Times New Roman" w:hAnsi="Times New Roman" w:eastAsia="宋体" w:cs="Times New Roman"/>
                <w:color w:val="auto"/>
              </w:rPr>
              <w:t>其他应当公开的环境信息；</w:t>
            </w:r>
          </w:p>
          <w:p>
            <w:pPr>
              <w:spacing w:line="440" w:lineRule="atLeast"/>
              <w:ind w:firstLine="420" w:firstLineChars="200"/>
              <w:rPr>
                <w:rFonts w:ascii="Times New Roman" w:hAnsi="Times New Roman" w:eastAsia="宋体" w:cs="Times New Roman"/>
                <w:color w:val="auto"/>
              </w:rPr>
            </w:pPr>
            <w:r>
              <w:rPr>
                <w:rFonts w:hint="eastAsia" w:ascii="宋体" w:hAnsi="宋体" w:eastAsia="宋体" w:cs="宋体"/>
                <w:color w:val="auto"/>
              </w:rPr>
              <w:t>⑦</w:t>
            </w:r>
            <w:r>
              <w:rPr>
                <w:rFonts w:ascii="Times New Roman" w:hAnsi="Times New Roman" w:eastAsia="宋体" w:cs="Times New Roman"/>
                <w:color w:val="auto"/>
              </w:rPr>
              <w:t>列入国家重点监控企业名单的重点排污的单位还应当公开其环境自行监测方案。</w:t>
            </w:r>
          </w:p>
          <w:p>
            <w:pPr>
              <w:spacing w:line="440" w:lineRule="atLeast"/>
              <w:rPr>
                <w:rFonts w:ascii="Times New Roman" w:hAnsi="Times New Roman" w:eastAsia="宋体" w:cs="Times New Roman"/>
                <w:b/>
                <w:bCs/>
                <w:color w:val="auto"/>
              </w:rPr>
            </w:pPr>
            <w:r>
              <w:rPr>
                <w:rFonts w:ascii="Times New Roman" w:hAnsi="Times New Roman" w:eastAsia="宋体" w:cs="Times New Roman"/>
                <w:b/>
                <w:bCs/>
                <w:color w:val="auto"/>
              </w:rPr>
              <w:t>4、排污口设置与规范化管理</w:t>
            </w:r>
          </w:p>
          <w:p>
            <w:pPr>
              <w:spacing w:line="440" w:lineRule="atLeast"/>
              <w:ind w:firstLine="420" w:firstLineChars="200"/>
              <w:rPr>
                <w:rFonts w:ascii="Times New Roman" w:hAnsi="Times New Roman" w:eastAsia="宋体" w:cs="Times New Roman"/>
                <w:color w:val="auto"/>
              </w:rPr>
            </w:pPr>
            <w:r>
              <w:rPr>
                <w:rFonts w:ascii="Times New Roman" w:hAnsi="Times New Roman" w:eastAsia="宋体" w:cs="Times New Roman"/>
                <w:color w:val="auto"/>
              </w:rPr>
              <w:t>根据国家标准《环境保护图形标志—排放口（源）》和国家环保总局《排污口规范化整治要求（试行）》的技术要求，根据国家环保总局《关于开展排放口规范化整治工作的通知》（环发[1999]24号）、重庆市环保局《关于印发重庆市排污口规范化清理整治实施方案的通知》（渝环发[2012]26号</w:t>
            </w:r>
            <w:r>
              <w:rPr>
                <w:rFonts w:ascii="Times New Roman" w:hAnsi="Times New Roman" w:eastAsia="宋体" w:cs="Times New Roman"/>
                <w:color w:val="auto"/>
                <w:sz w:val="21"/>
                <w:szCs w:val="21"/>
              </w:rPr>
              <w:t>）中“排放口设置要求”，本项目所有排放口必须按照“便于采样、便于计量监测、便于日常现场监督检查</w:t>
            </w:r>
            <w:r>
              <w:rPr>
                <w:rFonts w:ascii="Times New Roman" w:hAnsi="Times New Roman" w:eastAsia="宋体" w:cs="Times New Roman"/>
                <w:color w:val="auto"/>
              </w:rPr>
              <w:t>”的原则和规范化要求，设置排污口标志牌。</w:t>
            </w:r>
          </w:p>
          <w:p>
            <w:pPr>
              <w:spacing w:line="440" w:lineRule="atLeast"/>
              <w:ind w:firstLine="420" w:firstLineChars="200"/>
              <w:rPr>
                <w:rFonts w:ascii="Times New Roman" w:hAnsi="Times New Roman" w:eastAsia="宋体" w:cs="Times New Roman"/>
                <w:color w:val="auto"/>
              </w:rPr>
            </w:pPr>
            <w:r>
              <w:rPr>
                <w:rFonts w:ascii="Times New Roman" w:hAnsi="Times New Roman" w:eastAsia="宋体" w:cs="Times New Roman"/>
                <w:color w:val="auto"/>
              </w:rPr>
              <w:t>（1）废气排放口</w:t>
            </w:r>
          </w:p>
          <w:p>
            <w:pPr>
              <w:spacing w:line="440" w:lineRule="exact"/>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本项目不新增废气排放口</w:t>
            </w:r>
          </w:p>
          <w:p>
            <w:pPr>
              <w:spacing w:line="44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（2）废水排放口</w:t>
            </w:r>
          </w:p>
          <w:p>
            <w:pPr>
              <w:spacing w:line="44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本项目</w:t>
            </w:r>
            <w:r>
              <w:rPr>
                <w:rFonts w:hint="eastAsia" w:ascii="Times New Roman" w:hAnsi="Times New Roman" w:eastAsia="宋体" w:cs="Times New Roman"/>
                <w:color w:val="auto"/>
                <w:szCs w:val="21"/>
                <w:lang w:val="en-US" w:eastAsia="zh-CN"/>
              </w:rPr>
              <w:t>设备清洗废水、除臭系统废水及</w:t>
            </w:r>
            <w:r>
              <w:rPr>
                <w:rFonts w:hint="eastAsia" w:ascii="Times New Roman" w:hAnsi="Times New Roman" w:eastAsia="宋体" w:cs="Times New Roman"/>
                <w:color w:val="auto"/>
                <w:lang w:eastAsia="zh-CN"/>
              </w:rPr>
              <w:t>污泥压滤废水</w:t>
            </w:r>
            <w:r>
              <w:rPr>
                <w:rFonts w:hint="eastAsia" w:ascii="Times New Roman" w:hAnsi="Times New Roman" w:eastAsia="宋体" w:cs="Times New Roman"/>
                <w:color w:val="auto"/>
                <w:lang w:val="en-US" w:eastAsia="zh-CN"/>
              </w:rPr>
              <w:t>经2个污水池收集后通过专用罐车运至重庆铜梁城区污水处理厂处理达标排放，</w:t>
            </w:r>
            <w:r>
              <w:rPr>
                <w:rFonts w:hint="eastAsia" w:ascii="Times New Roman" w:hAnsi="Times New Roman" w:eastAsia="宋体" w:cs="Times New Roman"/>
                <w:color w:val="auto"/>
                <w:lang w:eastAsia="zh-CN"/>
              </w:rPr>
              <w:t>项目厂区不设置废水排放口</w:t>
            </w:r>
            <w:r>
              <w:rPr>
                <w:rFonts w:ascii="Times New Roman" w:hAnsi="Times New Roman" w:eastAsia="宋体" w:cs="Times New Roman"/>
                <w:color w:val="auto"/>
              </w:rPr>
              <w:t>。</w:t>
            </w:r>
          </w:p>
          <w:p>
            <w:pPr>
              <w:spacing w:line="44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（3）固定噪声排放源</w:t>
            </w:r>
          </w:p>
          <w:p>
            <w:pPr>
              <w:spacing w:line="44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工业企业厂界噪声监测点应在法定厂界外1米，高度1.2米。</w:t>
            </w:r>
          </w:p>
          <w:p>
            <w:pPr>
              <w:spacing w:line="44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（4）排污口标志要求</w:t>
            </w:r>
          </w:p>
          <w:p>
            <w:pPr>
              <w:spacing w:line="440" w:lineRule="exact"/>
              <w:ind w:firstLine="420" w:firstLineChars="200"/>
              <w:rPr>
                <w:rFonts w:ascii="Times New Roman" w:hAnsi="Times New Roman" w:eastAsia="宋体" w:cs="Times New Roman"/>
                <w:color w:val="auto"/>
              </w:rPr>
            </w:pPr>
            <w:r>
              <w:rPr>
                <w:rFonts w:ascii="Times New Roman" w:hAnsi="Times New Roman" w:eastAsia="宋体" w:cs="Times New Roman"/>
                <w:color w:val="auto"/>
              </w:rPr>
              <w:t>排污口应设环保标志牌，按照《重庆市规整排污口技术要求》进行制作。一般污染物排放口设置提示标志牌，排放有毒有害等污染物的排放口设置警告式标志牌。标志牌应设置在排污口（采样点）附近且醒目处，高度为标志牌上缘离地面2m，排污口附近1m范围内有建筑物的，设平面式标志牌，无建筑物的设立式标志牌。排污口的有关设置（如方形标志牌、计量装置、监控装置等）属环保设施，排污单位必须负责日常的维护保养，任何单位和个人不得擅自拆除，如需要变更须报当地环境监理部门同意并办理变更手续。</w:t>
            </w:r>
          </w:p>
        </w:tc>
      </w:tr>
    </w:tbl>
    <w:p>
      <w:pPr>
        <w:widowControl/>
        <w:jc w:val="left"/>
        <w:rPr>
          <w:rFonts w:ascii="Times New Roman" w:hAnsi="Times New Roman" w:eastAsia="宋体" w:cs="Times New Roman"/>
        </w:rPr>
      </w:pPr>
      <w:r>
        <w:rPr>
          <w:rFonts w:ascii="Times New Roman" w:hAnsi="Times New Roman" w:eastAsia="宋体" w:cs="Times New Roman"/>
        </w:rPr>
        <w:br w:type="page"/>
      </w:r>
    </w:p>
    <w:p>
      <w:pPr>
        <w:jc w:val="center"/>
        <w:outlineLvl w:val="0"/>
        <w:rPr>
          <w:rFonts w:ascii="Times New Roman" w:hAnsi="Times New Roman" w:eastAsia="宋体" w:cs="Times New Roman"/>
          <w:b/>
          <w:bCs/>
          <w:sz w:val="30"/>
          <w:szCs w:val="30"/>
        </w:rPr>
      </w:pPr>
      <w:r>
        <w:rPr>
          <w:rFonts w:ascii="Times New Roman" w:hAnsi="Times New Roman" w:eastAsia="宋体" w:cs="Times New Roman"/>
          <w:b/>
          <w:bCs/>
          <w:sz w:val="30"/>
          <w:szCs w:val="30"/>
        </w:rPr>
        <w:t>六、结论</w:t>
      </w:r>
    </w:p>
    <w:tbl>
      <w:tblPr>
        <w:tblStyle w:val="21"/>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3" w:type="dxa"/>
          </w:tcPr>
          <w:p>
            <w:pPr>
              <w:autoSpaceDE w:val="0"/>
              <w:autoSpaceDN w:val="0"/>
              <w:adjustRightInd w:val="0"/>
              <w:snapToGrid w:val="0"/>
              <w:spacing w:before="312" w:beforeLines="100"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重庆叶子花开市政园林工程有限公司</w:t>
            </w: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CN"/>
              </w:rPr>
              <w:t>污泥处理厂效能提升项目</w:t>
            </w:r>
            <w:r>
              <w:rPr>
                <w:rFonts w:hint="eastAsia" w:ascii="Times New Roman" w:hAnsi="Times New Roman" w:eastAsia="宋体" w:cs="Times New Roman"/>
                <w:kern w:val="0"/>
                <w:sz w:val="24"/>
                <w:szCs w:val="24"/>
              </w:rPr>
              <w:t>”符合</w:t>
            </w:r>
            <w:r>
              <w:rPr>
                <w:rFonts w:hint="eastAsia" w:ascii="Times New Roman" w:hAnsi="Times New Roman" w:eastAsia="宋体" w:cs="Times New Roman"/>
                <w:kern w:val="0"/>
                <w:sz w:val="24"/>
                <w:szCs w:val="24"/>
                <w:lang w:eastAsia="zh-CN"/>
              </w:rPr>
              <w:t>国家相关</w:t>
            </w:r>
            <w:r>
              <w:rPr>
                <w:rFonts w:hint="eastAsia" w:ascii="Times New Roman" w:hAnsi="Times New Roman" w:eastAsia="宋体" w:cs="Times New Roman"/>
                <w:kern w:val="0"/>
                <w:sz w:val="24"/>
                <w:szCs w:val="24"/>
              </w:rPr>
              <w:t>产业政策</w:t>
            </w:r>
            <w:r>
              <w:rPr>
                <w:rFonts w:hint="eastAsia" w:ascii="Times New Roman" w:hAnsi="Times New Roman" w:eastAsia="宋体" w:cs="Times New Roman"/>
                <w:kern w:val="0"/>
                <w:sz w:val="24"/>
                <w:szCs w:val="24"/>
                <w:lang w:eastAsia="zh-CN"/>
              </w:rPr>
              <w:t>及</w:t>
            </w:r>
            <w:r>
              <w:rPr>
                <w:rFonts w:hint="eastAsia" w:ascii="Times New Roman" w:hAnsi="Times New Roman" w:eastAsia="宋体" w:cs="Times New Roman"/>
                <w:kern w:val="0"/>
                <w:sz w:val="24"/>
                <w:szCs w:val="24"/>
              </w:rPr>
              <w:t>相关规划</w:t>
            </w:r>
            <w:r>
              <w:rPr>
                <w:rFonts w:hint="eastAsia" w:ascii="Times New Roman" w:hAnsi="Times New Roman" w:eastAsia="宋体" w:cs="Times New Roman"/>
                <w:kern w:val="0"/>
                <w:sz w:val="24"/>
                <w:szCs w:val="24"/>
                <w:lang w:eastAsia="zh-CN"/>
              </w:rPr>
              <w:t>要求</w:t>
            </w: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项目施工期和营运期对环境产生的影响，只要完全落实本环评提出的环境保护措施，落实好环保设施与主体工程建设的“三同时”制度，</w:t>
            </w:r>
            <w:r>
              <w:rPr>
                <w:rFonts w:hint="eastAsia" w:ascii="Times New Roman" w:hAnsi="Times New Roman" w:eastAsia="宋体" w:cs="Times New Roman"/>
                <w:kern w:val="0"/>
                <w:sz w:val="24"/>
                <w:szCs w:val="24"/>
                <w:lang w:eastAsia="zh-CN"/>
              </w:rPr>
              <w:t>加强</w:t>
            </w:r>
            <w:r>
              <w:rPr>
                <w:rFonts w:hint="default" w:ascii="Times New Roman" w:hAnsi="Times New Roman" w:eastAsia="宋体" w:cs="Times New Roman"/>
                <w:kern w:val="0"/>
                <w:sz w:val="24"/>
                <w:szCs w:val="24"/>
              </w:rPr>
              <w:t>环境管理，确保污染治理设施的正常运行，</w:t>
            </w:r>
            <w:r>
              <w:rPr>
                <w:rFonts w:hint="eastAsia" w:ascii="Times New Roman" w:hAnsi="Times New Roman" w:eastAsia="宋体" w:cs="Times New Roman"/>
                <w:kern w:val="0"/>
                <w:sz w:val="24"/>
                <w:szCs w:val="24"/>
                <w:lang w:val="en-US" w:eastAsia="zh-CN"/>
              </w:rPr>
              <w:t>项目所产生的不利影响可控制到最低程度，</w:t>
            </w:r>
            <w:r>
              <w:rPr>
                <w:rFonts w:hint="default" w:ascii="Times New Roman" w:hAnsi="Times New Roman" w:eastAsia="宋体" w:cs="Times New Roman"/>
                <w:kern w:val="0"/>
                <w:sz w:val="24"/>
                <w:szCs w:val="24"/>
              </w:rPr>
              <w:t>各污染物</w:t>
            </w:r>
            <w:r>
              <w:rPr>
                <w:rFonts w:hint="eastAsia" w:ascii="Times New Roman" w:hAnsi="Times New Roman" w:eastAsia="宋体" w:cs="Times New Roman"/>
                <w:kern w:val="0"/>
                <w:sz w:val="24"/>
                <w:szCs w:val="24"/>
                <w:lang w:eastAsia="zh-CN"/>
              </w:rPr>
              <w:t>均能</w:t>
            </w:r>
            <w:r>
              <w:rPr>
                <w:rFonts w:hint="default" w:ascii="Times New Roman" w:hAnsi="Times New Roman" w:eastAsia="宋体" w:cs="Times New Roman"/>
                <w:kern w:val="0"/>
                <w:sz w:val="24"/>
                <w:szCs w:val="24"/>
              </w:rPr>
              <w:t>达标排放</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环境可以接受。</w:t>
            </w:r>
            <w:r>
              <w:rPr>
                <w:rFonts w:hint="default" w:ascii="Times New Roman" w:hAnsi="Times New Roman" w:eastAsia="宋体" w:cs="Times New Roman"/>
                <w:kern w:val="0"/>
                <w:sz w:val="24"/>
                <w:szCs w:val="24"/>
                <w:lang w:eastAsia="zh-CN"/>
              </w:rPr>
              <w:t>从环境保护角度，本项目环境影响可行</w:t>
            </w:r>
            <w:r>
              <w:rPr>
                <w:rFonts w:hint="eastAsia" w:ascii="Times New Roman" w:hAnsi="Times New Roman" w:eastAsia="宋体" w:cs="Times New Roman"/>
                <w:kern w:val="0"/>
                <w:sz w:val="24"/>
                <w:szCs w:val="24"/>
                <w:lang w:eastAsia="zh-CN"/>
              </w:rPr>
              <w:t>。</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jc w:val="left"/>
              <w:rPr>
                <w:rFonts w:ascii="Times New Roman" w:hAnsi="Times New Roman" w:eastAsia="宋体" w:cs="Times New Roman"/>
                <w:kern w:val="0"/>
                <w:sz w:val="24"/>
                <w:szCs w:val="24"/>
              </w:rPr>
            </w:pPr>
          </w:p>
        </w:tc>
      </w:tr>
    </w:tbl>
    <w:p>
      <w:pPr>
        <w:pStyle w:val="3"/>
        <w:spacing w:after="240"/>
        <w:jc w:val="left"/>
        <w:rPr>
          <w:rFonts w:ascii="Times New Roman" w:hAnsi="Times New Roman" w:eastAsia="宋体" w:cs="Times New Roman"/>
          <w:snapToGrid w:val="0"/>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3"/>
        <w:spacing w:before="0" w:after="0"/>
        <w:jc w:val="left"/>
        <w:rPr>
          <w:rFonts w:ascii="Times New Roman" w:hAnsi="Times New Roman" w:eastAsia="宋体" w:cs="Times New Roman"/>
          <w:snapToGrid w:val="0"/>
        </w:rPr>
      </w:pPr>
      <w:r>
        <w:rPr>
          <w:rFonts w:ascii="Times New Roman" w:hAnsi="Times New Roman" w:eastAsia="宋体" w:cs="Times New Roman"/>
          <w:snapToGrid w:val="0"/>
        </w:rPr>
        <w:t>附表</w:t>
      </w:r>
    </w:p>
    <w:p>
      <w:pPr>
        <w:pStyle w:val="3"/>
        <w:spacing w:before="0" w:after="0"/>
        <w:jc w:val="center"/>
        <w:rPr>
          <w:rFonts w:ascii="Times New Roman" w:hAnsi="Times New Roman" w:eastAsia="宋体" w:cs="Times New Roman"/>
          <w:snapToGrid w:val="0"/>
          <w:sz w:val="28"/>
          <w:szCs w:val="28"/>
        </w:rPr>
      </w:pPr>
      <w:r>
        <w:rPr>
          <w:rFonts w:ascii="Times New Roman" w:hAnsi="Times New Roman" w:eastAsia="宋体" w:cs="Times New Roman"/>
          <w:snapToGrid w:val="0"/>
          <w:sz w:val="28"/>
          <w:szCs w:val="28"/>
        </w:rPr>
        <w:t>建设项目污染物排放量汇总表</w:t>
      </w:r>
    </w:p>
    <w:tbl>
      <w:tblPr>
        <w:tblStyle w:val="20"/>
        <w:tblW w:w="1378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843"/>
        <w:gridCol w:w="1559"/>
        <w:gridCol w:w="1134"/>
        <w:gridCol w:w="1560"/>
        <w:gridCol w:w="1559"/>
        <w:gridCol w:w="1840"/>
        <w:gridCol w:w="1842"/>
        <w:gridCol w:w="1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62"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pPr>
              <w:pStyle w:val="59"/>
              <w:adjustRightInd w:val="0"/>
              <w:rPr>
                <w:snapToGrid w:val="0"/>
                <w:color w:val="auto"/>
                <w:szCs w:val="21"/>
              </w:rPr>
            </w:pPr>
            <w:r>
              <w:rPr>
                <w:snapToGrid w:val="0"/>
                <w:color w:val="auto"/>
                <w:szCs w:val="21"/>
              </w:rPr>
              <w:t xml:space="preserve">     项目</w:t>
            </w:r>
          </w:p>
          <w:p>
            <w:pPr>
              <w:pStyle w:val="59"/>
              <w:adjustRightInd w:val="0"/>
              <w:jc w:val="both"/>
              <w:rPr>
                <w:snapToGrid w:val="0"/>
                <w:color w:val="auto"/>
                <w:szCs w:val="21"/>
              </w:rPr>
            </w:pPr>
            <w:r>
              <w:rPr>
                <w:snapToGrid w:val="0"/>
                <w:color w:val="auto"/>
                <w:szCs w:val="21"/>
              </w:rPr>
              <w:t>分类</w:t>
            </w:r>
          </w:p>
        </w:tc>
        <w:tc>
          <w:tcPr>
            <w:tcW w:w="184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9"/>
              <w:adjustRightInd w:val="0"/>
              <w:rPr>
                <w:snapToGrid w:val="0"/>
                <w:color w:val="auto"/>
                <w:szCs w:val="21"/>
              </w:rPr>
            </w:pPr>
            <w:r>
              <w:rPr>
                <w:snapToGrid w:val="0"/>
                <w:color w:val="auto"/>
                <w:szCs w:val="21"/>
              </w:rPr>
              <w:t>污染物名称</w:t>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9"/>
              <w:adjustRightInd w:val="0"/>
              <w:rPr>
                <w:snapToGrid w:val="0"/>
                <w:color w:val="auto"/>
                <w:szCs w:val="21"/>
              </w:rPr>
            </w:pPr>
            <w:r>
              <w:rPr>
                <w:snapToGrid w:val="0"/>
                <w:color w:val="auto"/>
                <w:szCs w:val="21"/>
              </w:rPr>
              <w:t>现有工程</w:t>
            </w:r>
          </w:p>
          <w:p>
            <w:pPr>
              <w:pStyle w:val="59"/>
              <w:adjustRightInd w:val="0"/>
              <w:rPr>
                <w:snapToGrid w:val="0"/>
                <w:color w:val="auto"/>
                <w:szCs w:val="21"/>
              </w:rPr>
            </w:pPr>
            <w:r>
              <w:rPr>
                <w:snapToGrid w:val="0"/>
                <w:color w:val="auto"/>
                <w:szCs w:val="21"/>
              </w:rPr>
              <w:t>排放量（固体废物产生量）</w:t>
            </w:r>
            <w:r>
              <w:rPr>
                <w:snapToGrid w:val="0"/>
                <w:color w:val="auto"/>
                <w:szCs w:val="21"/>
              </w:rPr>
              <w:fldChar w:fldCharType="begin"/>
            </w:r>
            <w:r>
              <w:rPr>
                <w:snapToGrid w:val="0"/>
                <w:color w:val="auto"/>
                <w:szCs w:val="21"/>
              </w:rPr>
              <w:instrText xml:space="preserve"> = 1 \* GB3 \* MERGEFORMAT </w:instrText>
            </w:r>
            <w:r>
              <w:rPr>
                <w:snapToGrid w:val="0"/>
                <w:color w:val="auto"/>
                <w:szCs w:val="21"/>
              </w:rPr>
              <w:fldChar w:fldCharType="separate"/>
            </w:r>
            <w:r>
              <w:rPr>
                <w:rFonts w:hint="eastAsia" w:ascii="宋体" w:hAnsi="宋体" w:cs="宋体"/>
                <w:color w:val="auto"/>
                <w:szCs w:val="21"/>
              </w:rPr>
              <w:t>①</w:t>
            </w:r>
            <w:r>
              <w:rPr>
                <w:snapToGrid w:val="0"/>
                <w:color w:val="auto"/>
                <w:szCs w:val="21"/>
              </w:rPr>
              <w:fldChar w:fldCharType="end"/>
            </w:r>
          </w:p>
        </w:tc>
        <w:tc>
          <w:tcPr>
            <w:tcW w:w="1134"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9"/>
              <w:adjustRightInd w:val="0"/>
              <w:rPr>
                <w:snapToGrid w:val="0"/>
                <w:color w:val="auto"/>
                <w:szCs w:val="21"/>
              </w:rPr>
            </w:pPr>
            <w:r>
              <w:rPr>
                <w:snapToGrid w:val="0"/>
                <w:color w:val="auto"/>
                <w:szCs w:val="21"/>
              </w:rPr>
              <w:t>现有工程</w:t>
            </w:r>
          </w:p>
          <w:p>
            <w:pPr>
              <w:pStyle w:val="59"/>
              <w:adjustRightInd w:val="0"/>
              <w:rPr>
                <w:snapToGrid w:val="0"/>
                <w:color w:val="auto"/>
                <w:szCs w:val="21"/>
              </w:rPr>
            </w:pPr>
            <w:r>
              <w:rPr>
                <w:snapToGrid w:val="0"/>
                <w:color w:val="auto"/>
                <w:szCs w:val="21"/>
              </w:rPr>
              <w:t>许可排放量</w:t>
            </w:r>
          </w:p>
          <w:p>
            <w:pPr>
              <w:pStyle w:val="59"/>
              <w:adjustRightInd w:val="0"/>
              <w:rPr>
                <w:snapToGrid w:val="0"/>
                <w:color w:val="auto"/>
                <w:szCs w:val="21"/>
              </w:rPr>
            </w:pPr>
            <w:r>
              <w:rPr>
                <w:snapToGrid w:val="0"/>
                <w:color w:val="auto"/>
                <w:szCs w:val="21"/>
              </w:rPr>
              <w:fldChar w:fldCharType="begin"/>
            </w:r>
            <w:r>
              <w:rPr>
                <w:snapToGrid w:val="0"/>
                <w:color w:val="auto"/>
                <w:szCs w:val="21"/>
              </w:rPr>
              <w:instrText xml:space="preserve"> = 2 \* GB3 \* MERGEFORMAT </w:instrText>
            </w:r>
            <w:r>
              <w:rPr>
                <w:snapToGrid w:val="0"/>
                <w:color w:val="auto"/>
                <w:szCs w:val="21"/>
              </w:rPr>
              <w:fldChar w:fldCharType="separate"/>
            </w:r>
            <w:r>
              <w:rPr>
                <w:rFonts w:hint="eastAsia" w:ascii="宋体" w:hAnsi="宋体" w:cs="宋体"/>
                <w:snapToGrid w:val="0"/>
                <w:color w:val="auto"/>
                <w:szCs w:val="21"/>
              </w:rPr>
              <w:t>②</w:t>
            </w:r>
            <w:r>
              <w:rPr>
                <w:snapToGrid w:val="0"/>
                <w:color w:val="auto"/>
                <w:szCs w:val="21"/>
              </w:rPr>
              <w:fldChar w:fldCharType="end"/>
            </w:r>
          </w:p>
        </w:tc>
        <w:tc>
          <w:tcPr>
            <w:tcW w:w="1560"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9"/>
              <w:adjustRightInd w:val="0"/>
              <w:rPr>
                <w:snapToGrid w:val="0"/>
                <w:color w:val="auto"/>
                <w:szCs w:val="21"/>
              </w:rPr>
            </w:pPr>
            <w:r>
              <w:rPr>
                <w:snapToGrid w:val="0"/>
                <w:color w:val="auto"/>
                <w:szCs w:val="21"/>
              </w:rPr>
              <w:t>在建工程</w:t>
            </w:r>
          </w:p>
          <w:p>
            <w:pPr>
              <w:pStyle w:val="59"/>
              <w:adjustRightInd w:val="0"/>
              <w:rPr>
                <w:snapToGrid w:val="0"/>
                <w:color w:val="auto"/>
                <w:szCs w:val="21"/>
              </w:rPr>
            </w:pPr>
            <w:r>
              <w:rPr>
                <w:snapToGrid w:val="0"/>
                <w:color w:val="auto"/>
                <w:szCs w:val="21"/>
              </w:rPr>
              <w:t>排放量（固体废物产生量）</w:t>
            </w:r>
            <w:r>
              <w:rPr>
                <w:snapToGrid w:val="0"/>
                <w:color w:val="auto"/>
                <w:szCs w:val="21"/>
              </w:rPr>
              <w:fldChar w:fldCharType="begin"/>
            </w:r>
            <w:r>
              <w:rPr>
                <w:snapToGrid w:val="0"/>
                <w:color w:val="auto"/>
                <w:szCs w:val="21"/>
              </w:rPr>
              <w:instrText xml:space="preserve"> = 3 \* GB3 \* MERGEFORMAT </w:instrText>
            </w:r>
            <w:r>
              <w:rPr>
                <w:snapToGrid w:val="0"/>
                <w:color w:val="auto"/>
                <w:szCs w:val="21"/>
              </w:rPr>
              <w:fldChar w:fldCharType="separate"/>
            </w:r>
            <w:r>
              <w:rPr>
                <w:rFonts w:hint="eastAsia" w:ascii="宋体" w:hAnsi="宋体" w:cs="宋体"/>
                <w:color w:val="auto"/>
                <w:szCs w:val="21"/>
              </w:rPr>
              <w:t>③</w:t>
            </w:r>
            <w:r>
              <w:rPr>
                <w:snapToGrid w:val="0"/>
                <w:color w:val="auto"/>
                <w:szCs w:val="21"/>
              </w:rPr>
              <w:fldChar w:fldCharType="end"/>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9"/>
              <w:adjustRightInd w:val="0"/>
              <w:rPr>
                <w:snapToGrid w:val="0"/>
                <w:color w:val="auto"/>
                <w:szCs w:val="21"/>
              </w:rPr>
            </w:pPr>
            <w:r>
              <w:rPr>
                <w:snapToGrid w:val="0"/>
                <w:color w:val="auto"/>
                <w:szCs w:val="21"/>
              </w:rPr>
              <w:t>本项目</w:t>
            </w:r>
          </w:p>
          <w:p>
            <w:pPr>
              <w:pStyle w:val="59"/>
              <w:adjustRightInd w:val="0"/>
              <w:rPr>
                <w:snapToGrid w:val="0"/>
                <w:color w:val="auto"/>
                <w:szCs w:val="21"/>
              </w:rPr>
            </w:pPr>
            <w:r>
              <w:rPr>
                <w:snapToGrid w:val="0"/>
                <w:color w:val="auto"/>
                <w:szCs w:val="21"/>
              </w:rPr>
              <w:t>排放量（固体废物产生量）</w:t>
            </w:r>
            <w:r>
              <w:rPr>
                <w:snapToGrid w:val="0"/>
                <w:color w:val="auto"/>
                <w:szCs w:val="21"/>
              </w:rPr>
              <w:fldChar w:fldCharType="begin"/>
            </w:r>
            <w:r>
              <w:rPr>
                <w:snapToGrid w:val="0"/>
                <w:color w:val="auto"/>
                <w:szCs w:val="21"/>
              </w:rPr>
              <w:instrText xml:space="preserve"> = 4 \* GB3 \* MERGEFORMAT </w:instrText>
            </w:r>
            <w:r>
              <w:rPr>
                <w:snapToGrid w:val="0"/>
                <w:color w:val="auto"/>
                <w:szCs w:val="21"/>
              </w:rPr>
              <w:fldChar w:fldCharType="separate"/>
            </w:r>
            <w:r>
              <w:rPr>
                <w:rFonts w:hint="eastAsia" w:ascii="宋体" w:hAnsi="宋体" w:cs="宋体"/>
                <w:color w:val="auto"/>
                <w:szCs w:val="21"/>
              </w:rPr>
              <w:t>④</w:t>
            </w:r>
            <w:r>
              <w:rPr>
                <w:snapToGrid w:val="0"/>
                <w:color w:val="auto"/>
                <w:szCs w:val="21"/>
              </w:rPr>
              <w:fldChar w:fldCharType="end"/>
            </w:r>
          </w:p>
        </w:tc>
        <w:tc>
          <w:tcPr>
            <w:tcW w:w="1840"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9"/>
              <w:adjustRightInd w:val="0"/>
              <w:rPr>
                <w:snapToGrid w:val="0"/>
                <w:color w:val="auto"/>
                <w:spacing w:val="-16"/>
                <w:szCs w:val="21"/>
              </w:rPr>
            </w:pPr>
            <w:r>
              <w:rPr>
                <w:snapToGrid w:val="0"/>
                <w:color w:val="auto"/>
                <w:spacing w:val="-16"/>
                <w:szCs w:val="21"/>
              </w:rPr>
              <w:t>以新带老削减量</w:t>
            </w:r>
          </w:p>
          <w:p>
            <w:pPr>
              <w:pStyle w:val="59"/>
              <w:adjustRightInd w:val="0"/>
              <w:rPr>
                <w:snapToGrid w:val="0"/>
                <w:color w:val="auto"/>
                <w:spacing w:val="-16"/>
                <w:szCs w:val="21"/>
              </w:rPr>
            </w:pPr>
            <w:r>
              <w:rPr>
                <w:snapToGrid w:val="0"/>
                <w:color w:val="auto"/>
                <w:spacing w:val="-16"/>
                <w:szCs w:val="21"/>
              </w:rPr>
              <w:t>（新建项目不填）</w:t>
            </w:r>
            <w:r>
              <w:rPr>
                <w:snapToGrid w:val="0"/>
                <w:color w:val="auto"/>
                <w:spacing w:val="-16"/>
                <w:szCs w:val="21"/>
              </w:rPr>
              <w:fldChar w:fldCharType="begin"/>
            </w:r>
            <w:r>
              <w:rPr>
                <w:snapToGrid w:val="0"/>
                <w:color w:val="auto"/>
                <w:spacing w:val="-16"/>
                <w:szCs w:val="21"/>
              </w:rPr>
              <w:instrText xml:space="preserve"> = 5 \* GB3 \* MERGEFORMAT </w:instrText>
            </w:r>
            <w:r>
              <w:rPr>
                <w:snapToGrid w:val="0"/>
                <w:color w:val="auto"/>
                <w:spacing w:val="-16"/>
                <w:szCs w:val="21"/>
              </w:rPr>
              <w:fldChar w:fldCharType="separate"/>
            </w:r>
            <w:r>
              <w:rPr>
                <w:rFonts w:hint="eastAsia" w:ascii="宋体" w:hAnsi="宋体" w:cs="宋体"/>
                <w:color w:val="auto"/>
                <w:szCs w:val="21"/>
              </w:rPr>
              <w:t>⑤</w:t>
            </w:r>
            <w:r>
              <w:rPr>
                <w:snapToGrid w:val="0"/>
                <w:color w:val="auto"/>
                <w:spacing w:val="-16"/>
                <w:szCs w:val="21"/>
              </w:rPr>
              <w:fldChar w:fldCharType="end"/>
            </w:r>
          </w:p>
        </w:tc>
        <w:tc>
          <w:tcPr>
            <w:tcW w:w="1842"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9"/>
              <w:adjustRightInd w:val="0"/>
              <w:rPr>
                <w:snapToGrid w:val="0"/>
                <w:color w:val="auto"/>
                <w:spacing w:val="-16"/>
                <w:szCs w:val="21"/>
              </w:rPr>
            </w:pPr>
            <w:r>
              <w:rPr>
                <w:snapToGrid w:val="0"/>
                <w:color w:val="auto"/>
                <w:spacing w:val="-16"/>
                <w:szCs w:val="21"/>
              </w:rPr>
              <w:t>本项目建成后</w:t>
            </w:r>
          </w:p>
          <w:p>
            <w:pPr>
              <w:pStyle w:val="59"/>
              <w:adjustRightInd w:val="0"/>
              <w:rPr>
                <w:snapToGrid w:val="0"/>
                <w:color w:val="auto"/>
                <w:spacing w:val="-16"/>
                <w:szCs w:val="21"/>
              </w:rPr>
            </w:pPr>
            <w:r>
              <w:rPr>
                <w:snapToGrid w:val="0"/>
                <w:color w:val="auto"/>
                <w:spacing w:val="-16"/>
                <w:szCs w:val="21"/>
              </w:rPr>
              <w:t>全厂排放量（固体废物产生量）</w:t>
            </w:r>
            <w:r>
              <w:rPr>
                <w:snapToGrid w:val="0"/>
                <w:color w:val="auto"/>
                <w:spacing w:val="-16"/>
                <w:szCs w:val="21"/>
              </w:rPr>
              <w:fldChar w:fldCharType="begin"/>
            </w:r>
            <w:r>
              <w:rPr>
                <w:snapToGrid w:val="0"/>
                <w:color w:val="auto"/>
                <w:spacing w:val="-16"/>
                <w:szCs w:val="21"/>
              </w:rPr>
              <w:instrText xml:space="preserve"> = 6 \* GB3 \* MERGEFORMAT </w:instrText>
            </w:r>
            <w:r>
              <w:rPr>
                <w:snapToGrid w:val="0"/>
                <w:color w:val="auto"/>
                <w:spacing w:val="-16"/>
                <w:szCs w:val="21"/>
              </w:rPr>
              <w:fldChar w:fldCharType="separate"/>
            </w:r>
            <w:r>
              <w:rPr>
                <w:rFonts w:hint="eastAsia" w:ascii="宋体" w:hAnsi="宋体" w:cs="宋体"/>
                <w:color w:val="auto"/>
                <w:szCs w:val="21"/>
              </w:rPr>
              <w:t>⑥</w:t>
            </w:r>
            <w:r>
              <w:rPr>
                <w:snapToGrid w:val="0"/>
                <w:color w:val="auto"/>
                <w:spacing w:val="-16"/>
                <w:szCs w:val="21"/>
              </w:rPr>
              <w:fldChar w:fldCharType="end"/>
            </w:r>
          </w:p>
        </w:tc>
        <w:tc>
          <w:tcPr>
            <w:tcW w:w="1286"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pStyle w:val="59"/>
              <w:adjustRightInd w:val="0"/>
              <w:rPr>
                <w:snapToGrid w:val="0"/>
                <w:color w:val="auto"/>
                <w:szCs w:val="21"/>
              </w:rPr>
            </w:pPr>
            <w:r>
              <w:rPr>
                <w:snapToGrid w:val="0"/>
                <w:color w:val="auto"/>
                <w:szCs w:val="21"/>
              </w:rPr>
              <w:t>变化量</w:t>
            </w:r>
          </w:p>
          <w:p>
            <w:pPr>
              <w:pStyle w:val="59"/>
              <w:adjustRightInd w:val="0"/>
              <w:rPr>
                <w:snapToGrid w:val="0"/>
                <w:color w:val="auto"/>
                <w:szCs w:val="21"/>
              </w:rPr>
            </w:pPr>
            <w:r>
              <w:rPr>
                <w:snapToGrid w:val="0"/>
                <w:color w:val="auto"/>
                <w:szCs w:val="21"/>
              </w:rPr>
              <w:fldChar w:fldCharType="begin"/>
            </w:r>
            <w:r>
              <w:rPr>
                <w:snapToGrid w:val="0"/>
                <w:color w:val="auto"/>
                <w:szCs w:val="21"/>
              </w:rPr>
              <w:instrText xml:space="preserve"> = 7 \* GB3 \* MERGEFORMAT </w:instrText>
            </w:r>
            <w:r>
              <w:rPr>
                <w:snapToGrid w:val="0"/>
                <w:color w:val="auto"/>
                <w:szCs w:val="21"/>
              </w:rPr>
              <w:fldChar w:fldCharType="separate"/>
            </w:r>
            <w:r>
              <w:rPr>
                <w:rFonts w:hint="eastAsia" w:ascii="宋体" w:hAnsi="宋体" w:cs="宋体"/>
                <w:color w:val="auto"/>
                <w:szCs w:val="21"/>
              </w:rPr>
              <w:t>⑦</w:t>
            </w:r>
            <w:r>
              <w:rPr>
                <w:snapToGrid w:val="0"/>
                <w:color w:val="auto"/>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162" w:type="dxa"/>
            <w:vMerge w:val="restart"/>
            <w:tcBorders>
              <w:top w:val="single" w:color="auto" w:sz="4" w:space="0"/>
              <w:left w:val="single" w:color="auto" w:sz="8" w:space="0"/>
              <w:right w:val="single" w:color="auto" w:sz="4" w:space="0"/>
            </w:tcBorders>
            <w:vAlign w:val="center"/>
          </w:tcPr>
          <w:p>
            <w:pPr>
              <w:pStyle w:val="59"/>
              <w:adjustRightInd w:val="0"/>
              <w:rPr>
                <w:snapToGrid w:val="0"/>
                <w:color w:val="auto"/>
                <w:szCs w:val="21"/>
              </w:rPr>
            </w:pPr>
            <w:r>
              <w:rPr>
                <w:snapToGrid w:val="0"/>
                <w:color w:val="auto"/>
                <w:szCs w:val="21"/>
              </w:rPr>
              <w:t>废气</w:t>
            </w:r>
          </w:p>
        </w:tc>
        <w:tc>
          <w:tcPr>
            <w:tcW w:w="1843" w:type="dxa"/>
            <w:tcBorders>
              <w:top w:val="single" w:color="auto" w:sz="4" w:space="0"/>
              <w:left w:val="single" w:color="auto" w:sz="4" w:space="0"/>
              <w:bottom w:val="single" w:color="auto" w:sz="4" w:space="0"/>
              <w:right w:val="single" w:color="auto" w:sz="4" w:space="0"/>
            </w:tcBorders>
            <w:vAlign w:val="center"/>
          </w:tcPr>
          <w:p>
            <w:pPr>
              <w:pStyle w:val="59"/>
              <w:adjustRightInd w:val="0"/>
              <w:rPr>
                <w:snapToGrid w:val="0"/>
                <w:color w:val="auto"/>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0.0412</w:t>
            </w:r>
          </w:p>
        </w:tc>
        <w:tc>
          <w:tcPr>
            <w:tcW w:w="1134"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59"/>
              <w:adjustRightInd w:val="0"/>
              <w:rPr>
                <w:snapToGrid w:val="0"/>
                <w:color w:val="auto"/>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0.196</w:t>
            </w:r>
          </w:p>
        </w:tc>
        <w:tc>
          <w:tcPr>
            <w:tcW w:w="1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0.0412</w:t>
            </w: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0.196</w:t>
            </w:r>
          </w:p>
        </w:tc>
        <w:tc>
          <w:tcPr>
            <w:tcW w:w="1286" w:type="dxa"/>
            <w:tcBorders>
              <w:top w:val="single" w:color="auto" w:sz="4" w:space="0"/>
              <w:left w:val="single" w:color="auto" w:sz="4" w:space="0"/>
              <w:bottom w:val="single" w:color="auto" w:sz="4" w:space="0"/>
              <w:right w:val="single" w:color="auto" w:sz="8"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0.1548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162" w:type="dxa"/>
            <w:vMerge w:val="continue"/>
            <w:tcBorders>
              <w:left w:val="single" w:color="auto" w:sz="8" w:space="0"/>
              <w:right w:val="single" w:color="auto" w:sz="4" w:space="0"/>
            </w:tcBorders>
            <w:vAlign w:val="center"/>
          </w:tcPr>
          <w:p>
            <w:pPr>
              <w:widowControl/>
              <w:jc w:val="left"/>
              <w:rPr>
                <w:rFonts w:ascii="Times New Roman" w:hAnsi="Times New Roman" w:eastAsia="宋体" w:cs="Times New Roman"/>
                <w:snapToGrid w:val="0"/>
                <w:color w:val="auto"/>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59"/>
              <w:adjustRightInd w:val="0"/>
              <w:rPr>
                <w:snapToGrid w:val="0"/>
                <w:color w:val="auto"/>
                <w:szCs w:val="21"/>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0.011</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0000FF"/>
                <w:kern w:val="0"/>
                <w:sz w:val="21"/>
                <w:szCs w:val="21"/>
                <w:lang w:val="en-US" w:eastAsia="zh-CN" w:bidi="ar-SA"/>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59"/>
              <w:adjustRightInd w:val="0"/>
              <w:rPr>
                <w:snapToGrid w:val="0"/>
                <w:color w:val="002BFF"/>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0.0181</w:t>
            </w:r>
          </w:p>
        </w:tc>
        <w:tc>
          <w:tcPr>
            <w:tcW w:w="18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0.011</w:t>
            </w: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0.0181</w:t>
            </w:r>
          </w:p>
        </w:tc>
        <w:tc>
          <w:tcPr>
            <w:tcW w:w="1286" w:type="dxa"/>
            <w:tcBorders>
              <w:top w:val="single" w:color="auto" w:sz="4" w:space="0"/>
              <w:left w:val="single" w:color="auto" w:sz="4" w:space="0"/>
              <w:bottom w:val="single" w:color="auto" w:sz="4" w:space="0"/>
              <w:right w:val="single" w:color="auto" w:sz="8"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62" w:type="dxa"/>
            <w:vMerge w:val="restart"/>
            <w:tcBorders>
              <w:left w:val="single" w:color="auto" w:sz="8" w:space="0"/>
              <w:right w:val="single" w:color="auto" w:sz="4" w:space="0"/>
            </w:tcBorders>
            <w:vAlign w:val="center"/>
          </w:tcPr>
          <w:p>
            <w:pPr>
              <w:widowControl/>
              <w:jc w:val="center"/>
              <w:rPr>
                <w:rFonts w:ascii="Times New Roman" w:hAnsi="Times New Roman" w:eastAsia="宋体" w:cs="Times New Roman"/>
                <w:snapToGrid w:val="0"/>
                <w:color w:val="auto"/>
                <w:szCs w:val="21"/>
                <w:lang w:val="en-US" w:eastAsia="zh-CN"/>
              </w:rPr>
            </w:pPr>
            <w:r>
              <w:rPr>
                <w:rFonts w:ascii="Times New Roman" w:hAnsi="Times New Roman" w:eastAsia="宋体" w:cs="Times New Roman"/>
                <w:snapToGrid w:val="0"/>
                <w:color w:val="auto"/>
                <w:szCs w:val="21"/>
              </w:rPr>
              <w:t>废水</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snapToGrid w:val="0"/>
                <w:color w:val="auto"/>
                <w:szCs w:val="21"/>
                <w:lang w:val="en-US" w:eastAsia="zh-CN"/>
              </w:rPr>
            </w:pPr>
            <w:r>
              <w:rPr>
                <w:rFonts w:hint="eastAsia" w:ascii="Times New Roman" w:hAnsi="Times New Roman" w:eastAsia="宋体" w:cs="Times New Roman"/>
                <w:snapToGrid w:val="0"/>
                <w:color w:val="auto"/>
                <w:szCs w:val="21"/>
              </w:rPr>
              <w:t>废水量</w:t>
            </w:r>
          </w:p>
        </w:tc>
        <w:tc>
          <w:tcPr>
            <w:tcW w:w="1559" w:type="dxa"/>
            <w:tcBorders>
              <w:top w:val="single" w:color="auto" w:sz="4" w:space="0"/>
              <w:left w:val="single" w:color="auto" w:sz="4" w:space="0"/>
              <w:bottom w:val="single" w:color="auto" w:sz="4" w:space="0"/>
              <w:right w:val="single" w:color="auto" w:sz="4" w:space="0"/>
            </w:tcBorders>
            <w:vAlign w:val="center"/>
          </w:tcPr>
          <w:p>
            <w:pPr>
              <w:pStyle w:val="74"/>
              <w:spacing w:beforeLines="0" w:afterLines="0" w:line="240" w:lineRule="auto"/>
              <w:rPr>
                <w:rFonts w:hint="default" w:ascii="Times New Roman" w:hAnsiTheme="minorHAnsi" w:eastAsiaTheme="minorEastAsia" w:cstheme="minorBidi"/>
                <w:snapToGrid w:val="0"/>
                <w:color w:val="auto"/>
                <w:kern w:val="21"/>
                <w:sz w:val="21"/>
                <w:szCs w:val="21"/>
                <w:lang w:val="en-US" w:eastAsia="zh-CN" w:bidi="ar-SA"/>
              </w:rPr>
            </w:pPr>
            <w:r>
              <w:rPr>
                <w:rFonts w:hint="default" w:ascii="Times New Roman" w:hAnsiTheme="minorHAnsi" w:eastAsiaTheme="minorEastAsia" w:cstheme="minorBidi"/>
                <w:snapToGrid w:val="0"/>
                <w:color w:val="auto"/>
                <w:kern w:val="21"/>
                <w:sz w:val="21"/>
                <w:szCs w:val="21"/>
                <w:lang w:val="en-US" w:eastAsia="zh-CN" w:bidi="ar-SA"/>
              </w:rPr>
              <w:t>145.6</w:t>
            </w:r>
          </w:p>
        </w:tc>
        <w:tc>
          <w:tcPr>
            <w:tcW w:w="1134"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74"/>
              <w:spacing w:beforeLines="0" w:afterLines="0" w:line="240" w:lineRule="auto"/>
              <w:rPr>
                <w:rFonts w:hint="eastAsia" w:ascii="Times New Roman" w:hAnsiTheme="minorHAnsi" w:eastAsiaTheme="minorEastAsia" w:cstheme="minorBidi"/>
                <w:snapToGrid w:val="0"/>
                <w:color w:val="auto"/>
                <w:kern w:val="21"/>
                <w:sz w:val="21"/>
                <w:szCs w:val="21"/>
                <w:lang w:val="en-US" w:eastAsia="zh-CN" w:bidi="ar-SA"/>
              </w:rPr>
            </w:pPr>
            <w:r>
              <w:rPr>
                <w:rFonts w:hint="default" w:ascii="Times New Roman" w:hAnsi="Times New Roman" w:eastAsia="宋体" w:cs="Times New Roman"/>
                <w:color w:val="auto"/>
                <w:sz w:val="21"/>
                <w:szCs w:val="21"/>
                <w:highlight w:val="none"/>
                <w:lang w:val="en-US" w:eastAsia="zh-CN"/>
              </w:rPr>
              <w:t>22440</w:t>
            </w:r>
          </w:p>
        </w:tc>
        <w:tc>
          <w:tcPr>
            <w:tcW w:w="1840"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145.6</w:t>
            </w:r>
          </w:p>
        </w:tc>
        <w:tc>
          <w:tcPr>
            <w:tcW w:w="1842" w:type="dxa"/>
            <w:tcBorders>
              <w:top w:val="single" w:color="auto" w:sz="4" w:space="0"/>
              <w:left w:val="single" w:color="auto" w:sz="4" w:space="0"/>
              <w:bottom w:val="single" w:color="auto" w:sz="4" w:space="0"/>
              <w:right w:val="single" w:color="auto" w:sz="4" w:space="0"/>
            </w:tcBorders>
            <w:vAlign w:val="center"/>
          </w:tcPr>
          <w:p>
            <w:pPr>
              <w:pStyle w:val="74"/>
              <w:spacing w:beforeLines="0" w:afterLines="0" w:line="240" w:lineRule="auto"/>
              <w:rPr>
                <w:rFonts w:hint="eastAsia" w:ascii="Times New Roman" w:hAnsiTheme="minorHAnsi" w:eastAsiaTheme="minorEastAsia" w:cstheme="minorBidi"/>
                <w:snapToGrid w:val="0"/>
                <w:color w:val="auto"/>
                <w:kern w:val="21"/>
                <w:sz w:val="21"/>
                <w:szCs w:val="21"/>
                <w:lang w:val="en-US" w:eastAsia="zh-CN" w:bidi="ar-SA"/>
              </w:rPr>
            </w:pPr>
            <w:r>
              <w:rPr>
                <w:rFonts w:hint="default" w:ascii="Times New Roman" w:hAnsi="Times New Roman" w:eastAsia="宋体" w:cs="Times New Roman"/>
                <w:color w:val="auto"/>
                <w:sz w:val="21"/>
                <w:szCs w:val="21"/>
                <w:highlight w:val="none"/>
                <w:lang w:val="en-US" w:eastAsia="zh-CN"/>
              </w:rPr>
              <w:t>22440</w:t>
            </w:r>
          </w:p>
        </w:tc>
        <w:tc>
          <w:tcPr>
            <w:tcW w:w="1286" w:type="dxa"/>
            <w:tcBorders>
              <w:top w:val="single" w:color="auto" w:sz="4" w:space="0"/>
              <w:left w:val="single" w:color="auto" w:sz="4" w:space="0"/>
              <w:bottom w:val="single" w:color="auto" w:sz="4" w:space="0"/>
              <w:right w:val="single" w:color="auto" w:sz="8" w:space="0"/>
            </w:tcBorders>
            <w:vAlign w:val="center"/>
          </w:tcPr>
          <w:p>
            <w:pPr>
              <w:pStyle w:val="74"/>
              <w:spacing w:beforeLines="0" w:afterLines="0" w:line="240" w:lineRule="auto"/>
              <w:rPr>
                <w:rFonts w:hint="eastAsia" w:ascii="Times New Roman" w:hAnsiTheme="minorHAnsi" w:eastAsiaTheme="minorEastAsia" w:cstheme="minorBidi"/>
                <w:snapToGrid w:val="0"/>
                <w:color w:val="auto"/>
                <w:kern w:val="21"/>
                <w:sz w:val="21"/>
                <w:szCs w:val="21"/>
                <w:lang w:val="en-US" w:eastAsia="zh-CN" w:bidi="ar-SA"/>
              </w:rPr>
            </w:pPr>
            <w:r>
              <w:rPr>
                <w:rFonts w:hint="default" w:ascii="Times New Roman" w:hAnsi="Times New Roman" w:eastAsia="宋体" w:cs="Times New Roman"/>
                <w:color w:val="auto"/>
                <w:sz w:val="21"/>
                <w:szCs w:val="21"/>
                <w:highlight w:val="none"/>
                <w:lang w:val="en-US" w:eastAsia="zh-CN"/>
              </w:rPr>
              <w:t>22294.4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62" w:type="dxa"/>
            <w:vMerge w:val="continue"/>
            <w:tcBorders>
              <w:left w:val="single" w:color="auto" w:sz="8" w:space="0"/>
              <w:right w:val="single" w:color="auto" w:sz="4" w:space="0"/>
            </w:tcBorders>
            <w:vAlign w:val="center"/>
          </w:tcPr>
          <w:p>
            <w:pPr>
              <w:widowControl/>
              <w:jc w:val="center"/>
              <w:rPr>
                <w:rFonts w:ascii="Times New Roman" w:hAnsi="Times New Roman" w:eastAsia="宋体" w:cs="Times New Roman"/>
                <w:snapToGrid w:val="0"/>
                <w:color w:val="auto"/>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79"/>
              <w:ind w:firstLine="0" w:firstLineChars="0"/>
              <w:rPr>
                <w:rFonts w:hint="eastAsia" w:ascii="Times New Roman" w:hAnsi="Times New Roman" w:eastAsia="宋体" w:cs="Times New Roman"/>
                <w:kern w:val="2"/>
                <w:sz w:val="21"/>
                <w:szCs w:val="18"/>
                <w:lang w:val="en-US" w:eastAsia="zh-CN" w:bidi="ar-SA"/>
              </w:rPr>
            </w:pPr>
            <w:r>
              <w:t>COD</w:t>
            </w:r>
          </w:p>
        </w:tc>
        <w:tc>
          <w:tcPr>
            <w:tcW w:w="1559" w:type="dxa"/>
            <w:tcBorders>
              <w:top w:val="single" w:color="auto" w:sz="4" w:space="0"/>
              <w:left w:val="single" w:color="auto" w:sz="4" w:space="0"/>
              <w:bottom w:val="single" w:color="auto" w:sz="4" w:space="0"/>
              <w:right w:val="single" w:color="auto" w:sz="4" w:space="0"/>
            </w:tcBorders>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0.0073 </w:t>
            </w:r>
          </w:p>
        </w:tc>
        <w:tc>
          <w:tcPr>
            <w:tcW w:w="1134"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1.12 </w:t>
            </w:r>
          </w:p>
        </w:tc>
        <w:tc>
          <w:tcPr>
            <w:tcW w:w="1840" w:type="dxa"/>
            <w:tcBorders>
              <w:top w:val="single" w:color="auto" w:sz="4" w:space="0"/>
              <w:left w:val="single" w:color="auto" w:sz="4" w:space="0"/>
              <w:bottom w:val="single" w:color="auto" w:sz="4" w:space="0"/>
              <w:right w:val="single" w:color="auto" w:sz="4" w:space="0"/>
            </w:tcBorders>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0.0073 </w:t>
            </w: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1.12 </w:t>
            </w:r>
          </w:p>
        </w:tc>
        <w:tc>
          <w:tcPr>
            <w:tcW w:w="1286" w:type="dxa"/>
            <w:tcBorders>
              <w:top w:val="single" w:color="auto" w:sz="4" w:space="0"/>
              <w:left w:val="single" w:color="auto" w:sz="4" w:space="0"/>
              <w:bottom w:val="single" w:color="auto" w:sz="4" w:space="0"/>
              <w:right w:val="single" w:color="auto" w:sz="8" w:space="0"/>
            </w:tcBorders>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eastAsia" w:ascii="Times New Roman" w:hAnsi="Times New Roman" w:eastAsia="宋体" w:cs="Times New Roman"/>
                <w:color w:val="auto"/>
                <w:lang w:val="en-US" w:eastAsia="zh-CN"/>
              </w:rPr>
              <w:t>1.1127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62" w:type="dxa"/>
            <w:vMerge w:val="continue"/>
            <w:tcBorders>
              <w:left w:val="single" w:color="auto" w:sz="8" w:space="0"/>
              <w:right w:val="single" w:color="auto" w:sz="4" w:space="0"/>
            </w:tcBorders>
            <w:vAlign w:val="center"/>
          </w:tcPr>
          <w:p>
            <w:pPr>
              <w:widowControl/>
              <w:jc w:val="center"/>
              <w:rPr>
                <w:rFonts w:ascii="Times New Roman" w:hAnsi="Times New Roman" w:eastAsia="宋体" w:cs="Times New Roman"/>
                <w:snapToGrid w:val="0"/>
                <w:color w:val="auto"/>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79"/>
              <w:ind w:firstLine="0" w:firstLineChars="0"/>
              <w:rPr>
                <w:rFonts w:hint="default" w:ascii="Times New Roman" w:hAnsi="Times New Roman" w:eastAsia="宋体" w:cs="Times New Roman"/>
                <w:kern w:val="2"/>
                <w:sz w:val="21"/>
                <w:szCs w:val="18"/>
                <w:lang w:val="en-US" w:eastAsia="zh-CN" w:bidi="ar-SA"/>
              </w:rPr>
            </w:pPr>
            <w:r>
              <w:t>SS</w:t>
            </w:r>
          </w:p>
        </w:tc>
        <w:tc>
          <w:tcPr>
            <w:tcW w:w="1559" w:type="dxa"/>
            <w:tcBorders>
              <w:top w:val="single" w:color="auto" w:sz="4" w:space="0"/>
              <w:left w:val="single" w:color="auto" w:sz="4" w:space="0"/>
              <w:bottom w:val="single" w:color="auto" w:sz="4" w:space="0"/>
              <w:right w:val="single" w:color="auto" w:sz="4" w:space="0"/>
            </w:tcBorders>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0.0015 </w:t>
            </w:r>
          </w:p>
        </w:tc>
        <w:tc>
          <w:tcPr>
            <w:tcW w:w="1134"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c>
          <w:tcPr>
            <w:tcW w:w="1840" w:type="dxa"/>
            <w:tcBorders>
              <w:top w:val="single" w:color="auto" w:sz="4" w:space="0"/>
              <w:left w:val="single" w:color="auto" w:sz="4" w:space="0"/>
              <w:bottom w:val="single" w:color="auto" w:sz="4" w:space="0"/>
              <w:right w:val="single" w:color="auto" w:sz="4" w:space="0"/>
            </w:tcBorders>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0.0015 </w:t>
            </w: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c>
          <w:tcPr>
            <w:tcW w:w="1286" w:type="dxa"/>
            <w:tcBorders>
              <w:top w:val="single" w:color="auto" w:sz="4" w:space="0"/>
              <w:left w:val="single" w:color="auto" w:sz="4" w:space="0"/>
              <w:bottom w:val="single" w:color="auto" w:sz="4" w:space="0"/>
              <w:right w:val="single" w:color="auto" w:sz="8" w:space="0"/>
            </w:tcBorders>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eastAsia" w:ascii="Times New Roman" w:hAnsi="Times New Roman" w:eastAsia="宋体" w:cs="Times New Roman"/>
                <w:color w:val="auto"/>
                <w:lang w:val="en-US" w:eastAsia="zh-CN"/>
              </w:rPr>
              <w:t>0.2185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62" w:type="dxa"/>
            <w:vMerge w:val="continue"/>
            <w:tcBorders>
              <w:left w:val="single" w:color="auto" w:sz="8" w:space="0"/>
              <w:right w:val="single" w:color="auto" w:sz="4" w:space="0"/>
            </w:tcBorders>
            <w:vAlign w:val="center"/>
          </w:tcPr>
          <w:p>
            <w:pPr>
              <w:widowControl/>
              <w:jc w:val="center"/>
              <w:rPr>
                <w:rFonts w:ascii="Times New Roman" w:hAnsi="Times New Roman" w:eastAsia="宋体" w:cs="Times New Roman"/>
                <w:snapToGrid w:val="0"/>
                <w:color w:val="auto"/>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79"/>
              <w:ind w:firstLine="0" w:firstLineChars="0"/>
              <w:rPr>
                <w:rFonts w:hint="default" w:ascii="Times New Roman" w:hAnsi="Times New Roman" w:eastAsia="宋体" w:cs="Times New Roman"/>
                <w:kern w:val="2"/>
                <w:sz w:val="21"/>
                <w:szCs w:val="18"/>
                <w:lang w:val="en-US" w:eastAsia="zh-CN" w:bidi="ar-SA"/>
              </w:rPr>
            </w:pPr>
            <w:r>
              <w:t>BOD</w:t>
            </w:r>
            <w:r>
              <w:rPr>
                <w:vertAlign w:val="subscript"/>
              </w:rPr>
              <w:t>5</w:t>
            </w:r>
          </w:p>
        </w:tc>
        <w:tc>
          <w:tcPr>
            <w:tcW w:w="1559" w:type="dxa"/>
            <w:tcBorders>
              <w:top w:val="single" w:color="auto" w:sz="4" w:space="0"/>
              <w:left w:val="single" w:color="auto" w:sz="4" w:space="0"/>
              <w:bottom w:val="single" w:color="auto" w:sz="4" w:space="0"/>
              <w:right w:val="single" w:color="auto" w:sz="4" w:space="0"/>
            </w:tcBorders>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0.0015 </w:t>
            </w:r>
          </w:p>
        </w:tc>
        <w:tc>
          <w:tcPr>
            <w:tcW w:w="1134"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c>
          <w:tcPr>
            <w:tcW w:w="1840" w:type="dxa"/>
            <w:tcBorders>
              <w:top w:val="single" w:color="auto" w:sz="4" w:space="0"/>
              <w:left w:val="single" w:color="auto" w:sz="4" w:space="0"/>
              <w:bottom w:val="single" w:color="auto" w:sz="4" w:space="0"/>
              <w:right w:val="single" w:color="auto" w:sz="4" w:space="0"/>
            </w:tcBorders>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0.0015 </w:t>
            </w: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c>
          <w:tcPr>
            <w:tcW w:w="1286" w:type="dxa"/>
            <w:tcBorders>
              <w:top w:val="single" w:color="auto" w:sz="4" w:space="0"/>
              <w:left w:val="single" w:color="auto" w:sz="4" w:space="0"/>
              <w:bottom w:val="single" w:color="auto" w:sz="4" w:space="0"/>
              <w:right w:val="single" w:color="auto" w:sz="8" w:space="0"/>
            </w:tcBorders>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eastAsia" w:ascii="Times New Roman" w:hAnsi="Times New Roman" w:eastAsia="宋体" w:cs="Times New Roman"/>
                <w:color w:val="auto"/>
                <w:lang w:val="en-US" w:eastAsia="zh-CN"/>
              </w:rPr>
              <w:t>0.2185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62" w:type="dxa"/>
            <w:vMerge w:val="continue"/>
            <w:tcBorders>
              <w:left w:val="single" w:color="auto" w:sz="8" w:space="0"/>
              <w:right w:val="single" w:color="auto" w:sz="4" w:space="0"/>
            </w:tcBorders>
            <w:vAlign w:val="center"/>
          </w:tcPr>
          <w:p>
            <w:pPr>
              <w:widowControl/>
              <w:jc w:val="center"/>
              <w:rPr>
                <w:rFonts w:ascii="Times New Roman" w:hAnsi="Times New Roman" w:eastAsia="宋体" w:cs="Times New Roman"/>
                <w:snapToGrid w:val="0"/>
                <w:color w:val="auto"/>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79"/>
              <w:ind w:firstLine="0" w:firstLineChars="0"/>
              <w:rPr>
                <w:rFonts w:hint="default" w:ascii="Times New Roman" w:hAnsi="Times New Roman" w:eastAsia="宋体" w:cs="Times New Roman"/>
                <w:kern w:val="2"/>
                <w:sz w:val="21"/>
                <w:szCs w:val="18"/>
                <w:lang w:val="en-US" w:eastAsia="zh-CN" w:bidi="ar-SA"/>
              </w:rPr>
            </w:pPr>
            <w:r>
              <w:t>NH</w:t>
            </w:r>
            <w:r>
              <w:rPr>
                <w:vertAlign w:val="subscript"/>
              </w:rPr>
              <w:t>3</w:t>
            </w:r>
            <w:r>
              <w:t>-N</w:t>
            </w:r>
          </w:p>
        </w:tc>
        <w:tc>
          <w:tcPr>
            <w:tcW w:w="1559" w:type="dxa"/>
            <w:tcBorders>
              <w:top w:val="single" w:color="auto" w:sz="4" w:space="0"/>
              <w:left w:val="single" w:color="auto" w:sz="4" w:space="0"/>
              <w:bottom w:val="single" w:color="auto" w:sz="4" w:space="0"/>
              <w:right w:val="single" w:color="auto" w:sz="4" w:space="0"/>
            </w:tcBorders>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0.0007 </w:t>
            </w:r>
          </w:p>
        </w:tc>
        <w:tc>
          <w:tcPr>
            <w:tcW w:w="1134"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0.11 </w:t>
            </w:r>
          </w:p>
        </w:tc>
        <w:tc>
          <w:tcPr>
            <w:tcW w:w="1840" w:type="dxa"/>
            <w:tcBorders>
              <w:top w:val="single" w:color="auto" w:sz="4" w:space="0"/>
              <w:left w:val="single" w:color="auto" w:sz="4" w:space="0"/>
              <w:bottom w:val="single" w:color="auto" w:sz="4" w:space="0"/>
              <w:right w:val="single" w:color="auto" w:sz="4" w:space="0"/>
            </w:tcBorders>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default" w:ascii="Times New Roman" w:hAnsi="Times New Roman" w:cs="Times New Roman"/>
                <w:color w:val="auto"/>
                <w:lang w:val="en-US" w:eastAsia="zh-CN"/>
              </w:rPr>
              <w:t xml:space="preserve">0.0007 </w:t>
            </w: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0.11 </w:t>
            </w:r>
          </w:p>
        </w:tc>
        <w:tc>
          <w:tcPr>
            <w:tcW w:w="1286" w:type="dxa"/>
            <w:tcBorders>
              <w:top w:val="single" w:color="auto" w:sz="4" w:space="0"/>
              <w:left w:val="single" w:color="auto" w:sz="4" w:space="0"/>
              <w:bottom w:val="single" w:color="auto" w:sz="4" w:space="0"/>
              <w:right w:val="single" w:color="auto" w:sz="8" w:space="0"/>
            </w:tcBorders>
            <w:vAlign w:val="center"/>
          </w:tcPr>
          <w:p>
            <w:pPr>
              <w:pStyle w:val="79"/>
              <w:ind w:firstLine="0" w:firstLineChars="0"/>
              <w:rPr>
                <w:rFonts w:hint="default" w:ascii="Times New Roman" w:hAnsi="Times New Roman" w:eastAsia="宋体" w:cs="Times New Roman"/>
                <w:color w:val="auto"/>
                <w:kern w:val="2"/>
                <w:sz w:val="21"/>
                <w:szCs w:val="18"/>
                <w:lang w:val="en-US" w:eastAsia="zh-CN" w:bidi="ar-SA"/>
              </w:rPr>
            </w:pPr>
            <w:r>
              <w:rPr>
                <w:rFonts w:hint="eastAsia" w:ascii="Times New Roman" w:hAnsi="Times New Roman" w:eastAsia="宋体" w:cs="Times New Roman"/>
                <w:color w:val="auto"/>
                <w:lang w:val="en-US" w:eastAsia="zh-CN"/>
              </w:rPr>
              <w:t>0.1093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162" w:type="dxa"/>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一般工业</w:t>
            </w:r>
          </w:p>
          <w:p>
            <w:pPr>
              <w:widowControl/>
              <w:jc w:val="left"/>
              <w:rPr>
                <w:rFonts w:ascii="Times New Roman" w:hAnsi="Times New Roman" w:eastAsia="宋体" w:cs="Times New Roman"/>
                <w:snapToGrid w:val="0"/>
                <w:color w:val="auto"/>
                <w:szCs w:val="21"/>
              </w:rPr>
            </w:pPr>
            <w:r>
              <w:rPr>
                <w:rFonts w:ascii="Times New Roman" w:hAnsi="Times New Roman" w:eastAsia="宋体" w:cs="Times New Roman"/>
                <w:snapToGrid w:val="0"/>
                <w:color w:val="auto"/>
                <w:szCs w:val="21"/>
              </w:rPr>
              <w:t>固体废物</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snapToGrid w:val="0"/>
                <w:color w:val="auto"/>
                <w:szCs w:val="21"/>
                <w:lang w:val="en-US" w:eastAsia="zh-CN"/>
              </w:rPr>
            </w:pPr>
            <w:r>
              <w:rPr>
                <w:rFonts w:hint="eastAsia" w:ascii="Times New Roman" w:hAnsi="Times New Roman" w:eastAsia="宋体" w:cs="Times New Roman"/>
                <w:color w:val="auto"/>
                <w:szCs w:val="21"/>
                <w:lang w:val="en-US" w:eastAsia="zh-CN"/>
              </w:rPr>
              <w:t>废包装物</w:t>
            </w: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1134"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kern w:val="21"/>
                <w:szCs w:val="21"/>
                <w:lang w:val="en-US" w:eastAsia="zh-CN"/>
              </w:rPr>
              <w:t>0</w:t>
            </w:r>
          </w:p>
        </w:tc>
        <w:tc>
          <w:tcPr>
            <w:tcW w:w="1840"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1286" w:type="dxa"/>
            <w:tcBorders>
              <w:top w:val="single" w:color="auto" w:sz="4" w:space="0"/>
              <w:left w:val="single" w:color="auto" w:sz="4" w:space="0"/>
              <w:bottom w:val="single" w:color="auto" w:sz="4" w:space="0"/>
              <w:right w:val="single" w:color="auto" w:sz="8" w:space="0"/>
            </w:tcBorders>
            <w:vAlign w:val="center"/>
          </w:tcPr>
          <w:p>
            <w:pPr>
              <w:pStyle w:val="59"/>
              <w:adjustRightInd w:val="0"/>
              <w:rPr>
                <w:color w:val="auto"/>
                <w:szCs w:val="21"/>
              </w:rPr>
            </w:pPr>
            <w:r>
              <w:rPr>
                <w:rFonts w:hint="eastAsia"/>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162" w:type="dxa"/>
            <w:tcBorders>
              <w:top w:val="single" w:color="auto" w:sz="4" w:space="0"/>
              <w:left w:val="single" w:color="auto" w:sz="8" w:space="0"/>
              <w:bottom w:val="single" w:color="auto" w:sz="4" w:space="0"/>
              <w:right w:val="single" w:color="auto" w:sz="4" w:space="0"/>
            </w:tcBorders>
            <w:vAlign w:val="center"/>
          </w:tcPr>
          <w:p>
            <w:pPr>
              <w:pStyle w:val="59"/>
              <w:adjustRightInd w:val="0"/>
              <w:rPr>
                <w:snapToGrid w:val="0"/>
                <w:color w:val="auto"/>
                <w:szCs w:val="21"/>
              </w:rPr>
            </w:pPr>
            <w:r>
              <w:rPr>
                <w:snapToGrid w:val="0"/>
                <w:color w:val="auto"/>
                <w:szCs w:val="21"/>
              </w:rPr>
              <w:t>危险废物</w:t>
            </w:r>
          </w:p>
        </w:tc>
        <w:tc>
          <w:tcPr>
            <w:tcW w:w="1843"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color w:val="auto"/>
                <w:szCs w:val="21"/>
              </w:rPr>
              <w:t>废含油棉纱、手套</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eastAsia="zh-CN"/>
              </w:rPr>
              <w:t>废</w:t>
            </w:r>
            <w:r>
              <w:rPr>
                <w:rFonts w:hint="eastAsia" w:ascii="Times New Roman" w:hAnsi="Times New Roman" w:eastAsia="宋体" w:cs="Times New Roman"/>
                <w:color w:val="auto"/>
                <w:szCs w:val="21"/>
                <w:lang w:val="en-US" w:eastAsia="zh-CN"/>
              </w:rPr>
              <w:t>液压油</w:t>
            </w:r>
          </w:p>
        </w:tc>
        <w:tc>
          <w:tcPr>
            <w:tcW w:w="1559"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1.1</w:t>
            </w:r>
          </w:p>
        </w:tc>
        <w:tc>
          <w:tcPr>
            <w:tcW w:w="1134" w:type="dxa"/>
            <w:tcBorders>
              <w:top w:val="single" w:color="auto" w:sz="4" w:space="0"/>
              <w:left w:val="single" w:color="auto" w:sz="4" w:space="0"/>
              <w:bottom w:val="single" w:color="auto" w:sz="4" w:space="0"/>
              <w:right w:val="single" w:color="auto" w:sz="4" w:space="0"/>
            </w:tcBorders>
            <w:vAlign w:val="center"/>
          </w:tcPr>
          <w:p>
            <w:pPr>
              <w:pStyle w:val="59"/>
              <w:adjustRightInd w:val="0"/>
              <w:rPr>
                <w:snapToGrid w:val="0"/>
                <w:color w:val="auto"/>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pStyle w:val="59"/>
              <w:adjustRightInd w:val="0"/>
              <w:rPr>
                <w:snapToGrid w:val="0"/>
                <w:color w:val="auto"/>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0</w:t>
            </w:r>
          </w:p>
        </w:tc>
        <w:tc>
          <w:tcPr>
            <w:tcW w:w="1840"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ascii="Times New Roman" w:hAnsi="Times New Roman" w:eastAsia="宋体" w:cs="Times New Roman"/>
                <w:snapToGrid w:val="0"/>
                <w:color w:val="auto"/>
                <w:kern w:val="2"/>
                <w:sz w:val="21"/>
                <w:szCs w:val="21"/>
                <w:lang w:val="en-US" w:eastAsia="zh-CN" w:bidi="ar-SA"/>
              </w:rPr>
            </w:pPr>
          </w:p>
        </w:tc>
        <w:tc>
          <w:tcPr>
            <w:tcW w:w="1842" w:type="dxa"/>
            <w:tcBorders>
              <w:top w:val="single" w:color="auto" w:sz="4" w:space="0"/>
              <w:left w:val="single" w:color="auto" w:sz="4" w:space="0"/>
              <w:bottom w:val="single" w:color="auto" w:sz="4" w:space="0"/>
              <w:right w:val="single" w:color="auto" w:sz="4" w:space="0"/>
            </w:tcBorders>
            <w:vAlign w:val="center"/>
          </w:tcPr>
          <w:p>
            <w:pPr>
              <w:pStyle w:val="59"/>
              <w:adjustRightInd w:val="0"/>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kern w:val="21"/>
                <w:szCs w:val="21"/>
                <w:lang w:val="en-US" w:eastAsia="zh-CN"/>
              </w:rPr>
              <w:t>1.1</w:t>
            </w:r>
          </w:p>
        </w:tc>
        <w:tc>
          <w:tcPr>
            <w:tcW w:w="1286" w:type="dxa"/>
            <w:tcBorders>
              <w:top w:val="single" w:color="auto" w:sz="4" w:space="0"/>
              <w:left w:val="single" w:color="auto" w:sz="4" w:space="0"/>
              <w:bottom w:val="single" w:color="auto" w:sz="4" w:space="0"/>
              <w:right w:val="single" w:color="auto" w:sz="8" w:space="0"/>
            </w:tcBorders>
            <w:vAlign w:val="center"/>
          </w:tcPr>
          <w:p>
            <w:pPr>
              <w:pStyle w:val="59"/>
              <w:adjustRightInd w:val="0"/>
              <w:rPr>
                <w:rFonts w:hint="eastAsia" w:ascii="Times New Roman" w:hAnsi="Times New Roman" w:eastAsia="宋体" w:cs="Times New Roman"/>
                <w:snapToGrid w:val="0"/>
                <w:color w:val="auto"/>
                <w:kern w:val="2"/>
                <w:sz w:val="21"/>
                <w:szCs w:val="21"/>
                <w:lang w:val="en-US" w:eastAsia="zh-CN" w:bidi="ar-SA"/>
              </w:rPr>
            </w:pPr>
            <w:r>
              <w:rPr>
                <w:rFonts w:hint="eastAsia"/>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162" w:type="dxa"/>
            <w:tcBorders>
              <w:top w:val="single" w:color="auto" w:sz="4" w:space="0"/>
              <w:left w:val="single" w:color="auto" w:sz="8" w:space="0"/>
              <w:bottom w:val="single" w:color="auto" w:sz="8" w:space="0"/>
              <w:right w:val="single" w:color="auto" w:sz="4" w:space="0"/>
            </w:tcBorders>
            <w:vAlign w:val="center"/>
          </w:tcPr>
          <w:p>
            <w:pPr>
              <w:pStyle w:val="59"/>
              <w:adjustRightInd w:val="0"/>
              <w:rPr>
                <w:snapToGrid w:val="0"/>
                <w:color w:val="auto"/>
                <w:szCs w:val="21"/>
              </w:rPr>
            </w:pPr>
            <w:r>
              <w:rPr>
                <w:snapToGrid w:val="0"/>
                <w:color w:val="auto"/>
                <w:szCs w:val="21"/>
              </w:rPr>
              <w:t>其他</w:t>
            </w:r>
          </w:p>
        </w:tc>
        <w:tc>
          <w:tcPr>
            <w:tcW w:w="1843" w:type="dxa"/>
            <w:tcBorders>
              <w:top w:val="single" w:color="auto" w:sz="4" w:space="0"/>
              <w:left w:val="single" w:color="auto" w:sz="4" w:space="0"/>
              <w:bottom w:val="single" w:color="auto" w:sz="8" w:space="0"/>
              <w:right w:val="single" w:color="auto" w:sz="4" w:space="0"/>
            </w:tcBorders>
            <w:vAlign w:val="center"/>
          </w:tcPr>
          <w:p>
            <w:pPr>
              <w:adjustRightIn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生活垃圾</w:t>
            </w:r>
          </w:p>
        </w:tc>
        <w:tc>
          <w:tcPr>
            <w:tcW w:w="1559" w:type="dxa"/>
            <w:tcBorders>
              <w:top w:val="single" w:color="auto" w:sz="4" w:space="0"/>
              <w:left w:val="single" w:color="auto" w:sz="4" w:space="0"/>
              <w:bottom w:val="single" w:color="auto" w:sz="8" w:space="0"/>
              <w:right w:val="single" w:color="auto" w:sz="4" w:space="0"/>
            </w:tcBorders>
            <w:vAlign w:val="center"/>
          </w:tcPr>
          <w:p>
            <w:pPr>
              <w:pStyle w:val="59"/>
              <w:adjustRightInd w:val="0"/>
              <w:rPr>
                <w:rFonts w:hint="default" w:eastAsia="宋体"/>
                <w:snapToGrid w:val="0"/>
                <w:color w:val="auto"/>
                <w:szCs w:val="21"/>
                <w:lang w:val="en-US" w:eastAsia="zh-CN"/>
              </w:rPr>
            </w:pPr>
            <w:r>
              <w:rPr>
                <w:rFonts w:hint="eastAsia"/>
                <w:snapToGrid w:val="0"/>
                <w:color w:val="auto"/>
                <w:szCs w:val="21"/>
                <w:lang w:val="en-US" w:eastAsia="zh-CN"/>
              </w:rPr>
              <w:t>5.32</w:t>
            </w:r>
          </w:p>
        </w:tc>
        <w:tc>
          <w:tcPr>
            <w:tcW w:w="1134" w:type="dxa"/>
            <w:tcBorders>
              <w:top w:val="single" w:color="auto" w:sz="4" w:space="0"/>
              <w:left w:val="single" w:color="auto" w:sz="4" w:space="0"/>
              <w:bottom w:val="single" w:color="auto" w:sz="8" w:space="0"/>
              <w:right w:val="single" w:color="auto" w:sz="4" w:space="0"/>
            </w:tcBorders>
            <w:vAlign w:val="center"/>
          </w:tcPr>
          <w:p>
            <w:pPr>
              <w:pStyle w:val="59"/>
              <w:adjustRightInd w:val="0"/>
              <w:rPr>
                <w:snapToGrid w:val="0"/>
                <w:color w:val="auto"/>
                <w:szCs w:val="21"/>
              </w:rPr>
            </w:pPr>
          </w:p>
        </w:tc>
        <w:tc>
          <w:tcPr>
            <w:tcW w:w="1560" w:type="dxa"/>
            <w:tcBorders>
              <w:top w:val="single" w:color="auto" w:sz="4" w:space="0"/>
              <w:left w:val="single" w:color="auto" w:sz="4" w:space="0"/>
              <w:bottom w:val="single" w:color="auto" w:sz="8" w:space="0"/>
              <w:right w:val="single" w:color="auto" w:sz="4" w:space="0"/>
            </w:tcBorders>
            <w:vAlign w:val="center"/>
          </w:tcPr>
          <w:p>
            <w:pPr>
              <w:pStyle w:val="59"/>
              <w:adjustRightInd w:val="0"/>
              <w:rPr>
                <w:snapToGrid w:val="0"/>
                <w:color w:val="auto"/>
                <w:szCs w:val="21"/>
              </w:rPr>
            </w:pPr>
          </w:p>
        </w:tc>
        <w:tc>
          <w:tcPr>
            <w:tcW w:w="1559" w:type="dxa"/>
            <w:tcBorders>
              <w:top w:val="single" w:color="auto" w:sz="4" w:space="0"/>
              <w:left w:val="single" w:color="auto" w:sz="4" w:space="0"/>
              <w:bottom w:val="single" w:color="auto" w:sz="8" w:space="0"/>
              <w:right w:val="single" w:color="auto" w:sz="4" w:space="0"/>
            </w:tcBorders>
            <w:vAlign w:val="center"/>
          </w:tcPr>
          <w:p>
            <w:pPr>
              <w:pStyle w:val="59"/>
              <w:adjustRightInd w:val="0"/>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kern w:val="21"/>
                <w:szCs w:val="21"/>
                <w:lang w:val="en-US" w:eastAsia="zh-CN"/>
              </w:rPr>
              <w:t>0</w:t>
            </w:r>
          </w:p>
        </w:tc>
        <w:tc>
          <w:tcPr>
            <w:tcW w:w="1840" w:type="dxa"/>
            <w:tcBorders>
              <w:top w:val="single" w:color="auto" w:sz="4" w:space="0"/>
              <w:left w:val="single" w:color="auto" w:sz="4" w:space="0"/>
              <w:bottom w:val="single" w:color="auto" w:sz="8" w:space="0"/>
              <w:right w:val="single" w:color="auto" w:sz="4" w:space="0"/>
            </w:tcBorders>
            <w:vAlign w:val="center"/>
          </w:tcPr>
          <w:p>
            <w:pPr>
              <w:pStyle w:val="59"/>
              <w:adjustRightInd w:val="0"/>
              <w:rPr>
                <w:rFonts w:hint="default" w:ascii="Times New Roman" w:hAnsi="Times New Roman" w:eastAsia="宋体" w:cs="Times New Roman"/>
                <w:snapToGrid w:val="0"/>
                <w:color w:val="auto"/>
                <w:kern w:val="2"/>
                <w:sz w:val="21"/>
                <w:szCs w:val="21"/>
                <w:lang w:val="en-US" w:eastAsia="zh-CN" w:bidi="ar-SA"/>
              </w:rPr>
            </w:pPr>
          </w:p>
        </w:tc>
        <w:tc>
          <w:tcPr>
            <w:tcW w:w="1842" w:type="dxa"/>
            <w:tcBorders>
              <w:top w:val="single" w:color="auto" w:sz="4" w:space="0"/>
              <w:left w:val="single" w:color="auto" w:sz="4" w:space="0"/>
              <w:bottom w:val="single" w:color="auto" w:sz="8" w:space="0"/>
              <w:right w:val="single" w:color="auto" w:sz="4" w:space="0"/>
            </w:tcBorders>
            <w:vAlign w:val="center"/>
          </w:tcPr>
          <w:p>
            <w:pPr>
              <w:pStyle w:val="59"/>
              <w:adjustRightInd w:val="0"/>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kern w:val="21"/>
                <w:szCs w:val="21"/>
                <w:lang w:val="en-US" w:eastAsia="zh-CN"/>
              </w:rPr>
              <w:t>5.32</w:t>
            </w:r>
          </w:p>
        </w:tc>
        <w:tc>
          <w:tcPr>
            <w:tcW w:w="1286" w:type="dxa"/>
            <w:tcBorders>
              <w:top w:val="single" w:color="auto" w:sz="4" w:space="0"/>
              <w:left w:val="single" w:color="auto" w:sz="4" w:space="0"/>
              <w:bottom w:val="single" w:color="auto" w:sz="8" w:space="0"/>
              <w:right w:val="single" w:color="auto" w:sz="8" w:space="0"/>
            </w:tcBorders>
            <w:vAlign w:val="center"/>
          </w:tcPr>
          <w:p>
            <w:pPr>
              <w:pStyle w:val="59"/>
              <w:adjustRightInd w:val="0"/>
              <w:rPr>
                <w:color w:val="auto"/>
                <w:szCs w:val="21"/>
              </w:rPr>
            </w:pPr>
            <w:r>
              <w:rPr>
                <w:rFonts w:hint="eastAsia"/>
                <w:snapToGrid w:val="0"/>
                <w:color w:val="auto"/>
                <w:kern w:val="21"/>
                <w:szCs w:val="21"/>
                <w:lang w:val="en-US" w:eastAsia="zh-CN"/>
              </w:rPr>
              <w:t>0</w:t>
            </w:r>
          </w:p>
        </w:tc>
      </w:tr>
    </w:tbl>
    <w:p>
      <w:pPr>
        <w:pStyle w:val="66"/>
        <w:outlineLvl w:val="9"/>
        <w:rPr>
          <w:snapToGrid w:val="0"/>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snapToGrid w:val="0"/>
        </w:rPr>
        <w:t>注：</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ascii="宋体" w:hAnsi="宋体" w:cs="宋体"/>
        </w:rPr>
        <w:t>⑥</w:t>
      </w:r>
      <w:r>
        <w:rPr>
          <w:snapToGrid w:val="0"/>
          <w:spacing w:val="-16"/>
        </w:rPr>
        <w:fldChar w:fldCharType="end"/>
      </w:r>
      <w:r>
        <w:rPr>
          <w:snapToGrid w:val="0"/>
          <w:spacing w:val="-16"/>
        </w:rPr>
        <w:t>=</w:t>
      </w:r>
      <w:r>
        <w:rPr>
          <w:snapToGrid w:val="0"/>
        </w:rPr>
        <w:fldChar w:fldCharType="begin"/>
      </w:r>
      <w:r>
        <w:rPr>
          <w:snapToGrid w:val="0"/>
        </w:rPr>
        <w:instrText xml:space="preserve"> = 1 \* GB3 \* MERGEFORMAT </w:instrText>
      </w:r>
      <w:r>
        <w:rPr>
          <w:snapToGrid w:val="0"/>
        </w:rPr>
        <w:fldChar w:fldCharType="separate"/>
      </w:r>
      <w:r>
        <w:rPr>
          <w:rFonts w:hint="eastAsia" w:ascii="宋体" w:hAnsi="宋体" w:cs="宋体"/>
        </w:rPr>
        <w:t>①</w:t>
      </w:r>
      <w:r>
        <w:rPr>
          <w:snapToGrid w:val="0"/>
        </w:rPr>
        <w:fldChar w:fldCharType="end"/>
      </w:r>
      <w:r>
        <w:rPr>
          <w:snapToGrid w:val="0"/>
        </w:rPr>
        <w:t>+</w:t>
      </w:r>
      <w:r>
        <w:rPr>
          <w:snapToGrid w:val="0"/>
        </w:rPr>
        <w:fldChar w:fldCharType="begin"/>
      </w:r>
      <w:r>
        <w:rPr>
          <w:snapToGrid w:val="0"/>
        </w:rPr>
        <w:instrText xml:space="preserve"> = 3 \* GB3 \* MERGEFORMAT </w:instrText>
      </w:r>
      <w:r>
        <w:rPr>
          <w:snapToGrid w:val="0"/>
        </w:rPr>
        <w:fldChar w:fldCharType="separate"/>
      </w:r>
      <w:r>
        <w:rPr>
          <w:rFonts w:hint="eastAsia" w:ascii="宋体" w:hAnsi="宋体" w:cs="宋体"/>
        </w:rPr>
        <w:t>③</w:t>
      </w:r>
      <w:r>
        <w:rPr>
          <w:snapToGrid w:val="0"/>
        </w:rPr>
        <w:fldChar w:fldCharType="end"/>
      </w:r>
      <w:r>
        <w:rPr>
          <w:snapToGrid w:val="0"/>
        </w:rPr>
        <w:t>+</w:t>
      </w:r>
      <w:r>
        <w:rPr>
          <w:snapToGrid w:val="0"/>
        </w:rPr>
        <w:fldChar w:fldCharType="begin"/>
      </w:r>
      <w:r>
        <w:rPr>
          <w:snapToGrid w:val="0"/>
        </w:rPr>
        <w:instrText xml:space="preserve"> = 4 \* GB3 \* MERGEFORMAT </w:instrText>
      </w:r>
      <w:r>
        <w:rPr>
          <w:snapToGrid w:val="0"/>
        </w:rPr>
        <w:fldChar w:fldCharType="separate"/>
      </w:r>
      <w:r>
        <w:rPr>
          <w:rFonts w:hint="eastAsia" w:ascii="宋体" w:hAnsi="宋体" w:cs="宋体"/>
        </w:rPr>
        <w:t>④</w:t>
      </w:r>
      <w:r>
        <w:rPr>
          <w:snapToGrid w:val="0"/>
        </w:rPr>
        <w:fldChar w:fldCharType="end"/>
      </w:r>
      <w:r>
        <w:rPr>
          <w:snapToGrid w:val="0"/>
        </w:rPr>
        <w:t>-</w:t>
      </w:r>
      <w:r>
        <w:rPr>
          <w:snapToGrid w:val="0"/>
          <w:spacing w:val="-16"/>
        </w:rPr>
        <w:fldChar w:fldCharType="begin"/>
      </w:r>
      <w:r>
        <w:rPr>
          <w:snapToGrid w:val="0"/>
          <w:spacing w:val="-16"/>
        </w:rPr>
        <w:instrText xml:space="preserve"> = 5 \* GB3 \* MERGEFORMAT </w:instrText>
      </w:r>
      <w:r>
        <w:rPr>
          <w:snapToGrid w:val="0"/>
          <w:spacing w:val="-16"/>
        </w:rPr>
        <w:fldChar w:fldCharType="separate"/>
      </w:r>
      <w:r>
        <w:rPr>
          <w:rFonts w:hint="eastAsia" w:ascii="宋体" w:hAnsi="宋体" w:cs="宋体"/>
        </w:rPr>
        <w:t>⑤</w:t>
      </w:r>
      <w:r>
        <w:rPr>
          <w:snapToGrid w:val="0"/>
          <w:spacing w:val="-16"/>
        </w:rPr>
        <w:fldChar w:fldCharType="end"/>
      </w:r>
      <w:r>
        <w:rPr>
          <w:snapToGrid w:val="0"/>
          <w:spacing w:val="-16"/>
        </w:rPr>
        <w:t>；</w:t>
      </w:r>
      <w:r>
        <w:rPr>
          <w:snapToGrid w:val="0"/>
        </w:rPr>
        <w:fldChar w:fldCharType="begin"/>
      </w:r>
      <w:r>
        <w:rPr>
          <w:snapToGrid w:val="0"/>
        </w:rPr>
        <w:instrText xml:space="preserve"> = 7 \* GB3 \* MERGEFORMAT </w:instrText>
      </w:r>
      <w:r>
        <w:rPr>
          <w:snapToGrid w:val="0"/>
        </w:rPr>
        <w:fldChar w:fldCharType="separate"/>
      </w:r>
      <w:r>
        <w:rPr>
          <w:rFonts w:hint="eastAsia" w:ascii="宋体" w:hAnsi="宋体" w:cs="宋体"/>
        </w:rPr>
        <w:t>⑦</w:t>
      </w:r>
      <w:r>
        <w:rPr>
          <w:snapToGrid w:val="0"/>
        </w:rPr>
        <w:fldChar w:fldCharType="end"/>
      </w:r>
      <w:r>
        <w:rPr>
          <w:snapToGrid w:val="0"/>
        </w:rPr>
        <w:t>=</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ascii="宋体" w:hAnsi="宋体" w:cs="宋体"/>
        </w:rPr>
        <w:t>⑥</w:t>
      </w:r>
      <w:r>
        <w:rPr>
          <w:snapToGrid w:val="0"/>
          <w:spacing w:val="-16"/>
        </w:rPr>
        <w:fldChar w:fldCharType="end"/>
      </w:r>
      <w:r>
        <w:rPr>
          <w:snapToGrid w:val="0"/>
          <w:spacing w:val="-16"/>
        </w:rPr>
        <w:t>-</w:t>
      </w:r>
      <w:r>
        <w:rPr>
          <w:snapToGrid w:val="0"/>
        </w:rPr>
        <w:fldChar w:fldCharType="begin"/>
      </w:r>
      <w:r>
        <w:rPr>
          <w:snapToGrid w:val="0"/>
        </w:rPr>
        <w:instrText xml:space="preserve"> = 1 \* GB3 \* MERGEFORMAT </w:instrText>
      </w:r>
      <w:r>
        <w:rPr>
          <w:snapToGrid w:val="0"/>
        </w:rPr>
        <w:fldChar w:fldCharType="separate"/>
      </w:r>
      <w:r>
        <w:rPr>
          <w:rFonts w:hint="eastAsia" w:ascii="宋体" w:hAnsi="宋体" w:cs="宋体"/>
        </w:rPr>
        <w:t>①</w:t>
      </w:r>
      <w:r>
        <w:rPr>
          <w:snapToGrid w:val="0"/>
        </w:rPr>
        <w:fldChar w:fldCharType="end"/>
      </w:r>
    </w:p>
    <w:p>
      <w:pPr>
        <w:pStyle w:val="66"/>
        <w:outlineLvl w:val="9"/>
        <w:rPr>
          <w:snapToGrid w:val="0"/>
        </w:rPr>
      </w:pPr>
      <w:r>
        <w:drawing>
          <wp:inline distT="0" distB="0" distL="114300" distR="114300">
            <wp:extent cx="5269865" cy="6914515"/>
            <wp:effectExtent l="0" t="0" r="6985" b="63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7"/>
                    <a:stretch>
                      <a:fillRect/>
                    </a:stretch>
                  </pic:blipFill>
                  <pic:spPr>
                    <a:xfrm>
                      <a:off x="0" y="0"/>
                      <a:ext cx="5269865" cy="6914515"/>
                    </a:xfrm>
                    <a:prstGeom prst="rect">
                      <a:avLst/>
                    </a:prstGeom>
                    <a:noFill/>
                    <a:ln>
                      <a:noFill/>
                    </a:ln>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宋体..惡猀.">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imes">
    <w:altName w:val="Times New Roman"/>
    <w:panose1 w:val="02020603050405020304"/>
    <w:charset w:val="00"/>
    <w:family w:val="roma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等线 Light">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1811222"/>
      <w:docPartObj>
        <w:docPartGallery w:val="autotext"/>
      </w:docPartObj>
    </w:sdtPr>
    <w:sdtContent>
      <w:p>
        <w:pPr>
          <w:pStyle w:val="15"/>
          <w:jc w:val="center"/>
        </w:pPr>
        <w:r>
          <w:rPr>
            <w:rFonts w:ascii="宋体" w:hAnsi="宋体" w:eastAsia="宋体"/>
            <w:sz w:val="22"/>
            <w:szCs w:val="22"/>
          </w:rPr>
          <w:fldChar w:fldCharType="begin"/>
        </w:r>
        <w:r>
          <w:rPr>
            <w:rFonts w:ascii="宋体" w:hAnsi="宋体" w:eastAsia="宋体"/>
            <w:sz w:val="22"/>
            <w:szCs w:val="22"/>
          </w:rPr>
          <w:instrText xml:space="preserve">PAGE   \* MERGEFORMAT</w:instrText>
        </w:r>
        <w:r>
          <w:rPr>
            <w:rFonts w:ascii="宋体" w:hAnsi="宋体" w:eastAsia="宋体"/>
            <w:sz w:val="22"/>
            <w:szCs w:val="22"/>
          </w:rPr>
          <w:fldChar w:fldCharType="separate"/>
        </w:r>
        <w:r>
          <w:rPr>
            <w:rFonts w:ascii="宋体" w:hAnsi="宋体" w:eastAsia="宋体"/>
            <w:sz w:val="22"/>
            <w:szCs w:val="22"/>
            <w:lang w:val="zh-CN"/>
          </w:rPr>
          <w:t>-</w:t>
        </w:r>
        <w:r>
          <w:rPr>
            <w:rFonts w:ascii="宋体" w:hAnsi="宋体" w:eastAsia="宋体"/>
            <w:sz w:val="22"/>
            <w:szCs w:val="22"/>
          </w:rPr>
          <w:t xml:space="preserve"> 96 -</w:t>
        </w:r>
        <w:r>
          <w:rPr>
            <w:rFonts w:ascii="宋体" w:hAnsi="宋体" w:eastAsia="宋体"/>
            <w:sz w:val="22"/>
            <w:szCs w:val="22"/>
          </w:rPr>
          <w:fldChar w:fldCharType="end"/>
        </w:r>
      </w:p>
    </w:sdtContent>
  </w:sdt>
  <w:p>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FB6261"/>
    <w:multiLevelType w:val="singleLevel"/>
    <w:tmpl w:val="0EFB6261"/>
    <w:lvl w:ilvl="0" w:tentative="0">
      <w:start w:val="3"/>
      <w:numFmt w:val="chineseCounting"/>
      <w:suff w:val="space"/>
      <w:lvlText w:val="第%1条"/>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iMzBjMzcyYTc0ZTQ5ZDg5MDU4ZDU5MjkyNGRjNGQifQ=="/>
  </w:docVars>
  <w:rsids>
    <w:rsidRoot w:val="00172A27"/>
    <w:rsid w:val="00000429"/>
    <w:rsid w:val="000040D6"/>
    <w:rsid w:val="00004C26"/>
    <w:rsid w:val="0000544B"/>
    <w:rsid w:val="00012025"/>
    <w:rsid w:val="000122E0"/>
    <w:rsid w:val="0001436D"/>
    <w:rsid w:val="00014871"/>
    <w:rsid w:val="00020388"/>
    <w:rsid w:val="000206F2"/>
    <w:rsid w:val="00020AAA"/>
    <w:rsid w:val="000239DF"/>
    <w:rsid w:val="000251C7"/>
    <w:rsid w:val="000266F0"/>
    <w:rsid w:val="0002690A"/>
    <w:rsid w:val="000273C4"/>
    <w:rsid w:val="0003058B"/>
    <w:rsid w:val="000328FD"/>
    <w:rsid w:val="000341F5"/>
    <w:rsid w:val="00034C8E"/>
    <w:rsid w:val="000351B6"/>
    <w:rsid w:val="0003635A"/>
    <w:rsid w:val="00040D8E"/>
    <w:rsid w:val="00043B80"/>
    <w:rsid w:val="00046661"/>
    <w:rsid w:val="00047062"/>
    <w:rsid w:val="00047E39"/>
    <w:rsid w:val="00047F0E"/>
    <w:rsid w:val="00053F08"/>
    <w:rsid w:val="00054BF6"/>
    <w:rsid w:val="00057559"/>
    <w:rsid w:val="00057B7F"/>
    <w:rsid w:val="00057F2C"/>
    <w:rsid w:val="00062865"/>
    <w:rsid w:val="00062D06"/>
    <w:rsid w:val="00063A85"/>
    <w:rsid w:val="00066CB2"/>
    <w:rsid w:val="0007092B"/>
    <w:rsid w:val="00071BD1"/>
    <w:rsid w:val="00074C77"/>
    <w:rsid w:val="00074ED5"/>
    <w:rsid w:val="000810B6"/>
    <w:rsid w:val="00081796"/>
    <w:rsid w:val="0008535F"/>
    <w:rsid w:val="00087EFA"/>
    <w:rsid w:val="00092873"/>
    <w:rsid w:val="000969D9"/>
    <w:rsid w:val="00097D1E"/>
    <w:rsid w:val="000A0B08"/>
    <w:rsid w:val="000A1462"/>
    <w:rsid w:val="000A5455"/>
    <w:rsid w:val="000A54B0"/>
    <w:rsid w:val="000A61D4"/>
    <w:rsid w:val="000A657A"/>
    <w:rsid w:val="000A6EA1"/>
    <w:rsid w:val="000A72E1"/>
    <w:rsid w:val="000A77CE"/>
    <w:rsid w:val="000A7BA7"/>
    <w:rsid w:val="000B0C34"/>
    <w:rsid w:val="000B1ACE"/>
    <w:rsid w:val="000B2D4E"/>
    <w:rsid w:val="000B3E29"/>
    <w:rsid w:val="000B4EFA"/>
    <w:rsid w:val="000B7B8D"/>
    <w:rsid w:val="000C1608"/>
    <w:rsid w:val="000C3368"/>
    <w:rsid w:val="000C59FB"/>
    <w:rsid w:val="000C5F09"/>
    <w:rsid w:val="000D4A69"/>
    <w:rsid w:val="000E0AC4"/>
    <w:rsid w:val="000E0C83"/>
    <w:rsid w:val="000E284D"/>
    <w:rsid w:val="000E56E5"/>
    <w:rsid w:val="000E6299"/>
    <w:rsid w:val="000F3D63"/>
    <w:rsid w:val="000F7405"/>
    <w:rsid w:val="00101B78"/>
    <w:rsid w:val="001031EE"/>
    <w:rsid w:val="0010441B"/>
    <w:rsid w:val="0010501A"/>
    <w:rsid w:val="001050BF"/>
    <w:rsid w:val="001073E1"/>
    <w:rsid w:val="00107857"/>
    <w:rsid w:val="00111EF1"/>
    <w:rsid w:val="00112508"/>
    <w:rsid w:val="001127DB"/>
    <w:rsid w:val="001155AC"/>
    <w:rsid w:val="0011778D"/>
    <w:rsid w:val="001212FB"/>
    <w:rsid w:val="00123E93"/>
    <w:rsid w:val="0012463D"/>
    <w:rsid w:val="00124649"/>
    <w:rsid w:val="0012466D"/>
    <w:rsid w:val="00125B2A"/>
    <w:rsid w:val="00125F42"/>
    <w:rsid w:val="00130452"/>
    <w:rsid w:val="00130A20"/>
    <w:rsid w:val="00130FF3"/>
    <w:rsid w:val="00131203"/>
    <w:rsid w:val="001339E3"/>
    <w:rsid w:val="00134748"/>
    <w:rsid w:val="001351B5"/>
    <w:rsid w:val="0013602E"/>
    <w:rsid w:val="0013629C"/>
    <w:rsid w:val="00137583"/>
    <w:rsid w:val="00137C6E"/>
    <w:rsid w:val="00141157"/>
    <w:rsid w:val="00144D52"/>
    <w:rsid w:val="001450FF"/>
    <w:rsid w:val="001502BA"/>
    <w:rsid w:val="001510E5"/>
    <w:rsid w:val="00151C95"/>
    <w:rsid w:val="00153036"/>
    <w:rsid w:val="00153DAF"/>
    <w:rsid w:val="001548B1"/>
    <w:rsid w:val="001553BC"/>
    <w:rsid w:val="00155FA3"/>
    <w:rsid w:val="00157B9F"/>
    <w:rsid w:val="001618BC"/>
    <w:rsid w:val="00161965"/>
    <w:rsid w:val="00164AC1"/>
    <w:rsid w:val="00165E04"/>
    <w:rsid w:val="00172FA7"/>
    <w:rsid w:val="001766B0"/>
    <w:rsid w:val="001777FA"/>
    <w:rsid w:val="00180139"/>
    <w:rsid w:val="00180582"/>
    <w:rsid w:val="00181722"/>
    <w:rsid w:val="00184D18"/>
    <w:rsid w:val="001903E6"/>
    <w:rsid w:val="00190F18"/>
    <w:rsid w:val="0019310A"/>
    <w:rsid w:val="001961BD"/>
    <w:rsid w:val="001A02B8"/>
    <w:rsid w:val="001A0D76"/>
    <w:rsid w:val="001A1A8D"/>
    <w:rsid w:val="001A1F30"/>
    <w:rsid w:val="001A2346"/>
    <w:rsid w:val="001A2540"/>
    <w:rsid w:val="001A3E4A"/>
    <w:rsid w:val="001A3F29"/>
    <w:rsid w:val="001A46E5"/>
    <w:rsid w:val="001A5196"/>
    <w:rsid w:val="001A624F"/>
    <w:rsid w:val="001A6367"/>
    <w:rsid w:val="001A6453"/>
    <w:rsid w:val="001B223C"/>
    <w:rsid w:val="001B35D9"/>
    <w:rsid w:val="001B4238"/>
    <w:rsid w:val="001B6918"/>
    <w:rsid w:val="001B6E2D"/>
    <w:rsid w:val="001C10C3"/>
    <w:rsid w:val="001C4A7D"/>
    <w:rsid w:val="001D1671"/>
    <w:rsid w:val="001D2132"/>
    <w:rsid w:val="001D291F"/>
    <w:rsid w:val="001D4206"/>
    <w:rsid w:val="001D51FA"/>
    <w:rsid w:val="001E01B6"/>
    <w:rsid w:val="001E0464"/>
    <w:rsid w:val="001E0BE4"/>
    <w:rsid w:val="001E217F"/>
    <w:rsid w:val="001E4460"/>
    <w:rsid w:val="001E6051"/>
    <w:rsid w:val="001E6432"/>
    <w:rsid w:val="001F1D2C"/>
    <w:rsid w:val="001F5765"/>
    <w:rsid w:val="001F7214"/>
    <w:rsid w:val="002011CD"/>
    <w:rsid w:val="00201B12"/>
    <w:rsid w:val="00202A48"/>
    <w:rsid w:val="00203248"/>
    <w:rsid w:val="0020440B"/>
    <w:rsid w:val="00211D1E"/>
    <w:rsid w:val="00211D7E"/>
    <w:rsid w:val="00212F86"/>
    <w:rsid w:val="00225828"/>
    <w:rsid w:val="00227719"/>
    <w:rsid w:val="0023002F"/>
    <w:rsid w:val="00231705"/>
    <w:rsid w:val="002336CC"/>
    <w:rsid w:val="0023373E"/>
    <w:rsid w:val="00235700"/>
    <w:rsid w:val="002359CF"/>
    <w:rsid w:val="00237FFE"/>
    <w:rsid w:val="002406EE"/>
    <w:rsid w:val="00241B4E"/>
    <w:rsid w:val="002423F0"/>
    <w:rsid w:val="00245FF6"/>
    <w:rsid w:val="00255D1C"/>
    <w:rsid w:val="00256FBC"/>
    <w:rsid w:val="002572C7"/>
    <w:rsid w:val="0026243F"/>
    <w:rsid w:val="0026320D"/>
    <w:rsid w:val="00264351"/>
    <w:rsid w:val="00265728"/>
    <w:rsid w:val="002658E3"/>
    <w:rsid w:val="00265C8B"/>
    <w:rsid w:val="00265E81"/>
    <w:rsid w:val="0026620C"/>
    <w:rsid w:val="00267207"/>
    <w:rsid w:val="002710D9"/>
    <w:rsid w:val="00272D51"/>
    <w:rsid w:val="00273006"/>
    <w:rsid w:val="0027300C"/>
    <w:rsid w:val="00276336"/>
    <w:rsid w:val="00276CA8"/>
    <w:rsid w:val="00277224"/>
    <w:rsid w:val="00280D46"/>
    <w:rsid w:val="00282F1B"/>
    <w:rsid w:val="00283482"/>
    <w:rsid w:val="00285B54"/>
    <w:rsid w:val="00286798"/>
    <w:rsid w:val="00286FAA"/>
    <w:rsid w:val="0029144A"/>
    <w:rsid w:val="00295F35"/>
    <w:rsid w:val="00296C6C"/>
    <w:rsid w:val="002A082E"/>
    <w:rsid w:val="002A51DD"/>
    <w:rsid w:val="002A52D4"/>
    <w:rsid w:val="002A6D92"/>
    <w:rsid w:val="002A730B"/>
    <w:rsid w:val="002B3333"/>
    <w:rsid w:val="002B3966"/>
    <w:rsid w:val="002B6477"/>
    <w:rsid w:val="002B728C"/>
    <w:rsid w:val="002B7DFB"/>
    <w:rsid w:val="002C2C28"/>
    <w:rsid w:val="002C3E00"/>
    <w:rsid w:val="002C5FEC"/>
    <w:rsid w:val="002C7BAD"/>
    <w:rsid w:val="002D0C3B"/>
    <w:rsid w:val="002D243F"/>
    <w:rsid w:val="002D4565"/>
    <w:rsid w:val="002D4C63"/>
    <w:rsid w:val="002D7CE7"/>
    <w:rsid w:val="002E032F"/>
    <w:rsid w:val="002E2EE1"/>
    <w:rsid w:val="002E32A6"/>
    <w:rsid w:val="002E3BBB"/>
    <w:rsid w:val="002E3FDF"/>
    <w:rsid w:val="002E4556"/>
    <w:rsid w:val="002E5D95"/>
    <w:rsid w:val="002E7B47"/>
    <w:rsid w:val="003010EA"/>
    <w:rsid w:val="00312FE7"/>
    <w:rsid w:val="00315E7F"/>
    <w:rsid w:val="0031619B"/>
    <w:rsid w:val="0031711F"/>
    <w:rsid w:val="00321CAA"/>
    <w:rsid w:val="0032320A"/>
    <w:rsid w:val="00323A1A"/>
    <w:rsid w:val="0032406E"/>
    <w:rsid w:val="00326208"/>
    <w:rsid w:val="003264EC"/>
    <w:rsid w:val="00327329"/>
    <w:rsid w:val="00332405"/>
    <w:rsid w:val="003339F1"/>
    <w:rsid w:val="00334A3E"/>
    <w:rsid w:val="003357B4"/>
    <w:rsid w:val="00341E68"/>
    <w:rsid w:val="00341F73"/>
    <w:rsid w:val="003422AE"/>
    <w:rsid w:val="00351B89"/>
    <w:rsid w:val="00356FA1"/>
    <w:rsid w:val="00361513"/>
    <w:rsid w:val="00364D87"/>
    <w:rsid w:val="003701DB"/>
    <w:rsid w:val="003712CF"/>
    <w:rsid w:val="00373333"/>
    <w:rsid w:val="0037512A"/>
    <w:rsid w:val="00375763"/>
    <w:rsid w:val="003767C7"/>
    <w:rsid w:val="0038079E"/>
    <w:rsid w:val="00386DEA"/>
    <w:rsid w:val="00390D48"/>
    <w:rsid w:val="003910DD"/>
    <w:rsid w:val="00392560"/>
    <w:rsid w:val="00392675"/>
    <w:rsid w:val="003948E0"/>
    <w:rsid w:val="003956D4"/>
    <w:rsid w:val="00395D43"/>
    <w:rsid w:val="00397B3D"/>
    <w:rsid w:val="003A24E6"/>
    <w:rsid w:val="003A27B2"/>
    <w:rsid w:val="003A4C19"/>
    <w:rsid w:val="003B1E64"/>
    <w:rsid w:val="003B266A"/>
    <w:rsid w:val="003B33FE"/>
    <w:rsid w:val="003B6DDF"/>
    <w:rsid w:val="003B704B"/>
    <w:rsid w:val="003C0127"/>
    <w:rsid w:val="003C17F8"/>
    <w:rsid w:val="003C192D"/>
    <w:rsid w:val="003C6968"/>
    <w:rsid w:val="003D3DF5"/>
    <w:rsid w:val="003D40B9"/>
    <w:rsid w:val="003D65DC"/>
    <w:rsid w:val="003D6666"/>
    <w:rsid w:val="003D7D1A"/>
    <w:rsid w:val="003E0712"/>
    <w:rsid w:val="003E55B0"/>
    <w:rsid w:val="003E7176"/>
    <w:rsid w:val="003E775E"/>
    <w:rsid w:val="003F08C6"/>
    <w:rsid w:val="003F0BD8"/>
    <w:rsid w:val="003F1B93"/>
    <w:rsid w:val="003F5B50"/>
    <w:rsid w:val="003F6903"/>
    <w:rsid w:val="003F6F88"/>
    <w:rsid w:val="0040057E"/>
    <w:rsid w:val="00406089"/>
    <w:rsid w:val="0041054E"/>
    <w:rsid w:val="00410D6C"/>
    <w:rsid w:val="00413B3F"/>
    <w:rsid w:val="00414513"/>
    <w:rsid w:val="00416802"/>
    <w:rsid w:val="0042030B"/>
    <w:rsid w:val="00420BBC"/>
    <w:rsid w:val="00422C09"/>
    <w:rsid w:val="00424E6A"/>
    <w:rsid w:val="00425AD4"/>
    <w:rsid w:val="00431AFC"/>
    <w:rsid w:val="00433074"/>
    <w:rsid w:val="00433B1A"/>
    <w:rsid w:val="00435262"/>
    <w:rsid w:val="00435E2C"/>
    <w:rsid w:val="0043769A"/>
    <w:rsid w:val="004405DB"/>
    <w:rsid w:val="00441575"/>
    <w:rsid w:val="00442532"/>
    <w:rsid w:val="00442694"/>
    <w:rsid w:val="004430A5"/>
    <w:rsid w:val="00443EC4"/>
    <w:rsid w:val="00450A13"/>
    <w:rsid w:val="00451FA2"/>
    <w:rsid w:val="004536FA"/>
    <w:rsid w:val="00453B74"/>
    <w:rsid w:val="004563B4"/>
    <w:rsid w:val="004622B0"/>
    <w:rsid w:val="00462E64"/>
    <w:rsid w:val="0046404B"/>
    <w:rsid w:val="00464317"/>
    <w:rsid w:val="00464926"/>
    <w:rsid w:val="00465D7B"/>
    <w:rsid w:val="00466188"/>
    <w:rsid w:val="0047377E"/>
    <w:rsid w:val="004774B6"/>
    <w:rsid w:val="0048024C"/>
    <w:rsid w:val="00480553"/>
    <w:rsid w:val="004809B5"/>
    <w:rsid w:val="004836EA"/>
    <w:rsid w:val="00483BF1"/>
    <w:rsid w:val="00485119"/>
    <w:rsid w:val="00493FAA"/>
    <w:rsid w:val="00497167"/>
    <w:rsid w:val="004A0C82"/>
    <w:rsid w:val="004A24FD"/>
    <w:rsid w:val="004A3776"/>
    <w:rsid w:val="004A39BE"/>
    <w:rsid w:val="004A402D"/>
    <w:rsid w:val="004A572F"/>
    <w:rsid w:val="004A6103"/>
    <w:rsid w:val="004B3E4F"/>
    <w:rsid w:val="004B4F7B"/>
    <w:rsid w:val="004B6590"/>
    <w:rsid w:val="004C1101"/>
    <w:rsid w:val="004C48F3"/>
    <w:rsid w:val="004C735B"/>
    <w:rsid w:val="004D4AEB"/>
    <w:rsid w:val="004D4FBB"/>
    <w:rsid w:val="004D5EC0"/>
    <w:rsid w:val="004E1471"/>
    <w:rsid w:val="004E1AD6"/>
    <w:rsid w:val="004E61D5"/>
    <w:rsid w:val="004F0F3D"/>
    <w:rsid w:val="004F1242"/>
    <w:rsid w:val="004F1ACF"/>
    <w:rsid w:val="004F1E0B"/>
    <w:rsid w:val="004F2D8E"/>
    <w:rsid w:val="004F3445"/>
    <w:rsid w:val="004F40B1"/>
    <w:rsid w:val="004F4B3B"/>
    <w:rsid w:val="004F53E4"/>
    <w:rsid w:val="00501A04"/>
    <w:rsid w:val="00502ACF"/>
    <w:rsid w:val="00502CA5"/>
    <w:rsid w:val="005038F6"/>
    <w:rsid w:val="00506A8D"/>
    <w:rsid w:val="005071AF"/>
    <w:rsid w:val="00507882"/>
    <w:rsid w:val="00507B5F"/>
    <w:rsid w:val="00507B6C"/>
    <w:rsid w:val="00512D2B"/>
    <w:rsid w:val="00512E81"/>
    <w:rsid w:val="0051706A"/>
    <w:rsid w:val="005258C3"/>
    <w:rsid w:val="00526894"/>
    <w:rsid w:val="0052737D"/>
    <w:rsid w:val="00527FB8"/>
    <w:rsid w:val="00532D15"/>
    <w:rsid w:val="0053399E"/>
    <w:rsid w:val="00534249"/>
    <w:rsid w:val="00534782"/>
    <w:rsid w:val="00534A9C"/>
    <w:rsid w:val="005377B1"/>
    <w:rsid w:val="00540A00"/>
    <w:rsid w:val="00544BDD"/>
    <w:rsid w:val="00545E56"/>
    <w:rsid w:val="00556ABE"/>
    <w:rsid w:val="00556D8A"/>
    <w:rsid w:val="00557C84"/>
    <w:rsid w:val="005610BF"/>
    <w:rsid w:val="00561477"/>
    <w:rsid w:val="00562523"/>
    <w:rsid w:val="005630F1"/>
    <w:rsid w:val="00565AF4"/>
    <w:rsid w:val="00570626"/>
    <w:rsid w:val="00572190"/>
    <w:rsid w:val="005758B0"/>
    <w:rsid w:val="00575C05"/>
    <w:rsid w:val="005802E7"/>
    <w:rsid w:val="0058079A"/>
    <w:rsid w:val="00584404"/>
    <w:rsid w:val="0058777C"/>
    <w:rsid w:val="00591B8D"/>
    <w:rsid w:val="00592FFA"/>
    <w:rsid w:val="005A06C4"/>
    <w:rsid w:val="005A7FEE"/>
    <w:rsid w:val="005B175C"/>
    <w:rsid w:val="005B75CD"/>
    <w:rsid w:val="005C0257"/>
    <w:rsid w:val="005C4E0B"/>
    <w:rsid w:val="005C7980"/>
    <w:rsid w:val="005C7BA5"/>
    <w:rsid w:val="005D3BC1"/>
    <w:rsid w:val="005D50B6"/>
    <w:rsid w:val="005D75F2"/>
    <w:rsid w:val="005E0EA2"/>
    <w:rsid w:val="005E3E92"/>
    <w:rsid w:val="005E6F09"/>
    <w:rsid w:val="005F03C3"/>
    <w:rsid w:val="005F0615"/>
    <w:rsid w:val="005F0D55"/>
    <w:rsid w:val="005F113D"/>
    <w:rsid w:val="005F2E8D"/>
    <w:rsid w:val="005F3AB5"/>
    <w:rsid w:val="005F461D"/>
    <w:rsid w:val="005F4D4C"/>
    <w:rsid w:val="005F7227"/>
    <w:rsid w:val="00600A25"/>
    <w:rsid w:val="006014A0"/>
    <w:rsid w:val="00601CE7"/>
    <w:rsid w:val="00601F03"/>
    <w:rsid w:val="00602521"/>
    <w:rsid w:val="00604B58"/>
    <w:rsid w:val="006079AB"/>
    <w:rsid w:val="00607A45"/>
    <w:rsid w:val="00607B14"/>
    <w:rsid w:val="00611F76"/>
    <w:rsid w:val="00616608"/>
    <w:rsid w:val="00617120"/>
    <w:rsid w:val="0062567A"/>
    <w:rsid w:val="00625D46"/>
    <w:rsid w:val="006265B8"/>
    <w:rsid w:val="00636313"/>
    <w:rsid w:val="0063744C"/>
    <w:rsid w:val="00637917"/>
    <w:rsid w:val="00642A8A"/>
    <w:rsid w:val="00643430"/>
    <w:rsid w:val="006436A3"/>
    <w:rsid w:val="0064416A"/>
    <w:rsid w:val="0064481D"/>
    <w:rsid w:val="006453E1"/>
    <w:rsid w:val="00645D65"/>
    <w:rsid w:val="00650048"/>
    <w:rsid w:val="00650CCA"/>
    <w:rsid w:val="00652BA0"/>
    <w:rsid w:val="00653306"/>
    <w:rsid w:val="00654DC6"/>
    <w:rsid w:val="00656A9D"/>
    <w:rsid w:val="0066209B"/>
    <w:rsid w:val="00662131"/>
    <w:rsid w:val="006639F5"/>
    <w:rsid w:val="00663B22"/>
    <w:rsid w:val="006711EE"/>
    <w:rsid w:val="00674220"/>
    <w:rsid w:val="00674873"/>
    <w:rsid w:val="006748E2"/>
    <w:rsid w:val="00676ABF"/>
    <w:rsid w:val="00677E76"/>
    <w:rsid w:val="00682D45"/>
    <w:rsid w:val="00684E43"/>
    <w:rsid w:val="006859F1"/>
    <w:rsid w:val="00686313"/>
    <w:rsid w:val="006877EF"/>
    <w:rsid w:val="00693FE4"/>
    <w:rsid w:val="00694450"/>
    <w:rsid w:val="00695541"/>
    <w:rsid w:val="006959CB"/>
    <w:rsid w:val="006A0642"/>
    <w:rsid w:val="006A19A6"/>
    <w:rsid w:val="006A1AB9"/>
    <w:rsid w:val="006A23E2"/>
    <w:rsid w:val="006A58F1"/>
    <w:rsid w:val="006A5977"/>
    <w:rsid w:val="006A5AD8"/>
    <w:rsid w:val="006A6FAB"/>
    <w:rsid w:val="006A7A0D"/>
    <w:rsid w:val="006A7DBA"/>
    <w:rsid w:val="006B0BC7"/>
    <w:rsid w:val="006B1940"/>
    <w:rsid w:val="006B198F"/>
    <w:rsid w:val="006B2008"/>
    <w:rsid w:val="006B4208"/>
    <w:rsid w:val="006B4A77"/>
    <w:rsid w:val="006B4BE6"/>
    <w:rsid w:val="006B5635"/>
    <w:rsid w:val="006B6BCD"/>
    <w:rsid w:val="006B6ECC"/>
    <w:rsid w:val="006B7B23"/>
    <w:rsid w:val="006C099D"/>
    <w:rsid w:val="006C0A07"/>
    <w:rsid w:val="006C30D0"/>
    <w:rsid w:val="006C3F24"/>
    <w:rsid w:val="006C6602"/>
    <w:rsid w:val="006C7309"/>
    <w:rsid w:val="006D0C8C"/>
    <w:rsid w:val="006D240D"/>
    <w:rsid w:val="006D30ED"/>
    <w:rsid w:val="006D4C62"/>
    <w:rsid w:val="006D5789"/>
    <w:rsid w:val="006D585E"/>
    <w:rsid w:val="006D6FC4"/>
    <w:rsid w:val="006E009A"/>
    <w:rsid w:val="006E2636"/>
    <w:rsid w:val="006E2B9A"/>
    <w:rsid w:val="006E37FA"/>
    <w:rsid w:val="006E38CF"/>
    <w:rsid w:val="006F0AB9"/>
    <w:rsid w:val="006F18BD"/>
    <w:rsid w:val="006F4E95"/>
    <w:rsid w:val="006F4F4D"/>
    <w:rsid w:val="006F726C"/>
    <w:rsid w:val="00700FD4"/>
    <w:rsid w:val="00702E8C"/>
    <w:rsid w:val="00705E7E"/>
    <w:rsid w:val="0070730A"/>
    <w:rsid w:val="007112A3"/>
    <w:rsid w:val="00713A95"/>
    <w:rsid w:val="007156E5"/>
    <w:rsid w:val="00733086"/>
    <w:rsid w:val="00736387"/>
    <w:rsid w:val="0074008B"/>
    <w:rsid w:val="007410BE"/>
    <w:rsid w:val="00741DA3"/>
    <w:rsid w:val="00742E36"/>
    <w:rsid w:val="007444B7"/>
    <w:rsid w:val="007444FD"/>
    <w:rsid w:val="00746F39"/>
    <w:rsid w:val="007505F5"/>
    <w:rsid w:val="00750D9E"/>
    <w:rsid w:val="007526BE"/>
    <w:rsid w:val="00757CF3"/>
    <w:rsid w:val="007677AA"/>
    <w:rsid w:val="00767C8F"/>
    <w:rsid w:val="00776547"/>
    <w:rsid w:val="0077724B"/>
    <w:rsid w:val="007772C8"/>
    <w:rsid w:val="00780949"/>
    <w:rsid w:val="00781EE2"/>
    <w:rsid w:val="00782B1B"/>
    <w:rsid w:val="00784982"/>
    <w:rsid w:val="007855B5"/>
    <w:rsid w:val="0079077C"/>
    <w:rsid w:val="00791611"/>
    <w:rsid w:val="00793B80"/>
    <w:rsid w:val="007942B5"/>
    <w:rsid w:val="0079566D"/>
    <w:rsid w:val="00797C7A"/>
    <w:rsid w:val="007A0DDF"/>
    <w:rsid w:val="007A1D35"/>
    <w:rsid w:val="007A3A9E"/>
    <w:rsid w:val="007A3D27"/>
    <w:rsid w:val="007A51B4"/>
    <w:rsid w:val="007A7AA7"/>
    <w:rsid w:val="007B2697"/>
    <w:rsid w:val="007B27DA"/>
    <w:rsid w:val="007B2D46"/>
    <w:rsid w:val="007B31A8"/>
    <w:rsid w:val="007B325C"/>
    <w:rsid w:val="007B4517"/>
    <w:rsid w:val="007B5CF3"/>
    <w:rsid w:val="007B6415"/>
    <w:rsid w:val="007C28B6"/>
    <w:rsid w:val="007C4EA0"/>
    <w:rsid w:val="007C53B3"/>
    <w:rsid w:val="007C7B9F"/>
    <w:rsid w:val="007C7BB2"/>
    <w:rsid w:val="007D3334"/>
    <w:rsid w:val="007D42A7"/>
    <w:rsid w:val="007D42B8"/>
    <w:rsid w:val="007D44A3"/>
    <w:rsid w:val="007D5BFC"/>
    <w:rsid w:val="007D7584"/>
    <w:rsid w:val="007E0C76"/>
    <w:rsid w:val="007E1730"/>
    <w:rsid w:val="007E1B47"/>
    <w:rsid w:val="007E3695"/>
    <w:rsid w:val="007E5EE1"/>
    <w:rsid w:val="007E6C31"/>
    <w:rsid w:val="007F0425"/>
    <w:rsid w:val="007F1213"/>
    <w:rsid w:val="007F533C"/>
    <w:rsid w:val="007F56FF"/>
    <w:rsid w:val="007F7FDB"/>
    <w:rsid w:val="008001B3"/>
    <w:rsid w:val="00801AC9"/>
    <w:rsid w:val="00802082"/>
    <w:rsid w:val="00810ABE"/>
    <w:rsid w:val="008124A5"/>
    <w:rsid w:val="00813265"/>
    <w:rsid w:val="008155F0"/>
    <w:rsid w:val="00817BD8"/>
    <w:rsid w:val="00820C01"/>
    <w:rsid w:val="008238A1"/>
    <w:rsid w:val="00830973"/>
    <w:rsid w:val="00831F8A"/>
    <w:rsid w:val="00833127"/>
    <w:rsid w:val="008356B0"/>
    <w:rsid w:val="00836DBD"/>
    <w:rsid w:val="00837C0C"/>
    <w:rsid w:val="008404D8"/>
    <w:rsid w:val="00841CF9"/>
    <w:rsid w:val="00851978"/>
    <w:rsid w:val="00851D8C"/>
    <w:rsid w:val="008523A3"/>
    <w:rsid w:val="008555A3"/>
    <w:rsid w:val="008563B4"/>
    <w:rsid w:val="0085708C"/>
    <w:rsid w:val="0085715F"/>
    <w:rsid w:val="00857704"/>
    <w:rsid w:val="00857DDF"/>
    <w:rsid w:val="00860055"/>
    <w:rsid w:val="00860F75"/>
    <w:rsid w:val="0086773F"/>
    <w:rsid w:val="00870CF0"/>
    <w:rsid w:val="008719AB"/>
    <w:rsid w:val="00871E38"/>
    <w:rsid w:val="00873A56"/>
    <w:rsid w:val="00877AE5"/>
    <w:rsid w:val="00880487"/>
    <w:rsid w:val="008822DE"/>
    <w:rsid w:val="008843AB"/>
    <w:rsid w:val="0088502D"/>
    <w:rsid w:val="00885D54"/>
    <w:rsid w:val="00886E8D"/>
    <w:rsid w:val="00892BC9"/>
    <w:rsid w:val="00892D7D"/>
    <w:rsid w:val="00894176"/>
    <w:rsid w:val="00897689"/>
    <w:rsid w:val="008A0CB1"/>
    <w:rsid w:val="008A77FE"/>
    <w:rsid w:val="008A7F04"/>
    <w:rsid w:val="008B46F6"/>
    <w:rsid w:val="008C2F08"/>
    <w:rsid w:val="008C57C5"/>
    <w:rsid w:val="008C5C45"/>
    <w:rsid w:val="008C7E01"/>
    <w:rsid w:val="008D138C"/>
    <w:rsid w:val="008D313A"/>
    <w:rsid w:val="008D547B"/>
    <w:rsid w:val="008D5C2B"/>
    <w:rsid w:val="008E1AAF"/>
    <w:rsid w:val="008E47EE"/>
    <w:rsid w:val="008F0BEC"/>
    <w:rsid w:val="008F1736"/>
    <w:rsid w:val="008F2EF7"/>
    <w:rsid w:val="008F3B07"/>
    <w:rsid w:val="008F4E1F"/>
    <w:rsid w:val="009020A6"/>
    <w:rsid w:val="009065EC"/>
    <w:rsid w:val="00914B83"/>
    <w:rsid w:val="009229E2"/>
    <w:rsid w:val="00922F87"/>
    <w:rsid w:val="00923E1F"/>
    <w:rsid w:val="00923F85"/>
    <w:rsid w:val="00924D7A"/>
    <w:rsid w:val="00930C88"/>
    <w:rsid w:val="00931205"/>
    <w:rsid w:val="0093506D"/>
    <w:rsid w:val="00936276"/>
    <w:rsid w:val="009367FB"/>
    <w:rsid w:val="00936AAC"/>
    <w:rsid w:val="00941AD3"/>
    <w:rsid w:val="00945ACD"/>
    <w:rsid w:val="00946435"/>
    <w:rsid w:val="009466EA"/>
    <w:rsid w:val="00946802"/>
    <w:rsid w:val="009471B3"/>
    <w:rsid w:val="009516B4"/>
    <w:rsid w:val="009539CC"/>
    <w:rsid w:val="0095489F"/>
    <w:rsid w:val="00954C3E"/>
    <w:rsid w:val="00956401"/>
    <w:rsid w:val="009641A2"/>
    <w:rsid w:val="00967703"/>
    <w:rsid w:val="00970AE1"/>
    <w:rsid w:val="00971C98"/>
    <w:rsid w:val="00982E4F"/>
    <w:rsid w:val="00983B99"/>
    <w:rsid w:val="0098553F"/>
    <w:rsid w:val="00985EA5"/>
    <w:rsid w:val="00991596"/>
    <w:rsid w:val="00992F3D"/>
    <w:rsid w:val="009931F3"/>
    <w:rsid w:val="00995C97"/>
    <w:rsid w:val="00995FCC"/>
    <w:rsid w:val="00996213"/>
    <w:rsid w:val="00996A23"/>
    <w:rsid w:val="009A1494"/>
    <w:rsid w:val="009A1949"/>
    <w:rsid w:val="009A3AD7"/>
    <w:rsid w:val="009A6116"/>
    <w:rsid w:val="009A64A1"/>
    <w:rsid w:val="009A6BAB"/>
    <w:rsid w:val="009B2364"/>
    <w:rsid w:val="009B4057"/>
    <w:rsid w:val="009B5250"/>
    <w:rsid w:val="009C1D45"/>
    <w:rsid w:val="009C2D7A"/>
    <w:rsid w:val="009C3A30"/>
    <w:rsid w:val="009C55A4"/>
    <w:rsid w:val="009C7BD8"/>
    <w:rsid w:val="009D12A1"/>
    <w:rsid w:val="009D21E8"/>
    <w:rsid w:val="009D2D03"/>
    <w:rsid w:val="009E4164"/>
    <w:rsid w:val="009F2680"/>
    <w:rsid w:val="009F2B60"/>
    <w:rsid w:val="009F2E6D"/>
    <w:rsid w:val="009F57E2"/>
    <w:rsid w:val="009F7522"/>
    <w:rsid w:val="00A05415"/>
    <w:rsid w:val="00A05CEA"/>
    <w:rsid w:val="00A072FD"/>
    <w:rsid w:val="00A0756C"/>
    <w:rsid w:val="00A1131A"/>
    <w:rsid w:val="00A12AB6"/>
    <w:rsid w:val="00A1468E"/>
    <w:rsid w:val="00A14ADC"/>
    <w:rsid w:val="00A150CD"/>
    <w:rsid w:val="00A1644C"/>
    <w:rsid w:val="00A165B2"/>
    <w:rsid w:val="00A20907"/>
    <w:rsid w:val="00A21CAF"/>
    <w:rsid w:val="00A2320B"/>
    <w:rsid w:val="00A23DAD"/>
    <w:rsid w:val="00A2482F"/>
    <w:rsid w:val="00A25128"/>
    <w:rsid w:val="00A25F7C"/>
    <w:rsid w:val="00A31E21"/>
    <w:rsid w:val="00A326B8"/>
    <w:rsid w:val="00A33DE1"/>
    <w:rsid w:val="00A35BA5"/>
    <w:rsid w:val="00A37D2E"/>
    <w:rsid w:val="00A4185B"/>
    <w:rsid w:val="00A426EE"/>
    <w:rsid w:val="00A4296E"/>
    <w:rsid w:val="00A43296"/>
    <w:rsid w:val="00A449B3"/>
    <w:rsid w:val="00A45D95"/>
    <w:rsid w:val="00A47491"/>
    <w:rsid w:val="00A5046C"/>
    <w:rsid w:val="00A50D04"/>
    <w:rsid w:val="00A5318E"/>
    <w:rsid w:val="00A53E7C"/>
    <w:rsid w:val="00A53EFA"/>
    <w:rsid w:val="00A550FA"/>
    <w:rsid w:val="00A565CE"/>
    <w:rsid w:val="00A577F6"/>
    <w:rsid w:val="00A6418D"/>
    <w:rsid w:val="00A643D3"/>
    <w:rsid w:val="00A64ADE"/>
    <w:rsid w:val="00A678F4"/>
    <w:rsid w:val="00A72EFD"/>
    <w:rsid w:val="00A73025"/>
    <w:rsid w:val="00A733DE"/>
    <w:rsid w:val="00A74CC6"/>
    <w:rsid w:val="00A80233"/>
    <w:rsid w:val="00A818EB"/>
    <w:rsid w:val="00A81997"/>
    <w:rsid w:val="00A82114"/>
    <w:rsid w:val="00A8225F"/>
    <w:rsid w:val="00A8315D"/>
    <w:rsid w:val="00A838CC"/>
    <w:rsid w:val="00A84758"/>
    <w:rsid w:val="00A84FE8"/>
    <w:rsid w:val="00A867E0"/>
    <w:rsid w:val="00A86B93"/>
    <w:rsid w:val="00A91BF9"/>
    <w:rsid w:val="00A91D55"/>
    <w:rsid w:val="00A946FD"/>
    <w:rsid w:val="00A9476D"/>
    <w:rsid w:val="00A95733"/>
    <w:rsid w:val="00A9715E"/>
    <w:rsid w:val="00A971EC"/>
    <w:rsid w:val="00A97317"/>
    <w:rsid w:val="00AA3434"/>
    <w:rsid w:val="00AA3E93"/>
    <w:rsid w:val="00AA51C0"/>
    <w:rsid w:val="00AA5E5A"/>
    <w:rsid w:val="00AA6365"/>
    <w:rsid w:val="00AA7FA6"/>
    <w:rsid w:val="00AB0BDA"/>
    <w:rsid w:val="00AB4A91"/>
    <w:rsid w:val="00AB52AF"/>
    <w:rsid w:val="00AB761D"/>
    <w:rsid w:val="00AC089E"/>
    <w:rsid w:val="00AC24B1"/>
    <w:rsid w:val="00AC4C3B"/>
    <w:rsid w:val="00AC7DA8"/>
    <w:rsid w:val="00AD0318"/>
    <w:rsid w:val="00AD03BC"/>
    <w:rsid w:val="00AD5546"/>
    <w:rsid w:val="00AE05AB"/>
    <w:rsid w:val="00AE1D8B"/>
    <w:rsid w:val="00AE2A40"/>
    <w:rsid w:val="00AE2B26"/>
    <w:rsid w:val="00AE3D1D"/>
    <w:rsid w:val="00AE4E76"/>
    <w:rsid w:val="00AE61C4"/>
    <w:rsid w:val="00AE6827"/>
    <w:rsid w:val="00AE7BC6"/>
    <w:rsid w:val="00AF0446"/>
    <w:rsid w:val="00AF20CA"/>
    <w:rsid w:val="00AF4255"/>
    <w:rsid w:val="00AF4FDA"/>
    <w:rsid w:val="00B003DC"/>
    <w:rsid w:val="00B03CEB"/>
    <w:rsid w:val="00B0482D"/>
    <w:rsid w:val="00B059C3"/>
    <w:rsid w:val="00B07597"/>
    <w:rsid w:val="00B1063C"/>
    <w:rsid w:val="00B10EB1"/>
    <w:rsid w:val="00B12022"/>
    <w:rsid w:val="00B120E9"/>
    <w:rsid w:val="00B14D0A"/>
    <w:rsid w:val="00B1523E"/>
    <w:rsid w:val="00B15D64"/>
    <w:rsid w:val="00B26077"/>
    <w:rsid w:val="00B26A33"/>
    <w:rsid w:val="00B309E3"/>
    <w:rsid w:val="00B378EC"/>
    <w:rsid w:val="00B430EE"/>
    <w:rsid w:val="00B50D8A"/>
    <w:rsid w:val="00B52C12"/>
    <w:rsid w:val="00B534D6"/>
    <w:rsid w:val="00B53DD4"/>
    <w:rsid w:val="00B54E12"/>
    <w:rsid w:val="00B5656C"/>
    <w:rsid w:val="00B6474E"/>
    <w:rsid w:val="00B657C3"/>
    <w:rsid w:val="00B67E60"/>
    <w:rsid w:val="00B70FE1"/>
    <w:rsid w:val="00B734E0"/>
    <w:rsid w:val="00B76684"/>
    <w:rsid w:val="00B76FD3"/>
    <w:rsid w:val="00B77B34"/>
    <w:rsid w:val="00B824B2"/>
    <w:rsid w:val="00B83F4B"/>
    <w:rsid w:val="00B87A02"/>
    <w:rsid w:val="00B92E29"/>
    <w:rsid w:val="00B939B9"/>
    <w:rsid w:val="00BA49A5"/>
    <w:rsid w:val="00BA54B4"/>
    <w:rsid w:val="00BA5C5D"/>
    <w:rsid w:val="00BA5F43"/>
    <w:rsid w:val="00BA7A06"/>
    <w:rsid w:val="00BB0C74"/>
    <w:rsid w:val="00BB32C1"/>
    <w:rsid w:val="00BB7171"/>
    <w:rsid w:val="00BC15E4"/>
    <w:rsid w:val="00BC3BB1"/>
    <w:rsid w:val="00BC55E3"/>
    <w:rsid w:val="00BD062C"/>
    <w:rsid w:val="00BD13F3"/>
    <w:rsid w:val="00BD15DD"/>
    <w:rsid w:val="00BD7064"/>
    <w:rsid w:val="00BD7501"/>
    <w:rsid w:val="00BD7C24"/>
    <w:rsid w:val="00BE10CA"/>
    <w:rsid w:val="00BE38C9"/>
    <w:rsid w:val="00BE481B"/>
    <w:rsid w:val="00BE5CF4"/>
    <w:rsid w:val="00BE7106"/>
    <w:rsid w:val="00BE7F0A"/>
    <w:rsid w:val="00BF1DAB"/>
    <w:rsid w:val="00BF2E60"/>
    <w:rsid w:val="00BF31B9"/>
    <w:rsid w:val="00BF53B9"/>
    <w:rsid w:val="00BF5DD2"/>
    <w:rsid w:val="00BF644A"/>
    <w:rsid w:val="00BF7433"/>
    <w:rsid w:val="00C00457"/>
    <w:rsid w:val="00C01D60"/>
    <w:rsid w:val="00C02226"/>
    <w:rsid w:val="00C02C34"/>
    <w:rsid w:val="00C04A03"/>
    <w:rsid w:val="00C04CD5"/>
    <w:rsid w:val="00C0601D"/>
    <w:rsid w:val="00C0659D"/>
    <w:rsid w:val="00C1048D"/>
    <w:rsid w:val="00C11698"/>
    <w:rsid w:val="00C11D4C"/>
    <w:rsid w:val="00C11E24"/>
    <w:rsid w:val="00C12B97"/>
    <w:rsid w:val="00C146BA"/>
    <w:rsid w:val="00C15101"/>
    <w:rsid w:val="00C16032"/>
    <w:rsid w:val="00C21B7F"/>
    <w:rsid w:val="00C22C91"/>
    <w:rsid w:val="00C23603"/>
    <w:rsid w:val="00C2552D"/>
    <w:rsid w:val="00C30163"/>
    <w:rsid w:val="00C30EBA"/>
    <w:rsid w:val="00C31104"/>
    <w:rsid w:val="00C3332E"/>
    <w:rsid w:val="00C372F8"/>
    <w:rsid w:val="00C42768"/>
    <w:rsid w:val="00C43DD9"/>
    <w:rsid w:val="00C449E7"/>
    <w:rsid w:val="00C44A2F"/>
    <w:rsid w:val="00C455A6"/>
    <w:rsid w:val="00C47302"/>
    <w:rsid w:val="00C50245"/>
    <w:rsid w:val="00C5117D"/>
    <w:rsid w:val="00C5212E"/>
    <w:rsid w:val="00C521FC"/>
    <w:rsid w:val="00C52D48"/>
    <w:rsid w:val="00C57CB8"/>
    <w:rsid w:val="00C57E1B"/>
    <w:rsid w:val="00C613CA"/>
    <w:rsid w:val="00C627DB"/>
    <w:rsid w:val="00C62CC5"/>
    <w:rsid w:val="00C65596"/>
    <w:rsid w:val="00C65894"/>
    <w:rsid w:val="00C6625F"/>
    <w:rsid w:val="00C73B19"/>
    <w:rsid w:val="00C7675B"/>
    <w:rsid w:val="00C76A0D"/>
    <w:rsid w:val="00C7700C"/>
    <w:rsid w:val="00C77928"/>
    <w:rsid w:val="00C81DAE"/>
    <w:rsid w:val="00C81F86"/>
    <w:rsid w:val="00C828EE"/>
    <w:rsid w:val="00C9040F"/>
    <w:rsid w:val="00C92053"/>
    <w:rsid w:val="00C9304C"/>
    <w:rsid w:val="00C95B16"/>
    <w:rsid w:val="00C9672B"/>
    <w:rsid w:val="00CA2FA6"/>
    <w:rsid w:val="00CA36AE"/>
    <w:rsid w:val="00CA5F40"/>
    <w:rsid w:val="00CA6FB8"/>
    <w:rsid w:val="00CA7BC2"/>
    <w:rsid w:val="00CB1EB4"/>
    <w:rsid w:val="00CB2D6A"/>
    <w:rsid w:val="00CB33A4"/>
    <w:rsid w:val="00CB4508"/>
    <w:rsid w:val="00CB5202"/>
    <w:rsid w:val="00CB5A0B"/>
    <w:rsid w:val="00CC0E73"/>
    <w:rsid w:val="00CC2E94"/>
    <w:rsid w:val="00CC5679"/>
    <w:rsid w:val="00CC7C45"/>
    <w:rsid w:val="00CD0702"/>
    <w:rsid w:val="00CD0D48"/>
    <w:rsid w:val="00CD21D0"/>
    <w:rsid w:val="00CD2FB8"/>
    <w:rsid w:val="00CD3184"/>
    <w:rsid w:val="00CD4582"/>
    <w:rsid w:val="00CE0646"/>
    <w:rsid w:val="00CE1695"/>
    <w:rsid w:val="00CE44A9"/>
    <w:rsid w:val="00CE5577"/>
    <w:rsid w:val="00CE59D1"/>
    <w:rsid w:val="00CE5CAC"/>
    <w:rsid w:val="00CE7C70"/>
    <w:rsid w:val="00CF1F62"/>
    <w:rsid w:val="00CF42B1"/>
    <w:rsid w:val="00CF5DE4"/>
    <w:rsid w:val="00D001EA"/>
    <w:rsid w:val="00D008E3"/>
    <w:rsid w:val="00D02EC7"/>
    <w:rsid w:val="00D049EC"/>
    <w:rsid w:val="00D056AF"/>
    <w:rsid w:val="00D06067"/>
    <w:rsid w:val="00D101EA"/>
    <w:rsid w:val="00D115A0"/>
    <w:rsid w:val="00D1162A"/>
    <w:rsid w:val="00D121E3"/>
    <w:rsid w:val="00D12AB5"/>
    <w:rsid w:val="00D13BE8"/>
    <w:rsid w:val="00D208B6"/>
    <w:rsid w:val="00D213A7"/>
    <w:rsid w:val="00D2249C"/>
    <w:rsid w:val="00D248AB"/>
    <w:rsid w:val="00D24EC3"/>
    <w:rsid w:val="00D25A4F"/>
    <w:rsid w:val="00D25B14"/>
    <w:rsid w:val="00D26D9F"/>
    <w:rsid w:val="00D26E78"/>
    <w:rsid w:val="00D31765"/>
    <w:rsid w:val="00D32AAF"/>
    <w:rsid w:val="00D358ED"/>
    <w:rsid w:val="00D35D39"/>
    <w:rsid w:val="00D3766D"/>
    <w:rsid w:val="00D37690"/>
    <w:rsid w:val="00D425DC"/>
    <w:rsid w:val="00D438E0"/>
    <w:rsid w:val="00D4396E"/>
    <w:rsid w:val="00D539EA"/>
    <w:rsid w:val="00D607EC"/>
    <w:rsid w:val="00D60F00"/>
    <w:rsid w:val="00D6284A"/>
    <w:rsid w:val="00D76070"/>
    <w:rsid w:val="00D76787"/>
    <w:rsid w:val="00D77A94"/>
    <w:rsid w:val="00D81236"/>
    <w:rsid w:val="00D8289D"/>
    <w:rsid w:val="00D9012D"/>
    <w:rsid w:val="00D9267A"/>
    <w:rsid w:val="00D92A27"/>
    <w:rsid w:val="00D93B3D"/>
    <w:rsid w:val="00D93D66"/>
    <w:rsid w:val="00D9571E"/>
    <w:rsid w:val="00D97DB7"/>
    <w:rsid w:val="00DA0F21"/>
    <w:rsid w:val="00DA249D"/>
    <w:rsid w:val="00DA299A"/>
    <w:rsid w:val="00DA5F6C"/>
    <w:rsid w:val="00DA63F3"/>
    <w:rsid w:val="00DA7670"/>
    <w:rsid w:val="00DB1E7E"/>
    <w:rsid w:val="00DB2B6C"/>
    <w:rsid w:val="00DB4E6D"/>
    <w:rsid w:val="00DB540F"/>
    <w:rsid w:val="00DC0E9D"/>
    <w:rsid w:val="00DC216A"/>
    <w:rsid w:val="00DC3140"/>
    <w:rsid w:val="00DC3BC5"/>
    <w:rsid w:val="00DC52C4"/>
    <w:rsid w:val="00DC6AFB"/>
    <w:rsid w:val="00DD5AB3"/>
    <w:rsid w:val="00DD635E"/>
    <w:rsid w:val="00DD73D4"/>
    <w:rsid w:val="00DE2EB3"/>
    <w:rsid w:val="00DE3E49"/>
    <w:rsid w:val="00DE41EC"/>
    <w:rsid w:val="00DE46C1"/>
    <w:rsid w:val="00DE5A59"/>
    <w:rsid w:val="00DF3778"/>
    <w:rsid w:val="00DF517F"/>
    <w:rsid w:val="00DF6447"/>
    <w:rsid w:val="00E00E51"/>
    <w:rsid w:val="00E01E5F"/>
    <w:rsid w:val="00E02234"/>
    <w:rsid w:val="00E027F7"/>
    <w:rsid w:val="00E0453B"/>
    <w:rsid w:val="00E05072"/>
    <w:rsid w:val="00E07C66"/>
    <w:rsid w:val="00E123C4"/>
    <w:rsid w:val="00E14462"/>
    <w:rsid w:val="00E14504"/>
    <w:rsid w:val="00E15C7C"/>
    <w:rsid w:val="00E203AB"/>
    <w:rsid w:val="00E20490"/>
    <w:rsid w:val="00E20C2C"/>
    <w:rsid w:val="00E21691"/>
    <w:rsid w:val="00E21E3A"/>
    <w:rsid w:val="00E22FD4"/>
    <w:rsid w:val="00E230B1"/>
    <w:rsid w:val="00E27066"/>
    <w:rsid w:val="00E27CA7"/>
    <w:rsid w:val="00E27F57"/>
    <w:rsid w:val="00E303E2"/>
    <w:rsid w:val="00E316CE"/>
    <w:rsid w:val="00E32C3F"/>
    <w:rsid w:val="00E33AEF"/>
    <w:rsid w:val="00E35C8E"/>
    <w:rsid w:val="00E35C9C"/>
    <w:rsid w:val="00E36645"/>
    <w:rsid w:val="00E36932"/>
    <w:rsid w:val="00E37212"/>
    <w:rsid w:val="00E414FD"/>
    <w:rsid w:val="00E46F15"/>
    <w:rsid w:val="00E47CA5"/>
    <w:rsid w:val="00E507B7"/>
    <w:rsid w:val="00E51059"/>
    <w:rsid w:val="00E54980"/>
    <w:rsid w:val="00E576E2"/>
    <w:rsid w:val="00E60FFE"/>
    <w:rsid w:val="00E62D88"/>
    <w:rsid w:val="00E6729D"/>
    <w:rsid w:val="00E676B8"/>
    <w:rsid w:val="00E74FB0"/>
    <w:rsid w:val="00E7527B"/>
    <w:rsid w:val="00E752EB"/>
    <w:rsid w:val="00E7571E"/>
    <w:rsid w:val="00E75915"/>
    <w:rsid w:val="00E819CC"/>
    <w:rsid w:val="00E84D42"/>
    <w:rsid w:val="00E8634B"/>
    <w:rsid w:val="00E87229"/>
    <w:rsid w:val="00E876B4"/>
    <w:rsid w:val="00E90085"/>
    <w:rsid w:val="00E91CAE"/>
    <w:rsid w:val="00E952A2"/>
    <w:rsid w:val="00E973E1"/>
    <w:rsid w:val="00EA039E"/>
    <w:rsid w:val="00EA0CAF"/>
    <w:rsid w:val="00EA2287"/>
    <w:rsid w:val="00EA5534"/>
    <w:rsid w:val="00EB0A02"/>
    <w:rsid w:val="00EC15C2"/>
    <w:rsid w:val="00EC353B"/>
    <w:rsid w:val="00ED1511"/>
    <w:rsid w:val="00ED6EAB"/>
    <w:rsid w:val="00ED7E40"/>
    <w:rsid w:val="00EE357F"/>
    <w:rsid w:val="00EE3D47"/>
    <w:rsid w:val="00EE42A6"/>
    <w:rsid w:val="00EE44D5"/>
    <w:rsid w:val="00EE4C5F"/>
    <w:rsid w:val="00EE7784"/>
    <w:rsid w:val="00EF2572"/>
    <w:rsid w:val="00EF5463"/>
    <w:rsid w:val="00EF7220"/>
    <w:rsid w:val="00EF773C"/>
    <w:rsid w:val="00EF7E9B"/>
    <w:rsid w:val="00F00614"/>
    <w:rsid w:val="00F037FA"/>
    <w:rsid w:val="00F03901"/>
    <w:rsid w:val="00F03D4A"/>
    <w:rsid w:val="00F04826"/>
    <w:rsid w:val="00F1081A"/>
    <w:rsid w:val="00F10939"/>
    <w:rsid w:val="00F10CDC"/>
    <w:rsid w:val="00F10D5E"/>
    <w:rsid w:val="00F1212D"/>
    <w:rsid w:val="00F13D36"/>
    <w:rsid w:val="00F1411E"/>
    <w:rsid w:val="00F17127"/>
    <w:rsid w:val="00F21876"/>
    <w:rsid w:val="00F24E66"/>
    <w:rsid w:val="00F251FF"/>
    <w:rsid w:val="00F27B35"/>
    <w:rsid w:val="00F35A8B"/>
    <w:rsid w:val="00F4196F"/>
    <w:rsid w:val="00F41B1C"/>
    <w:rsid w:val="00F42ED7"/>
    <w:rsid w:val="00F43A6D"/>
    <w:rsid w:val="00F44DB5"/>
    <w:rsid w:val="00F46724"/>
    <w:rsid w:val="00F4768D"/>
    <w:rsid w:val="00F47EA9"/>
    <w:rsid w:val="00F51803"/>
    <w:rsid w:val="00F55633"/>
    <w:rsid w:val="00F55FCB"/>
    <w:rsid w:val="00F5657F"/>
    <w:rsid w:val="00F604F7"/>
    <w:rsid w:val="00F65F66"/>
    <w:rsid w:val="00F6688E"/>
    <w:rsid w:val="00F66EFE"/>
    <w:rsid w:val="00F67BDC"/>
    <w:rsid w:val="00F703A8"/>
    <w:rsid w:val="00F70B20"/>
    <w:rsid w:val="00F7228C"/>
    <w:rsid w:val="00F72474"/>
    <w:rsid w:val="00F741C4"/>
    <w:rsid w:val="00F74346"/>
    <w:rsid w:val="00F74A30"/>
    <w:rsid w:val="00F770CB"/>
    <w:rsid w:val="00F80CED"/>
    <w:rsid w:val="00F8195F"/>
    <w:rsid w:val="00F83B37"/>
    <w:rsid w:val="00F849E9"/>
    <w:rsid w:val="00F86D85"/>
    <w:rsid w:val="00F91AB4"/>
    <w:rsid w:val="00F92E42"/>
    <w:rsid w:val="00F94CAE"/>
    <w:rsid w:val="00FA0395"/>
    <w:rsid w:val="00FA0E79"/>
    <w:rsid w:val="00FA1D04"/>
    <w:rsid w:val="00FA2A6F"/>
    <w:rsid w:val="00FA61F8"/>
    <w:rsid w:val="00FB30D9"/>
    <w:rsid w:val="00FC3F50"/>
    <w:rsid w:val="00FC54E2"/>
    <w:rsid w:val="00FC6F6D"/>
    <w:rsid w:val="00FD1E19"/>
    <w:rsid w:val="00FD4EBE"/>
    <w:rsid w:val="00FD5659"/>
    <w:rsid w:val="00FE0BC9"/>
    <w:rsid w:val="00FE206C"/>
    <w:rsid w:val="00FE22F1"/>
    <w:rsid w:val="00FE5257"/>
    <w:rsid w:val="00FE6720"/>
    <w:rsid w:val="00FF0918"/>
    <w:rsid w:val="00FF3B34"/>
    <w:rsid w:val="00FF4370"/>
    <w:rsid w:val="00FF4F39"/>
    <w:rsid w:val="011736ED"/>
    <w:rsid w:val="011A03DD"/>
    <w:rsid w:val="013E5467"/>
    <w:rsid w:val="014063FE"/>
    <w:rsid w:val="0154745D"/>
    <w:rsid w:val="01574CF0"/>
    <w:rsid w:val="01661ED6"/>
    <w:rsid w:val="016A4C23"/>
    <w:rsid w:val="016C19AF"/>
    <w:rsid w:val="016F044E"/>
    <w:rsid w:val="017C491B"/>
    <w:rsid w:val="017E72BD"/>
    <w:rsid w:val="017F3AA6"/>
    <w:rsid w:val="01897E41"/>
    <w:rsid w:val="018B615B"/>
    <w:rsid w:val="018D7153"/>
    <w:rsid w:val="019D55FE"/>
    <w:rsid w:val="019E6EF3"/>
    <w:rsid w:val="01A249C3"/>
    <w:rsid w:val="01B81372"/>
    <w:rsid w:val="01B841E6"/>
    <w:rsid w:val="01C26E13"/>
    <w:rsid w:val="01C34939"/>
    <w:rsid w:val="01CA2191"/>
    <w:rsid w:val="01D134FA"/>
    <w:rsid w:val="01D434EE"/>
    <w:rsid w:val="01D76D77"/>
    <w:rsid w:val="01E05F01"/>
    <w:rsid w:val="01E07299"/>
    <w:rsid w:val="01E46D89"/>
    <w:rsid w:val="01F06EFA"/>
    <w:rsid w:val="01F23341"/>
    <w:rsid w:val="020A383A"/>
    <w:rsid w:val="020C5DF0"/>
    <w:rsid w:val="02104157"/>
    <w:rsid w:val="02117D9A"/>
    <w:rsid w:val="021D04ED"/>
    <w:rsid w:val="021D32BA"/>
    <w:rsid w:val="0221474C"/>
    <w:rsid w:val="02292AFB"/>
    <w:rsid w:val="022A4D1F"/>
    <w:rsid w:val="02301FCF"/>
    <w:rsid w:val="02353A89"/>
    <w:rsid w:val="02380E83"/>
    <w:rsid w:val="02393955"/>
    <w:rsid w:val="024141DC"/>
    <w:rsid w:val="0243687E"/>
    <w:rsid w:val="024A0600"/>
    <w:rsid w:val="02536BD2"/>
    <w:rsid w:val="025B2919"/>
    <w:rsid w:val="025F20C2"/>
    <w:rsid w:val="02694163"/>
    <w:rsid w:val="026B3EDB"/>
    <w:rsid w:val="02702D13"/>
    <w:rsid w:val="02704AC1"/>
    <w:rsid w:val="02707D53"/>
    <w:rsid w:val="02711423"/>
    <w:rsid w:val="02780603"/>
    <w:rsid w:val="0284056C"/>
    <w:rsid w:val="028746B0"/>
    <w:rsid w:val="0299351D"/>
    <w:rsid w:val="02A62291"/>
    <w:rsid w:val="02AD7E99"/>
    <w:rsid w:val="02B4265C"/>
    <w:rsid w:val="02B527AB"/>
    <w:rsid w:val="02BC0A53"/>
    <w:rsid w:val="02BC3862"/>
    <w:rsid w:val="02D5292F"/>
    <w:rsid w:val="02DC33A8"/>
    <w:rsid w:val="02DE74B7"/>
    <w:rsid w:val="02E102D4"/>
    <w:rsid w:val="02E80AFB"/>
    <w:rsid w:val="02E90A19"/>
    <w:rsid w:val="02EA4363"/>
    <w:rsid w:val="02F833AC"/>
    <w:rsid w:val="02FA4A6D"/>
    <w:rsid w:val="02FC0103"/>
    <w:rsid w:val="02FF6CC4"/>
    <w:rsid w:val="031008E6"/>
    <w:rsid w:val="03103BAE"/>
    <w:rsid w:val="0313544C"/>
    <w:rsid w:val="03200628"/>
    <w:rsid w:val="0325568D"/>
    <w:rsid w:val="033755DF"/>
    <w:rsid w:val="033C60AA"/>
    <w:rsid w:val="03401483"/>
    <w:rsid w:val="03433A17"/>
    <w:rsid w:val="03520C5B"/>
    <w:rsid w:val="0357770A"/>
    <w:rsid w:val="035C2AF2"/>
    <w:rsid w:val="0361265C"/>
    <w:rsid w:val="036363D4"/>
    <w:rsid w:val="03655CA8"/>
    <w:rsid w:val="03657A72"/>
    <w:rsid w:val="036839EA"/>
    <w:rsid w:val="03685549"/>
    <w:rsid w:val="036A7762"/>
    <w:rsid w:val="036B1176"/>
    <w:rsid w:val="036B7036"/>
    <w:rsid w:val="036F2FCB"/>
    <w:rsid w:val="037203C5"/>
    <w:rsid w:val="03743AAD"/>
    <w:rsid w:val="037E6D7C"/>
    <w:rsid w:val="03893F71"/>
    <w:rsid w:val="038A33AB"/>
    <w:rsid w:val="03922815"/>
    <w:rsid w:val="03980793"/>
    <w:rsid w:val="039D4942"/>
    <w:rsid w:val="03A569EC"/>
    <w:rsid w:val="03AD2BDB"/>
    <w:rsid w:val="03AF786B"/>
    <w:rsid w:val="03B07C0C"/>
    <w:rsid w:val="03B700C2"/>
    <w:rsid w:val="03CD048B"/>
    <w:rsid w:val="03D2588F"/>
    <w:rsid w:val="03EF3433"/>
    <w:rsid w:val="03F00C2C"/>
    <w:rsid w:val="03F35285"/>
    <w:rsid w:val="04064DB3"/>
    <w:rsid w:val="040F3A96"/>
    <w:rsid w:val="0414174A"/>
    <w:rsid w:val="041F0F8C"/>
    <w:rsid w:val="04211386"/>
    <w:rsid w:val="04221299"/>
    <w:rsid w:val="043A17BC"/>
    <w:rsid w:val="043F53F3"/>
    <w:rsid w:val="044004C3"/>
    <w:rsid w:val="04453B8B"/>
    <w:rsid w:val="044A30AC"/>
    <w:rsid w:val="044B6C77"/>
    <w:rsid w:val="04504404"/>
    <w:rsid w:val="04600793"/>
    <w:rsid w:val="04650EE4"/>
    <w:rsid w:val="046C069A"/>
    <w:rsid w:val="046E713C"/>
    <w:rsid w:val="047052F7"/>
    <w:rsid w:val="047A5C19"/>
    <w:rsid w:val="04814D63"/>
    <w:rsid w:val="0482288A"/>
    <w:rsid w:val="04846366"/>
    <w:rsid w:val="048B7990"/>
    <w:rsid w:val="049168E7"/>
    <w:rsid w:val="04974587"/>
    <w:rsid w:val="04987FD7"/>
    <w:rsid w:val="049D6916"/>
    <w:rsid w:val="04A42800"/>
    <w:rsid w:val="04AB2F0B"/>
    <w:rsid w:val="04AC7907"/>
    <w:rsid w:val="04AD0346"/>
    <w:rsid w:val="04BF588C"/>
    <w:rsid w:val="04C954B6"/>
    <w:rsid w:val="04D01847"/>
    <w:rsid w:val="04D33945"/>
    <w:rsid w:val="04D75415"/>
    <w:rsid w:val="04D77D6D"/>
    <w:rsid w:val="04EC1239"/>
    <w:rsid w:val="050140F6"/>
    <w:rsid w:val="05063013"/>
    <w:rsid w:val="05083E45"/>
    <w:rsid w:val="05131FEE"/>
    <w:rsid w:val="051D2AB7"/>
    <w:rsid w:val="052F2A11"/>
    <w:rsid w:val="05405207"/>
    <w:rsid w:val="05452235"/>
    <w:rsid w:val="05453FE3"/>
    <w:rsid w:val="054C2C19"/>
    <w:rsid w:val="05524952"/>
    <w:rsid w:val="055F3224"/>
    <w:rsid w:val="05600E1D"/>
    <w:rsid w:val="056E759E"/>
    <w:rsid w:val="05767037"/>
    <w:rsid w:val="0579240C"/>
    <w:rsid w:val="057D32AA"/>
    <w:rsid w:val="058549D8"/>
    <w:rsid w:val="058C0205"/>
    <w:rsid w:val="05924D4E"/>
    <w:rsid w:val="05AE1F53"/>
    <w:rsid w:val="05AF3BD7"/>
    <w:rsid w:val="05C31C01"/>
    <w:rsid w:val="05CF7D50"/>
    <w:rsid w:val="05D47115"/>
    <w:rsid w:val="05E7509A"/>
    <w:rsid w:val="05F6197E"/>
    <w:rsid w:val="05FD48BE"/>
    <w:rsid w:val="0600615C"/>
    <w:rsid w:val="06157E9E"/>
    <w:rsid w:val="06283BF9"/>
    <w:rsid w:val="06423C78"/>
    <w:rsid w:val="0645506B"/>
    <w:rsid w:val="06475B39"/>
    <w:rsid w:val="06503F10"/>
    <w:rsid w:val="065B15E4"/>
    <w:rsid w:val="0673610D"/>
    <w:rsid w:val="068154EF"/>
    <w:rsid w:val="06825A76"/>
    <w:rsid w:val="068C0168"/>
    <w:rsid w:val="068F4D54"/>
    <w:rsid w:val="068F554F"/>
    <w:rsid w:val="06952F33"/>
    <w:rsid w:val="06AD12DC"/>
    <w:rsid w:val="06B331CE"/>
    <w:rsid w:val="06BB0AD8"/>
    <w:rsid w:val="06BE3405"/>
    <w:rsid w:val="06C75A8A"/>
    <w:rsid w:val="06DB5BE0"/>
    <w:rsid w:val="06DC2725"/>
    <w:rsid w:val="06E0116D"/>
    <w:rsid w:val="06E47E41"/>
    <w:rsid w:val="06EE632D"/>
    <w:rsid w:val="070752C8"/>
    <w:rsid w:val="07076864"/>
    <w:rsid w:val="071D41D7"/>
    <w:rsid w:val="07200C9D"/>
    <w:rsid w:val="072440CC"/>
    <w:rsid w:val="073162F8"/>
    <w:rsid w:val="0748600C"/>
    <w:rsid w:val="074B7877"/>
    <w:rsid w:val="074E779B"/>
    <w:rsid w:val="07576256"/>
    <w:rsid w:val="07665290"/>
    <w:rsid w:val="0768220B"/>
    <w:rsid w:val="076D5BCA"/>
    <w:rsid w:val="0775005F"/>
    <w:rsid w:val="0775033A"/>
    <w:rsid w:val="07904468"/>
    <w:rsid w:val="07910015"/>
    <w:rsid w:val="079254DA"/>
    <w:rsid w:val="07955F08"/>
    <w:rsid w:val="07B076E2"/>
    <w:rsid w:val="07BA29FE"/>
    <w:rsid w:val="07C65661"/>
    <w:rsid w:val="07C76832"/>
    <w:rsid w:val="07CB0304"/>
    <w:rsid w:val="07CF503D"/>
    <w:rsid w:val="07DE071F"/>
    <w:rsid w:val="07E2214C"/>
    <w:rsid w:val="07E57B47"/>
    <w:rsid w:val="07F7429B"/>
    <w:rsid w:val="07F83091"/>
    <w:rsid w:val="07FE4E94"/>
    <w:rsid w:val="080203D9"/>
    <w:rsid w:val="080C2606"/>
    <w:rsid w:val="08191757"/>
    <w:rsid w:val="081F7833"/>
    <w:rsid w:val="082034E9"/>
    <w:rsid w:val="08207F46"/>
    <w:rsid w:val="082749D2"/>
    <w:rsid w:val="082A5712"/>
    <w:rsid w:val="082B207A"/>
    <w:rsid w:val="082F4AD6"/>
    <w:rsid w:val="084C03B9"/>
    <w:rsid w:val="08527FD0"/>
    <w:rsid w:val="08536B2A"/>
    <w:rsid w:val="08551938"/>
    <w:rsid w:val="085F0CDA"/>
    <w:rsid w:val="086159A4"/>
    <w:rsid w:val="086D135F"/>
    <w:rsid w:val="08706A84"/>
    <w:rsid w:val="087921F6"/>
    <w:rsid w:val="087B7D1C"/>
    <w:rsid w:val="08881618"/>
    <w:rsid w:val="088C017B"/>
    <w:rsid w:val="08910593"/>
    <w:rsid w:val="089645E3"/>
    <w:rsid w:val="089D64E6"/>
    <w:rsid w:val="08A12212"/>
    <w:rsid w:val="08A205B3"/>
    <w:rsid w:val="08A2174C"/>
    <w:rsid w:val="08AC7F4A"/>
    <w:rsid w:val="08B47C0F"/>
    <w:rsid w:val="08B651F8"/>
    <w:rsid w:val="08CA47FF"/>
    <w:rsid w:val="08DE3920"/>
    <w:rsid w:val="08E23383"/>
    <w:rsid w:val="08E3352F"/>
    <w:rsid w:val="08F20D27"/>
    <w:rsid w:val="08FC5FC2"/>
    <w:rsid w:val="08FE7041"/>
    <w:rsid w:val="09067F2D"/>
    <w:rsid w:val="09075A53"/>
    <w:rsid w:val="090D0348"/>
    <w:rsid w:val="090F17A5"/>
    <w:rsid w:val="09174046"/>
    <w:rsid w:val="09195451"/>
    <w:rsid w:val="091C64CE"/>
    <w:rsid w:val="091D0DD3"/>
    <w:rsid w:val="091D4971"/>
    <w:rsid w:val="09320D22"/>
    <w:rsid w:val="09342B15"/>
    <w:rsid w:val="0935436E"/>
    <w:rsid w:val="09373FA6"/>
    <w:rsid w:val="094C7E6E"/>
    <w:rsid w:val="094E71DE"/>
    <w:rsid w:val="0957193B"/>
    <w:rsid w:val="0959709F"/>
    <w:rsid w:val="09632F23"/>
    <w:rsid w:val="0980017F"/>
    <w:rsid w:val="098D7103"/>
    <w:rsid w:val="098E154B"/>
    <w:rsid w:val="09963123"/>
    <w:rsid w:val="099F1943"/>
    <w:rsid w:val="09A76EEE"/>
    <w:rsid w:val="09A908B8"/>
    <w:rsid w:val="09B048B9"/>
    <w:rsid w:val="09B650A8"/>
    <w:rsid w:val="09C0632E"/>
    <w:rsid w:val="09DB0962"/>
    <w:rsid w:val="09DC0EB0"/>
    <w:rsid w:val="09ED0B38"/>
    <w:rsid w:val="09EE4420"/>
    <w:rsid w:val="09FA60B1"/>
    <w:rsid w:val="0A011974"/>
    <w:rsid w:val="0A260E0F"/>
    <w:rsid w:val="0A2D52B9"/>
    <w:rsid w:val="0A326B00"/>
    <w:rsid w:val="0A340D84"/>
    <w:rsid w:val="0A3D62A2"/>
    <w:rsid w:val="0A4908F1"/>
    <w:rsid w:val="0A4C5E14"/>
    <w:rsid w:val="0A4F1460"/>
    <w:rsid w:val="0A557A69"/>
    <w:rsid w:val="0A5D1DCF"/>
    <w:rsid w:val="0A775C69"/>
    <w:rsid w:val="0A7D666A"/>
    <w:rsid w:val="0A821C76"/>
    <w:rsid w:val="0A9469B8"/>
    <w:rsid w:val="0A946EEA"/>
    <w:rsid w:val="0A99092D"/>
    <w:rsid w:val="0A9F1B8C"/>
    <w:rsid w:val="0AA02027"/>
    <w:rsid w:val="0AAE579F"/>
    <w:rsid w:val="0AB63903"/>
    <w:rsid w:val="0AB81097"/>
    <w:rsid w:val="0AB84CC0"/>
    <w:rsid w:val="0ABC7627"/>
    <w:rsid w:val="0ABE4AAD"/>
    <w:rsid w:val="0AC4440B"/>
    <w:rsid w:val="0AC62ADE"/>
    <w:rsid w:val="0AC75B7A"/>
    <w:rsid w:val="0AD242D3"/>
    <w:rsid w:val="0AD4727A"/>
    <w:rsid w:val="0ADF5DAD"/>
    <w:rsid w:val="0AEB5587"/>
    <w:rsid w:val="0AEE6ECB"/>
    <w:rsid w:val="0AF73FD1"/>
    <w:rsid w:val="0AF859C2"/>
    <w:rsid w:val="0B00233A"/>
    <w:rsid w:val="0B047927"/>
    <w:rsid w:val="0B0703AD"/>
    <w:rsid w:val="0B0B35D9"/>
    <w:rsid w:val="0B0B5703"/>
    <w:rsid w:val="0B1C5CBA"/>
    <w:rsid w:val="0B36617C"/>
    <w:rsid w:val="0B3C088D"/>
    <w:rsid w:val="0B460AB5"/>
    <w:rsid w:val="0B564076"/>
    <w:rsid w:val="0B583486"/>
    <w:rsid w:val="0B59486E"/>
    <w:rsid w:val="0B61201C"/>
    <w:rsid w:val="0B6515A9"/>
    <w:rsid w:val="0B6727D9"/>
    <w:rsid w:val="0B786794"/>
    <w:rsid w:val="0B7A2854"/>
    <w:rsid w:val="0B7C3731"/>
    <w:rsid w:val="0B82763B"/>
    <w:rsid w:val="0B8E0471"/>
    <w:rsid w:val="0B931810"/>
    <w:rsid w:val="0B9D06F5"/>
    <w:rsid w:val="0BAF0250"/>
    <w:rsid w:val="0BB974D9"/>
    <w:rsid w:val="0BBA688B"/>
    <w:rsid w:val="0BC30111"/>
    <w:rsid w:val="0BDC6D23"/>
    <w:rsid w:val="0BDD03A0"/>
    <w:rsid w:val="0BEF06B4"/>
    <w:rsid w:val="0BF73C5B"/>
    <w:rsid w:val="0BFC757E"/>
    <w:rsid w:val="0BFD6B61"/>
    <w:rsid w:val="0BFF07E0"/>
    <w:rsid w:val="0C01346C"/>
    <w:rsid w:val="0C0422EE"/>
    <w:rsid w:val="0C0D3F9D"/>
    <w:rsid w:val="0C112C13"/>
    <w:rsid w:val="0C13779A"/>
    <w:rsid w:val="0C2D2E0B"/>
    <w:rsid w:val="0C2D57D1"/>
    <w:rsid w:val="0C412C08"/>
    <w:rsid w:val="0C523489"/>
    <w:rsid w:val="0C540FAF"/>
    <w:rsid w:val="0C5D5C14"/>
    <w:rsid w:val="0C69691F"/>
    <w:rsid w:val="0C7038F7"/>
    <w:rsid w:val="0C7377EE"/>
    <w:rsid w:val="0C796C68"/>
    <w:rsid w:val="0C825B1D"/>
    <w:rsid w:val="0C856CEE"/>
    <w:rsid w:val="0C8E44C1"/>
    <w:rsid w:val="0C91467A"/>
    <w:rsid w:val="0C920966"/>
    <w:rsid w:val="0C920B66"/>
    <w:rsid w:val="0CA10882"/>
    <w:rsid w:val="0CA15148"/>
    <w:rsid w:val="0CA604D5"/>
    <w:rsid w:val="0CAB4505"/>
    <w:rsid w:val="0CB50187"/>
    <w:rsid w:val="0CB82423"/>
    <w:rsid w:val="0CBC40CB"/>
    <w:rsid w:val="0CBF7E83"/>
    <w:rsid w:val="0CC37719"/>
    <w:rsid w:val="0CCA3020"/>
    <w:rsid w:val="0CCD397D"/>
    <w:rsid w:val="0CD255CF"/>
    <w:rsid w:val="0CDF20AB"/>
    <w:rsid w:val="0CE82A48"/>
    <w:rsid w:val="0CEB4DC7"/>
    <w:rsid w:val="0CF174B0"/>
    <w:rsid w:val="0CF415B9"/>
    <w:rsid w:val="0CF6390D"/>
    <w:rsid w:val="0CF7474D"/>
    <w:rsid w:val="0CFC11DB"/>
    <w:rsid w:val="0D002EE5"/>
    <w:rsid w:val="0D08469F"/>
    <w:rsid w:val="0D0A7DB1"/>
    <w:rsid w:val="0D1C7D1F"/>
    <w:rsid w:val="0D256388"/>
    <w:rsid w:val="0D2564A8"/>
    <w:rsid w:val="0D2B70BB"/>
    <w:rsid w:val="0D2C02BA"/>
    <w:rsid w:val="0D354727"/>
    <w:rsid w:val="0D3A01A5"/>
    <w:rsid w:val="0D3A07FB"/>
    <w:rsid w:val="0D406215"/>
    <w:rsid w:val="0D49492C"/>
    <w:rsid w:val="0D4E1EA3"/>
    <w:rsid w:val="0D4F5FB2"/>
    <w:rsid w:val="0D5079C9"/>
    <w:rsid w:val="0D556D8D"/>
    <w:rsid w:val="0D6A6AFF"/>
    <w:rsid w:val="0D8475E1"/>
    <w:rsid w:val="0D89297F"/>
    <w:rsid w:val="0D8B0A01"/>
    <w:rsid w:val="0D8B0A48"/>
    <w:rsid w:val="0D921D8F"/>
    <w:rsid w:val="0DA8151C"/>
    <w:rsid w:val="0DA93AB3"/>
    <w:rsid w:val="0DAC2403"/>
    <w:rsid w:val="0DAC39FA"/>
    <w:rsid w:val="0DAD0977"/>
    <w:rsid w:val="0DB611B3"/>
    <w:rsid w:val="0DBB4974"/>
    <w:rsid w:val="0DC45CC1"/>
    <w:rsid w:val="0DC96539"/>
    <w:rsid w:val="0DDC057E"/>
    <w:rsid w:val="0DE00E6C"/>
    <w:rsid w:val="0DE14AC5"/>
    <w:rsid w:val="0DE94A90"/>
    <w:rsid w:val="0DEA4C29"/>
    <w:rsid w:val="0DEE408A"/>
    <w:rsid w:val="0DEF53E8"/>
    <w:rsid w:val="0DF02A51"/>
    <w:rsid w:val="0DF447F8"/>
    <w:rsid w:val="0DF67DEE"/>
    <w:rsid w:val="0DFD6421"/>
    <w:rsid w:val="0DFD66B2"/>
    <w:rsid w:val="0E053E88"/>
    <w:rsid w:val="0E0E785B"/>
    <w:rsid w:val="0E107158"/>
    <w:rsid w:val="0E123ECA"/>
    <w:rsid w:val="0E1305C2"/>
    <w:rsid w:val="0E1529C0"/>
    <w:rsid w:val="0E18037C"/>
    <w:rsid w:val="0E213113"/>
    <w:rsid w:val="0E310A27"/>
    <w:rsid w:val="0E325320"/>
    <w:rsid w:val="0E424CB6"/>
    <w:rsid w:val="0E4A0A8E"/>
    <w:rsid w:val="0E4D215A"/>
    <w:rsid w:val="0E530FB1"/>
    <w:rsid w:val="0E602D1D"/>
    <w:rsid w:val="0E625C06"/>
    <w:rsid w:val="0E697251"/>
    <w:rsid w:val="0E86580C"/>
    <w:rsid w:val="0E925C26"/>
    <w:rsid w:val="0E9630FE"/>
    <w:rsid w:val="0E9658AF"/>
    <w:rsid w:val="0E975954"/>
    <w:rsid w:val="0E9D6BF5"/>
    <w:rsid w:val="0E9F7B7A"/>
    <w:rsid w:val="0EAE1417"/>
    <w:rsid w:val="0EB21566"/>
    <w:rsid w:val="0EB46740"/>
    <w:rsid w:val="0EB60A64"/>
    <w:rsid w:val="0ED01767"/>
    <w:rsid w:val="0ED57440"/>
    <w:rsid w:val="0EDD528C"/>
    <w:rsid w:val="0EEE3A9C"/>
    <w:rsid w:val="0EF54EE0"/>
    <w:rsid w:val="0EF97BEC"/>
    <w:rsid w:val="0F0262C1"/>
    <w:rsid w:val="0F041E04"/>
    <w:rsid w:val="0F08497D"/>
    <w:rsid w:val="0F1F2FB1"/>
    <w:rsid w:val="0F2C1D70"/>
    <w:rsid w:val="0F2C6214"/>
    <w:rsid w:val="0F3338E7"/>
    <w:rsid w:val="0F3D5D2B"/>
    <w:rsid w:val="0F3D75E0"/>
    <w:rsid w:val="0F416352"/>
    <w:rsid w:val="0F470A11"/>
    <w:rsid w:val="0F501F02"/>
    <w:rsid w:val="0F575EB6"/>
    <w:rsid w:val="0F581575"/>
    <w:rsid w:val="0F66298E"/>
    <w:rsid w:val="0F6D1E2A"/>
    <w:rsid w:val="0F734ABD"/>
    <w:rsid w:val="0F754D02"/>
    <w:rsid w:val="0F760292"/>
    <w:rsid w:val="0F7717AF"/>
    <w:rsid w:val="0F783207"/>
    <w:rsid w:val="0F7A2ADB"/>
    <w:rsid w:val="0F9028B3"/>
    <w:rsid w:val="0F972C81"/>
    <w:rsid w:val="0F9C26DE"/>
    <w:rsid w:val="0F9D2C6D"/>
    <w:rsid w:val="0F9D6655"/>
    <w:rsid w:val="0FA36C70"/>
    <w:rsid w:val="0FA829A0"/>
    <w:rsid w:val="0FB80A48"/>
    <w:rsid w:val="0FC934E2"/>
    <w:rsid w:val="0FCE0E29"/>
    <w:rsid w:val="0FCE40A0"/>
    <w:rsid w:val="0FD01A45"/>
    <w:rsid w:val="0FEB39D9"/>
    <w:rsid w:val="0FF3491C"/>
    <w:rsid w:val="0FFC4F21"/>
    <w:rsid w:val="0FFF7484"/>
    <w:rsid w:val="10066A65"/>
    <w:rsid w:val="100A210A"/>
    <w:rsid w:val="100C3E86"/>
    <w:rsid w:val="101A42BE"/>
    <w:rsid w:val="101C29CD"/>
    <w:rsid w:val="10214519"/>
    <w:rsid w:val="10235429"/>
    <w:rsid w:val="10243DEB"/>
    <w:rsid w:val="10260A35"/>
    <w:rsid w:val="102F1459"/>
    <w:rsid w:val="10333692"/>
    <w:rsid w:val="10412E95"/>
    <w:rsid w:val="104509A9"/>
    <w:rsid w:val="104E0165"/>
    <w:rsid w:val="10562F90"/>
    <w:rsid w:val="10613C9B"/>
    <w:rsid w:val="10765998"/>
    <w:rsid w:val="107A6E5B"/>
    <w:rsid w:val="108B7452"/>
    <w:rsid w:val="108B7A49"/>
    <w:rsid w:val="10934DE4"/>
    <w:rsid w:val="10943FF1"/>
    <w:rsid w:val="10947BCD"/>
    <w:rsid w:val="1099167C"/>
    <w:rsid w:val="109A1177"/>
    <w:rsid w:val="109B20B7"/>
    <w:rsid w:val="109D1177"/>
    <w:rsid w:val="10A51DDA"/>
    <w:rsid w:val="10A95523"/>
    <w:rsid w:val="10A959E1"/>
    <w:rsid w:val="10B244F7"/>
    <w:rsid w:val="10BB1CE8"/>
    <w:rsid w:val="10BC4B03"/>
    <w:rsid w:val="10BF78A7"/>
    <w:rsid w:val="10CA3FDA"/>
    <w:rsid w:val="10CC79FF"/>
    <w:rsid w:val="10D2433A"/>
    <w:rsid w:val="10D60B3D"/>
    <w:rsid w:val="10E77204"/>
    <w:rsid w:val="10EC5745"/>
    <w:rsid w:val="10EF6FB0"/>
    <w:rsid w:val="10F25D7A"/>
    <w:rsid w:val="10FA1D28"/>
    <w:rsid w:val="10FC5772"/>
    <w:rsid w:val="1102547E"/>
    <w:rsid w:val="1119260B"/>
    <w:rsid w:val="1122342A"/>
    <w:rsid w:val="11290C5D"/>
    <w:rsid w:val="113A727B"/>
    <w:rsid w:val="11416A9A"/>
    <w:rsid w:val="1156748C"/>
    <w:rsid w:val="116C6308"/>
    <w:rsid w:val="116E041E"/>
    <w:rsid w:val="117619C8"/>
    <w:rsid w:val="11761A41"/>
    <w:rsid w:val="118C3ED1"/>
    <w:rsid w:val="11916802"/>
    <w:rsid w:val="11983FEB"/>
    <w:rsid w:val="119C5ACB"/>
    <w:rsid w:val="11A77DD3"/>
    <w:rsid w:val="11B45419"/>
    <w:rsid w:val="11BA03CB"/>
    <w:rsid w:val="11BF6AA0"/>
    <w:rsid w:val="11C14B4E"/>
    <w:rsid w:val="11CC7C14"/>
    <w:rsid w:val="11DD65FA"/>
    <w:rsid w:val="11DE6629"/>
    <w:rsid w:val="11DF55C9"/>
    <w:rsid w:val="11E37BFE"/>
    <w:rsid w:val="11E8040A"/>
    <w:rsid w:val="11EF7262"/>
    <w:rsid w:val="11F8062F"/>
    <w:rsid w:val="12007FF0"/>
    <w:rsid w:val="121974C8"/>
    <w:rsid w:val="122136E2"/>
    <w:rsid w:val="122E263D"/>
    <w:rsid w:val="12352A26"/>
    <w:rsid w:val="12380A2C"/>
    <w:rsid w:val="123A3F3B"/>
    <w:rsid w:val="12414AA7"/>
    <w:rsid w:val="124D4121"/>
    <w:rsid w:val="124E4E5A"/>
    <w:rsid w:val="12504D05"/>
    <w:rsid w:val="12521748"/>
    <w:rsid w:val="12555A81"/>
    <w:rsid w:val="125A3098"/>
    <w:rsid w:val="12652544"/>
    <w:rsid w:val="126B7053"/>
    <w:rsid w:val="126C4404"/>
    <w:rsid w:val="12751495"/>
    <w:rsid w:val="127D7678"/>
    <w:rsid w:val="12844F0A"/>
    <w:rsid w:val="128552A4"/>
    <w:rsid w:val="128802B2"/>
    <w:rsid w:val="12883C5A"/>
    <w:rsid w:val="128D0D77"/>
    <w:rsid w:val="1293358D"/>
    <w:rsid w:val="12A37192"/>
    <w:rsid w:val="12A51A20"/>
    <w:rsid w:val="12A85DF8"/>
    <w:rsid w:val="12AD6760"/>
    <w:rsid w:val="12B26B0A"/>
    <w:rsid w:val="12BC0EF8"/>
    <w:rsid w:val="12C3579D"/>
    <w:rsid w:val="12D1658C"/>
    <w:rsid w:val="12D2096D"/>
    <w:rsid w:val="12D8307F"/>
    <w:rsid w:val="12DB0C62"/>
    <w:rsid w:val="12DC3AAD"/>
    <w:rsid w:val="12E55783"/>
    <w:rsid w:val="130E3F08"/>
    <w:rsid w:val="13215DFC"/>
    <w:rsid w:val="13230A50"/>
    <w:rsid w:val="13236654"/>
    <w:rsid w:val="13242A51"/>
    <w:rsid w:val="132D4308"/>
    <w:rsid w:val="133004EB"/>
    <w:rsid w:val="133464CE"/>
    <w:rsid w:val="13364EF8"/>
    <w:rsid w:val="13397BCE"/>
    <w:rsid w:val="13685340"/>
    <w:rsid w:val="136E5428"/>
    <w:rsid w:val="137D1B7F"/>
    <w:rsid w:val="139569FB"/>
    <w:rsid w:val="139C7B5A"/>
    <w:rsid w:val="13A9054A"/>
    <w:rsid w:val="13BF042A"/>
    <w:rsid w:val="13C7475D"/>
    <w:rsid w:val="13CB7DA9"/>
    <w:rsid w:val="13D21640"/>
    <w:rsid w:val="13D306DE"/>
    <w:rsid w:val="13DA7FEC"/>
    <w:rsid w:val="13E5193C"/>
    <w:rsid w:val="13E74900"/>
    <w:rsid w:val="13EA0529"/>
    <w:rsid w:val="13F11739"/>
    <w:rsid w:val="13F15336"/>
    <w:rsid w:val="13FC3737"/>
    <w:rsid w:val="1401061A"/>
    <w:rsid w:val="14026A24"/>
    <w:rsid w:val="1402701A"/>
    <w:rsid w:val="14060AFB"/>
    <w:rsid w:val="1411282E"/>
    <w:rsid w:val="141D6EA8"/>
    <w:rsid w:val="14272659"/>
    <w:rsid w:val="142F5370"/>
    <w:rsid w:val="143524EC"/>
    <w:rsid w:val="14365AF9"/>
    <w:rsid w:val="14373691"/>
    <w:rsid w:val="143F42F3"/>
    <w:rsid w:val="1444735B"/>
    <w:rsid w:val="14453ED1"/>
    <w:rsid w:val="145D12CC"/>
    <w:rsid w:val="14643D5A"/>
    <w:rsid w:val="14700758"/>
    <w:rsid w:val="14733B21"/>
    <w:rsid w:val="14740CA0"/>
    <w:rsid w:val="147F6DE6"/>
    <w:rsid w:val="14854BE4"/>
    <w:rsid w:val="14A423A8"/>
    <w:rsid w:val="14A50891"/>
    <w:rsid w:val="14B43B33"/>
    <w:rsid w:val="14BF71E2"/>
    <w:rsid w:val="14C31A74"/>
    <w:rsid w:val="14CD20BB"/>
    <w:rsid w:val="14DD7852"/>
    <w:rsid w:val="14DE0052"/>
    <w:rsid w:val="14DE7CC9"/>
    <w:rsid w:val="14EE4F52"/>
    <w:rsid w:val="14EE7AA7"/>
    <w:rsid w:val="14F33747"/>
    <w:rsid w:val="15097A8D"/>
    <w:rsid w:val="15124B82"/>
    <w:rsid w:val="1521120D"/>
    <w:rsid w:val="15211C4B"/>
    <w:rsid w:val="1538494E"/>
    <w:rsid w:val="15452B06"/>
    <w:rsid w:val="155142DE"/>
    <w:rsid w:val="15581B10"/>
    <w:rsid w:val="1558548F"/>
    <w:rsid w:val="155C2C83"/>
    <w:rsid w:val="155F690B"/>
    <w:rsid w:val="156C1118"/>
    <w:rsid w:val="157466D4"/>
    <w:rsid w:val="157606D6"/>
    <w:rsid w:val="157A2903"/>
    <w:rsid w:val="157D2F01"/>
    <w:rsid w:val="157F07B3"/>
    <w:rsid w:val="158756D2"/>
    <w:rsid w:val="158E59FE"/>
    <w:rsid w:val="158F1143"/>
    <w:rsid w:val="15902BAD"/>
    <w:rsid w:val="15A35167"/>
    <w:rsid w:val="15A563D8"/>
    <w:rsid w:val="15AC6074"/>
    <w:rsid w:val="15B4486D"/>
    <w:rsid w:val="15B66837"/>
    <w:rsid w:val="15B8172B"/>
    <w:rsid w:val="15BB5BFB"/>
    <w:rsid w:val="15BD5E17"/>
    <w:rsid w:val="15C54681"/>
    <w:rsid w:val="15C82104"/>
    <w:rsid w:val="15C83EBF"/>
    <w:rsid w:val="15CC1C25"/>
    <w:rsid w:val="15DA2525"/>
    <w:rsid w:val="15DB44F0"/>
    <w:rsid w:val="15DE0F03"/>
    <w:rsid w:val="15E05662"/>
    <w:rsid w:val="15F35C65"/>
    <w:rsid w:val="15F86E50"/>
    <w:rsid w:val="15FD3CC4"/>
    <w:rsid w:val="16025E1A"/>
    <w:rsid w:val="160A26DF"/>
    <w:rsid w:val="160E670A"/>
    <w:rsid w:val="161E7468"/>
    <w:rsid w:val="16224B6F"/>
    <w:rsid w:val="1638724C"/>
    <w:rsid w:val="16511225"/>
    <w:rsid w:val="16517324"/>
    <w:rsid w:val="165F0C7D"/>
    <w:rsid w:val="166A38C9"/>
    <w:rsid w:val="166A7A52"/>
    <w:rsid w:val="1674297A"/>
    <w:rsid w:val="16783AEC"/>
    <w:rsid w:val="168615A5"/>
    <w:rsid w:val="16A11295"/>
    <w:rsid w:val="16A448E1"/>
    <w:rsid w:val="16A7036B"/>
    <w:rsid w:val="16A82624"/>
    <w:rsid w:val="16B34B25"/>
    <w:rsid w:val="16B74615"/>
    <w:rsid w:val="16DB7463"/>
    <w:rsid w:val="16DC239F"/>
    <w:rsid w:val="16DE1BA1"/>
    <w:rsid w:val="16DF15B9"/>
    <w:rsid w:val="16E116C4"/>
    <w:rsid w:val="16E436F1"/>
    <w:rsid w:val="16E77CC8"/>
    <w:rsid w:val="16E96798"/>
    <w:rsid w:val="16EE1FEF"/>
    <w:rsid w:val="16F33791"/>
    <w:rsid w:val="16FA2753"/>
    <w:rsid w:val="170519EB"/>
    <w:rsid w:val="170D06D9"/>
    <w:rsid w:val="1712246D"/>
    <w:rsid w:val="171340D2"/>
    <w:rsid w:val="171952CF"/>
    <w:rsid w:val="171F6755"/>
    <w:rsid w:val="1733179D"/>
    <w:rsid w:val="1734273B"/>
    <w:rsid w:val="174C53D2"/>
    <w:rsid w:val="17501C69"/>
    <w:rsid w:val="175A79B7"/>
    <w:rsid w:val="175B2A24"/>
    <w:rsid w:val="175E7186"/>
    <w:rsid w:val="1763479D"/>
    <w:rsid w:val="17676B64"/>
    <w:rsid w:val="17732C32"/>
    <w:rsid w:val="17773DA4"/>
    <w:rsid w:val="177C41C0"/>
    <w:rsid w:val="177E5399"/>
    <w:rsid w:val="17884917"/>
    <w:rsid w:val="17901A7A"/>
    <w:rsid w:val="179A3448"/>
    <w:rsid w:val="17A32D97"/>
    <w:rsid w:val="17B40B54"/>
    <w:rsid w:val="17B423BF"/>
    <w:rsid w:val="17B52555"/>
    <w:rsid w:val="17B80644"/>
    <w:rsid w:val="17C70888"/>
    <w:rsid w:val="17C90AA4"/>
    <w:rsid w:val="17CD0F85"/>
    <w:rsid w:val="17D24F31"/>
    <w:rsid w:val="17D63CE0"/>
    <w:rsid w:val="17D72662"/>
    <w:rsid w:val="17E21B65"/>
    <w:rsid w:val="17E86A50"/>
    <w:rsid w:val="17EC1800"/>
    <w:rsid w:val="17F02970"/>
    <w:rsid w:val="17F378CF"/>
    <w:rsid w:val="1808231B"/>
    <w:rsid w:val="18085435"/>
    <w:rsid w:val="18106164"/>
    <w:rsid w:val="18135C4C"/>
    <w:rsid w:val="181810E3"/>
    <w:rsid w:val="18267CA4"/>
    <w:rsid w:val="18391848"/>
    <w:rsid w:val="183C311D"/>
    <w:rsid w:val="183E1775"/>
    <w:rsid w:val="184243B2"/>
    <w:rsid w:val="18504C38"/>
    <w:rsid w:val="1853036D"/>
    <w:rsid w:val="186802BC"/>
    <w:rsid w:val="186D58D3"/>
    <w:rsid w:val="18770500"/>
    <w:rsid w:val="18774CCE"/>
    <w:rsid w:val="187C3D68"/>
    <w:rsid w:val="188249D3"/>
    <w:rsid w:val="188D6D1D"/>
    <w:rsid w:val="188E780C"/>
    <w:rsid w:val="1894056C"/>
    <w:rsid w:val="18A20C51"/>
    <w:rsid w:val="18A601EE"/>
    <w:rsid w:val="18A94431"/>
    <w:rsid w:val="18C64957"/>
    <w:rsid w:val="18CC5E8B"/>
    <w:rsid w:val="18D22840"/>
    <w:rsid w:val="18D57F13"/>
    <w:rsid w:val="18D630FB"/>
    <w:rsid w:val="18DE55B8"/>
    <w:rsid w:val="18F25DD8"/>
    <w:rsid w:val="18F47C3A"/>
    <w:rsid w:val="18F538C8"/>
    <w:rsid w:val="18FE38CA"/>
    <w:rsid w:val="1901397F"/>
    <w:rsid w:val="190E10C9"/>
    <w:rsid w:val="1928785F"/>
    <w:rsid w:val="192C6BA8"/>
    <w:rsid w:val="192E075E"/>
    <w:rsid w:val="193E16C4"/>
    <w:rsid w:val="19563A74"/>
    <w:rsid w:val="195F7D90"/>
    <w:rsid w:val="197B5DCD"/>
    <w:rsid w:val="19842055"/>
    <w:rsid w:val="198935B3"/>
    <w:rsid w:val="198D7B50"/>
    <w:rsid w:val="19975305"/>
    <w:rsid w:val="19A54BF8"/>
    <w:rsid w:val="19B412DF"/>
    <w:rsid w:val="19BF7380"/>
    <w:rsid w:val="19C1643B"/>
    <w:rsid w:val="19C35321"/>
    <w:rsid w:val="19C77265"/>
    <w:rsid w:val="19CA700E"/>
    <w:rsid w:val="19CE316B"/>
    <w:rsid w:val="19CF6119"/>
    <w:rsid w:val="19D61256"/>
    <w:rsid w:val="19EB65F6"/>
    <w:rsid w:val="19EC5173"/>
    <w:rsid w:val="19EC6CCB"/>
    <w:rsid w:val="19F16090"/>
    <w:rsid w:val="1A05005E"/>
    <w:rsid w:val="1A0A53A3"/>
    <w:rsid w:val="1A121F48"/>
    <w:rsid w:val="1A2B05E2"/>
    <w:rsid w:val="1A300DC6"/>
    <w:rsid w:val="1A324CCF"/>
    <w:rsid w:val="1A411DC8"/>
    <w:rsid w:val="1A543E40"/>
    <w:rsid w:val="1A554870"/>
    <w:rsid w:val="1A587EBD"/>
    <w:rsid w:val="1A683FD2"/>
    <w:rsid w:val="1A686297"/>
    <w:rsid w:val="1A6B6059"/>
    <w:rsid w:val="1A6E7911"/>
    <w:rsid w:val="1A702BC5"/>
    <w:rsid w:val="1A750A6F"/>
    <w:rsid w:val="1A777714"/>
    <w:rsid w:val="1A7C449F"/>
    <w:rsid w:val="1A7C55D5"/>
    <w:rsid w:val="1A935399"/>
    <w:rsid w:val="1A937147"/>
    <w:rsid w:val="1A97044B"/>
    <w:rsid w:val="1A990ED7"/>
    <w:rsid w:val="1A9A1477"/>
    <w:rsid w:val="1AA41354"/>
    <w:rsid w:val="1AA61D4B"/>
    <w:rsid w:val="1AAA2B3C"/>
    <w:rsid w:val="1AB462A4"/>
    <w:rsid w:val="1AB5121A"/>
    <w:rsid w:val="1AB86D42"/>
    <w:rsid w:val="1ABA38AA"/>
    <w:rsid w:val="1ABC07FF"/>
    <w:rsid w:val="1ABC5B6A"/>
    <w:rsid w:val="1ACD6D07"/>
    <w:rsid w:val="1AD0039B"/>
    <w:rsid w:val="1AE525DC"/>
    <w:rsid w:val="1AEE0821"/>
    <w:rsid w:val="1AF8344E"/>
    <w:rsid w:val="1AFD09BC"/>
    <w:rsid w:val="1B0E083C"/>
    <w:rsid w:val="1B0F4CD0"/>
    <w:rsid w:val="1B1032D9"/>
    <w:rsid w:val="1B103B20"/>
    <w:rsid w:val="1B1520DE"/>
    <w:rsid w:val="1B1C0A4C"/>
    <w:rsid w:val="1B2D785E"/>
    <w:rsid w:val="1B304996"/>
    <w:rsid w:val="1B3B255C"/>
    <w:rsid w:val="1B415F06"/>
    <w:rsid w:val="1B43291B"/>
    <w:rsid w:val="1B481CDF"/>
    <w:rsid w:val="1B4909F4"/>
    <w:rsid w:val="1B502A2B"/>
    <w:rsid w:val="1B5602C2"/>
    <w:rsid w:val="1B5A6653"/>
    <w:rsid w:val="1B66485B"/>
    <w:rsid w:val="1B6F69BF"/>
    <w:rsid w:val="1B765E86"/>
    <w:rsid w:val="1B7A3E63"/>
    <w:rsid w:val="1B813443"/>
    <w:rsid w:val="1B85267F"/>
    <w:rsid w:val="1B85348B"/>
    <w:rsid w:val="1B877F2F"/>
    <w:rsid w:val="1B8F6A2D"/>
    <w:rsid w:val="1B9F0845"/>
    <w:rsid w:val="1BA63D15"/>
    <w:rsid w:val="1BA85854"/>
    <w:rsid w:val="1BAD5FE6"/>
    <w:rsid w:val="1BB63319"/>
    <w:rsid w:val="1BBB6955"/>
    <w:rsid w:val="1BBC26CD"/>
    <w:rsid w:val="1BCA6B98"/>
    <w:rsid w:val="1BCB2DA2"/>
    <w:rsid w:val="1BCD15A0"/>
    <w:rsid w:val="1BCF2401"/>
    <w:rsid w:val="1BD21EF1"/>
    <w:rsid w:val="1BD22522"/>
    <w:rsid w:val="1BD24284"/>
    <w:rsid w:val="1BE91714"/>
    <w:rsid w:val="1BEB66FB"/>
    <w:rsid w:val="1BF65BDF"/>
    <w:rsid w:val="1BF71882"/>
    <w:rsid w:val="1BF75AD4"/>
    <w:rsid w:val="1C02674C"/>
    <w:rsid w:val="1C1B59BA"/>
    <w:rsid w:val="1C2135DF"/>
    <w:rsid w:val="1C234F29"/>
    <w:rsid w:val="1C280A24"/>
    <w:rsid w:val="1C2A6A69"/>
    <w:rsid w:val="1C2D48DC"/>
    <w:rsid w:val="1C2D729B"/>
    <w:rsid w:val="1C43166A"/>
    <w:rsid w:val="1C450D1A"/>
    <w:rsid w:val="1C580648"/>
    <w:rsid w:val="1C6A33EE"/>
    <w:rsid w:val="1C7327CF"/>
    <w:rsid w:val="1C733010"/>
    <w:rsid w:val="1C827625"/>
    <w:rsid w:val="1C9300F0"/>
    <w:rsid w:val="1C935E1A"/>
    <w:rsid w:val="1C9E29C1"/>
    <w:rsid w:val="1CA12D03"/>
    <w:rsid w:val="1CA94820"/>
    <w:rsid w:val="1CBF5FD1"/>
    <w:rsid w:val="1CCD0955"/>
    <w:rsid w:val="1CCE26B8"/>
    <w:rsid w:val="1CD04682"/>
    <w:rsid w:val="1CD06430"/>
    <w:rsid w:val="1CD06590"/>
    <w:rsid w:val="1CDB47A1"/>
    <w:rsid w:val="1CDC1BD7"/>
    <w:rsid w:val="1CDC3027"/>
    <w:rsid w:val="1CE44377"/>
    <w:rsid w:val="1CEF68E8"/>
    <w:rsid w:val="1CF2284B"/>
    <w:rsid w:val="1CF54E48"/>
    <w:rsid w:val="1D0429B3"/>
    <w:rsid w:val="1D072D53"/>
    <w:rsid w:val="1D0E3306"/>
    <w:rsid w:val="1D1162ED"/>
    <w:rsid w:val="1D175E0D"/>
    <w:rsid w:val="1D2C5CCF"/>
    <w:rsid w:val="1D2F6D72"/>
    <w:rsid w:val="1D365E56"/>
    <w:rsid w:val="1D3F5364"/>
    <w:rsid w:val="1D4576F2"/>
    <w:rsid w:val="1D4666F2"/>
    <w:rsid w:val="1D484219"/>
    <w:rsid w:val="1D4A647E"/>
    <w:rsid w:val="1D4D5CD3"/>
    <w:rsid w:val="1D532BBD"/>
    <w:rsid w:val="1D5361AD"/>
    <w:rsid w:val="1D570900"/>
    <w:rsid w:val="1D5E15BB"/>
    <w:rsid w:val="1D7048F9"/>
    <w:rsid w:val="1D721AFA"/>
    <w:rsid w:val="1D7D7D3F"/>
    <w:rsid w:val="1D7F458B"/>
    <w:rsid w:val="1D8D7F05"/>
    <w:rsid w:val="1D9B6A3E"/>
    <w:rsid w:val="1D9D3D1A"/>
    <w:rsid w:val="1DA35BF9"/>
    <w:rsid w:val="1DB87967"/>
    <w:rsid w:val="1DC07CF2"/>
    <w:rsid w:val="1DCF493A"/>
    <w:rsid w:val="1DD223A7"/>
    <w:rsid w:val="1DD54528"/>
    <w:rsid w:val="1DD65021"/>
    <w:rsid w:val="1DE32193"/>
    <w:rsid w:val="1DE877AA"/>
    <w:rsid w:val="1DED4048"/>
    <w:rsid w:val="1DEE019F"/>
    <w:rsid w:val="1DF60F95"/>
    <w:rsid w:val="1DFD6804"/>
    <w:rsid w:val="1E022D68"/>
    <w:rsid w:val="1E066426"/>
    <w:rsid w:val="1E1265D5"/>
    <w:rsid w:val="1E150E13"/>
    <w:rsid w:val="1E1C324A"/>
    <w:rsid w:val="1E26477C"/>
    <w:rsid w:val="1E2A4177"/>
    <w:rsid w:val="1E2C55DA"/>
    <w:rsid w:val="1E2D7A8C"/>
    <w:rsid w:val="1E386BAD"/>
    <w:rsid w:val="1E3E386E"/>
    <w:rsid w:val="1E47282D"/>
    <w:rsid w:val="1E49007E"/>
    <w:rsid w:val="1E4E08BF"/>
    <w:rsid w:val="1E5135A1"/>
    <w:rsid w:val="1E546BED"/>
    <w:rsid w:val="1E5B441F"/>
    <w:rsid w:val="1E5C77F2"/>
    <w:rsid w:val="1E5D0198"/>
    <w:rsid w:val="1E5D4451"/>
    <w:rsid w:val="1E616E29"/>
    <w:rsid w:val="1E6665E3"/>
    <w:rsid w:val="1E6C0627"/>
    <w:rsid w:val="1E761256"/>
    <w:rsid w:val="1E7B472F"/>
    <w:rsid w:val="1E8A0861"/>
    <w:rsid w:val="1E8C5783"/>
    <w:rsid w:val="1E911BEF"/>
    <w:rsid w:val="1E943D2D"/>
    <w:rsid w:val="1EAB12F8"/>
    <w:rsid w:val="1EB45ED0"/>
    <w:rsid w:val="1EB51D82"/>
    <w:rsid w:val="1EB9506A"/>
    <w:rsid w:val="1EBD633A"/>
    <w:rsid w:val="1EBF0EDC"/>
    <w:rsid w:val="1EC51145"/>
    <w:rsid w:val="1EC65D3D"/>
    <w:rsid w:val="1ECF44C6"/>
    <w:rsid w:val="1ED51239"/>
    <w:rsid w:val="1EDA0949"/>
    <w:rsid w:val="1EDD6BE3"/>
    <w:rsid w:val="1EDE6831"/>
    <w:rsid w:val="1EDF6DFF"/>
    <w:rsid w:val="1EE1004B"/>
    <w:rsid w:val="1EE15B71"/>
    <w:rsid w:val="1EE235B8"/>
    <w:rsid w:val="1EED01A0"/>
    <w:rsid w:val="1F06438B"/>
    <w:rsid w:val="1F0C7791"/>
    <w:rsid w:val="1F0E57BA"/>
    <w:rsid w:val="1F120F82"/>
    <w:rsid w:val="1F134CFA"/>
    <w:rsid w:val="1F185E6D"/>
    <w:rsid w:val="1F1A082F"/>
    <w:rsid w:val="1F1B47A3"/>
    <w:rsid w:val="1F332CA6"/>
    <w:rsid w:val="1F3535E1"/>
    <w:rsid w:val="1F4377A5"/>
    <w:rsid w:val="1F446322"/>
    <w:rsid w:val="1F457294"/>
    <w:rsid w:val="1F464788"/>
    <w:rsid w:val="1F470500"/>
    <w:rsid w:val="1F4B120E"/>
    <w:rsid w:val="1F5E41C7"/>
    <w:rsid w:val="1F5F040C"/>
    <w:rsid w:val="1F745799"/>
    <w:rsid w:val="1F7C464D"/>
    <w:rsid w:val="1F7F7C9A"/>
    <w:rsid w:val="1F881244"/>
    <w:rsid w:val="1F8A4EE2"/>
    <w:rsid w:val="1F90263B"/>
    <w:rsid w:val="1F92453A"/>
    <w:rsid w:val="1F982132"/>
    <w:rsid w:val="1FA829FB"/>
    <w:rsid w:val="1FA90839"/>
    <w:rsid w:val="1FB55782"/>
    <w:rsid w:val="1FB578D4"/>
    <w:rsid w:val="1FB738D7"/>
    <w:rsid w:val="1FBB4BD6"/>
    <w:rsid w:val="1FC33368"/>
    <w:rsid w:val="1FCC29C7"/>
    <w:rsid w:val="1FE56DE3"/>
    <w:rsid w:val="1FE64AE1"/>
    <w:rsid w:val="1FEA5A5B"/>
    <w:rsid w:val="1FEF3886"/>
    <w:rsid w:val="1FF2321C"/>
    <w:rsid w:val="1FF56611"/>
    <w:rsid w:val="1FF97A4C"/>
    <w:rsid w:val="20052A52"/>
    <w:rsid w:val="200C2FED"/>
    <w:rsid w:val="200D697F"/>
    <w:rsid w:val="20286883"/>
    <w:rsid w:val="202B4E25"/>
    <w:rsid w:val="202F16C0"/>
    <w:rsid w:val="20353D7F"/>
    <w:rsid w:val="20377398"/>
    <w:rsid w:val="203C3DDD"/>
    <w:rsid w:val="20407429"/>
    <w:rsid w:val="20527E87"/>
    <w:rsid w:val="20571AF7"/>
    <w:rsid w:val="2057321B"/>
    <w:rsid w:val="206536EE"/>
    <w:rsid w:val="20665FED"/>
    <w:rsid w:val="2073362B"/>
    <w:rsid w:val="20874691"/>
    <w:rsid w:val="20914D43"/>
    <w:rsid w:val="209D3B30"/>
    <w:rsid w:val="209D487B"/>
    <w:rsid w:val="20A51982"/>
    <w:rsid w:val="20A830D3"/>
    <w:rsid w:val="20AF0CAD"/>
    <w:rsid w:val="20B71E49"/>
    <w:rsid w:val="20C31ED8"/>
    <w:rsid w:val="20C462AC"/>
    <w:rsid w:val="20D109C9"/>
    <w:rsid w:val="20D14047"/>
    <w:rsid w:val="20DB11F7"/>
    <w:rsid w:val="20DD2ECA"/>
    <w:rsid w:val="20E148CC"/>
    <w:rsid w:val="20E34258"/>
    <w:rsid w:val="20E36D7A"/>
    <w:rsid w:val="20F64243"/>
    <w:rsid w:val="20FA42D6"/>
    <w:rsid w:val="21056F8B"/>
    <w:rsid w:val="210941DD"/>
    <w:rsid w:val="212136FE"/>
    <w:rsid w:val="212338EF"/>
    <w:rsid w:val="212343F7"/>
    <w:rsid w:val="213056EF"/>
    <w:rsid w:val="21317460"/>
    <w:rsid w:val="21321EB9"/>
    <w:rsid w:val="213C2D5B"/>
    <w:rsid w:val="214400A2"/>
    <w:rsid w:val="214E7AE6"/>
    <w:rsid w:val="214F6305"/>
    <w:rsid w:val="21505633"/>
    <w:rsid w:val="215801DB"/>
    <w:rsid w:val="215F09C9"/>
    <w:rsid w:val="21627873"/>
    <w:rsid w:val="216408B9"/>
    <w:rsid w:val="216D4659"/>
    <w:rsid w:val="21771DA9"/>
    <w:rsid w:val="218912A4"/>
    <w:rsid w:val="218C7F8D"/>
    <w:rsid w:val="218E3929"/>
    <w:rsid w:val="21920158"/>
    <w:rsid w:val="21A97250"/>
    <w:rsid w:val="21A97F88"/>
    <w:rsid w:val="21AE3A1F"/>
    <w:rsid w:val="21B225A8"/>
    <w:rsid w:val="21B46321"/>
    <w:rsid w:val="21B87DD3"/>
    <w:rsid w:val="21BF054D"/>
    <w:rsid w:val="21C852D8"/>
    <w:rsid w:val="21D251EE"/>
    <w:rsid w:val="21D82720"/>
    <w:rsid w:val="21D94C6C"/>
    <w:rsid w:val="21DA1CCC"/>
    <w:rsid w:val="21DC7859"/>
    <w:rsid w:val="21DE514B"/>
    <w:rsid w:val="21DF0D52"/>
    <w:rsid w:val="21E67457"/>
    <w:rsid w:val="21E97519"/>
    <w:rsid w:val="21EE1C2B"/>
    <w:rsid w:val="21EF7359"/>
    <w:rsid w:val="21FA6DF4"/>
    <w:rsid w:val="220528C8"/>
    <w:rsid w:val="22094346"/>
    <w:rsid w:val="220F17A9"/>
    <w:rsid w:val="22294078"/>
    <w:rsid w:val="222E494D"/>
    <w:rsid w:val="2231281C"/>
    <w:rsid w:val="22325497"/>
    <w:rsid w:val="22461A54"/>
    <w:rsid w:val="2248289F"/>
    <w:rsid w:val="22551965"/>
    <w:rsid w:val="225A22A2"/>
    <w:rsid w:val="226204CC"/>
    <w:rsid w:val="226D6ADD"/>
    <w:rsid w:val="226F1B0F"/>
    <w:rsid w:val="227301A7"/>
    <w:rsid w:val="22812EA5"/>
    <w:rsid w:val="22826AA7"/>
    <w:rsid w:val="228570EC"/>
    <w:rsid w:val="2286367F"/>
    <w:rsid w:val="2288544B"/>
    <w:rsid w:val="22893512"/>
    <w:rsid w:val="22917F9D"/>
    <w:rsid w:val="22925F36"/>
    <w:rsid w:val="22934EB8"/>
    <w:rsid w:val="229E0014"/>
    <w:rsid w:val="22AC524A"/>
    <w:rsid w:val="22BB34B6"/>
    <w:rsid w:val="22BB43D7"/>
    <w:rsid w:val="22C57CEB"/>
    <w:rsid w:val="22CD23BA"/>
    <w:rsid w:val="22D91A6D"/>
    <w:rsid w:val="22E20377"/>
    <w:rsid w:val="22E456B7"/>
    <w:rsid w:val="22E9628F"/>
    <w:rsid w:val="22F812B4"/>
    <w:rsid w:val="22FD3CF7"/>
    <w:rsid w:val="231D7EF5"/>
    <w:rsid w:val="23221CEF"/>
    <w:rsid w:val="23227D87"/>
    <w:rsid w:val="232F19D7"/>
    <w:rsid w:val="233052DA"/>
    <w:rsid w:val="233A2812"/>
    <w:rsid w:val="233E17D0"/>
    <w:rsid w:val="23404C3E"/>
    <w:rsid w:val="23425CA2"/>
    <w:rsid w:val="2348022F"/>
    <w:rsid w:val="234A3521"/>
    <w:rsid w:val="234C07DB"/>
    <w:rsid w:val="234E4D37"/>
    <w:rsid w:val="23521AD3"/>
    <w:rsid w:val="23531B69"/>
    <w:rsid w:val="237415CC"/>
    <w:rsid w:val="237827E2"/>
    <w:rsid w:val="237A6EBD"/>
    <w:rsid w:val="23827958"/>
    <w:rsid w:val="23A2342C"/>
    <w:rsid w:val="23A36271"/>
    <w:rsid w:val="23B42F3E"/>
    <w:rsid w:val="23B7196E"/>
    <w:rsid w:val="23BA3582"/>
    <w:rsid w:val="23CB65C5"/>
    <w:rsid w:val="23D049E7"/>
    <w:rsid w:val="23D706B8"/>
    <w:rsid w:val="23D83E1C"/>
    <w:rsid w:val="23E934E5"/>
    <w:rsid w:val="23EE53EE"/>
    <w:rsid w:val="23EF0D93"/>
    <w:rsid w:val="240459D1"/>
    <w:rsid w:val="24076056"/>
    <w:rsid w:val="240A0870"/>
    <w:rsid w:val="242A41CC"/>
    <w:rsid w:val="244216F7"/>
    <w:rsid w:val="24451F15"/>
    <w:rsid w:val="24523BCF"/>
    <w:rsid w:val="245D7DCF"/>
    <w:rsid w:val="246A055E"/>
    <w:rsid w:val="247679F6"/>
    <w:rsid w:val="247A570E"/>
    <w:rsid w:val="249064A5"/>
    <w:rsid w:val="249661B1"/>
    <w:rsid w:val="249D2447"/>
    <w:rsid w:val="24A00233"/>
    <w:rsid w:val="24A506D5"/>
    <w:rsid w:val="24A65CC9"/>
    <w:rsid w:val="24A77F65"/>
    <w:rsid w:val="24A9572A"/>
    <w:rsid w:val="24AA017A"/>
    <w:rsid w:val="24B07B87"/>
    <w:rsid w:val="24B93C4E"/>
    <w:rsid w:val="24BC0EEE"/>
    <w:rsid w:val="24BE74B6"/>
    <w:rsid w:val="24C70994"/>
    <w:rsid w:val="24D10F97"/>
    <w:rsid w:val="24D911C1"/>
    <w:rsid w:val="24ED2217"/>
    <w:rsid w:val="24F74EED"/>
    <w:rsid w:val="24FD644E"/>
    <w:rsid w:val="250B1DA7"/>
    <w:rsid w:val="25154C7F"/>
    <w:rsid w:val="251A293E"/>
    <w:rsid w:val="251E5B96"/>
    <w:rsid w:val="25246586"/>
    <w:rsid w:val="252B3C86"/>
    <w:rsid w:val="252E70E8"/>
    <w:rsid w:val="25331C52"/>
    <w:rsid w:val="2536704D"/>
    <w:rsid w:val="253E79C5"/>
    <w:rsid w:val="255676EF"/>
    <w:rsid w:val="255D0A7D"/>
    <w:rsid w:val="25620BEB"/>
    <w:rsid w:val="25626093"/>
    <w:rsid w:val="256C111F"/>
    <w:rsid w:val="257007B0"/>
    <w:rsid w:val="25706A02"/>
    <w:rsid w:val="25714529"/>
    <w:rsid w:val="25751335"/>
    <w:rsid w:val="25793EE8"/>
    <w:rsid w:val="25831F52"/>
    <w:rsid w:val="259D531E"/>
    <w:rsid w:val="25A725E0"/>
    <w:rsid w:val="25A9372B"/>
    <w:rsid w:val="25AF4750"/>
    <w:rsid w:val="25B53E66"/>
    <w:rsid w:val="25BC03DF"/>
    <w:rsid w:val="25C3141C"/>
    <w:rsid w:val="25D326E0"/>
    <w:rsid w:val="25DD396C"/>
    <w:rsid w:val="25F9077F"/>
    <w:rsid w:val="260333D3"/>
    <w:rsid w:val="2606586D"/>
    <w:rsid w:val="2608583E"/>
    <w:rsid w:val="260A4F06"/>
    <w:rsid w:val="26112CDF"/>
    <w:rsid w:val="261F21D6"/>
    <w:rsid w:val="262104D2"/>
    <w:rsid w:val="2629095F"/>
    <w:rsid w:val="26293085"/>
    <w:rsid w:val="26296BB1"/>
    <w:rsid w:val="262E14DF"/>
    <w:rsid w:val="263631A5"/>
    <w:rsid w:val="263823D4"/>
    <w:rsid w:val="263B1E7B"/>
    <w:rsid w:val="264659B5"/>
    <w:rsid w:val="265A05A4"/>
    <w:rsid w:val="266D3BDD"/>
    <w:rsid w:val="2674499C"/>
    <w:rsid w:val="2677791D"/>
    <w:rsid w:val="26972715"/>
    <w:rsid w:val="269C5B54"/>
    <w:rsid w:val="26A9504F"/>
    <w:rsid w:val="26B0630B"/>
    <w:rsid w:val="26B577F8"/>
    <w:rsid w:val="26BB1EFF"/>
    <w:rsid w:val="26BC761F"/>
    <w:rsid w:val="26C4085E"/>
    <w:rsid w:val="26CD4EB6"/>
    <w:rsid w:val="26CF0B5A"/>
    <w:rsid w:val="26D15F35"/>
    <w:rsid w:val="26D802BC"/>
    <w:rsid w:val="26DE7F7F"/>
    <w:rsid w:val="26DF4DEB"/>
    <w:rsid w:val="26E054C2"/>
    <w:rsid w:val="26E31221"/>
    <w:rsid w:val="26EE1B65"/>
    <w:rsid w:val="26EF1BA9"/>
    <w:rsid w:val="26F36BE1"/>
    <w:rsid w:val="26F52B8D"/>
    <w:rsid w:val="26F84A00"/>
    <w:rsid w:val="26F85C43"/>
    <w:rsid w:val="26FE27E8"/>
    <w:rsid w:val="27064F65"/>
    <w:rsid w:val="270A69E3"/>
    <w:rsid w:val="270A6E69"/>
    <w:rsid w:val="270F5DA7"/>
    <w:rsid w:val="27135897"/>
    <w:rsid w:val="271E008C"/>
    <w:rsid w:val="27210088"/>
    <w:rsid w:val="272950BB"/>
    <w:rsid w:val="273926AF"/>
    <w:rsid w:val="273D0B66"/>
    <w:rsid w:val="274243CE"/>
    <w:rsid w:val="27541A0C"/>
    <w:rsid w:val="27574C29"/>
    <w:rsid w:val="275D4D64"/>
    <w:rsid w:val="27604855"/>
    <w:rsid w:val="27663AD0"/>
    <w:rsid w:val="276F1A3E"/>
    <w:rsid w:val="2775447E"/>
    <w:rsid w:val="27764078"/>
    <w:rsid w:val="277A7AEB"/>
    <w:rsid w:val="27800622"/>
    <w:rsid w:val="2781750A"/>
    <w:rsid w:val="27895B59"/>
    <w:rsid w:val="278F282B"/>
    <w:rsid w:val="279462AC"/>
    <w:rsid w:val="27A31165"/>
    <w:rsid w:val="27B4482F"/>
    <w:rsid w:val="27B626C7"/>
    <w:rsid w:val="27B879B3"/>
    <w:rsid w:val="27BA37EC"/>
    <w:rsid w:val="27BF5A1F"/>
    <w:rsid w:val="27C43D01"/>
    <w:rsid w:val="27C93064"/>
    <w:rsid w:val="27CD1DB9"/>
    <w:rsid w:val="27D36DD5"/>
    <w:rsid w:val="27D972D8"/>
    <w:rsid w:val="27DA652A"/>
    <w:rsid w:val="27DB012C"/>
    <w:rsid w:val="27DF69D9"/>
    <w:rsid w:val="27E512EC"/>
    <w:rsid w:val="27EF79D0"/>
    <w:rsid w:val="27F136FF"/>
    <w:rsid w:val="27F51441"/>
    <w:rsid w:val="27F531EF"/>
    <w:rsid w:val="27F62CF8"/>
    <w:rsid w:val="27F9750B"/>
    <w:rsid w:val="280477E3"/>
    <w:rsid w:val="2812355B"/>
    <w:rsid w:val="2812669E"/>
    <w:rsid w:val="281D62A2"/>
    <w:rsid w:val="281F28D7"/>
    <w:rsid w:val="281F6FF8"/>
    <w:rsid w:val="2824337C"/>
    <w:rsid w:val="282D551D"/>
    <w:rsid w:val="282E04AF"/>
    <w:rsid w:val="283A6B48"/>
    <w:rsid w:val="28464C1E"/>
    <w:rsid w:val="284A36CD"/>
    <w:rsid w:val="28507CA6"/>
    <w:rsid w:val="285A4861"/>
    <w:rsid w:val="285A74F6"/>
    <w:rsid w:val="286363AA"/>
    <w:rsid w:val="28674A89"/>
    <w:rsid w:val="28870F4E"/>
    <w:rsid w:val="28933CAA"/>
    <w:rsid w:val="28A16ED3"/>
    <w:rsid w:val="28AD5878"/>
    <w:rsid w:val="28C17F8F"/>
    <w:rsid w:val="28C50E13"/>
    <w:rsid w:val="28C72DDD"/>
    <w:rsid w:val="28C74ED5"/>
    <w:rsid w:val="28CA467C"/>
    <w:rsid w:val="28D37629"/>
    <w:rsid w:val="28DE3C83"/>
    <w:rsid w:val="28E219C5"/>
    <w:rsid w:val="28E369A6"/>
    <w:rsid w:val="28EB06CD"/>
    <w:rsid w:val="28F45255"/>
    <w:rsid w:val="28F57059"/>
    <w:rsid w:val="29035B09"/>
    <w:rsid w:val="29111AF7"/>
    <w:rsid w:val="291122AA"/>
    <w:rsid w:val="29125B79"/>
    <w:rsid w:val="29161DF0"/>
    <w:rsid w:val="291E0523"/>
    <w:rsid w:val="29212589"/>
    <w:rsid w:val="29257B04"/>
    <w:rsid w:val="29273CCA"/>
    <w:rsid w:val="29335621"/>
    <w:rsid w:val="294B14D7"/>
    <w:rsid w:val="29546686"/>
    <w:rsid w:val="295757E3"/>
    <w:rsid w:val="29583A35"/>
    <w:rsid w:val="296048F6"/>
    <w:rsid w:val="296216F1"/>
    <w:rsid w:val="2968690C"/>
    <w:rsid w:val="2970122D"/>
    <w:rsid w:val="2979112F"/>
    <w:rsid w:val="297D16EE"/>
    <w:rsid w:val="2985721F"/>
    <w:rsid w:val="29891EF1"/>
    <w:rsid w:val="298D02AE"/>
    <w:rsid w:val="298E7CA8"/>
    <w:rsid w:val="29902D19"/>
    <w:rsid w:val="29913AC4"/>
    <w:rsid w:val="29915199"/>
    <w:rsid w:val="299535BF"/>
    <w:rsid w:val="29966296"/>
    <w:rsid w:val="299B1B74"/>
    <w:rsid w:val="29A25991"/>
    <w:rsid w:val="29AC3D81"/>
    <w:rsid w:val="29AE22F6"/>
    <w:rsid w:val="29B5668F"/>
    <w:rsid w:val="29D54C16"/>
    <w:rsid w:val="29D67B7E"/>
    <w:rsid w:val="29E609D1"/>
    <w:rsid w:val="29F179E6"/>
    <w:rsid w:val="29FA2D3E"/>
    <w:rsid w:val="29FA4941"/>
    <w:rsid w:val="2A0548AB"/>
    <w:rsid w:val="2A0C585F"/>
    <w:rsid w:val="2A0D3AA2"/>
    <w:rsid w:val="2A257690"/>
    <w:rsid w:val="2A2878AC"/>
    <w:rsid w:val="2A3C6EB3"/>
    <w:rsid w:val="2A3F0EAB"/>
    <w:rsid w:val="2A45522B"/>
    <w:rsid w:val="2A475C76"/>
    <w:rsid w:val="2A486047"/>
    <w:rsid w:val="2A49146B"/>
    <w:rsid w:val="2A54453D"/>
    <w:rsid w:val="2A5B7D43"/>
    <w:rsid w:val="2A5F2835"/>
    <w:rsid w:val="2A66642C"/>
    <w:rsid w:val="2A684149"/>
    <w:rsid w:val="2A697EC4"/>
    <w:rsid w:val="2A6E5C1E"/>
    <w:rsid w:val="2A725A8F"/>
    <w:rsid w:val="2A753772"/>
    <w:rsid w:val="2A7E3970"/>
    <w:rsid w:val="2A8645D2"/>
    <w:rsid w:val="2A866380"/>
    <w:rsid w:val="2A8A2314"/>
    <w:rsid w:val="2A8E7B36"/>
    <w:rsid w:val="2A910FFD"/>
    <w:rsid w:val="2A924C61"/>
    <w:rsid w:val="2A97058D"/>
    <w:rsid w:val="2AAA3BF6"/>
    <w:rsid w:val="2AAA5340"/>
    <w:rsid w:val="2AB3194C"/>
    <w:rsid w:val="2ABE5B1A"/>
    <w:rsid w:val="2ADB2404"/>
    <w:rsid w:val="2AE72708"/>
    <w:rsid w:val="2AEC3A3B"/>
    <w:rsid w:val="2AF072B3"/>
    <w:rsid w:val="2B1317C5"/>
    <w:rsid w:val="2B1512AC"/>
    <w:rsid w:val="2B157704"/>
    <w:rsid w:val="2B177920"/>
    <w:rsid w:val="2B200583"/>
    <w:rsid w:val="2B205491"/>
    <w:rsid w:val="2B343FEC"/>
    <w:rsid w:val="2B393102"/>
    <w:rsid w:val="2B3E5E22"/>
    <w:rsid w:val="2B4053BE"/>
    <w:rsid w:val="2B425153"/>
    <w:rsid w:val="2B4C75CA"/>
    <w:rsid w:val="2B5F689A"/>
    <w:rsid w:val="2B603075"/>
    <w:rsid w:val="2B6A5CA2"/>
    <w:rsid w:val="2B745162"/>
    <w:rsid w:val="2B7B425B"/>
    <w:rsid w:val="2B824840"/>
    <w:rsid w:val="2B8760F7"/>
    <w:rsid w:val="2BA32E52"/>
    <w:rsid w:val="2BAA7BDD"/>
    <w:rsid w:val="2BC25ADE"/>
    <w:rsid w:val="2BC26F54"/>
    <w:rsid w:val="2BD355F5"/>
    <w:rsid w:val="2BD56A7A"/>
    <w:rsid w:val="2BE94B21"/>
    <w:rsid w:val="2BEE619D"/>
    <w:rsid w:val="2BEF42F5"/>
    <w:rsid w:val="2C06745C"/>
    <w:rsid w:val="2C0C6D59"/>
    <w:rsid w:val="2C15335B"/>
    <w:rsid w:val="2C272231"/>
    <w:rsid w:val="2C2B5641"/>
    <w:rsid w:val="2C2E01D8"/>
    <w:rsid w:val="2C2E3173"/>
    <w:rsid w:val="2C313B27"/>
    <w:rsid w:val="2C3D59F7"/>
    <w:rsid w:val="2C3E3247"/>
    <w:rsid w:val="2C4464F3"/>
    <w:rsid w:val="2C4722D2"/>
    <w:rsid w:val="2C670B38"/>
    <w:rsid w:val="2C760B99"/>
    <w:rsid w:val="2C872AF6"/>
    <w:rsid w:val="2C8A1D4F"/>
    <w:rsid w:val="2C921B27"/>
    <w:rsid w:val="2C923702"/>
    <w:rsid w:val="2C9805ED"/>
    <w:rsid w:val="2CA62D0A"/>
    <w:rsid w:val="2CA8108A"/>
    <w:rsid w:val="2CA814CE"/>
    <w:rsid w:val="2CAF4EEE"/>
    <w:rsid w:val="2CBF1BAC"/>
    <w:rsid w:val="2CCE39A0"/>
    <w:rsid w:val="2CCE6B25"/>
    <w:rsid w:val="2CD07AC4"/>
    <w:rsid w:val="2CE91423"/>
    <w:rsid w:val="2CF34752"/>
    <w:rsid w:val="2CF9552F"/>
    <w:rsid w:val="2CFE5040"/>
    <w:rsid w:val="2D0615B8"/>
    <w:rsid w:val="2D0F3BF0"/>
    <w:rsid w:val="2D12358F"/>
    <w:rsid w:val="2D1C2FCC"/>
    <w:rsid w:val="2D1C6938"/>
    <w:rsid w:val="2D2417F5"/>
    <w:rsid w:val="2D2A0B7C"/>
    <w:rsid w:val="2D3C366E"/>
    <w:rsid w:val="2D3C5A1F"/>
    <w:rsid w:val="2D3E2F42"/>
    <w:rsid w:val="2D583011"/>
    <w:rsid w:val="2D5B4C0F"/>
    <w:rsid w:val="2D5C4680"/>
    <w:rsid w:val="2D630BFB"/>
    <w:rsid w:val="2D734326"/>
    <w:rsid w:val="2D803691"/>
    <w:rsid w:val="2D8772A9"/>
    <w:rsid w:val="2D882DB8"/>
    <w:rsid w:val="2D8950BC"/>
    <w:rsid w:val="2D89698A"/>
    <w:rsid w:val="2D8C31F6"/>
    <w:rsid w:val="2D8F3AFF"/>
    <w:rsid w:val="2D9256AB"/>
    <w:rsid w:val="2D94573F"/>
    <w:rsid w:val="2D9B7B82"/>
    <w:rsid w:val="2D9E6926"/>
    <w:rsid w:val="2DA30A04"/>
    <w:rsid w:val="2DAC4350"/>
    <w:rsid w:val="2DB859A8"/>
    <w:rsid w:val="2DBF011F"/>
    <w:rsid w:val="2DD15517"/>
    <w:rsid w:val="2DD56D57"/>
    <w:rsid w:val="2DEB679E"/>
    <w:rsid w:val="2DEC0C2E"/>
    <w:rsid w:val="2DEF081F"/>
    <w:rsid w:val="2DEF4F55"/>
    <w:rsid w:val="2DF53CB4"/>
    <w:rsid w:val="2E033B70"/>
    <w:rsid w:val="2E0F6FDF"/>
    <w:rsid w:val="2E2935E7"/>
    <w:rsid w:val="2E2E5BD7"/>
    <w:rsid w:val="2E374561"/>
    <w:rsid w:val="2E385BE3"/>
    <w:rsid w:val="2E3C7568"/>
    <w:rsid w:val="2E3D3071"/>
    <w:rsid w:val="2E3E7D62"/>
    <w:rsid w:val="2E47220E"/>
    <w:rsid w:val="2E4822E7"/>
    <w:rsid w:val="2E5A4452"/>
    <w:rsid w:val="2E5C5D76"/>
    <w:rsid w:val="2E5F20C4"/>
    <w:rsid w:val="2E605140"/>
    <w:rsid w:val="2E6647A7"/>
    <w:rsid w:val="2E727B0F"/>
    <w:rsid w:val="2E7374B6"/>
    <w:rsid w:val="2E7472D5"/>
    <w:rsid w:val="2E786928"/>
    <w:rsid w:val="2E8E614B"/>
    <w:rsid w:val="2E905510"/>
    <w:rsid w:val="2E921034"/>
    <w:rsid w:val="2EA915C5"/>
    <w:rsid w:val="2EAE2B92"/>
    <w:rsid w:val="2EC658E5"/>
    <w:rsid w:val="2ECE5E9F"/>
    <w:rsid w:val="2ECE6548"/>
    <w:rsid w:val="2ED969BD"/>
    <w:rsid w:val="2EEC6B80"/>
    <w:rsid w:val="2EFB3EC1"/>
    <w:rsid w:val="2F0278D1"/>
    <w:rsid w:val="2F0B754D"/>
    <w:rsid w:val="2F340AA1"/>
    <w:rsid w:val="2F3B4EEB"/>
    <w:rsid w:val="2F3D23DC"/>
    <w:rsid w:val="2F3E6FC0"/>
    <w:rsid w:val="2F3F6F18"/>
    <w:rsid w:val="2F41392E"/>
    <w:rsid w:val="2F413C8F"/>
    <w:rsid w:val="2F454A5C"/>
    <w:rsid w:val="2F46665B"/>
    <w:rsid w:val="2F4772C6"/>
    <w:rsid w:val="2F4D1B62"/>
    <w:rsid w:val="2F4F00C4"/>
    <w:rsid w:val="2F5B602D"/>
    <w:rsid w:val="2F5D3E4C"/>
    <w:rsid w:val="2F6D0C5A"/>
    <w:rsid w:val="2F745341"/>
    <w:rsid w:val="2F787EF1"/>
    <w:rsid w:val="2F7C5BD1"/>
    <w:rsid w:val="2F8A08CC"/>
    <w:rsid w:val="2F8C4439"/>
    <w:rsid w:val="2F961B57"/>
    <w:rsid w:val="2F9D24D9"/>
    <w:rsid w:val="2FB05DE1"/>
    <w:rsid w:val="2FC55B9D"/>
    <w:rsid w:val="2FC73C9B"/>
    <w:rsid w:val="2FCA4873"/>
    <w:rsid w:val="2FCB68CA"/>
    <w:rsid w:val="2FCD4A51"/>
    <w:rsid w:val="2FCE6458"/>
    <w:rsid w:val="2FD30669"/>
    <w:rsid w:val="2FE06533"/>
    <w:rsid w:val="2FE77605"/>
    <w:rsid w:val="2FFD4AE4"/>
    <w:rsid w:val="2FFD7EFB"/>
    <w:rsid w:val="30006090"/>
    <w:rsid w:val="30013971"/>
    <w:rsid w:val="301306B6"/>
    <w:rsid w:val="30304946"/>
    <w:rsid w:val="30393E53"/>
    <w:rsid w:val="303E14AB"/>
    <w:rsid w:val="30403475"/>
    <w:rsid w:val="30423F3D"/>
    <w:rsid w:val="305011BF"/>
    <w:rsid w:val="30534F57"/>
    <w:rsid w:val="305B2034"/>
    <w:rsid w:val="30725B44"/>
    <w:rsid w:val="307849BD"/>
    <w:rsid w:val="307D1EE9"/>
    <w:rsid w:val="30830CFC"/>
    <w:rsid w:val="30843362"/>
    <w:rsid w:val="308E2525"/>
    <w:rsid w:val="309B4A3F"/>
    <w:rsid w:val="30AC26D0"/>
    <w:rsid w:val="30B16754"/>
    <w:rsid w:val="30B215F9"/>
    <w:rsid w:val="30B37686"/>
    <w:rsid w:val="30B8300C"/>
    <w:rsid w:val="30BA09FB"/>
    <w:rsid w:val="30CC4D09"/>
    <w:rsid w:val="30CD1AEB"/>
    <w:rsid w:val="30EB5A34"/>
    <w:rsid w:val="30EE68E5"/>
    <w:rsid w:val="30F358FF"/>
    <w:rsid w:val="30F40ADD"/>
    <w:rsid w:val="30F50153"/>
    <w:rsid w:val="30F63079"/>
    <w:rsid w:val="310224D9"/>
    <w:rsid w:val="31035B70"/>
    <w:rsid w:val="310B5831"/>
    <w:rsid w:val="31135BA1"/>
    <w:rsid w:val="311E5564"/>
    <w:rsid w:val="312B7C81"/>
    <w:rsid w:val="313D2251"/>
    <w:rsid w:val="31463F76"/>
    <w:rsid w:val="3148504E"/>
    <w:rsid w:val="314870E6"/>
    <w:rsid w:val="314D0CC2"/>
    <w:rsid w:val="3160041B"/>
    <w:rsid w:val="31610221"/>
    <w:rsid w:val="316B3BD4"/>
    <w:rsid w:val="31770ADE"/>
    <w:rsid w:val="318477D7"/>
    <w:rsid w:val="31857392"/>
    <w:rsid w:val="318B24CE"/>
    <w:rsid w:val="318C3EFD"/>
    <w:rsid w:val="319F5F79"/>
    <w:rsid w:val="31A452D9"/>
    <w:rsid w:val="31AF440F"/>
    <w:rsid w:val="31B71515"/>
    <w:rsid w:val="31BB3003"/>
    <w:rsid w:val="31C4789C"/>
    <w:rsid w:val="31C50477"/>
    <w:rsid w:val="31C559E0"/>
    <w:rsid w:val="31D558BA"/>
    <w:rsid w:val="31D85915"/>
    <w:rsid w:val="31E549ED"/>
    <w:rsid w:val="31E7004C"/>
    <w:rsid w:val="320B305F"/>
    <w:rsid w:val="320C0799"/>
    <w:rsid w:val="32140715"/>
    <w:rsid w:val="321B0E3E"/>
    <w:rsid w:val="321D3498"/>
    <w:rsid w:val="321E07D7"/>
    <w:rsid w:val="321E2460"/>
    <w:rsid w:val="3225193E"/>
    <w:rsid w:val="322546D1"/>
    <w:rsid w:val="322E3B6D"/>
    <w:rsid w:val="32404663"/>
    <w:rsid w:val="32466B0F"/>
    <w:rsid w:val="325A6696"/>
    <w:rsid w:val="32621481"/>
    <w:rsid w:val="32623956"/>
    <w:rsid w:val="32671D24"/>
    <w:rsid w:val="326C0551"/>
    <w:rsid w:val="327A2C6E"/>
    <w:rsid w:val="32957AA8"/>
    <w:rsid w:val="32965CFD"/>
    <w:rsid w:val="3298338E"/>
    <w:rsid w:val="329A04B9"/>
    <w:rsid w:val="329A267C"/>
    <w:rsid w:val="329C7381"/>
    <w:rsid w:val="329D2229"/>
    <w:rsid w:val="32A8036C"/>
    <w:rsid w:val="32A93554"/>
    <w:rsid w:val="32AC4DF2"/>
    <w:rsid w:val="32B84579"/>
    <w:rsid w:val="32C1314B"/>
    <w:rsid w:val="32C26F97"/>
    <w:rsid w:val="32C75496"/>
    <w:rsid w:val="32DF36FA"/>
    <w:rsid w:val="32DF6F75"/>
    <w:rsid w:val="32E0684A"/>
    <w:rsid w:val="32E94E55"/>
    <w:rsid w:val="32EA70EF"/>
    <w:rsid w:val="32F50547"/>
    <w:rsid w:val="32FA0751"/>
    <w:rsid w:val="32FD7A80"/>
    <w:rsid w:val="32FE34A1"/>
    <w:rsid w:val="32FE4060"/>
    <w:rsid w:val="33025F91"/>
    <w:rsid w:val="33031AC7"/>
    <w:rsid w:val="33033B61"/>
    <w:rsid w:val="33064097"/>
    <w:rsid w:val="330F10BA"/>
    <w:rsid w:val="333112DA"/>
    <w:rsid w:val="333B78D6"/>
    <w:rsid w:val="3342521D"/>
    <w:rsid w:val="33556527"/>
    <w:rsid w:val="3363364D"/>
    <w:rsid w:val="33644712"/>
    <w:rsid w:val="336932CF"/>
    <w:rsid w:val="3377694A"/>
    <w:rsid w:val="337B0AA0"/>
    <w:rsid w:val="33821D90"/>
    <w:rsid w:val="33831D9D"/>
    <w:rsid w:val="338647DC"/>
    <w:rsid w:val="339D38DE"/>
    <w:rsid w:val="33AB50A9"/>
    <w:rsid w:val="33AD7074"/>
    <w:rsid w:val="33AE52E8"/>
    <w:rsid w:val="33B43F5E"/>
    <w:rsid w:val="33B573FF"/>
    <w:rsid w:val="33CC276C"/>
    <w:rsid w:val="33D812DF"/>
    <w:rsid w:val="33E44DA2"/>
    <w:rsid w:val="33EF414B"/>
    <w:rsid w:val="33F112C3"/>
    <w:rsid w:val="34271A1F"/>
    <w:rsid w:val="342B34CF"/>
    <w:rsid w:val="343155AF"/>
    <w:rsid w:val="3436379F"/>
    <w:rsid w:val="343A07DF"/>
    <w:rsid w:val="34401FC8"/>
    <w:rsid w:val="344F1ED9"/>
    <w:rsid w:val="34520411"/>
    <w:rsid w:val="34602334"/>
    <w:rsid w:val="346534AA"/>
    <w:rsid w:val="346C36CF"/>
    <w:rsid w:val="346E45E1"/>
    <w:rsid w:val="346F60D7"/>
    <w:rsid w:val="34733E19"/>
    <w:rsid w:val="347F40F6"/>
    <w:rsid w:val="34801E1C"/>
    <w:rsid w:val="34B23CAD"/>
    <w:rsid w:val="34B65AB4"/>
    <w:rsid w:val="34B73F47"/>
    <w:rsid w:val="34B85CD0"/>
    <w:rsid w:val="34B91A04"/>
    <w:rsid w:val="34BD5094"/>
    <w:rsid w:val="34CB5A03"/>
    <w:rsid w:val="34DF325D"/>
    <w:rsid w:val="34DF7103"/>
    <w:rsid w:val="34E42621"/>
    <w:rsid w:val="34EF21EB"/>
    <w:rsid w:val="34F5482E"/>
    <w:rsid w:val="3504770B"/>
    <w:rsid w:val="35126C18"/>
    <w:rsid w:val="35151EB6"/>
    <w:rsid w:val="351B730E"/>
    <w:rsid w:val="351E1C40"/>
    <w:rsid w:val="35223149"/>
    <w:rsid w:val="352262AE"/>
    <w:rsid w:val="352271C7"/>
    <w:rsid w:val="352503A6"/>
    <w:rsid w:val="353131BF"/>
    <w:rsid w:val="35327830"/>
    <w:rsid w:val="35364D98"/>
    <w:rsid w:val="353A0493"/>
    <w:rsid w:val="354B26A0"/>
    <w:rsid w:val="355A0B35"/>
    <w:rsid w:val="35656D09"/>
    <w:rsid w:val="356A2173"/>
    <w:rsid w:val="356D189B"/>
    <w:rsid w:val="357B0A12"/>
    <w:rsid w:val="357D04B9"/>
    <w:rsid w:val="358E2A76"/>
    <w:rsid w:val="359465A1"/>
    <w:rsid w:val="35960ECB"/>
    <w:rsid w:val="3597011C"/>
    <w:rsid w:val="35971FF1"/>
    <w:rsid w:val="359F61AB"/>
    <w:rsid w:val="35A324DC"/>
    <w:rsid w:val="35AC3B58"/>
    <w:rsid w:val="35AD33AE"/>
    <w:rsid w:val="35B9585C"/>
    <w:rsid w:val="35BF47ED"/>
    <w:rsid w:val="35C8651D"/>
    <w:rsid w:val="35CA229D"/>
    <w:rsid w:val="35CC00AA"/>
    <w:rsid w:val="35CF1523"/>
    <w:rsid w:val="35F35EDF"/>
    <w:rsid w:val="35F94F74"/>
    <w:rsid w:val="35FB210C"/>
    <w:rsid w:val="36032F7B"/>
    <w:rsid w:val="36057349"/>
    <w:rsid w:val="3608233F"/>
    <w:rsid w:val="36115B25"/>
    <w:rsid w:val="3614214E"/>
    <w:rsid w:val="361C403D"/>
    <w:rsid w:val="36203BF5"/>
    <w:rsid w:val="36343134"/>
    <w:rsid w:val="363E0998"/>
    <w:rsid w:val="364F04FF"/>
    <w:rsid w:val="36594165"/>
    <w:rsid w:val="366028A2"/>
    <w:rsid w:val="367E52A1"/>
    <w:rsid w:val="367F411B"/>
    <w:rsid w:val="367F6A6F"/>
    <w:rsid w:val="36835CE6"/>
    <w:rsid w:val="368D0151"/>
    <w:rsid w:val="369817C2"/>
    <w:rsid w:val="369938DF"/>
    <w:rsid w:val="36A05164"/>
    <w:rsid w:val="36A67BC9"/>
    <w:rsid w:val="36A91D74"/>
    <w:rsid w:val="36AB4BC9"/>
    <w:rsid w:val="36BE02B5"/>
    <w:rsid w:val="36C92B03"/>
    <w:rsid w:val="36DF562B"/>
    <w:rsid w:val="36E55504"/>
    <w:rsid w:val="36EB019F"/>
    <w:rsid w:val="36EC06FC"/>
    <w:rsid w:val="36F26843"/>
    <w:rsid w:val="36F409D2"/>
    <w:rsid w:val="36FB62EC"/>
    <w:rsid w:val="37007505"/>
    <w:rsid w:val="37033113"/>
    <w:rsid w:val="3706047E"/>
    <w:rsid w:val="370A4EA2"/>
    <w:rsid w:val="37114AE6"/>
    <w:rsid w:val="37141EED"/>
    <w:rsid w:val="371B2CB9"/>
    <w:rsid w:val="371B42F4"/>
    <w:rsid w:val="371E1992"/>
    <w:rsid w:val="372238D5"/>
    <w:rsid w:val="372431A9"/>
    <w:rsid w:val="372B2789"/>
    <w:rsid w:val="37332976"/>
    <w:rsid w:val="373B6246"/>
    <w:rsid w:val="37405B09"/>
    <w:rsid w:val="37417B05"/>
    <w:rsid w:val="374B6908"/>
    <w:rsid w:val="37545239"/>
    <w:rsid w:val="375539E3"/>
    <w:rsid w:val="37566825"/>
    <w:rsid w:val="375D490D"/>
    <w:rsid w:val="375D7A2B"/>
    <w:rsid w:val="375E31F0"/>
    <w:rsid w:val="37643EED"/>
    <w:rsid w:val="37646081"/>
    <w:rsid w:val="37670D4C"/>
    <w:rsid w:val="376717C4"/>
    <w:rsid w:val="377F3076"/>
    <w:rsid w:val="37820533"/>
    <w:rsid w:val="379655A3"/>
    <w:rsid w:val="379C5135"/>
    <w:rsid w:val="379E232E"/>
    <w:rsid w:val="379F2B4A"/>
    <w:rsid w:val="37A24350"/>
    <w:rsid w:val="37A92245"/>
    <w:rsid w:val="37B006FF"/>
    <w:rsid w:val="37B578C7"/>
    <w:rsid w:val="37B7401D"/>
    <w:rsid w:val="37B75A65"/>
    <w:rsid w:val="37BE35FD"/>
    <w:rsid w:val="37CD130A"/>
    <w:rsid w:val="37CE75B8"/>
    <w:rsid w:val="37DF0B63"/>
    <w:rsid w:val="37DF3574"/>
    <w:rsid w:val="37E84929"/>
    <w:rsid w:val="37E87D00"/>
    <w:rsid w:val="37EB23BA"/>
    <w:rsid w:val="37EE32D6"/>
    <w:rsid w:val="37F70642"/>
    <w:rsid w:val="37FD4895"/>
    <w:rsid w:val="3806764C"/>
    <w:rsid w:val="380D0A0A"/>
    <w:rsid w:val="380F5C07"/>
    <w:rsid w:val="381E409C"/>
    <w:rsid w:val="381F5604"/>
    <w:rsid w:val="38241E1F"/>
    <w:rsid w:val="382471D8"/>
    <w:rsid w:val="383218F5"/>
    <w:rsid w:val="38350EC8"/>
    <w:rsid w:val="383B4534"/>
    <w:rsid w:val="384A4E91"/>
    <w:rsid w:val="38522C3B"/>
    <w:rsid w:val="38542484"/>
    <w:rsid w:val="385454AF"/>
    <w:rsid w:val="385505E5"/>
    <w:rsid w:val="385F1852"/>
    <w:rsid w:val="385F6F0F"/>
    <w:rsid w:val="386A3262"/>
    <w:rsid w:val="386F2B4A"/>
    <w:rsid w:val="3871135F"/>
    <w:rsid w:val="3877291F"/>
    <w:rsid w:val="387B7CB7"/>
    <w:rsid w:val="38883C0B"/>
    <w:rsid w:val="388A34DF"/>
    <w:rsid w:val="389E6A5F"/>
    <w:rsid w:val="38B10580"/>
    <w:rsid w:val="38B36EDA"/>
    <w:rsid w:val="38C05153"/>
    <w:rsid w:val="38D1110E"/>
    <w:rsid w:val="38D34FF7"/>
    <w:rsid w:val="38DB37E8"/>
    <w:rsid w:val="38DF7CCF"/>
    <w:rsid w:val="38E94FB6"/>
    <w:rsid w:val="38F10EAC"/>
    <w:rsid w:val="39002827"/>
    <w:rsid w:val="3905043C"/>
    <w:rsid w:val="390667A8"/>
    <w:rsid w:val="390926DC"/>
    <w:rsid w:val="391B682D"/>
    <w:rsid w:val="39215C3C"/>
    <w:rsid w:val="39263CCA"/>
    <w:rsid w:val="39265731"/>
    <w:rsid w:val="392668B8"/>
    <w:rsid w:val="39276F80"/>
    <w:rsid w:val="39365233"/>
    <w:rsid w:val="3938118D"/>
    <w:rsid w:val="393C357D"/>
    <w:rsid w:val="394B7113"/>
    <w:rsid w:val="395104A1"/>
    <w:rsid w:val="39535FC7"/>
    <w:rsid w:val="39660CD2"/>
    <w:rsid w:val="39895474"/>
    <w:rsid w:val="3999755F"/>
    <w:rsid w:val="399D6940"/>
    <w:rsid w:val="39A11799"/>
    <w:rsid w:val="39A16D33"/>
    <w:rsid w:val="39A9208B"/>
    <w:rsid w:val="39AD5700"/>
    <w:rsid w:val="39AE6327"/>
    <w:rsid w:val="39B07546"/>
    <w:rsid w:val="39B747A8"/>
    <w:rsid w:val="39BC1C49"/>
    <w:rsid w:val="39BD7B67"/>
    <w:rsid w:val="39D12063"/>
    <w:rsid w:val="39E976D1"/>
    <w:rsid w:val="39EB4817"/>
    <w:rsid w:val="39EB6ECF"/>
    <w:rsid w:val="39EE65A0"/>
    <w:rsid w:val="39FE1DE4"/>
    <w:rsid w:val="3A055092"/>
    <w:rsid w:val="3A064C8C"/>
    <w:rsid w:val="3A133427"/>
    <w:rsid w:val="3A176FF5"/>
    <w:rsid w:val="3A1C1BAF"/>
    <w:rsid w:val="3A241DD5"/>
    <w:rsid w:val="3A2B43BC"/>
    <w:rsid w:val="3A3E6C77"/>
    <w:rsid w:val="3A444D5F"/>
    <w:rsid w:val="3A52627F"/>
    <w:rsid w:val="3A534388"/>
    <w:rsid w:val="3A573895"/>
    <w:rsid w:val="3A5A625B"/>
    <w:rsid w:val="3A5B46D2"/>
    <w:rsid w:val="3A641B97"/>
    <w:rsid w:val="3A667F7C"/>
    <w:rsid w:val="3A674016"/>
    <w:rsid w:val="3A695377"/>
    <w:rsid w:val="3A704957"/>
    <w:rsid w:val="3A706705"/>
    <w:rsid w:val="3A725701"/>
    <w:rsid w:val="3A74356A"/>
    <w:rsid w:val="3A777CB4"/>
    <w:rsid w:val="3A814B9C"/>
    <w:rsid w:val="3A840E46"/>
    <w:rsid w:val="3A865F28"/>
    <w:rsid w:val="3A8B353F"/>
    <w:rsid w:val="3A8F74D3"/>
    <w:rsid w:val="3A945A5F"/>
    <w:rsid w:val="3AA07642"/>
    <w:rsid w:val="3AAA2B43"/>
    <w:rsid w:val="3AB55154"/>
    <w:rsid w:val="3AC32C4B"/>
    <w:rsid w:val="3AC75726"/>
    <w:rsid w:val="3AD12EA7"/>
    <w:rsid w:val="3ADA6800"/>
    <w:rsid w:val="3AE35129"/>
    <w:rsid w:val="3AEC3B1C"/>
    <w:rsid w:val="3AF92B9E"/>
    <w:rsid w:val="3AFA683F"/>
    <w:rsid w:val="3B0E0FCE"/>
    <w:rsid w:val="3B104E57"/>
    <w:rsid w:val="3B1A66C0"/>
    <w:rsid w:val="3B20395B"/>
    <w:rsid w:val="3B394597"/>
    <w:rsid w:val="3B570E5C"/>
    <w:rsid w:val="3B5F584F"/>
    <w:rsid w:val="3B6251B3"/>
    <w:rsid w:val="3B6C3370"/>
    <w:rsid w:val="3B725E37"/>
    <w:rsid w:val="3B762441"/>
    <w:rsid w:val="3B782DE7"/>
    <w:rsid w:val="3B7E4D5D"/>
    <w:rsid w:val="3B877DC0"/>
    <w:rsid w:val="3B8F6C92"/>
    <w:rsid w:val="3B944458"/>
    <w:rsid w:val="3BA40D5C"/>
    <w:rsid w:val="3BA456B6"/>
    <w:rsid w:val="3BB210C9"/>
    <w:rsid w:val="3BB32D4D"/>
    <w:rsid w:val="3BB5271A"/>
    <w:rsid w:val="3BB75B4D"/>
    <w:rsid w:val="3BBB7FB5"/>
    <w:rsid w:val="3BCB2280"/>
    <w:rsid w:val="3BCE24E4"/>
    <w:rsid w:val="3BD056AD"/>
    <w:rsid w:val="3BE9568E"/>
    <w:rsid w:val="3BF03FA1"/>
    <w:rsid w:val="3BF07AFD"/>
    <w:rsid w:val="3BFF5E29"/>
    <w:rsid w:val="3C0A7329"/>
    <w:rsid w:val="3C0B0DDB"/>
    <w:rsid w:val="3C0C149A"/>
    <w:rsid w:val="3C110C52"/>
    <w:rsid w:val="3C131884"/>
    <w:rsid w:val="3C137C90"/>
    <w:rsid w:val="3C1C6B44"/>
    <w:rsid w:val="3C2B34B5"/>
    <w:rsid w:val="3C352E0B"/>
    <w:rsid w:val="3C361EBD"/>
    <w:rsid w:val="3C362F39"/>
    <w:rsid w:val="3C3644F6"/>
    <w:rsid w:val="3C37397E"/>
    <w:rsid w:val="3C3D77CB"/>
    <w:rsid w:val="3C44609B"/>
    <w:rsid w:val="3C490BE1"/>
    <w:rsid w:val="3C491176"/>
    <w:rsid w:val="3C492DBB"/>
    <w:rsid w:val="3C5962D4"/>
    <w:rsid w:val="3C5B6581"/>
    <w:rsid w:val="3C652192"/>
    <w:rsid w:val="3C67217E"/>
    <w:rsid w:val="3C7373DF"/>
    <w:rsid w:val="3C7C3F30"/>
    <w:rsid w:val="3C867288"/>
    <w:rsid w:val="3C8D2066"/>
    <w:rsid w:val="3C906C91"/>
    <w:rsid w:val="3CA1620D"/>
    <w:rsid w:val="3CA874EC"/>
    <w:rsid w:val="3CB02ABC"/>
    <w:rsid w:val="3CBB45AF"/>
    <w:rsid w:val="3CC04FF4"/>
    <w:rsid w:val="3CCC056A"/>
    <w:rsid w:val="3CD029E3"/>
    <w:rsid w:val="3CD411CD"/>
    <w:rsid w:val="3CDC5977"/>
    <w:rsid w:val="3CEC264B"/>
    <w:rsid w:val="3CF03975"/>
    <w:rsid w:val="3CF47AC1"/>
    <w:rsid w:val="3D0102E4"/>
    <w:rsid w:val="3D0C0967"/>
    <w:rsid w:val="3D17277E"/>
    <w:rsid w:val="3D202664"/>
    <w:rsid w:val="3D2062E1"/>
    <w:rsid w:val="3D2A5291"/>
    <w:rsid w:val="3D2C1F3E"/>
    <w:rsid w:val="3D3D6D72"/>
    <w:rsid w:val="3D3F4185"/>
    <w:rsid w:val="3D427899"/>
    <w:rsid w:val="3D4C5207"/>
    <w:rsid w:val="3D502BD6"/>
    <w:rsid w:val="3D625961"/>
    <w:rsid w:val="3D65497F"/>
    <w:rsid w:val="3D713AB4"/>
    <w:rsid w:val="3D7B0D01"/>
    <w:rsid w:val="3D9300F6"/>
    <w:rsid w:val="3D984913"/>
    <w:rsid w:val="3DA94408"/>
    <w:rsid w:val="3DC2371B"/>
    <w:rsid w:val="3DC969AB"/>
    <w:rsid w:val="3DCE20C0"/>
    <w:rsid w:val="3DD35929"/>
    <w:rsid w:val="3DD46A53"/>
    <w:rsid w:val="3DD84CED"/>
    <w:rsid w:val="3DE73A23"/>
    <w:rsid w:val="3DE77A10"/>
    <w:rsid w:val="3DEB2395"/>
    <w:rsid w:val="3DFA2EB5"/>
    <w:rsid w:val="3DFB1444"/>
    <w:rsid w:val="3DFF671E"/>
    <w:rsid w:val="3E0228E0"/>
    <w:rsid w:val="3E04135B"/>
    <w:rsid w:val="3E0B6E71"/>
    <w:rsid w:val="3E0C2BE9"/>
    <w:rsid w:val="3E2276DA"/>
    <w:rsid w:val="3E2B1CDA"/>
    <w:rsid w:val="3E2B3E7E"/>
    <w:rsid w:val="3E2E5A79"/>
    <w:rsid w:val="3E367AA5"/>
    <w:rsid w:val="3E422F1D"/>
    <w:rsid w:val="3E483173"/>
    <w:rsid w:val="3E4B3711"/>
    <w:rsid w:val="3E522CF1"/>
    <w:rsid w:val="3E5A7DF8"/>
    <w:rsid w:val="3E6D20C7"/>
    <w:rsid w:val="3E7D0FB0"/>
    <w:rsid w:val="3E832EAB"/>
    <w:rsid w:val="3E854C84"/>
    <w:rsid w:val="3E9C5D1B"/>
    <w:rsid w:val="3E9E5F37"/>
    <w:rsid w:val="3EB23790"/>
    <w:rsid w:val="3EB71457"/>
    <w:rsid w:val="3EBF7A2A"/>
    <w:rsid w:val="3EC8317F"/>
    <w:rsid w:val="3ED74FA5"/>
    <w:rsid w:val="3ED96BB6"/>
    <w:rsid w:val="3EDC644D"/>
    <w:rsid w:val="3EE14075"/>
    <w:rsid w:val="3EEC087F"/>
    <w:rsid w:val="3EED71DD"/>
    <w:rsid w:val="3EED72F8"/>
    <w:rsid w:val="3EEF5E95"/>
    <w:rsid w:val="3EF93913"/>
    <w:rsid w:val="3F0B2EA0"/>
    <w:rsid w:val="3F1D1D3F"/>
    <w:rsid w:val="3F326AFD"/>
    <w:rsid w:val="3F413AD3"/>
    <w:rsid w:val="3F4A00E2"/>
    <w:rsid w:val="3F587B50"/>
    <w:rsid w:val="3F6A406B"/>
    <w:rsid w:val="3F8526D6"/>
    <w:rsid w:val="3F8F3AD1"/>
    <w:rsid w:val="3FA01C25"/>
    <w:rsid w:val="3FA610C3"/>
    <w:rsid w:val="3FA64287"/>
    <w:rsid w:val="3FAA090B"/>
    <w:rsid w:val="3FB236F6"/>
    <w:rsid w:val="3FC9207B"/>
    <w:rsid w:val="3FC96FE3"/>
    <w:rsid w:val="3FD17C46"/>
    <w:rsid w:val="3FD249A7"/>
    <w:rsid w:val="3FDA11F0"/>
    <w:rsid w:val="3FDB6D73"/>
    <w:rsid w:val="3FDF1E83"/>
    <w:rsid w:val="3FE02175"/>
    <w:rsid w:val="3FE0426B"/>
    <w:rsid w:val="3FE200A5"/>
    <w:rsid w:val="3FF762AF"/>
    <w:rsid w:val="3FF91CB6"/>
    <w:rsid w:val="400242A3"/>
    <w:rsid w:val="40085AC1"/>
    <w:rsid w:val="400D6E3A"/>
    <w:rsid w:val="401D6F8B"/>
    <w:rsid w:val="402B3092"/>
    <w:rsid w:val="403B7F18"/>
    <w:rsid w:val="403D6541"/>
    <w:rsid w:val="4042139A"/>
    <w:rsid w:val="40491422"/>
    <w:rsid w:val="40500053"/>
    <w:rsid w:val="40534853"/>
    <w:rsid w:val="406023F5"/>
    <w:rsid w:val="4066314C"/>
    <w:rsid w:val="4069290A"/>
    <w:rsid w:val="406B0ACE"/>
    <w:rsid w:val="40704BED"/>
    <w:rsid w:val="40807EF4"/>
    <w:rsid w:val="408E1DBB"/>
    <w:rsid w:val="40941F64"/>
    <w:rsid w:val="40A03CFB"/>
    <w:rsid w:val="40A817ED"/>
    <w:rsid w:val="40B17223"/>
    <w:rsid w:val="40B2123B"/>
    <w:rsid w:val="40BA7BA9"/>
    <w:rsid w:val="40C70712"/>
    <w:rsid w:val="40CF4DE4"/>
    <w:rsid w:val="40CF5B6F"/>
    <w:rsid w:val="40D12532"/>
    <w:rsid w:val="40DC68A2"/>
    <w:rsid w:val="40E01CD0"/>
    <w:rsid w:val="40E80114"/>
    <w:rsid w:val="40EA5463"/>
    <w:rsid w:val="40F300AD"/>
    <w:rsid w:val="40F53889"/>
    <w:rsid w:val="40FA7A68"/>
    <w:rsid w:val="40FE6467"/>
    <w:rsid w:val="41006A35"/>
    <w:rsid w:val="41027DA6"/>
    <w:rsid w:val="410C185D"/>
    <w:rsid w:val="411029F0"/>
    <w:rsid w:val="41151DB4"/>
    <w:rsid w:val="412546ED"/>
    <w:rsid w:val="412D4FDC"/>
    <w:rsid w:val="412E5A4B"/>
    <w:rsid w:val="413345A5"/>
    <w:rsid w:val="41356554"/>
    <w:rsid w:val="4149236F"/>
    <w:rsid w:val="4155656A"/>
    <w:rsid w:val="41562AF9"/>
    <w:rsid w:val="41597EF3"/>
    <w:rsid w:val="415A3B78"/>
    <w:rsid w:val="416E29A7"/>
    <w:rsid w:val="41746BD6"/>
    <w:rsid w:val="4183483C"/>
    <w:rsid w:val="41870F04"/>
    <w:rsid w:val="419637C4"/>
    <w:rsid w:val="419B49AF"/>
    <w:rsid w:val="41A251B4"/>
    <w:rsid w:val="41A30F3F"/>
    <w:rsid w:val="41AA4BF2"/>
    <w:rsid w:val="41B06C1D"/>
    <w:rsid w:val="41B0720D"/>
    <w:rsid w:val="41B15F81"/>
    <w:rsid w:val="41B63597"/>
    <w:rsid w:val="41C76943"/>
    <w:rsid w:val="41CD6866"/>
    <w:rsid w:val="41CE08E1"/>
    <w:rsid w:val="41D224DB"/>
    <w:rsid w:val="41E64239"/>
    <w:rsid w:val="41E65415"/>
    <w:rsid w:val="41EC73B9"/>
    <w:rsid w:val="41ED09FD"/>
    <w:rsid w:val="41FB4946"/>
    <w:rsid w:val="420A512A"/>
    <w:rsid w:val="421233DB"/>
    <w:rsid w:val="4214206C"/>
    <w:rsid w:val="421A6789"/>
    <w:rsid w:val="421B79AE"/>
    <w:rsid w:val="42247BDA"/>
    <w:rsid w:val="422874F3"/>
    <w:rsid w:val="42295945"/>
    <w:rsid w:val="422C3859"/>
    <w:rsid w:val="423045AE"/>
    <w:rsid w:val="42310E70"/>
    <w:rsid w:val="42343AD8"/>
    <w:rsid w:val="423F1348"/>
    <w:rsid w:val="424A509A"/>
    <w:rsid w:val="424F1149"/>
    <w:rsid w:val="42542A35"/>
    <w:rsid w:val="425B4099"/>
    <w:rsid w:val="425D3A13"/>
    <w:rsid w:val="42667718"/>
    <w:rsid w:val="4269060A"/>
    <w:rsid w:val="426A1D66"/>
    <w:rsid w:val="426B0E15"/>
    <w:rsid w:val="426B4382"/>
    <w:rsid w:val="426D78BA"/>
    <w:rsid w:val="42721624"/>
    <w:rsid w:val="427A320B"/>
    <w:rsid w:val="429C278D"/>
    <w:rsid w:val="429E4757"/>
    <w:rsid w:val="429E715A"/>
    <w:rsid w:val="429F0470"/>
    <w:rsid w:val="42A46591"/>
    <w:rsid w:val="42A930FC"/>
    <w:rsid w:val="42B04A1B"/>
    <w:rsid w:val="42B75A09"/>
    <w:rsid w:val="42B91FE8"/>
    <w:rsid w:val="42C62ECD"/>
    <w:rsid w:val="42CB6ADB"/>
    <w:rsid w:val="42D77233"/>
    <w:rsid w:val="42DB608B"/>
    <w:rsid w:val="42DD3A38"/>
    <w:rsid w:val="42E83D66"/>
    <w:rsid w:val="430C4783"/>
    <w:rsid w:val="43254941"/>
    <w:rsid w:val="432E14BA"/>
    <w:rsid w:val="432F1853"/>
    <w:rsid w:val="43470FC7"/>
    <w:rsid w:val="4351362D"/>
    <w:rsid w:val="43601A0D"/>
    <w:rsid w:val="436445F3"/>
    <w:rsid w:val="436B0FB1"/>
    <w:rsid w:val="43731905"/>
    <w:rsid w:val="43745227"/>
    <w:rsid w:val="43811905"/>
    <w:rsid w:val="438162F9"/>
    <w:rsid w:val="43816F19"/>
    <w:rsid w:val="438B73CF"/>
    <w:rsid w:val="438E0A87"/>
    <w:rsid w:val="43901A10"/>
    <w:rsid w:val="439B0721"/>
    <w:rsid w:val="43AE2A34"/>
    <w:rsid w:val="43B37F78"/>
    <w:rsid w:val="43B67C9D"/>
    <w:rsid w:val="43BD12DC"/>
    <w:rsid w:val="43BF2682"/>
    <w:rsid w:val="43CA7067"/>
    <w:rsid w:val="43CB286F"/>
    <w:rsid w:val="43D16E36"/>
    <w:rsid w:val="43D71659"/>
    <w:rsid w:val="44045607"/>
    <w:rsid w:val="440741F6"/>
    <w:rsid w:val="4408720B"/>
    <w:rsid w:val="44092DBB"/>
    <w:rsid w:val="440C749E"/>
    <w:rsid w:val="440D3C5A"/>
    <w:rsid w:val="44315157"/>
    <w:rsid w:val="44334F47"/>
    <w:rsid w:val="4437014D"/>
    <w:rsid w:val="443A6FB3"/>
    <w:rsid w:val="443C4228"/>
    <w:rsid w:val="444473F4"/>
    <w:rsid w:val="44506726"/>
    <w:rsid w:val="44564BBE"/>
    <w:rsid w:val="445C05C1"/>
    <w:rsid w:val="445F352A"/>
    <w:rsid w:val="44627E8E"/>
    <w:rsid w:val="447178B0"/>
    <w:rsid w:val="447443C6"/>
    <w:rsid w:val="44791D35"/>
    <w:rsid w:val="44842CDF"/>
    <w:rsid w:val="44932CBE"/>
    <w:rsid w:val="4497145E"/>
    <w:rsid w:val="4497526A"/>
    <w:rsid w:val="44A65935"/>
    <w:rsid w:val="44C138E2"/>
    <w:rsid w:val="44C24001"/>
    <w:rsid w:val="44C81055"/>
    <w:rsid w:val="44D34114"/>
    <w:rsid w:val="44D7048F"/>
    <w:rsid w:val="44D77AAC"/>
    <w:rsid w:val="44DE2A7B"/>
    <w:rsid w:val="44E51E54"/>
    <w:rsid w:val="44E55397"/>
    <w:rsid w:val="44EC44AD"/>
    <w:rsid w:val="44FD4ADE"/>
    <w:rsid w:val="450948BC"/>
    <w:rsid w:val="450B2EEB"/>
    <w:rsid w:val="450E7246"/>
    <w:rsid w:val="45100CD9"/>
    <w:rsid w:val="451A1A98"/>
    <w:rsid w:val="45257340"/>
    <w:rsid w:val="452C46E6"/>
    <w:rsid w:val="45303661"/>
    <w:rsid w:val="453107F6"/>
    <w:rsid w:val="4541753B"/>
    <w:rsid w:val="4548374C"/>
    <w:rsid w:val="45500C56"/>
    <w:rsid w:val="455065F4"/>
    <w:rsid w:val="45517DB9"/>
    <w:rsid w:val="457052B2"/>
    <w:rsid w:val="45841B0D"/>
    <w:rsid w:val="45851B45"/>
    <w:rsid w:val="45875FBD"/>
    <w:rsid w:val="459B0086"/>
    <w:rsid w:val="45A561EC"/>
    <w:rsid w:val="45B63A7E"/>
    <w:rsid w:val="45CA658D"/>
    <w:rsid w:val="45CA7611"/>
    <w:rsid w:val="45CB4412"/>
    <w:rsid w:val="45D466E2"/>
    <w:rsid w:val="45E50A38"/>
    <w:rsid w:val="46001285"/>
    <w:rsid w:val="460D10DC"/>
    <w:rsid w:val="460E39A2"/>
    <w:rsid w:val="462B7D2E"/>
    <w:rsid w:val="462E28BE"/>
    <w:rsid w:val="463351B6"/>
    <w:rsid w:val="464F276C"/>
    <w:rsid w:val="465831B6"/>
    <w:rsid w:val="4659090B"/>
    <w:rsid w:val="46671851"/>
    <w:rsid w:val="466D496E"/>
    <w:rsid w:val="46897329"/>
    <w:rsid w:val="46933EA7"/>
    <w:rsid w:val="46981D4D"/>
    <w:rsid w:val="469F2BC6"/>
    <w:rsid w:val="469F3F0A"/>
    <w:rsid w:val="46A354E4"/>
    <w:rsid w:val="46AB3707"/>
    <w:rsid w:val="46CC195A"/>
    <w:rsid w:val="46CF6B2F"/>
    <w:rsid w:val="46D14D09"/>
    <w:rsid w:val="46E35D6D"/>
    <w:rsid w:val="46E42955"/>
    <w:rsid w:val="46E75105"/>
    <w:rsid w:val="46F120E6"/>
    <w:rsid w:val="46F210A6"/>
    <w:rsid w:val="46FA637F"/>
    <w:rsid w:val="47097BFA"/>
    <w:rsid w:val="470A19B9"/>
    <w:rsid w:val="470D3C59"/>
    <w:rsid w:val="47150F25"/>
    <w:rsid w:val="47166E36"/>
    <w:rsid w:val="473311D8"/>
    <w:rsid w:val="473A2575"/>
    <w:rsid w:val="474D04FA"/>
    <w:rsid w:val="474E0314"/>
    <w:rsid w:val="475052CA"/>
    <w:rsid w:val="475C24EB"/>
    <w:rsid w:val="476B4B9B"/>
    <w:rsid w:val="477261B2"/>
    <w:rsid w:val="47737835"/>
    <w:rsid w:val="477B2C8C"/>
    <w:rsid w:val="477C2B8D"/>
    <w:rsid w:val="478A52AA"/>
    <w:rsid w:val="478E2BCC"/>
    <w:rsid w:val="479637DB"/>
    <w:rsid w:val="47980FBD"/>
    <w:rsid w:val="4799373F"/>
    <w:rsid w:val="479E48B1"/>
    <w:rsid w:val="47B27E52"/>
    <w:rsid w:val="47BB1907"/>
    <w:rsid w:val="47CE3E00"/>
    <w:rsid w:val="47E349BA"/>
    <w:rsid w:val="47E532EE"/>
    <w:rsid w:val="47E80223"/>
    <w:rsid w:val="47ED1FB8"/>
    <w:rsid w:val="47F46BC7"/>
    <w:rsid w:val="47F8759F"/>
    <w:rsid w:val="47F94792"/>
    <w:rsid w:val="47FA5D4E"/>
    <w:rsid w:val="48082673"/>
    <w:rsid w:val="480B21C5"/>
    <w:rsid w:val="481553CE"/>
    <w:rsid w:val="481F0363"/>
    <w:rsid w:val="482243D0"/>
    <w:rsid w:val="482347C3"/>
    <w:rsid w:val="48254FD3"/>
    <w:rsid w:val="482753AB"/>
    <w:rsid w:val="48277DAC"/>
    <w:rsid w:val="482D3655"/>
    <w:rsid w:val="48322F51"/>
    <w:rsid w:val="48376AB4"/>
    <w:rsid w:val="48384D06"/>
    <w:rsid w:val="483F378A"/>
    <w:rsid w:val="48401C4E"/>
    <w:rsid w:val="48432CD8"/>
    <w:rsid w:val="48564F51"/>
    <w:rsid w:val="48575A24"/>
    <w:rsid w:val="485B5316"/>
    <w:rsid w:val="485D476D"/>
    <w:rsid w:val="485F75FA"/>
    <w:rsid w:val="486A50DB"/>
    <w:rsid w:val="487D6E9C"/>
    <w:rsid w:val="488065F4"/>
    <w:rsid w:val="488E4926"/>
    <w:rsid w:val="48917B4E"/>
    <w:rsid w:val="48933844"/>
    <w:rsid w:val="4898667B"/>
    <w:rsid w:val="48AD2449"/>
    <w:rsid w:val="48B60ACF"/>
    <w:rsid w:val="48B71DE6"/>
    <w:rsid w:val="48CF263F"/>
    <w:rsid w:val="48D73D69"/>
    <w:rsid w:val="48E56510"/>
    <w:rsid w:val="48F23662"/>
    <w:rsid w:val="48F34831"/>
    <w:rsid w:val="490C346C"/>
    <w:rsid w:val="49105C83"/>
    <w:rsid w:val="49107A31"/>
    <w:rsid w:val="49137E60"/>
    <w:rsid w:val="4921579A"/>
    <w:rsid w:val="492C2B84"/>
    <w:rsid w:val="492D11DF"/>
    <w:rsid w:val="494B2B8D"/>
    <w:rsid w:val="494F7C02"/>
    <w:rsid w:val="495839E9"/>
    <w:rsid w:val="495A6EFE"/>
    <w:rsid w:val="495B7394"/>
    <w:rsid w:val="495D254A"/>
    <w:rsid w:val="49857E2C"/>
    <w:rsid w:val="498B02B0"/>
    <w:rsid w:val="498D6937"/>
    <w:rsid w:val="49940BB9"/>
    <w:rsid w:val="499C726F"/>
    <w:rsid w:val="499D3E1C"/>
    <w:rsid w:val="49A05F0C"/>
    <w:rsid w:val="49AD534E"/>
    <w:rsid w:val="49AE129B"/>
    <w:rsid w:val="49B54134"/>
    <w:rsid w:val="49B60933"/>
    <w:rsid w:val="49B93C25"/>
    <w:rsid w:val="49BE02BB"/>
    <w:rsid w:val="49C26603"/>
    <w:rsid w:val="49C34AA3"/>
    <w:rsid w:val="49C5081B"/>
    <w:rsid w:val="49C95521"/>
    <w:rsid w:val="49CB3958"/>
    <w:rsid w:val="49D2118A"/>
    <w:rsid w:val="49EE03A8"/>
    <w:rsid w:val="49F02CC8"/>
    <w:rsid w:val="4A007AA5"/>
    <w:rsid w:val="4A0462CD"/>
    <w:rsid w:val="4A0550BC"/>
    <w:rsid w:val="4A070E34"/>
    <w:rsid w:val="4A131EB5"/>
    <w:rsid w:val="4A214813"/>
    <w:rsid w:val="4A520BAD"/>
    <w:rsid w:val="4A58168F"/>
    <w:rsid w:val="4A6657B3"/>
    <w:rsid w:val="4A6D17DC"/>
    <w:rsid w:val="4A7144AC"/>
    <w:rsid w:val="4A835FE1"/>
    <w:rsid w:val="4A8A55C1"/>
    <w:rsid w:val="4A8B00BC"/>
    <w:rsid w:val="4A8D1C7B"/>
    <w:rsid w:val="4A8E20F7"/>
    <w:rsid w:val="4A957EA7"/>
    <w:rsid w:val="4AA6292A"/>
    <w:rsid w:val="4AA91DB6"/>
    <w:rsid w:val="4AAB4E1B"/>
    <w:rsid w:val="4AB9591E"/>
    <w:rsid w:val="4AC27C60"/>
    <w:rsid w:val="4ACB7B21"/>
    <w:rsid w:val="4AD02924"/>
    <w:rsid w:val="4AD6546A"/>
    <w:rsid w:val="4ADB7653"/>
    <w:rsid w:val="4AE36196"/>
    <w:rsid w:val="4AEA76CF"/>
    <w:rsid w:val="4AF034F1"/>
    <w:rsid w:val="4AF80148"/>
    <w:rsid w:val="4B182BCD"/>
    <w:rsid w:val="4B1B40EE"/>
    <w:rsid w:val="4B273C87"/>
    <w:rsid w:val="4B2D0324"/>
    <w:rsid w:val="4B3240E3"/>
    <w:rsid w:val="4B352633"/>
    <w:rsid w:val="4B3B37FB"/>
    <w:rsid w:val="4B3D5D65"/>
    <w:rsid w:val="4B4734B2"/>
    <w:rsid w:val="4B4A0B1E"/>
    <w:rsid w:val="4B571947"/>
    <w:rsid w:val="4B5A480B"/>
    <w:rsid w:val="4B6017A3"/>
    <w:rsid w:val="4B74468F"/>
    <w:rsid w:val="4BA33C6C"/>
    <w:rsid w:val="4BB328F5"/>
    <w:rsid w:val="4BB67D9E"/>
    <w:rsid w:val="4BBA1ED6"/>
    <w:rsid w:val="4BBD1DE0"/>
    <w:rsid w:val="4BBE3774"/>
    <w:rsid w:val="4BC9679E"/>
    <w:rsid w:val="4BCC4B53"/>
    <w:rsid w:val="4BD05255"/>
    <w:rsid w:val="4BE07B8E"/>
    <w:rsid w:val="4BE67608"/>
    <w:rsid w:val="4BEA09B5"/>
    <w:rsid w:val="4BF21670"/>
    <w:rsid w:val="4BF76C86"/>
    <w:rsid w:val="4BF81BBD"/>
    <w:rsid w:val="4BF864D0"/>
    <w:rsid w:val="4BFF496C"/>
    <w:rsid w:val="4C005D4B"/>
    <w:rsid w:val="4C1142BE"/>
    <w:rsid w:val="4C143394"/>
    <w:rsid w:val="4C1E1EBF"/>
    <w:rsid w:val="4C1F4131"/>
    <w:rsid w:val="4C212AFC"/>
    <w:rsid w:val="4C2855F5"/>
    <w:rsid w:val="4C297B4D"/>
    <w:rsid w:val="4C424A06"/>
    <w:rsid w:val="4C5E2A9E"/>
    <w:rsid w:val="4C612351"/>
    <w:rsid w:val="4C62700A"/>
    <w:rsid w:val="4C7D74B7"/>
    <w:rsid w:val="4C804EDD"/>
    <w:rsid w:val="4CB16E35"/>
    <w:rsid w:val="4CC245E5"/>
    <w:rsid w:val="4CC36B68"/>
    <w:rsid w:val="4CD16493"/>
    <w:rsid w:val="4CD36B70"/>
    <w:rsid w:val="4CD9069F"/>
    <w:rsid w:val="4CDE39A2"/>
    <w:rsid w:val="4CE10ECD"/>
    <w:rsid w:val="4CE30FB8"/>
    <w:rsid w:val="4CF5766A"/>
    <w:rsid w:val="4CFA6A2E"/>
    <w:rsid w:val="4D031D6C"/>
    <w:rsid w:val="4D0A29E9"/>
    <w:rsid w:val="4D104446"/>
    <w:rsid w:val="4D147B22"/>
    <w:rsid w:val="4D232142"/>
    <w:rsid w:val="4D2C6E03"/>
    <w:rsid w:val="4D2D0C4D"/>
    <w:rsid w:val="4D2E66D8"/>
    <w:rsid w:val="4D31371F"/>
    <w:rsid w:val="4D395E7C"/>
    <w:rsid w:val="4D3D0FD3"/>
    <w:rsid w:val="4D4211AF"/>
    <w:rsid w:val="4D453A21"/>
    <w:rsid w:val="4D4709B2"/>
    <w:rsid w:val="4D616AAD"/>
    <w:rsid w:val="4D665E71"/>
    <w:rsid w:val="4D6D2159"/>
    <w:rsid w:val="4D6F2075"/>
    <w:rsid w:val="4D6F752D"/>
    <w:rsid w:val="4D79415D"/>
    <w:rsid w:val="4D974D9A"/>
    <w:rsid w:val="4D987FF5"/>
    <w:rsid w:val="4D9A490D"/>
    <w:rsid w:val="4D9E25AB"/>
    <w:rsid w:val="4DBC3CE3"/>
    <w:rsid w:val="4DC112FA"/>
    <w:rsid w:val="4DCE1DD8"/>
    <w:rsid w:val="4DD7105D"/>
    <w:rsid w:val="4DD876AC"/>
    <w:rsid w:val="4DE65FE1"/>
    <w:rsid w:val="4DE66FB2"/>
    <w:rsid w:val="4DE9730D"/>
    <w:rsid w:val="4DEA43C4"/>
    <w:rsid w:val="4DF25448"/>
    <w:rsid w:val="4DF3347D"/>
    <w:rsid w:val="4DF47921"/>
    <w:rsid w:val="4DF7391F"/>
    <w:rsid w:val="4E0269FF"/>
    <w:rsid w:val="4E1009A5"/>
    <w:rsid w:val="4E106CE1"/>
    <w:rsid w:val="4E17510B"/>
    <w:rsid w:val="4E1D1475"/>
    <w:rsid w:val="4E2A6045"/>
    <w:rsid w:val="4E2B207B"/>
    <w:rsid w:val="4E375A78"/>
    <w:rsid w:val="4E3856E1"/>
    <w:rsid w:val="4E3A6193"/>
    <w:rsid w:val="4E501797"/>
    <w:rsid w:val="4E5065C1"/>
    <w:rsid w:val="4E506D21"/>
    <w:rsid w:val="4E5441B0"/>
    <w:rsid w:val="4E5C487A"/>
    <w:rsid w:val="4E676345"/>
    <w:rsid w:val="4E687D4E"/>
    <w:rsid w:val="4E8642F1"/>
    <w:rsid w:val="4E933777"/>
    <w:rsid w:val="4E937A75"/>
    <w:rsid w:val="4E940CBC"/>
    <w:rsid w:val="4E976632"/>
    <w:rsid w:val="4EB801CD"/>
    <w:rsid w:val="4EC2357B"/>
    <w:rsid w:val="4EC343D6"/>
    <w:rsid w:val="4EC40679"/>
    <w:rsid w:val="4ECD5305"/>
    <w:rsid w:val="4ED4420C"/>
    <w:rsid w:val="4EF0595D"/>
    <w:rsid w:val="4EF10A91"/>
    <w:rsid w:val="4EF94AC3"/>
    <w:rsid w:val="4F002DEE"/>
    <w:rsid w:val="4F0040A4"/>
    <w:rsid w:val="4F0E2E3E"/>
    <w:rsid w:val="4F192116"/>
    <w:rsid w:val="4F1B3F4A"/>
    <w:rsid w:val="4F362662"/>
    <w:rsid w:val="4F3D2C02"/>
    <w:rsid w:val="4F671EFC"/>
    <w:rsid w:val="4F6A7F9B"/>
    <w:rsid w:val="4F71468F"/>
    <w:rsid w:val="4F7B197C"/>
    <w:rsid w:val="4F7C53E1"/>
    <w:rsid w:val="4F844CD5"/>
    <w:rsid w:val="4F8D1D2D"/>
    <w:rsid w:val="4F940716"/>
    <w:rsid w:val="4FA309BE"/>
    <w:rsid w:val="4FA9337C"/>
    <w:rsid w:val="4FAE1D52"/>
    <w:rsid w:val="4FAF7EFA"/>
    <w:rsid w:val="4FB01626"/>
    <w:rsid w:val="4FB25344"/>
    <w:rsid w:val="4FC62B2A"/>
    <w:rsid w:val="4FC92795"/>
    <w:rsid w:val="4FF253F4"/>
    <w:rsid w:val="4FF962A5"/>
    <w:rsid w:val="4FFE4A87"/>
    <w:rsid w:val="4FFE6A29"/>
    <w:rsid w:val="4FFF435B"/>
    <w:rsid w:val="500D0826"/>
    <w:rsid w:val="50120DD2"/>
    <w:rsid w:val="501663B8"/>
    <w:rsid w:val="503B41B9"/>
    <w:rsid w:val="504478E4"/>
    <w:rsid w:val="504601DC"/>
    <w:rsid w:val="504B57F2"/>
    <w:rsid w:val="504F36A8"/>
    <w:rsid w:val="50572A16"/>
    <w:rsid w:val="50595CB9"/>
    <w:rsid w:val="505F3EB8"/>
    <w:rsid w:val="506D74E0"/>
    <w:rsid w:val="50700C31"/>
    <w:rsid w:val="507535F6"/>
    <w:rsid w:val="50753CCC"/>
    <w:rsid w:val="5078281C"/>
    <w:rsid w:val="5080549C"/>
    <w:rsid w:val="5082790D"/>
    <w:rsid w:val="50926F7D"/>
    <w:rsid w:val="509B75AE"/>
    <w:rsid w:val="509D7A70"/>
    <w:rsid w:val="50A62F41"/>
    <w:rsid w:val="50B60C68"/>
    <w:rsid w:val="50C25AB5"/>
    <w:rsid w:val="50CB3BBC"/>
    <w:rsid w:val="50CB5657"/>
    <w:rsid w:val="50CC6933"/>
    <w:rsid w:val="50CF3D2E"/>
    <w:rsid w:val="50D91050"/>
    <w:rsid w:val="50DA3F22"/>
    <w:rsid w:val="50DC40D8"/>
    <w:rsid w:val="50EB4502"/>
    <w:rsid w:val="50EF0357"/>
    <w:rsid w:val="50F6750C"/>
    <w:rsid w:val="51010D79"/>
    <w:rsid w:val="51034114"/>
    <w:rsid w:val="51050988"/>
    <w:rsid w:val="5119144D"/>
    <w:rsid w:val="51246C01"/>
    <w:rsid w:val="51246D02"/>
    <w:rsid w:val="512C73D2"/>
    <w:rsid w:val="512D6CA6"/>
    <w:rsid w:val="5136624D"/>
    <w:rsid w:val="5139564B"/>
    <w:rsid w:val="51473A96"/>
    <w:rsid w:val="51497F84"/>
    <w:rsid w:val="51663EC6"/>
    <w:rsid w:val="516E3AE8"/>
    <w:rsid w:val="51701A46"/>
    <w:rsid w:val="517D5E7F"/>
    <w:rsid w:val="5180629F"/>
    <w:rsid w:val="51835D03"/>
    <w:rsid w:val="51871947"/>
    <w:rsid w:val="518F5BE6"/>
    <w:rsid w:val="51973016"/>
    <w:rsid w:val="519857E7"/>
    <w:rsid w:val="51A7228E"/>
    <w:rsid w:val="51B121F9"/>
    <w:rsid w:val="51B43A5F"/>
    <w:rsid w:val="51B82A14"/>
    <w:rsid w:val="51B9499F"/>
    <w:rsid w:val="51C97FDF"/>
    <w:rsid w:val="51CD740E"/>
    <w:rsid w:val="51DA0A1D"/>
    <w:rsid w:val="51DD54E5"/>
    <w:rsid w:val="51E02979"/>
    <w:rsid w:val="51E101BC"/>
    <w:rsid w:val="51E14DA1"/>
    <w:rsid w:val="52005A8D"/>
    <w:rsid w:val="52087E4A"/>
    <w:rsid w:val="521074A9"/>
    <w:rsid w:val="521151CB"/>
    <w:rsid w:val="52135808"/>
    <w:rsid w:val="5223678D"/>
    <w:rsid w:val="5224454D"/>
    <w:rsid w:val="52307901"/>
    <w:rsid w:val="5234518C"/>
    <w:rsid w:val="52372C63"/>
    <w:rsid w:val="524467E0"/>
    <w:rsid w:val="52557E49"/>
    <w:rsid w:val="5259611F"/>
    <w:rsid w:val="525B6B2A"/>
    <w:rsid w:val="52646F14"/>
    <w:rsid w:val="52660640"/>
    <w:rsid w:val="52752591"/>
    <w:rsid w:val="52782F28"/>
    <w:rsid w:val="528943B0"/>
    <w:rsid w:val="528E1018"/>
    <w:rsid w:val="5299285F"/>
    <w:rsid w:val="529C19CD"/>
    <w:rsid w:val="52A31916"/>
    <w:rsid w:val="52AD74D4"/>
    <w:rsid w:val="52B23907"/>
    <w:rsid w:val="52B376EB"/>
    <w:rsid w:val="52C35B14"/>
    <w:rsid w:val="52C42BFE"/>
    <w:rsid w:val="52D715CB"/>
    <w:rsid w:val="52DC6673"/>
    <w:rsid w:val="52E0155D"/>
    <w:rsid w:val="52E21500"/>
    <w:rsid w:val="52E37F64"/>
    <w:rsid w:val="52EF4B5B"/>
    <w:rsid w:val="52F12681"/>
    <w:rsid w:val="53031B15"/>
    <w:rsid w:val="530556EE"/>
    <w:rsid w:val="530F0D59"/>
    <w:rsid w:val="531202EC"/>
    <w:rsid w:val="53125328"/>
    <w:rsid w:val="53125AD9"/>
    <w:rsid w:val="53154F4E"/>
    <w:rsid w:val="53236C00"/>
    <w:rsid w:val="532F3C91"/>
    <w:rsid w:val="533978C1"/>
    <w:rsid w:val="5341755E"/>
    <w:rsid w:val="53426A39"/>
    <w:rsid w:val="53453079"/>
    <w:rsid w:val="534C1AD4"/>
    <w:rsid w:val="535449BE"/>
    <w:rsid w:val="5361028A"/>
    <w:rsid w:val="53623C7E"/>
    <w:rsid w:val="53636240"/>
    <w:rsid w:val="53755522"/>
    <w:rsid w:val="537E2F1F"/>
    <w:rsid w:val="538C4158"/>
    <w:rsid w:val="538E07C1"/>
    <w:rsid w:val="538E1C7E"/>
    <w:rsid w:val="53902F85"/>
    <w:rsid w:val="53902FCA"/>
    <w:rsid w:val="53934F27"/>
    <w:rsid w:val="539354E6"/>
    <w:rsid w:val="53950484"/>
    <w:rsid w:val="53AC65A8"/>
    <w:rsid w:val="53B813F1"/>
    <w:rsid w:val="53BB67EB"/>
    <w:rsid w:val="53BC0B3C"/>
    <w:rsid w:val="53C438F2"/>
    <w:rsid w:val="53C471D1"/>
    <w:rsid w:val="53CD5ADF"/>
    <w:rsid w:val="53D035D9"/>
    <w:rsid w:val="53D62F23"/>
    <w:rsid w:val="53D9109E"/>
    <w:rsid w:val="53E727D9"/>
    <w:rsid w:val="53E73A84"/>
    <w:rsid w:val="53E97466"/>
    <w:rsid w:val="53F2715B"/>
    <w:rsid w:val="540939FA"/>
    <w:rsid w:val="541000EA"/>
    <w:rsid w:val="54166C75"/>
    <w:rsid w:val="54187C2A"/>
    <w:rsid w:val="542425E2"/>
    <w:rsid w:val="54284A90"/>
    <w:rsid w:val="542F18D4"/>
    <w:rsid w:val="543C2055"/>
    <w:rsid w:val="54400A73"/>
    <w:rsid w:val="544654B8"/>
    <w:rsid w:val="54543774"/>
    <w:rsid w:val="545D752D"/>
    <w:rsid w:val="545E6D8C"/>
    <w:rsid w:val="546136CF"/>
    <w:rsid w:val="54757FA1"/>
    <w:rsid w:val="5480311C"/>
    <w:rsid w:val="54817A35"/>
    <w:rsid w:val="5486329D"/>
    <w:rsid w:val="54883D71"/>
    <w:rsid w:val="548C1405"/>
    <w:rsid w:val="548F1E9F"/>
    <w:rsid w:val="548F687C"/>
    <w:rsid w:val="549C643A"/>
    <w:rsid w:val="54A159E1"/>
    <w:rsid w:val="54A53299"/>
    <w:rsid w:val="54AA6F8B"/>
    <w:rsid w:val="54AD082A"/>
    <w:rsid w:val="54AE00FE"/>
    <w:rsid w:val="54B05DCB"/>
    <w:rsid w:val="54B24092"/>
    <w:rsid w:val="54BE6A79"/>
    <w:rsid w:val="54BF3BF4"/>
    <w:rsid w:val="54C400D7"/>
    <w:rsid w:val="54C811C0"/>
    <w:rsid w:val="54CF6D6B"/>
    <w:rsid w:val="54D04518"/>
    <w:rsid w:val="54D171C0"/>
    <w:rsid w:val="54D658A9"/>
    <w:rsid w:val="54E0475B"/>
    <w:rsid w:val="54E17EF8"/>
    <w:rsid w:val="54E203D4"/>
    <w:rsid w:val="54E73BE4"/>
    <w:rsid w:val="54E85B62"/>
    <w:rsid w:val="54EE169B"/>
    <w:rsid w:val="54FB1595"/>
    <w:rsid w:val="55011664"/>
    <w:rsid w:val="55085A60"/>
    <w:rsid w:val="551564C7"/>
    <w:rsid w:val="551F7E4C"/>
    <w:rsid w:val="55200FFC"/>
    <w:rsid w:val="5524722E"/>
    <w:rsid w:val="55346855"/>
    <w:rsid w:val="554076A8"/>
    <w:rsid w:val="5552378C"/>
    <w:rsid w:val="555263FB"/>
    <w:rsid w:val="555313D1"/>
    <w:rsid w:val="555476ED"/>
    <w:rsid w:val="55560A06"/>
    <w:rsid w:val="55581736"/>
    <w:rsid w:val="555B2034"/>
    <w:rsid w:val="555D6C2D"/>
    <w:rsid w:val="55647D21"/>
    <w:rsid w:val="5571595A"/>
    <w:rsid w:val="55791BB1"/>
    <w:rsid w:val="55822BB4"/>
    <w:rsid w:val="55963554"/>
    <w:rsid w:val="559B2D78"/>
    <w:rsid w:val="55A4770D"/>
    <w:rsid w:val="55A95268"/>
    <w:rsid w:val="55B7304E"/>
    <w:rsid w:val="55B856D8"/>
    <w:rsid w:val="55BE25C3"/>
    <w:rsid w:val="55CC6160"/>
    <w:rsid w:val="55CF021E"/>
    <w:rsid w:val="55D454C8"/>
    <w:rsid w:val="55DC0BC5"/>
    <w:rsid w:val="55DF2CE5"/>
    <w:rsid w:val="55E13DE2"/>
    <w:rsid w:val="55E673DE"/>
    <w:rsid w:val="55F43787"/>
    <w:rsid w:val="55FA184D"/>
    <w:rsid w:val="55FD1675"/>
    <w:rsid w:val="56002BDB"/>
    <w:rsid w:val="56026953"/>
    <w:rsid w:val="56071385"/>
    <w:rsid w:val="560C40EC"/>
    <w:rsid w:val="561870C5"/>
    <w:rsid w:val="561A3C9D"/>
    <w:rsid w:val="56243D8D"/>
    <w:rsid w:val="562E14F6"/>
    <w:rsid w:val="563034C0"/>
    <w:rsid w:val="56327239"/>
    <w:rsid w:val="56463D35"/>
    <w:rsid w:val="564672DC"/>
    <w:rsid w:val="564F17C4"/>
    <w:rsid w:val="56554CD5"/>
    <w:rsid w:val="565801CD"/>
    <w:rsid w:val="567E79B3"/>
    <w:rsid w:val="5689180B"/>
    <w:rsid w:val="5691360E"/>
    <w:rsid w:val="56933A4F"/>
    <w:rsid w:val="569A4DDE"/>
    <w:rsid w:val="56A874FB"/>
    <w:rsid w:val="56A96844"/>
    <w:rsid w:val="56AB08C5"/>
    <w:rsid w:val="56AB0D99"/>
    <w:rsid w:val="56AD6795"/>
    <w:rsid w:val="56B74F73"/>
    <w:rsid w:val="56D355A0"/>
    <w:rsid w:val="56D848CE"/>
    <w:rsid w:val="56DC0F68"/>
    <w:rsid w:val="56E322E1"/>
    <w:rsid w:val="56EB2722"/>
    <w:rsid w:val="56F955CC"/>
    <w:rsid w:val="56FB4C08"/>
    <w:rsid w:val="56FC699D"/>
    <w:rsid w:val="57026FD2"/>
    <w:rsid w:val="5706192E"/>
    <w:rsid w:val="571A3B76"/>
    <w:rsid w:val="571B181D"/>
    <w:rsid w:val="571C1BE3"/>
    <w:rsid w:val="572B0171"/>
    <w:rsid w:val="572C3717"/>
    <w:rsid w:val="572E751B"/>
    <w:rsid w:val="5730129E"/>
    <w:rsid w:val="57327A88"/>
    <w:rsid w:val="57376AD1"/>
    <w:rsid w:val="574D2B6B"/>
    <w:rsid w:val="57523381"/>
    <w:rsid w:val="57586705"/>
    <w:rsid w:val="575C0124"/>
    <w:rsid w:val="57666F12"/>
    <w:rsid w:val="57725335"/>
    <w:rsid w:val="577473DD"/>
    <w:rsid w:val="579145F2"/>
    <w:rsid w:val="579B0E0D"/>
    <w:rsid w:val="579E0252"/>
    <w:rsid w:val="57A53B6E"/>
    <w:rsid w:val="57AE3D51"/>
    <w:rsid w:val="57B123DF"/>
    <w:rsid w:val="57B26DB0"/>
    <w:rsid w:val="57BA138B"/>
    <w:rsid w:val="57CE5F75"/>
    <w:rsid w:val="57DA73A0"/>
    <w:rsid w:val="57DB56AE"/>
    <w:rsid w:val="57DD576B"/>
    <w:rsid w:val="57E0124E"/>
    <w:rsid w:val="57E411DB"/>
    <w:rsid w:val="57E722A5"/>
    <w:rsid w:val="57E932EE"/>
    <w:rsid w:val="57EA3B43"/>
    <w:rsid w:val="57FB0105"/>
    <w:rsid w:val="57FB0426"/>
    <w:rsid w:val="5800220E"/>
    <w:rsid w:val="58012830"/>
    <w:rsid w:val="5804270C"/>
    <w:rsid w:val="580A1AEF"/>
    <w:rsid w:val="580D2F98"/>
    <w:rsid w:val="581806B0"/>
    <w:rsid w:val="58262936"/>
    <w:rsid w:val="5830741F"/>
    <w:rsid w:val="58313596"/>
    <w:rsid w:val="58384833"/>
    <w:rsid w:val="583A0626"/>
    <w:rsid w:val="58421EC9"/>
    <w:rsid w:val="584F02B5"/>
    <w:rsid w:val="58533496"/>
    <w:rsid w:val="58581FEA"/>
    <w:rsid w:val="585C07A4"/>
    <w:rsid w:val="586365C5"/>
    <w:rsid w:val="58657D73"/>
    <w:rsid w:val="587F24DD"/>
    <w:rsid w:val="58934F4B"/>
    <w:rsid w:val="58993125"/>
    <w:rsid w:val="589D3C92"/>
    <w:rsid w:val="58A30F57"/>
    <w:rsid w:val="58AB0C46"/>
    <w:rsid w:val="58AC2BA6"/>
    <w:rsid w:val="58AD704A"/>
    <w:rsid w:val="58B01C4F"/>
    <w:rsid w:val="58C346B5"/>
    <w:rsid w:val="58C35579"/>
    <w:rsid w:val="58C83013"/>
    <w:rsid w:val="58C97BA1"/>
    <w:rsid w:val="58CE0D6F"/>
    <w:rsid w:val="58E7052E"/>
    <w:rsid w:val="58ED2352"/>
    <w:rsid w:val="58F80AD4"/>
    <w:rsid w:val="58F87E63"/>
    <w:rsid w:val="58FE08DF"/>
    <w:rsid w:val="590238C2"/>
    <w:rsid w:val="59034EBC"/>
    <w:rsid w:val="59051470"/>
    <w:rsid w:val="59060D3E"/>
    <w:rsid w:val="590918CB"/>
    <w:rsid w:val="590D5D3B"/>
    <w:rsid w:val="59243E61"/>
    <w:rsid w:val="592702F2"/>
    <w:rsid w:val="59396B30"/>
    <w:rsid w:val="594039FC"/>
    <w:rsid w:val="59434708"/>
    <w:rsid w:val="5945546E"/>
    <w:rsid w:val="595108E3"/>
    <w:rsid w:val="59551517"/>
    <w:rsid w:val="59571404"/>
    <w:rsid w:val="5963315C"/>
    <w:rsid w:val="596F4300"/>
    <w:rsid w:val="59723DF0"/>
    <w:rsid w:val="59851D75"/>
    <w:rsid w:val="598E51CE"/>
    <w:rsid w:val="5991258E"/>
    <w:rsid w:val="599E6993"/>
    <w:rsid w:val="59A52995"/>
    <w:rsid w:val="59AB1213"/>
    <w:rsid w:val="59AC11B5"/>
    <w:rsid w:val="59B274EB"/>
    <w:rsid w:val="59B359E6"/>
    <w:rsid w:val="59B3653F"/>
    <w:rsid w:val="59B9300F"/>
    <w:rsid w:val="59BB401E"/>
    <w:rsid w:val="59CA2BC5"/>
    <w:rsid w:val="59D10ADF"/>
    <w:rsid w:val="59D423B5"/>
    <w:rsid w:val="59D53BB4"/>
    <w:rsid w:val="59DE2FBE"/>
    <w:rsid w:val="59E01D89"/>
    <w:rsid w:val="59E32B32"/>
    <w:rsid w:val="59E63E26"/>
    <w:rsid w:val="59EB23C3"/>
    <w:rsid w:val="59EC3BA2"/>
    <w:rsid w:val="59F23D36"/>
    <w:rsid w:val="59F557F4"/>
    <w:rsid w:val="5A047E08"/>
    <w:rsid w:val="5A0507C0"/>
    <w:rsid w:val="5A1137EC"/>
    <w:rsid w:val="5A162204"/>
    <w:rsid w:val="5A2570B4"/>
    <w:rsid w:val="5A275F63"/>
    <w:rsid w:val="5A27701A"/>
    <w:rsid w:val="5A27745D"/>
    <w:rsid w:val="5A2D687B"/>
    <w:rsid w:val="5A2D7D25"/>
    <w:rsid w:val="5A2F13EA"/>
    <w:rsid w:val="5A3F0176"/>
    <w:rsid w:val="5A3F77BB"/>
    <w:rsid w:val="5A405C9C"/>
    <w:rsid w:val="5A4C75DD"/>
    <w:rsid w:val="5A511C57"/>
    <w:rsid w:val="5A6F6D99"/>
    <w:rsid w:val="5A753B98"/>
    <w:rsid w:val="5A762FF3"/>
    <w:rsid w:val="5A7A11AE"/>
    <w:rsid w:val="5A867B53"/>
    <w:rsid w:val="5A904EAA"/>
    <w:rsid w:val="5A9209EF"/>
    <w:rsid w:val="5A92503A"/>
    <w:rsid w:val="5A9B1124"/>
    <w:rsid w:val="5AA2590A"/>
    <w:rsid w:val="5AA75D1B"/>
    <w:rsid w:val="5AB20948"/>
    <w:rsid w:val="5AB346C0"/>
    <w:rsid w:val="5ABC528C"/>
    <w:rsid w:val="5ABF4E13"/>
    <w:rsid w:val="5AC05BEB"/>
    <w:rsid w:val="5AC32B55"/>
    <w:rsid w:val="5AC34408"/>
    <w:rsid w:val="5ACA6E64"/>
    <w:rsid w:val="5ACA76A6"/>
    <w:rsid w:val="5AEF428F"/>
    <w:rsid w:val="5AF51D5C"/>
    <w:rsid w:val="5AF54CD9"/>
    <w:rsid w:val="5AFC1BC3"/>
    <w:rsid w:val="5B03016A"/>
    <w:rsid w:val="5B130FC6"/>
    <w:rsid w:val="5B144F30"/>
    <w:rsid w:val="5B183BC8"/>
    <w:rsid w:val="5B1860CE"/>
    <w:rsid w:val="5B1A1A6E"/>
    <w:rsid w:val="5B1B7FAC"/>
    <w:rsid w:val="5B1C457C"/>
    <w:rsid w:val="5B1E1D7F"/>
    <w:rsid w:val="5B2F49EE"/>
    <w:rsid w:val="5B3A122F"/>
    <w:rsid w:val="5B3A33DD"/>
    <w:rsid w:val="5B422FE3"/>
    <w:rsid w:val="5B4672E2"/>
    <w:rsid w:val="5B540C6C"/>
    <w:rsid w:val="5B5437AD"/>
    <w:rsid w:val="5B5C08B4"/>
    <w:rsid w:val="5B70610D"/>
    <w:rsid w:val="5B7C71A8"/>
    <w:rsid w:val="5B8862CC"/>
    <w:rsid w:val="5B9E2C7A"/>
    <w:rsid w:val="5B9F6DE2"/>
    <w:rsid w:val="5BA26C0E"/>
    <w:rsid w:val="5BB015F1"/>
    <w:rsid w:val="5BB56F66"/>
    <w:rsid w:val="5BBD7A55"/>
    <w:rsid w:val="5BC00E43"/>
    <w:rsid w:val="5BC07E55"/>
    <w:rsid w:val="5BC316CD"/>
    <w:rsid w:val="5BC70423"/>
    <w:rsid w:val="5BCD7990"/>
    <w:rsid w:val="5BCF5DB2"/>
    <w:rsid w:val="5BD13092"/>
    <w:rsid w:val="5BE737AE"/>
    <w:rsid w:val="5BE75443"/>
    <w:rsid w:val="5BE96BDD"/>
    <w:rsid w:val="5BEF05B4"/>
    <w:rsid w:val="5BF20F0E"/>
    <w:rsid w:val="5BF47881"/>
    <w:rsid w:val="5BF97111"/>
    <w:rsid w:val="5C02705D"/>
    <w:rsid w:val="5C036693"/>
    <w:rsid w:val="5C0366CC"/>
    <w:rsid w:val="5C050F4B"/>
    <w:rsid w:val="5C05719D"/>
    <w:rsid w:val="5C244D0B"/>
    <w:rsid w:val="5C2677D4"/>
    <w:rsid w:val="5C2855CE"/>
    <w:rsid w:val="5C2E4641"/>
    <w:rsid w:val="5C34538D"/>
    <w:rsid w:val="5C393517"/>
    <w:rsid w:val="5C3A2EAB"/>
    <w:rsid w:val="5C3F3891"/>
    <w:rsid w:val="5C4131B7"/>
    <w:rsid w:val="5C605C82"/>
    <w:rsid w:val="5C653F62"/>
    <w:rsid w:val="5C677510"/>
    <w:rsid w:val="5C690EE2"/>
    <w:rsid w:val="5C7560D1"/>
    <w:rsid w:val="5C856C28"/>
    <w:rsid w:val="5C8835A6"/>
    <w:rsid w:val="5C8860FF"/>
    <w:rsid w:val="5C9078D6"/>
    <w:rsid w:val="5C943DF3"/>
    <w:rsid w:val="5C9B540C"/>
    <w:rsid w:val="5C9B64A5"/>
    <w:rsid w:val="5C9D73D6"/>
    <w:rsid w:val="5CA226B5"/>
    <w:rsid w:val="5CB00852"/>
    <w:rsid w:val="5CCC5468"/>
    <w:rsid w:val="5CD252D1"/>
    <w:rsid w:val="5CD35141"/>
    <w:rsid w:val="5CD555B2"/>
    <w:rsid w:val="5CD728E8"/>
    <w:rsid w:val="5CD72FAB"/>
    <w:rsid w:val="5CD80ABF"/>
    <w:rsid w:val="5CE67C21"/>
    <w:rsid w:val="5CE70651"/>
    <w:rsid w:val="5CF27905"/>
    <w:rsid w:val="5CF72E28"/>
    <w:rsid w:val="5CFA6097"/>
    <w:rsid w:val="5D046C31"/>
    <w:rsid w:val="5D2650B4"/>
    <w:rsid w:val="5D267018"/>
    <w:rsid w:val="5D333896"/>
    <w:rsid w:val="5D4F052C"/>
    <w:rsid w:val="5D503F20"/>
    <w:rsid w:val="5D5823B7"/>
    <w:rsid w:val="5D595B2D"/>
    <w:rsid w:val="5D5D2E32"/>
    <w:rsid w:val="5D5E6B65"/>
    <w:rsid w:val="5D700646"/>
    <w:rsid w:val="5D777C27"/>
    <w:rsid w:val="5D7F057D"/>
    <w:rsid w:val="5D8639BC"/>
    <w:rsid w:val="5D8D1766"/>
    <w:rsid w:val="5D9544F1"/>
    <w:rsid w:val="5D9713C1"/>
    <w:rsid w:val="5D9B7470"/>
    <w:rsid w:val="5DA1087A"/>
    <w:rsid w:val="5DA77957"/>
    <w:rsid w:val="5DAF0EA2"/>
    <w:rsid w:val="5DB15476"/>
    <w:rsid w:val="5DB50E4A"/>
    <w:rsid w:val="5DE87ACD"/>
    <w:rsid w:val="5DFC11B6"/>
    <w:rsid w:val="5DFC60C1"/>
    <w:rsid w:val="5E03770C"/>
    <w:rsid w:val="5E187526"/>
    <w:rsid w:val="5E195734"/>
    <w:rsid w:val="5E1B4A56"/>
    <w:rsid w:val="5E227B93"/>
    <w:rsid w:val="5E23286C"/>
    <w:rsid w:val="5E287173"/>
    <w:rsid w:val="5E2A5673"/>
    <w:rsid w:val="5E3D49CC"/>
    <w:rsid w:val="5E421FE3"/>
    <w:rsid w:val="5E627998"/>
    <w:rsid w:val="5E651482"/>
    <w:rsid w:val="5E7128C8"/>
    <w:rsid w:val="5E7423B8"/>
    <w:rsid w:val="5E761C8C"/>
    <w:rsid w:val="5E796A43"/>
    <w:rsid w:val="5E7F2E0C"/>
    <w:rsid w:val="5E975130"/>
    <w:rsid w:val="5EA67402"/>
    <w:rsid w:val="5EB56C59"/>
    <w:rsid w:val="5EB90BDF"/>
    <w:rsid w:val="5EBA3928"/>
    <w:rsid w:val="5EBB3B43"/>
    <w:rsid w:val="5EC21376"/>
    <w:rsid w:val="5EC7698C"/>
    <w:rsid w:val="5ECB0447"/>
    <w:rsid w:val="5ED97AB4"/>
    <w:rsid w:val="5EF00A9F"/>
    <w:rsid w:val="5EF414B4"/>
    <w:rsid w:val="5F025552"/>
    <w:rsid w:val="5F043D98"/>
    <w:rsid w:val="5F076AA0"/>
    <w:rsid w:val="5F093317"/>
    <w:rsid w:val="5F145819"/>
    <w:rsid w:val="5F180F2B"/>
    <w:rsid w:val="5F187B04"/>
    <w:rsid w:val="5F1A2E8D"/>
    <w:rsid w:val="5F2153BC"/>
    <w:rsid w:val="5F217E4A"/>
    <w:rsid w:val="5F260D6B"/>
    <w:rsid w:val="5F33634B"/>
    <w:rsid w:val="5F3D3794"/>
    <w:rsid w:val="5F4C5E12"/>
    <w:rsid w:val="5F514010"/>
    <w:rsid w:val="5F571ABE"/>
    <w:rsid w:val="5F597808"/>
    <w:rsid w:val="5F5C70D4"/>
    <w:rsid w:val="5F5E0A05"/>
    <w:rsid w:val="5F6659F6"/>
    <w:rsid w:val="5F6D3696"/>
    <w:rsid w:val="5F710167"/>
    <w:rsid w:val="5F7203AF"/>
    <w:rsid w:val="5F814D8D"/>
    <w:rsid w:val="5F845D15"/>
    <w:rsid w:val="5F851873"/>
    <w:rsid w:val="5F8605F5"/>
    <w:rsid w:val="5F927F59"/>
    <w:rsid w:val="5F994593"/>
    <w:rsid w:val="5F9A0CFC"/>
    <w:rsid w:val="5F9B2615"/>
    <w:rsid w:val="5F9F5213"/>
    <w:rsid w:val="5FA76F6D"/>
    <w:rsid w:val="5FAB3BB8"/>
    <w:rsid w:val="5FBE5526"/>
    <w:rsid w:val="5FC067D0"/>
    <w:rsid w:val="5FC64F33"/>
    <w:rsid w:val="5FCC6AA8"/>
    <w:rsid w:val="5FD9240E"/>
    <w:rsid w:val="5FDE21DF"/>
    <w:rsid w:val="5FDF1BB5"/>
    <w:rsid w:val="5FF473EE"/>
    <w:rsid w:val="600B4656"/>
    <w:rsid w:val="600B6B96"/>
    <w:rsid w:val="60120758"/>
    <w:rsid w:val="6015068D"/>
    <w:rsid w:val="6024237A"/>
    <w:rsid w:val="6031422F"/>
    <w:rsid w:val="6033027A"/>
    <w:rsid w:val="603B4F3C"/>
    <w:rsid w:val="60423096"/>
    <w:rsid w:val="60451699"/>
    <w:rsid w:val="604C539B"/>
    <w:rsid w:val="60545FFD"/>
    <w:rsid w:val="6055771D"/>
    <w:rsid w:val="60581466"/>
    <w:rsid w:val="60597A43"/>
    <w:rsid w:val="605B435E"/>
    <w:rsid w:val="605D615C"/>
    <w:rsid w:val="606F0AD1"/>
    <w:rsid w:val="60753DAC"/>
    <w:rsid w:val="60790B0B"/>
    <w:rsid w:val="607D0DDD"/>
    <w:rsid w:val="608508AD"/>
    <w:rsid w:val="60901A8A"/>
    <w:rsid w:val="6095359C"/>
    <w:rsid w:val="6096177D"/>
    <w:rsid w:val="6098238E"/>
    <w:rsid w:val="60AE2C7C"/>
    <w:rsid w:val="60C211B9"/>
    <w:rsid w:val="60C27AD9"/>
    <w:rsid w:val="60C44DAC"/>
    <w:rsid w:val="60CD7FB5"/>
    <w:rsid w:val="60CE5DB0"/>
    <w:rsid w:val="60DD4245"/>
    <w:rsid w:val="60E949B3"/>
    <w:rsid w:val="60F22FFD"/>
    <w:rsid w:val="60F83285"/>
    <w:rsid w:val="61077826"/>
    <w:rsid w:val="610E43FE"/>
    <w:rsid w:val="614506AA"/>
    <w:rsid w:val="614A577A"/>
    <w:rsid w:val="6155589F"/>
    <w:rsid w:val="61557E10"/>
    <w:rsid w:val="61572C72"/>
    <w:rsid w:val="615A5895"/>
    <w:rsid w:val="61631C7B"/>
    <w:rsid w:val="6163767F"/>
    <w:rsid w:val="616B7AA3"/>
    <w:rsid w:val="61720B91"/>
    <w:rsid w:val="617526CF"/>
    <w:rsid w:val="61776447"/>
    <w:rsid w:val="617A5A0A"/>
    <w:rsid w:val="61804639"/>
    <w:rsid w:val="61872E1C"/>
    <w:rsid w:val="61913E30"/>
    <w:rsid w:val="6196533C"/>
    <w:rsid w:val="619F4113"/>
    <w:rsid w:val="61A03F76"/>
    <w:rsid w:val="61AD2498"/>
    <w:rsid w:val="61B72CE8"/>
    <w:rsid w:val="61B96379"/>
    <w:rsid w:val="61D03DA9"/>
    <w:rsid w:val="61D928A4"/>
    <w:rsid w:val="61DB4C28"/>
    <w:rsid w:val="61E41603"/>
    <w:rsid w:val="61E74A13"/>
    <w:rsid w:val="61E91312"/>
    <w:rsid w:val="61F16ABA"/>
    <w:rsid w:val="61F94CAB"/>
    <w:rsid w:val="61FC4B9F"/>
    <w:rsid w:val="620A12CA"/>
    <w:rsid w:val="620C3034"/>
    <w:rsid w:val="6210624B"/>
    <w:rsid w:val="6213333D"/>
    <w:rsid w:val="62143C96"/>
    <w:rsid w:val="621471A9"/>
    <w:rsid w:val="622163B3"/>
    <w:rsid w:val="623F15C0"/>
    <w:rsid w:val="62417172"/>
    <w:rsid w:val="624C1BD2"/>
    <w:rsid w:val="624D129C"/>
    <w:rsid w:val="62571DD5"/>
    <w:rsid w:val="62590DD8"/>
    <w:rsid w:val="625937AE"/>
    <w:rsid w:val="625E3163"/>
    <w:rsid w:val="62632983"/>
    <w:rsid w:val="62683FE2"/>
    <w:rsid w:val="62686397"/>
    <w:rsid w:val="626B7878"/>
    <w:rsid w:val="626D24DE"/>
    <w:rsid w:val="628726BA"/>
    <w:rsid w:val="6287513D"/>
    <w:rsid w:val="62943029"/>
    <w:rsid w:val="62A13A02"/>
    <w:rsid w:val="62AA1DB0"/>
    <w:rsid w:val="62B154A9"/>
    <w:rsid w:val="62B44C73"/>
    <w:rsid w:val="62B72874"/>
    <w:rsid w:val="62C775B6"/>
    <w:rsid w:val="62C90F25"/>
    <w:rsid w:val="62D17858"/>
    <w:rsid w:val="62DD436A"/>
    <w:rsid w:val="62E22F16"/>
    <w:rsid w:val="62E62AFE"/>
    <w:rsid w:val="62F2336B"/>
    <w:rsid w:val="62F37D50"/>
    <w:rsid w:val="62F448FD"/>
    <w:rsid w:val="62FA7924"/>
    <w:rsid w:val="6300421A"/>
    <w:rsid w:val="6307057C"/>
    <w:rsid w:val="63087F21"/>
    <w:rsid w:val="63182FEF"/>
    <w:rsid w:val="63236B85"/>
    <w:rsid w:val="63247F09"/>
    <w:rsid w:val="632C3261"/>
    <w:rsid w:val="63365ABE"/>
    <w:rsid w:val="6337637E"/>
    <w:rsid w:val="633C67FB"/>
    <w:rsid w:val="63443B83"/>
    <w:rsid w:val="634467FD"/>
    <w:rsid w:val="63533494"/>
    <w:rsid w:val="635504E7"/>
    <w:rsid w:val="63555862"/>
    <w:rsid w:val="636429FB"/>
    <w:rsid w:val="63672428"/>
    <w:rsid w:val="636B5B38"/>
    <w:rsid w:val="636F0E66"/>
    <w:rsid w:val="63715FDC"/>
    <w:rsid w:val="63764156"/>
    <w:rsid w:val="63793211"/>
    <w:rsid w:val="63836A21"/>
    <w:rsid w:val="63866C0A"/>
    <w:rsid w:val="63901A42"/>
    <w:rsid w:val="63A159FD"/>
    <w:rsid w:val="63AC229C"/>
    <w:rsid w:val="63AF5BBA"/>
    <w:rsid w:val="63C014D9"/>
    <w:rsid w:val="63C67A48"/>
    <w:rsid w:val="63CA2462"/>
    <w:rsid w:val="63CD1A2A"/>
    <w:rsid w:val="63CE60C7"/>
    <w:rsid w:val="63D8483A"/>
    <w:rsid w:val="63EF0EF3"/>
    <w:rsid w:val="63F511CE"/>
    <w:rsid w:val="63F61634"/>
    <w:rsid w:val="64045705"/>
    <w:rsid w:val="64095351"/>
    <w:rsid w:val="64153EB6"/>
    <w:rsid w:val="6424700F"/>
    <w:rsid w:val="642B7F25"/>
    <w:rsid w:val="642C5DB8"/>
    <w:rsid w:val="642E6BDA"/>
    <w:rsid w:val="643D6FD7"/>
    <w:rsid w:val="64432812"/>
    <w:rsid w:val="64601E2C"/>
    <w:rsid w:val="64615667"/>
    <w:rsid w:val="646C600B"/>
    <w:rsid w:val="647C6F38"/>
    <w:rsid w:val="647E04C5"/>
    <w:rsid w:val="647F7489"/>
    <w:rsid w:val="64805613"/>
    <w:rsid w:val="64925346"/>
    <w:rsid w:val="64995363"/>
    <w:rsid w:val="649B0945"/>
    <w:rsid w:val="64BB2AEF"/>
    <w:rsid w:val="64C018A7"/>
    <w:rsid w:val="64C07187"/>
    <w:rsid w:val="64C179D9"/>
    <w:rsid w:val="64D21BE7"/>
    <w:rsid w:val="64D836A1"/>
    <w:rsid w:val="64DD2C79"/>
    <w:rsid w:val="64DE19BE"/>
    <w:rsid w:val="64E11AB4"/>
    <w:rsid w:val="64E8010F"/>
    <w:rsid w:val="64EF55D2"/>
    <w:rsid w:val="64F8789F"/>
    <w:rsid w:val="64F92C6C"/>
    <w:rsid w:val="65052EB4"/>
    <w:rsid w:val="65156226"/>
    <w:rsid w:val="65167D5C"/>
    <w:rsid w:val="651A7C82"/>
    <w:rsid w:val="651C0BD7"/>
    <w:rsid w:val="65211E78"/>
    <w:rsid w:val="65340BBD"/>
    <w:rsid w:val="65384941"/>
    <w:rsid w:val="6538706A"/>
    <w:rsid w:val="653D713A"/>
    <w:rsid w:val="65474383"/>
    <w:rsid w:val="655D44C3"/>
    <w:rsid w:val="655D6724"/>
    <w:rsid w:val="655E0028"/>
    <w:rsid w:val="656F6CF7"/>
    <w:rsid w:val="657A5F98"/>
    <w:rsid w:val="657D3699"/>
    <w:rsid w:val="65826AB4"/>
    <w:rsid w:val="65853CAE"/>
    <w:rsid w:val="658B24C1"/>
    <w:rsid w:val="658B4B71"/>
    <w:rsid w:val="65941BFB"/>
    <w:rsid w:val="659B0600"/>
    <w:rsid w:val="65A67E8C"/>
    <w:rsid w:val="65B37C6A"/>
    <w:rsid w:val="65B752FD"/>
    <w:rsid w:val="65BA01FE"/>
    <w:rsid w:val="65C40971"/>
    <w:rsid w:val="65CA2DCE"/>
    <w:rsid w:val="65D96141"/>
    <w:rsid w:val="65DD02E0"/>
    <w:rsid w:val="65E705F3"/>
    <w:rsid w:val="65F779CE"/>
    <w:rsid w:val="65FB6EF9"/>
    <w:rsid w:val="65FC6F1B"/>
    <w:rsid w:val="66012783"/>
    <w:rsid w:val="66117058"/>
    <w:rsid w:val="661A1358"/>
    <w:rsid w:val="66236B9E"/>
    <w:rsid w:val="66287D10"/>
    <w:rsid w:val="662927B2"/>
    <w:rsid w:val="663026C3"/>
    <w:rsid w:val="66357D0E"/>
    <w:rsid w:val="663C74B6"/>
    <w:rsid w:val="665243A2"/>
    <w:rsid w:val="66554277"/>
    <w:rsid w:val="665729F8"/>
    <w:rsid w:val="66630D48"/>
    <w:rsid w:val="668230D5"/>
    <w:rsid w:val="66862B0C"/>
    <w:rsid w:val="668D50C8"/>
    <w:rsid w:val="668F1B3D"/>
    <w:rsid w:val="6690644E"/>
    <w:rsid w:val="669E7FD2"/>
    <w:rsid w:val="669F7F7B"/>
    <w:rsid w:val="66BA1E66"/>
    <w:rsid w:val="66C67568"/>
    <w:rsid w:val="66CA300B"/>
    <w:rsid w:val="66CD08B8"/>
    <w:rsid w:val="66D968EE"/>
    <w:rsid w:val="66F3668F"/>
    <w:rsid w:val="66F739EF"/>
    <w:rsid w:val="670646DE"/>
    <w:rsid w:val="670F5E99"/>
    <w:rsid w:val="671309C0"/>
    <w:rsid w:val="671E14B9"/>
    <w:rsid w:val="67263C47"/>
    <w:rsid w:val="672A3F5C"/>
    <w:rsid w:val="674206FB"/>
    <w:rsid w:val="67492634"/>
    <w:rsid w:val="674D4F5A"/>
    <w:rsid w:val="6752341E"/>
    <w:rsid w:val="675E327C"/>
    <w:rsid w:val="675E6444"/>
    <w:rsid w:val="67795803"/>
    <w:rsid w:val="677A0A3F"/>
    <w:rsid w:val="67815100"/>
    <w:rsid w:val="6789494D"/>
    <w:rsid w:val="678A14E7"/>
    <w:rsid w:val="678D326F"/>
    <w:rsid w:val="678E44EB"/>
    <w:rsid w:val="67917192"/>
    <w:rsid w:val="67957627"/>
    <w:rsid w:val="67A463CF"/>
    <w:rsid w:val="67A466F1"/>
    <w:rsid w:val="67A47A17"/>
    <w:rsid w:val="67A60F84"/>
    <w:rsid w:val="67A74D13"/>
    <w:rsid w:val="67AC20C6"/>
    <w:rsid w:val="67AF582C"/>
    <w:rsid w:val="67B70F91"/>
    <w:rsid w:val="67BA0E3C"/>
    <w:rsid w:val="67C97FEB"/>
    <w:rsid w:val="67CA5838"/>
    <w:rsid w:val="67CF242C"/>
    <w:rsid w:val="67D57A24"/>
    <w:rsid w:val="67E35558"/>
    <w:rsid w:val="67FF16D1"/>
    <w:rsid w:val="680253B8"/>
    <w:rsid w:val="680D207D"/>
    <w:rsid w:val="680E1B3B"/>
    <w:rsid w:val="6811391C"/>
    <w:rsid w:val="6813035E"/>
    <w:rsid w:val="6815075C"/>
    <w:rsid w:val="6817628E"/>
    <w:rsid w:val="681E04E7"/>
    <w:rsid w:val="681F5DA5"/>
    <w:rsid w:val="682664D1"/>
    <w:rsid w:val="68501331"/>
    <w:rsid w:val="68540658"/>
    <w:rsid w:val="685A4FF7"/>
    <w:rsid w:val="686B0388"/>
    <w:rsid w:val="68711E4C"/>
    <w:rsid w:val="687C2595"/>
    <w:rsid w:val="68955405"/>
    <w:rsid w:val="68960D64"/>
    <w:rsid w:val="68997CBD"/>
    <w:rsid w:val="68AF48C2"/>
    <w:rsid w:val="68B7181F"/>
    <w:rsid w:val="68BB7A9F"/>
    <w:rsid w:val="68CB61CB"/>
    <w:rsid w:val="68E52B93"/>
    <w:rsid w:val="68E64670"/>
    <w:rsid w:val="68F35165"/>
    <w:rsid w:val="68F6143E"/>
    <w:rsid w:val="68F967DB"/>
    <w:rsid w:val="68FC5484"/>
    <w:rsid w:val="68FE35AE"/>
    <w:rsid w:val="68FF75FC"/>
    <w:rsid w:val="691D3136"/>
    <w:rsid w:val="691F1FEC"/>
    <w:rsid w:val="691F7A7A"/>
    <w:rsid w:val="692D4687"/>
    <w:rsid w:val="692F738D"/>
    <w:rsid w:val="69367A16"/>
    <w:rsid w:val="69401A73"/>
    <w:rsid w:val="69446925"/>
    <w:rsid w:val="694933F4"/>
    <w:rsid w:val="694B5617"/>
    <w:rsid w:val="694F769D"/>
    <w:rsid w:val="69771DFD"/>
    <w:rsid w:val="69771F9B"/>
    <w:rsid w:val="697C7152"/>
    <w:rsid w:val="697D0373"/>
    <w:rsid w:val="698A6279"/>
    <w:rsid w:val="699A7E5E"/>
    <w:rsid w:val="699F4DA3"/>
    <w:rsid w:val="69A176EE"/>
    <w:rsid w:val="69A94906"/>
    <w:rsid w:val="69AA220C"/>
    <w:rsid w:val="69AF1F2D"/>
    <w:rsid w:val="69BF343C"/>
    <w:rsid w:val="69C24462"/>
    <w:rsid w:val="69C54857"/>
    <w:rsid w:val="69D13C2E"/>
    <w:rsid w:val="69D72179"/>
    <w:rsid w:val="69EA1DD5"/>
    <w:rsid w:val="69EE1271"/>
    <w:rsid w:val="69F24FD2"/>
    <w:rsid w:val="6A044156"/>
    <w:rsid w:val="6A0E330E"/>
    <w:rsid w:val="6A1B4A9D"/>
    <w:rsid w:val="6A276D04"/>
    <w:rsid w:val="6A325601"/>
    <w:rsid w:val="6A3C6480"/>
    <w:rsid w:val="6A3D09B6"/>
    <w:rsid w:val="6A3D7B02"/>
    <w:rsid w:val="6A44324E"/>
    <w:rsid w:val="6A445335"/>
    <w:rsid w:val="6A5419BA"/>
    <w:rsid w:val="6A6D6639"/>
    <w:rsid w:val="6A720342"/>
    <w:rsid w:val="6A793230"/>
    <w:rsid w:val="6A79466A"/>
    <w:rsid w:val="6A8936E0"/>
    <w:rsid w:val="6A8F4BDF"/>
    <w:rsid w:val="6A9D4C68"/>
    <w:rsid w:val="6AA23DFF"/>
    <w:rsid w:val="6AA656A7"/>
    <w:rsid w:val="6AA67D9D"/>
    <w:rsid w:val="6ABD61F0"/>
    <w:rsid w:val="6AC05EC9"/>
    <w:rsid w:val="6ACB6C4D"/>
    <w:rsid w:val="6ADA588C"/>
    <w:rsid w:val="6ADE5E30"/>
    <w:rsid w:val="6AEF704E"/>
    <w:rsid w:val="6AF52D40"/>
    <w:rsid w:val="6AF91587"/>
    <w:rsid w:val="6AF9611F"/>
    <w:rsid w:val="6B001FDF"/>
    <w:rsid w:val="6B1844B4"/>
    <w:rsid w:val="6B1974D3"/>
    <w:rsid w:val="6B221CF6"/>
    <w:rsid w:val="6B2361F6"/>
    <w:rsid w:val="6B2450EC"/>
    <w:rsid w:val="6B27507A"/>
    <w:rsid w:val="6B2807B2"/>
    <w:rsid w:val="6B2D401B"/>
    <w:rsid w:val="6B433C63"/>
    <w:rsid w:val="6B49030F"/>
    <w:rsid w:val="6B4D0219"/>
    <w:rsid w:val="6B560E7C"/>
    <w:rsid w:val="6B59644D"/>
    <w:rsid w:val="6B5A26DD"/>
    <w:rsid w:val="6B7F1877"/>
    <w:rsid w:val="6B81485C"/>
    <w:rsid w:val="6B830B4B"/>
    <w:rsid w:val="6B8450FA"/>
    <w:rsid w:val="6B864F2E"/>
    <w:rsid w:val="6B99234A"/>
    <w:rsid w:val="6B9945BC"/>
    <w:rsid w:val="6B9C323B"/>
    <w:rsid w:val="6BB169FA"/>
    <w:rsid w:val="6BB8247A"/>
    <w:rsid w:val="6BC24763"/>
    <w:rsid w:val="6BD66460"/>
    <w:rsid w:val="6BD910A1"/>
    <w:rsid w:val="6BDB3371"/>
    <w:rsid w:val="6BDD77EF"/>
    <w:rsid w:val="6BDF045F"/>
    <w:rsid w:val="6BE204C1"/>
    <w:rsid w:val="6BE762B9"/>
    <w:rsid w:val="6BF06A34"/>
    <w:rsid w:val="6BF121F9"/>
    <w:rsid w:val="6BF55A4E"/>
    <w:rsid w:val="6BF863D7"/>
    <w:rsid w:val="6C0120AE"/>
    <w:rsid w:val="6C0B4567"/>
    <w:rsid w:val="6C150D37"/>
    <w:rsid w:val="6C170751"/>
    <w:rsid w:val="6C270BB5"/>
    <w:rsid w:val="6C282E63"/>
    <w:rsid w:val="6C315445"/>
    <w:rsid w:val="6C33347A"/>
    <w:rsid w:val="6C3D028D"/>
    <w:rsid w:val="6C3F00F1"/>
    <w:rsid w:val="6C3F1900"/>
    <w:rsid w:val="6C550199"/>
    <w:rsid w:val="6C5E780B"/>
    <w:rsid w:val="6C674CEE"/>
    <w:rsid w:val="6C687B08"/>
    <w:rsid w:val="6C6A54E0"/>
    <w:rsid w:val="6C731F01"/>
    <w:rsid w:val="6C735A5D"/>
    <w:rsid w:val="6C7D68DC"/>
    <w:rsid w:val="6C845EBC"/>
    <w:rsid w:val="6C8B724B"/>
    <w:rsid w:val="6C901D7E"/>
    <w:rsid w:val="6C917204"/>
    <w:rsid w:val="6C9A6949"/>
    <w:rsid w:val="6CAB127E"/>
    <w:rsid w:val="6CB07C55"/>
    <w:rsid w:val="6CBB3D45"/>
    <w:rsid w:val="6CC12C6C"/>
    <w:rsid w:val="6CCD1611"/>
    <w:rsid w:val="6CD40BF2"/>
    <w:rsid w:val="6CDC3602"/>
    <w:rsid w:val="6CE95EFA"/>
    <w:rsid w:val="6CED272F"/>
    <w:rsid w:val="6CF43042"/>
    <w:rsid w:val="6CF52916"/>
    <w:rsid w:val="6CF748E0"/>
    <w:rsid w:val="6CF80E2B"/>
    <w:rsid w:val="6D126075"/>
    <w:rsid w:val="6D1C2762"/>
    <w:rsid w:val="6D307C84"/>
    <w:rsid w:val="6D336DD1"/>
    <w:rsid w:val="6D401DE3"/>
    <w:rsid w:val="6D415B5B"/>
    <w:rsid w:val="6D4B0788"/>
    <w:rsid w:val="6D4C44E9"/>
    <w:rsid w:val="6D523D4C"/>
    <w:rsid w:val="6D5261F9"/>
    <w:rsid w:val="6D576863"/>
    <w:rsid w:val="6D5A13F5"/>
    <w:rsid w:val="6D61460C"/>
    <w:rsid w:val="6D617FAC"/>
    <w:rsid w:val="6D667370"/>
    <w:rsid w:val="6D6D766B"/>
    <w:rsid w:val="6D6F722F"/>
    <w:rsid w:val="6D76186A"/>
    <w:rsid w:val="6D8434E5"/>
    <w:rsid w:val="6D8D19F9"/>
    <w:rsid w:val="6D997745"/>
    <w:rsid w:val="6DB14A8F"/>
    <w:rsid w:val="6DB445C7"/>
    <w:rsid w:val="6DB93944"/>
    <w:rsid w:val="6DCA0540"/>
    <w:rsid w:val="6DCA3DA3"/>
    <w:rsid w:val="6DD54C21"/>
    <w:rsid w:val="6DE97B69"/>
    <w:rsid w:val="6DF62452"/>
    <w:rsid w:val="6E054DDB"/>
    <w:rsid w:val="6E1B015A"/>
    <w:rsid w:val="6E1D7C37"/>
    <w:rsid w:val="6E241705"/>
    <w:rsid w:val="6E2B2829"/>
    <w:rsid w:val="6E2E0238"/>
    <w:rsid w:val="6E3037FB"/>
    <w:rsid w:val="6E481849"/>
    <w:rsid w:val="6E486E44"/>
    <w:rsid w:val="6E4C658D"/>
    <w:rsid w:val="6E4F4BD9"/>
    <w:rsid w:val="6E535698"/>
    <w:rsid w:val="6E557832"/>
    <w:rsid w:val="6E5B25BD"/>
    <w:rsid w:val="6E5C55E8"/>
    <w:rsid w:val="6E647D53"/>
    <w:rsid w:val="6E652977"/>
    <w:rsid w:val="6E670B73"/>
    <w:rsid w:val="6E677844"/>
    <w:rsid w:val="6E6B63FE"/>
    <w:rsid w:val="6E763967"/>
    <w:rsid w:val="6E79176A"/>
    <w:rsid w:val="6E7F4B8D"/>
    <w:rsid w:val="6E800547"/>
    <w:rsid w:val="6E843F52"/>
    <w:rsid w:val="6E87317F"/>
    <w:rsid w:val="6E9A2DDF"/>
    <w:rsid w:val="6EA63716"/>
    <w:rsid w:val="6EA9585C"/>
    <w:rsid w:val="6EAA73F3"/>
    <w:rsid w:val="6EAB73D7"/>
    <w:rsid w:val="6EB165BF"/>
    <w:rsid w:val="6EBD7464"/>
    <w:rsid w:val="6EC30F1E"/>
    <w:rsid w:val="6ED30A35"/>
    <w:rsid w:val="6EEA37CD"/>
    <w:rsid w:val="6EEC0176"/>
    <w:rsid w:val="6EF26404"/>
    <w:rsid w:val="6F085E5C"/>
    <w:rsid w:val="6F1632A2"/>
    <w:rsid w:val="6F1956E4"/>
    <w:rsid w:val="6F1C23DC"/>
    <w:rsid w:val="6F1E46CA"/>
    <w:rsid w:val="6F27744D"/>
    <w:rsid w:val="6F4638FD"/>
    <w:rsid w:val="6F5168CA"/>
    <w:rsid w:val="6F576782"/>
    <w:rsid w:val="6F5C557D"/>
    <w:rsid w:val="6F656188"/>
    <w:rsid w:val="6F71472B"/>
    <w:rsid w:val="6F7277CF"/>
    <w:rsid w:val="6F7B1945"/>
    <w:rsid w:val="6F7D1116"/>
    <w:rsid w:val="6F8F6E49"/>
    <w:rsid w:val="6F912DCA"/>
    <w:rsid w:val="6F936635"/>
    <w:rsid w:val="6F994798"/>
    <w:rsid w:val="6FA90EA2"/>
    <w:rsid w:val="6FB537C8"/>
    <w:rsid w:val="6FB620D0"/>
    <w:rsid w:val="6FC361B6"/>
    <w:rsid w:val="6FCD14BC"/>
    <w:rsid w:val="6FD523C2"/>
    <w:rsid w:val="6FE07FF9"/>
    <w:rsid w:val="6FF3138F"/>
    <w:rsid w:val="6FF35087"/>
    <w:rsid w:val="6FF93F8F"/>
    <w:rsid w:val="6FF94EA6"/>
    <w:rsid w:val="70194B6E"/>
    <w:rsid w:val="701C374E"/>
    <w:rsid w:val="70234FE9"/>
    <w:rsid w:val="702E2F92"/>
    <w:rsid w:val="703419A7"/>
    <w:rsid w:val="70385584"/>
    <w:rsid w:val="70457C8C"/>
    <w:rsid w:val="704612B4"/>
    <w:rsid w:val="70476FB4"/>
    <w:rsid w:val="70480F56"/>
    <w:rsid w:val="704838E1"/>
    <w:rsid w:val="70562F33"/>
    <w:rsid w:val="705C33D8"/>
    <w:rsid w:val="7061628D"/>
    <w:rsid w:val="7064740A"/>
    <w:rsid w:val="70666005"/>
    <w:rsid w:val="707327C8"/>
    <w:rsid w:val="707F377D"/>
    <w:rsid w:val="708811A7"/>
    <w:rsid w:val="708C1657"/>
    <w:rsid w:val="708D757B"/>
    <w:rsid w:val="70957C5B"/>
    <w:rsid w:val="70965963"/>
    <w:rsid w:val="709661BE"/>
    <w:rsid w:val="70971618"/>
    <w:rsid w:val="709B5E0D"/>
    <w:rsid w:val="70A17D74"/>
    <w:rsid w:val="70A26911"/>
    <w:rsid w:val="70AA0EBD"/>
    <w:rsid w:val="70AD7087"/>
    <w:rsid w:val="70B12FF8"/>
    <w:rsid w:val="70BE6733"/>
    <w:rsid w:val="70C333E7"/>
    <w:rsid w:val="70CA2368"/>
    <w:rsid w:val="70CB04E6"/>
    <w:rsid w:val="70D0347E"/>
    <w:rsid w:val="70D07922"/>
    <w:rsid w:val="70D50A94"/>
    <w:rsid w:val="70E7266E"/>
    <w:rsid w:val="70E85CD8"/>
    <w:rsid w:val="70EF5CA0"/>
    <w:rsid w:val="70F4004C"/>
    <w:rsid w:val="70F53102"/>
    <w:rsid w:val="70F97AF0"/>
    <w:rsid w:val="70FC644A"/>
    <w:rsid w:val="71087567"/>
    <w:rsid w:val="710C47A1"/>
    <w:rsid w:val="71202D85"/>
    <w:rsid w:val="712342A7"/>
    <w:rsid w:val="71241A1C"/>
    <w:rsid w:val="7139609D"/>
    <w:rsid w:val="714663E7"/>
    <w:rsid w:val="714D4ACF"/>
    <w:rsid w:val="7152196A"/>
    <w:rsid w:val="716342F2"/>
    <w:rsid w:val="71641052"/>
    <w:rsid w:val="71662034"/>
    <w:rsid w:val="716B1BD6"/>
    <w:rsid w:val="717C3606"/>
    <w:rsid w:val="7187709C"/>
    <w:rsid w:val="718934D0"/>
    <w:rsid w:val="71914721"/>
    <w:rsid w:val="719B1193"/>
    <w:rsid w:val="719C35CD"/>
    <w:rsid w:val="71A048C1"/>
    <w:rsid w:val="71A5490B"/>
    <w:rsid w:val="71A8324B"/>
    <w:rsid w:val="71A843FB"/>
    <w:rsid w:val="71AC5F03"/>
    <w:rsid w:val="71AE35F1"/>
    <w:rsid w:val="71B047FB"/>
    <w:rsid w:val="71B36A65"/>
    <w:rsid w:val="71C16627"/>
    <w:rsid w:val="71D022E5"/>
    <w:rsid w:val="71D13952"/>
    <w:rsid w:val="71D15310"/>
    <w:rsid w:val="71D247CC"/>
    <w:rsid w:val="71D37DBD"/>
    <w:rsid w:val="71DB1B59"/>
    <w:rsid w:val="71E01DE7"/>
    <w:rsid w:val="71E60A7F"/>
    <w:rsid w:val="71ED5D5A"/>
    <w:rsid w:val="71F24DF5"/>
    <w:rsid w:val="71F72789"/>
    <w:rsid w:val="71FC2C99"/>
    <w:rsid w:val="72143A86"/>
    <w:rsid w:val="72211E60"/>
    <w:rsid w:val="722C3595"/>
    <w:rsid w:val="723931ED"/>
    <w:rsid w:val="723E589A"/>
    <w:rsid w:val="723F317E"/>
    <w:rsid w:val="72485C58"/>
    <w:rsid w:val="72542939"/>
    <w:rsid w:val="72571E1F"/>
    <w:rsid w:val="7265409A"/>
    <w:rsid w:val="72666F53"/>
    <w:rsid w:val="726B684E"/>
    <w:rsid w:val="7279221B"/>
    <w:rsid w:val="727B464E"/>
    <w:rsid w:val="727C765B"/>
    <w:rsid w:val="727F515C"/>
    <w:rsid w:val="7289417B"/>
    <w:rsid w:val="728E2BC1"/>
    <w:rsid w:val="72940459"/>
    <w:rsid w:val="72964C39"/>
    <w:rsid w:val="729C5033"/>
    <w:rsid w:val="72A042BA"/>
    <w:rsid w:val="72A746B3"/>
    <w:rsid w:val="72B172DF"/>
    <w:rsid w:val="72BD7A32"/>
    <w:rsid w:val="72C25048"/>
    <w:rsid w:val="72CB03A1"/>
    <w:rsid w:val="72D51B91"/>
    <w:rsid w:val="72D60AF4"/>
    <w:rsid w:val="72D8486C"/>
    <w:rsid w:val="72D922E1"/>
    <w:rsid w:val="72DA160D"/>
    <w:rsid w:val="72E02EEC"/>
    <w:rsid w:val="72E32C08"/>
    <w:rsid w:val="72F75D8A"/>
    <w:rsid w:val="72FC6D7F"/>
    <w:rsid w:val="73130341"/>
    <w:rsid w:val="73136182"/>
    <w:rsid w:val="731458CA"/>
    <w:rsid w:val="731A1328"/>
    <w:rsid w:val="73242BFE"/>
    <w:rsid w:val="732C6A81"/>
    <w:rsid w:val="73334198"/>
    <w:rsid w:val="733401FD"/>
    <w:rsid w:val="733C7E7A"/>
    <w:rsid w:val="73424E40"/>
    <w:rsid w:val="734278D2"/>
    <w:rsid w:val="73487C44"/>
    <w:rsid w:val="73552361"/>
    <w:rsid w:val="735F6D3B"/>
    <w:rsid w:val="73644352"/>
    <w:rsid w:val="7365081E"/>
    <w:rsid w:val="73700F48"/>
    <w:rsid w:val="737735F5"/>
    <w:rsid w:val="73794070"/>
    <w:rsid w:val="737E1B01"/>
    <w:rsid w:val="73814407"/>
    <w:rsid w:val="7388317E"/>
    <w:rsid w:val="73B71901"/>
    <w:rsid w:val="73B7296C"/>
    <w:rsid w:val="73DB6AFC"/>
    <w:rsid w:val="73DD358C"/>
    <w:rsid w:val="73E5172E"/>
    <w:rsid w:val="73E534D6"/>
    <w:rsid w:val="73E963F5"/>
    <w:rsid w:val="73ED6A5E"/>
    <w:rsid w:val="74024296"/>
    <w:rsid w:val="740A53C7"/>
    <w:rsid w:val="7416564C"/>
    <w:rsid w:val="74184199"/>
    <w:rsid w:val="7419338E"/>
    <w:rsid w:val="741D0552"/>
    <w:rsid w:val="742379F5"/>
    <w:rsid w:val="742B77FD"/>
    <w:rsid w:val="742E73BF"/>
    <w:rsid w:val="74374E35"/>
    <w:rsid w:val="74420232"/>
    <w:rsid w:val="74431FD6"/>
    <w:rsid w:val="74462816"/>
    <w:rsid w:val="74487443"/>
    <w:rsid w:val="744A01E2"/>
    <w:rsid w:val="744F6DB0"/>
    <w:rsid w:val="74556815"/>
    <w:rsid w:val="74566875"/>
    <w:rsid w:val="7456694C"/>
    <w:rsid w:val="746574F5"/>
    <w:rsid w:val="747051BD"/>
    <w:rsid w:val="747131CA"/>
    <w:rsid w:val="7471766A"/>
    <w:rsid w:val="747C6916"/>
    <w:rsid w:val="747D069F"/>
    <w:rsid w:val="748056F5"/>
    <w:rsid w:val="748D2B05"/>
    <w:rsid w:val="74A0585D"/>
    <w:rsid w:val="74A57448"/>
    <w:rsid w:val="74AD7F8A"/>
    <w:rsid w:val="74AF51ED"/>
    <w:rsid w:val="74BC30A8"/>
    <w:rsid w:val="74CF09AB"/>
    <w:rsid w:val="74D379E1"/>
    <w:rsid w:val="74D53256"/>
    <w:rsid w:val="74E74BD4"/>
    <w:rsid w:val="74F06316"/>
    <w:rsid w:val="74F854CC"/>
    <w:rsid w:val="74FC053B"/>
    <w:rsid w:val="75043CCE"/>
    <w:rsid w:val="750C4AE5"/>
    <w:rsid w:val="750D68EF"/>
    <w:rsid w:val="751021BE"/>
    <w:rsid w:val="75112855"/>
    <w:rsid w:val="752244C4"/>
    <w:rsid w:val="752B0DC8"/>
    <w:rsid w:val="752D55EC"/>
    <w:rsid w:val="752E6DEB"/>
    <w:rsid w:val="7533222E"/>
    <w:rsid w:val="754B7577"/>
    <w:rsid w:val="754C28F1"/>
    <w:rsid w:val="754C6FD2"/>
    <w:rsid w:val="7558626E"/>
    <w:rsid w:val="755D4D06"/>
    <w:rsid w:val="75601200"/>
    <w:rsid w:val="756F2B72"/>
    <w:rsid w:val="757876AE"/>
    <w:rsid w:val="757A596F"/>
    <w:rsid w:val="757C6C29"/>
    <w:rsid w:val="757D42F0"/>
    <w:rsid w:val="75826D11"/>
    <w:rsid w:val="758D5C48"/>
    <w:rsid w:val="75984EFD"/>
    <w:rsid w:val="759D0D09"/>
    <w:rsid w:val="759D10F7"/>
    <w:rsid w:val="75A86778"/>
    <w:rsid w:val="75AC0488"/>
    <w:rsid w:val="75B87B67"/>
    <w:rsid w:val="75C335B1"/>
    <w:rsid w:val="75C64E50"/>
    <w:rsid w:val="75CC70EC"/>
    <w:rsid w:val="75CD1E2C"/>
    <w:rsid w:val="75D01715"/>
    <w:rsid w:val="75E37E6A"/>
    <w:rsid w:val="75E622AB"/>
    <w:rsid w:val="75E757F4"/>
    <w:rsid w:val="75F706E2"/>
    <w:rsid w:val="75F75CB5"/>
    <w:rsid w:val="75F93477"/>
    <w:rsid w:val="75FA49E1"/>
    <w:rsid w:val="76116A13"/>
    <w:rsid w:val="761738FD"/>
    <w:rsid w:val="7621652A"/>
    <w:rsid w:val="762D4ECF"/>
    <w:rsid w:val="762F1005"/>
    <w:rsid w:val="76393874"/>
    <w:rsid w:val="764604A0"/>
    <w:rsid w:val="764C53C8"/>
    <w:rsid w:val="7650072C"/>
    <w:rsid w:val="765B1A3C"/>
    <w:rsid w:val="765B7009"/>
    <w:rsid w:val="765B7BA5"/>
    <w:rsid w:val="7662101C"/>
    <w:rsid w:val="76633FB3"/>
    <w:rsid w:val="767825EE"/>
    <w:rsid w:val="76822927"/>
    <w:rsid w:val="76856AB9"/>
    <w:rsid w:val="769D2054"/>
    <w:rsid w:val="76A4279D"/>
    <w:rsid w:val="76AD46F4"/>
    <w:rsid w:val="76B73469"/>
    <w:rsid w:val="76C24C69"/>
    <w:rsid w:val="76C54F44"/>
    <w:rsid w:val="76CD04E1"/>
    <w:rsid w:val="76D15206"/>
    <w:rsid w:val="76D712CB"/>
    <w:rsid w:val="76E2269E"/>
    <w:rsid w:val="76E53424"/>
    <w:rsid w:val="76F01FA7"/>
    <w:rsid w:val="76FB4E5E"/>
    <w:rsid w:val="77082D8F"/>
    <w:rsid w:val="77190898"/>
    <w:rsid w:val="77272A31"/>
    <w:rsid w:val="772E0EFE"/>
    <w:rsid w:val="77336515"/>
    <w:rsid w:val="7734348A"/>
    <w:rsid w:val="773E3218"/>
    <w:rsid w:val="77476175"/>
    <w:rsid w:val="774D54F1"/>
    <w:rsid w:val="7755292F"/>
    <w:rsid w:val="77576A80"/>
    <w:rsid w:val="77642B72"/>
    <w:rsid w:val="776D0D92"/>
    <w:rsid w:val="777F175A"/>
    <w:rsid w:val="77894387"/>
    <w:rsid w:val="779105AC"/>
    <w:rsid w:val="779106B6"/>
    <w:rsid w:val="77911135"/>
    <w:rsid w:val="779C055E"/>
    <w:rsid w:val="779C40BA"/>
    <w:rsid w:val="77A86F03"/>
    <w:rsid w:val="77B43AFA"/>
    <w:rsid w:val="77BE6726"/>
    <w:rsid w:val="77CB499F"/>
    <w:rsid w:val="77CD482C"/>
    <w:rsid w:val="77CF22B4"/>
    <w:rsid w:val="77D25D2E"/>
    <w:rsid w:val="77E10D53"/>
    <w:rsid w:val="77ED0DBA"/>
    <w:rsid w:val="77EF5EC4"/>
    <w:rsid w:val="77F42148"/>
    <w:rsid w:val="77FE64CB"/>
    <w:rsid w:val="77FF0802"/>
    <w:rsid w:val="780103C1"/>
    <w:rsid w:val="780E03AD"/>
    <w:rsid w:val="78113BDD"/>
    <w:rsid w:val="78202F3D"/>
    <w:rsid w:val="78285575"/>
    <w:rsid w:val="782D4FF8"/>
    <w:rsid w:val="782D7408"/>
    <w:rsid w:val="783267CC"/>
    <w:rsid w:val="78377B78"/>
    <w:rsid w:val="78446FDD"/>
    <w:rsid w:val="78520C1D"/>
    <w:rsid w:val="78632E2A"/>
    <w:rsid w:val="78680A54"/>
    <w:rsid w:val="786A5FC0"/>
    <w:rsid w:val="787747B0"/>
    <w:rsid w:val="78845475"/>
    <w:rsid w:val="788805B8"/>
    <w:rsid w:val="789E5678"/>
    <w:rsid w:val="78A105FE"/>
    <w:rsid w:val="78A313D1"/>
    <w:rsid w:val="78A43738"/>
    <w:rsid w:val="78B9196F"/>
    <w:rsid w:val="78D81858"/>
    <w:rsid w:val="78D9133E"/>
    <w:rsid w:val="78DB58DC"/>
    <w:rsid w:val="78DE0702"/>
    <w:rsid w:val="79132AA2"/>
    <w:rsid w:val="791D122B"/>
    <w:rsid w:val="793772EC"/>
    <w:rsid w:val="79415E38"/>
    <w:rsid w:val="79552B2F"/>
    <w:rsid w:val="79637C42"/>
    <w:rsid w:val="796C6412"/>
    <w:rsid w:val="796D307B"/>
    <w:rsid w:val="796E1A86"/>
    <w:rsid w:val="797C23F5"/>
    <w:rsid w:val="7985309E"/>
    <w:rsid w:val="799301AC"/>
    <w:rsid w:val="79A47B9E"/>
    <w:rsid w:val="79A669E4"/>
    <w:rsid w:val="79AC0800"/>
    <w:rsid w:val="79AD57E2"/>
    <w:rsid w:val="79B06543"/>
    <w:rsid w:val="79BE0C60"/>
    <w:rsid w:val="79C46063"/>
    <w:rsid w:val="79CB4586"/>
    <w:rsid w:val="79DD1288"/>
    <w:rsid w:val="79DD6C0C"/>
    <w:rsid w:val="79F010BC"/>
    <w:rsid w:val="79FE5D8F"/>
    <w:rsid w:val="7A291841"/>
    <w:rsid w:val="7A340F22"/>
    <w:rsid w:val="7A3565EA"/>
    <w:rsid w:val="7A3D6B1E"/>
    <w:rsid w:val="7A431165"/>
    <w:rsid w:val="7A505398"/>
    <w:rsid w:val="7A564ACA"/>
    <w:rsid w:val="7A577598"/>
    <w:rsid w:val="7A632121"/>
    <w:rsid w:val="7A6B5D2A"/>
    <w:rsid w:val="7A6D614E"/>
    <w:rsid w:val="7A6E7563"/>
    <w:rsid w:val="7A770B20"/>
    <w:rsid w:val="7A7F3524"/>
    <w:rsid w:val="7A8650E9"/>
    <w:rsid w:val="7A8D64C2"/>
    <w:rsid w:val="7A95791B"/>
    <w:rsid w:val="7A9D7397"/>
    <w:rsid w:val="7AC14C78"/>
    <w:rsid w:val="7AD94E9B"/>
    <w:rsid w:val="7ADE68DB"/>
    <w:rsid w:val="7AEA5A84"/>
    <w:rsid w:val="7AEC2669"/>
    <w:rsid w:val="7B120866"/>
    <w:rsid w:val="7B1E128A"/>
    <w:rsid w:val="7B2C00AB"/>
    <w:rsid w:val="7B2E5BFA"/>
    <w:rsid w:val="7B361F39"/>
    <w:rsid w:val="7B462A30"/>
    <w:rsid w:val="7B524F03"/>
    <w:rsid w:val="7B555980"/>
    <w:rsid w:val="7B601B5B"/>
    <w:rsid w:val="7B604E9C"/>
    <w:rsid w:val="7B670E83"/>
    <w:rsid w:val="7B713AB0"/>
    <w:rsid w:val="7B784E3E"/>
    <w:rsid w:val="7B810197"/>
    <w:rsid w:val="7B82586C"/>
    <w:rsid w:val="7B952905"/>
    <w:rsid w:val="7B963516"/>
    <w:rsid w:val="7BA4768F"/>
    <w:rsid w:val="7BB87930"/>
    <w:rsid w:val="7BC462D5"/>
    <w:rsid w:val="7BCB77E6"/>
    <w:rsid w:val="7BCD518A"/>
    <w:rsid w:val="7BCE22CB"/>
    <w:rsid w:val="7BD007D6"/>
    <w:rsid w:val="7BD05638"/>
    <w:rsid w:val="7BE6564B"/>
    <w:rsid w:val="7BEA0955"/>
    <w:rsid w:val="7BFF4A81"/>
    <w:rsid w:val="7C09018C"/>
    <w:rsid w:val="7C091F3A"/>
    <w:rsid w:val="7C1942A5"/>
    <w:rsid w:val="7C1C704C"/>
    <w:rsid w:val="7C2428D0"/>
    <w:rsid w:val="7C2B1EB0"/>
    <w:rsid w:val="7C2B577D"/>
    <w:rsid w:val="7C4132B5"/>
    <w:rsid w:val="7C484073"/>
    <w:rsid w:val="7C494D9F"/>
    <w:rsid w:val="7C532BE5"/>
    <w:rsid w:val="7C532F51"/>
    <w:rsid w:val="7C547659"/>
    <w:rsid w:val="7C660B21"/>
    <w:rsid w:val="7C692C9D"/>
    <w:rsid w:val="7C6A30A7"/>
    <w:rsid w:val="7C6D4277"/>
    <w:rsid w:val="7C6F0B02"/>
    <w:rsid w:val="7C7224C8"/>
    <w:rsid w:val="7C85533B"/>
    <w:rsid w:val="7C8724CE"/>
    <w:rsid w:val="7C8A4953"/>
    <w:rsid w:val="7C8F68E3"/>
    <w:rsid w:val="7C9D1EB2"/>
    <w:rsid w:val="7CA33D20"/>
    <w:rsid w:val="7CA37C04"/>
    <w:rsid w:val="7CAB5D38"/>
    <w:rsid w:val="7CB51897"/>
    <w:rsid w:val="7CB83ABF"/>
    <w:rsid w:val="7CBA515F"/>
    <w:rsid w:val="7CBA535D"/>
    <w:rsid w:val="7CC12815"/>
    <w:rsid w:val="7CC46AF4"/>
    <w:rsid w:val="7CC61F1A"/>
    <w:rsid w:val="7CC852EA"/>
    <w:rsid w:val="7CEC72A9"/>
    <w:rsid w:val="7CEC7FBE"/>
    <w:rsid w:val="7CF93D5D"/>
    <w:rsid w:val="7CFC66E4"/>
    <w:rsid w:val="7D026F49"/>
    <w:rsid w:val="7D0A5F6A"/>
    <w:rsid w:val="7D0B6CE0"/>
    <w:rsid w:val="7D1463FC"/>
    <w:rsid w:val="7D16582B"/>
    <w:rsid w:val="7D1E1A15"/>
    <w:rsid w:val="7D2A03BA"/>
    <w:rsid w:val="7D2C21A7"/>
    <w:rsid w:val="7D3275B1"/>
    <w:rsid w:val="7D3B041C"/>
    <w:rsid w:val="7D510E77"/>
    <w:rsid w:val="7D553689"/>
    <w:rsid w:val="7D6B730F"/>
    <w:rsid w:val="7D7E706C"/>
    <w:rsid w:val="7D807FDA"/>
    <w:rsid w:val="7D8E32DB"/>
    <w:rsid w:val="7D913F95"/>
    <w:rsid w:val="7D9F40FA"/>
    <w:rsid w:val="7DA261A2"/>
    <w:rsid w:val="7DB14637"/>
    <w:rsid w:val="7DBC4E70"/>
    <w:rsid w:val="7DC029C9"/>
    <w:rsid w:val="7DC32703"/>
    <w:rsid w:val="7DC525E8"/>
    <w:rsid w:val="7DDA1DE0"/>
    <w:rsid w:val="7DE67A20"/>
    <w:rsid w:val="7DEB30E6"/>
    <w:rsid w:val="7DEF2C7F"/>
    <w:rsid w:val="7DEF5D9D"/>
    <w:rsid w:val="7DF12FD9"/>
    <w:rsid w:val="7DF42489"/>
    <w:rsid w:val="7DF52776"/>
    <w:rsid w:val="7E00465B"/>
    <w:rsid w:val="7E0C7101"/>
    <w:rsid w:val="7E1534A0"/>
    <w:rsid w:val="7E16287D"/>
    <w:rsid w:val="7E1F5A45"/>
    <w:rsid w:val="7E290672"/>
    <w:rsid w:val="7E2D1F10"/>
    <w:rsid w:val="7E3829FC"/>
    <w:rsid w:val="7E4A1A4D"/>
    <w:rsid w:val="7E4E5490"/>
    <w:rsid w:val="7E5501E8"/>
    <w:rsid w:val="7E5576B9"/>
    <w:rsid w:val="7E6959D0"/>
    <w:rsid w:val="7E6E2F5F"/>
    <w:rsid w:val="7E6E4D17"/>
    <w:rsid w:val="7E70613E"/>
    <w:rsid w:val="7E7B0AD7"/>
    <w:rsid w:val="7E835FD4"/>
    <w:rsid w:val="7E891110"/>
    <w:rsid w:val="7E8C79AE"/>
    <w:rsid w:val="7E8F4979"/>
    <w:rsid w:val="7E955D07"/>
    <w:rsid w:val="7E9A331D"/>
    <w:rsid w:val="7E9D17D1"/>
    <w:rsid w:val="7E9E482F"/>
    <w:rsid w:val="7EA3162F"/>
    <w:rsid w:val="7EA777DF"/>
    <w:rsid w:val="7EAE000A"/>
    <w:rsid w:val="7EAF1F11"/>
    <w:rsid w:val="7EB5354E"/>
    <w:rsid w:val="7EBC222C"/>
    <w:rsid w:val="7EC245AE"/>
    <w:rsid w:val="7ECA14AF"/>
    <w:rsid w:val="7ED6414B"/>
    <w:rsid w:val="7ED92098"/>
    <w:rsid w:val="7EE319BF"/>
    <w:rsid w:val="7EEA6053"/>
    <w:rsid w:val="7EEF1071"/>
    <w:rsid w:val="7EEF6709"/>
    <w:rsid w:val="7EF005B7"/>
    <w:rsid w:val="7EFF1BDD"/>
    <w:rsid w:val="7F364DF4"/>
    <w:rsid w:val="7F372DD5"/>
    <w:rsid w:val="7F47572D"/>
    <w:rsid w:val="7F4C4618"/>
    <w:rsid w:val="7F5874FA"/>
    <w:rsid w:val="7F612ABD"/>
    <w:rsid w:val="7F7122D0"/>
    <w:rsid w:val="7F846C6F"/>
    <w:rsid w:val="7F957EA2"/>
    <w:rsid w:val="7F962B54"/>
    <w:rsid w:val="7FAF1655"/>
    <w:rsid w:val="7FB85D12"/>
    <w:rsid w:val="7FCC2754"/>
    <w:rsid w:val="7FD55335"/>
    <w:rsid w:val="7FE02DDA"/>
    <w:rsid w:val="7FEC43A3"/>
    <w:rsid w:val="7FEE3921"/>
    <w:rsid w:val="7FF501B8"/>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0" w:semiHidden="0"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b/>
      <w:bCs/>
      <w:sz w:val="32"/>
      <w:szCs w:val="32"/>
    </w:rPr>
  </w:style>
  <w:style w:type="paragraph" w:styleId="5">
    <w:name w:val="heading 3"/>
    <w:basedOn w:val="1"/>
    <w:next w:val="1"/>
    <w:link w:val="34"/>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6">
    <w:name w:val="heading 4"/>
    <w:basedOn w:val="1"/>
    <w:next w:val="1"/>
    <w:link w:val="35"/>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autoRedefine/>
    <w:semiHidden/>
    <w:unhideWhenUsed/>
    <w:qFormat/>
    <w:uiPriority w:val="0"/>
    <w:pPr>
      <w:keepNext/>
      <w:keepLines/>
      <w:spacing w:before="280" w:after="290" w:line="376" w:lineRule="atLeast"/>
      <w:outlineLvl w:val="4"/>
    </w:pPr>
    <w:rPr>
      <w:b/>
      <w:bCs/>
      <w:sz w:val="28"/>
      <w:szCs w:val="28"/>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2">
    <w:name w:val="macro"/>
    <w:link w:val="58"/>
    <w:autoRedefine/>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8">
    <w:name w:val="List 3"/>
    <w:basedOn w:val="1"/>
    <w:next w:val="1"/>
    <w:autoRedefine/>
    <w:qFormat/>
    <w:uiPriority w:val="0"/>
    <w:pPr>
      <w:autoSpaceDE w:val="0"/>
      <w:autoSpaceDN w:val="0"/>
      <w:adjustRightInd w:val="0"/>
      <w:spacing w:line="288" w:lineRule="auto"/>
      <w:ind w:left="1260" w:hanging="420"/>
      <w:textAlignment w:val="baseline"/>
    </w:pPr>
    <w:rPr>
      <w:rFonts w:ascii="Calibri" w:hAnsi="Calibri" w:eastAsia="仿宋" w:cs="宋体"/>
      <w:szCs w:val="20"/>
    </w:rPr>
  </w:style>
  <w:style w:type="paragraph" w:styleId="9">
    <w:name w:val="Normal Indent"/>
    <w:basedOn w:val="1"/>
    <w:next w:val="1"/>
    <w:autoRedefine/>
    <w:unhideWhenUsed/>
    <w:qFormat/>
    <w:uiPriority w:val="99"/>
    <w:pPr>
      <w:ind w:firstLine="420" w:firstLineChars="200"/>
    </w:pPr>
    <w:rPr>
      <w:rFonts w:ascii="Times New Roman" w:hAnsi="Times New Roman" w:eastAsia="宋体" w:cs="Times New Roman"/>
    </w:rPr>
  </w:style>
  <w:style w:type="paragraph" w:styleId="10">
    <w:name w:val="annotation text"/>
    <w:basedOn w:val="1"/>
    <w:link w:val="42"/>
    <w:autoRedefine/>
    <w:unhideWhenUsed/>
    <w:qFormat/>
    <w:uiPriority w:val="0"/>
    <w:pPr>
      <w:jc w:val="left"/>
    </w:pPr>
  </w:style>
  <w:style w:type="paragraph" w:styleId="11">
    <w:name w:val="Body Text"/>
    <w:basedOn w:val="1"/>
    <w:next w:val="12"/>
    <w:autoRedefine/>
    <w:qFormat/>
    <w:uiPriority w:val="99"/>
    <w:pPr>
      <w:widowControl/>
      <w:snapToGrid w:val="0"/>
      <w:spacing w:before="60" w:after="160" w:line="259" w:lineRule="auto"/>
      <w:ind w:right="113"/>
    </w:pPr>
    <w:rPr>
      <w:kern w:val="0"/>
      <w:sz w:val="18"/>
      <w:szCs w:val="20"/>
    </w:rPr>
  </w:style>
  <w:style w:type="paragraph" w:styleId="12">
    <w:name w:val="index 7"/>
    <w:basedOn w:val="1"/>
    <w:next w:val="1"/>
    <w:autoRedefine/>
    <w:unhideWhenUsed/>
    <w:qFormat/>
    <w:uiPriority w:val="0"/>
    <w:pPr>
      <w:spacing w:line="300" w:lineRule="auto"/>
      <w:ind w:left="1200" w:leftChars="1200"/>
    </w:pPr>
    <w:rPr>
      <w:rFonts w:ascii="Arial Narrow" w:hAnsi="Arial Narrow" w:eastAsia="仿宋_GB2312"/>
      <w:sz w:val="24"/>
    </w:rPr>
  </w:style>
  <w:style w:type="paragraph" w:styleId="13">
    <w:name w:val="Plain Text"/>
    <w:basedOn w:val="1"/>
    <w:link w:val="39"/>
    <w:autoRedefine/>
    <w:qFormat/>
    <w:uiPriority w:val="0"/>
    <w:rPr>
      <w:rFonts w:ascii="宋体" w:hAnsi="Courier New" w:eastAsia="宋体" w:cs="Times New Roman"/>
      <w:szCs w:val="20"/>
    </w:rPr>
  </w:style>
  <w:style w:type="paragraph" w:styleId="14">
    <w:name w:val="Balloon Text"/>
    <w:basedOn w:val="1"/>
    <w:link w:val="55"/>
    <w:autoRedefine/>
    <w:semiHidden/>
    <w:unhideWhenUsed/>
    <w:qFormat/>
    <w:uiPriority w:val="99"/>
    <w:rPr>
      <w:sz w:val="18"/>
      <w:szCs w:val="18"/>
    </w:rPr>
  </w:style>
  <w:style w:type="paragraph" w:styleId="15">
    <w:name w:val="footer"/>
    <w:basedOn w:val="1"/>
    <w:link w:val="32"/>
    <w:autoRedefine/>
    <w:unhideWhenUsed/>
    <w:qFormat/>
    <w:uiPriority w:val="99"/>
    <w:pPr>
      <w:tabs>
        <w:tab w:val="center" w:pos="4153"/>
        <w:tab w:val="right" w:pos="8306"/>
      </w:tabs>
      <w:snapToGrid w:val="0"/>
      <w:jc w:val="left"/>
    </w:pPr>
    <w:rPr>
      <w:sz w:val="18"/>
      <w:szCs w:val="18"/>
    </w:rPr>
  </w:style>
  <w:style w:type="paragraph" w:styleId="16">
    <w:name w:val="header"/>
    <w:basedOn w:val="1"/>
    <w:link w:val="3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Message Header"/>
    <w:basedOn w:val="1"/>
    <w:link w:val="68"/>
    <w:autoRedefine/>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18">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annotation subject"/>
    <w:basedOn w:val="10"/>
    <w:next w:val="10"/>
    <w:link w:val="43"/>
    <w:autoRedefine/>
    <w:semiHidden/>
    <w:unhideWhenUsed/>
    <w:qFormat/>
    <w:uiPriority w:val="99"/>
    <w:rPr>
      <w:b/>
      <w:bCs/>
    </w:rPr>
  </w:style>
  <w:style w:type="table" w:styleId="21">
    <w:name w:val="Table Grid"/>
    <w:basedOn w:val="2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0"/>
    <w:rPr>
      <w:b/>
    </w:rPr>
  </w:style>
  <w:style w:type="character" w:styleId="24">
    <w:name w:val="page number"/>
    <w:basedOn w:val="22"/>
    <w:autoRedefine/>
    <w:qFormat/>
    <w:uiPriority w:val="0"/>
  </w:style>
  <w:style w:type="character" w:styleId="25">
    <w:name w:val="FollowedHyperlink"/>
    <w:basedOn w:val="22"/>
    <w:autoRedefine/>
    <w:semiHidden/>
    <w:unhideWhenUsed/>
    <w:qFormat/>
    <w:uiPriority w:val="99"/>
    <w:rPr>
      <w:color w:val="800080"/>
      <w:u w:val="none"/>
    </w:rPr>
  </w:style>
  <w:style w:type="character" w:styleId="26">
    <w:name w:val="Emphasis"/>
    <w:basedOn w:val="22"/>
    <w:autoRedefine/>
    <w:qFormat/>
    <w:uiPriority w:val="20"/>
    <w:rPr>
      <w:i/>
      <w:iCs/>
    </w:rPr>
  </w:style>
  <w:style w:type="character" w:styleId="27">
    <w:name w:val="Hyperlink"/>
    <w:basedOn w:val="22"/>
    <w:autoRedefine/>
    <w:semiHidden/>
    <w:unhideWhenUsed/>
    <w:qFormat/>
    <w:uiPriority w:val="99"/>
    <w:rPr>
      <w:color w:val="0000FF"/>
      <w:u w:val="single"/>
    </w:rPr>
  </w:style>
  <w:style w:type="character" w:styleId="28">
    <w:name w:val="annotation reference"/>
    <w:basedOn w:val="22"/>
    <w:autoRedefine/>
    <w:semiHidden/>
    <w:unhideWhenUsed/>
    <w:qFormat/>
    <w:uiPriority w:val="0"/>
    <w:rPr>
      <w:sz w:val="21"/>
      <w:szCs w:val="21"/>
    </w:rPr>
  </w:style>
  <w:style w:type="paragraph" w:customStyle="1" w:styleId="29">
    <w:name w:val="Default"/>
    <w:basedOn w:val="30"/>
    <w:next w:val="8"/>
    <w:autoRedefine/>
    <w:qFormat/>
    <w:uiPriority w:val="0"/>
    <w:pPr>
      <w:widowControl w:val="0"/>
      <w:autoSpaceDE w:val="0"/>
      <w:autoSpaceDN w:val="0"/>
      <w:adjustRightInd w:val="0"/>
    </w:pPr>
    <w:rPr>
      <w:rFonts w:ascii="宋体..惡猀." w:eastAsia="宋体..惡猀." w:cs="宋体..惡猀." w:hAnsiTheme="minorHAnsi"/>
      <w:color w:val="000000"/>
      <w:sz w:val="24"/>
      <w:szCs w:val="24"/>
      <w:lang w:val="en-US" w:eastAsia="zh-CN" w:bidi="ar-SA"/>
    </w:rPr>
  </w:style>
  <w:style w:type="paragraph" w:customStyle="1" w:styleId="30">
    <w:name w:val="纯文本1"/>
    <w:basedOn w:val="1"/>
    <w:autoRedefine/>
    <w:qFormat/>
    <w:uiPriority w:val="99"/>
    <w:pPr>
      <w:autoSpaceDE w:val="0"/>
      <w:autoSpaceDN w:val="0"/>
      <w:adjustRightInd w:val="0"/>
      <w:textAlignment w:val="baseline"/>
    </w:pPr>
    <w:rPr>
      <w:rFonts w:ascii="宋体"/>
      <w:szCs w:val="20"/>
    </w:rPr>
  </w:style>
  <w:style w:type="character" w:customStyle="1" w:styleId="31">
    <w:name w:val="页眉 字符"/>
    <w:basedOn w:val="22"/>
    <w:link w:val="16"/>
    <w:autoRedefine/>
    <w:qFormat/>
    <w:uiPriority w:val="99"/>
    <w:rPr>
      <w:sz w:val="18"/>
      <w:szCs w:val="18"/>
    </w:rPr>
  </w:style>
  <w:style w:type="character" w:customStyle="1" w:styleId="32">
    <w:name w:val="页脚 字符"/>
    <w:basedOn w:val="22"/>
    <w:link w:val="15"/>
    <w:autoRedefine/>
    <w:qFormat/>
    <w:uiPriority w:val="99"/>
    <w:rPr>
      <w:sz w:val="18"/>
      <w:szCs w:val="18"/>
    </w:rPr>
  </w:style>
  <w:style w:type="character" w:customStyle="1" w:styleId="33">
    <w:name w:val="标题 1 字符"/>
    <w:basedOn w:val="22"/>
    <w:link w:val="3"/>
    <w:autoRedefine/>
    <w:qFormat/>
    <w:uiPriority w:val="9"/>
    <w:rPr>
      <w:b/>
      <w:bCs/>
      <w:kern w:val="44"/>
      <w:sz w:val="44"/>
      <w:szCs w:val="44"/>
    </w:rPr>
  </w:style>
  <w:style w:type="character" w:customStyle="1" w:styleId="34">
    <w:name w:val="标题 3 字符"/>
    <w:basedOn w:val="22"/>
    <w:link w:val="5"/>
    <w:autoRedefine/>
    <w:qFormat/>
    <w:uiPriority w:val="9"/>
    <w:rPr>
      <w:rFonts w:ascii="宋体" w:hAnsi="宋体" w:eastAsia="宋体" w:cs="宋体"/>
      <w:b/>
      <w:bCs/>
      <w:kern w:val="0"/>
      <w:sz w:val="27"/>
      <w:szCs w:val="27"/>
    </w:rPr>
  </w:style>
  <w:style w:type="character" w:customStyle="1" w:styleId="35">
    <w:name w:val="标题 4 字符"/>
    <w:basedOn w:val="22"/>
    <w:link w:val="6"/>
    <w:autoRedefine/>
    <w:semiHidden/>
    <w:qFormat/>
    <w:uiPriority w:val="9"/>
    <w:rPr>
      <w:rFonts w:asciiTheme="majorHAnsi" w:hAnsiTheme="majorHAnsi" w:eastAsiaTheme="majorEastAsia" w:cstheme="majorBidi"/>
      <w:b/>
      <w:bCs/>
      <w:sz w:val="28"/>
      <w:szCs w:val="28"/>
    </w:rPr>
  </w:style>
  <w:style w:type="paragraph" w:customStyle="1" w:styleId="36">
    <w:name w:val="表中文字"/>
    <w:basedOn w:val="1"/>
    <w:link w:val="37"/>
    <w:autoRedefine/>
    <w:qFormat/>
    <w:uiPriority w:val="0"/>
    <w:pPr>
      <w:adjustRightInd w:val="0"/>
      <w:snapToGrid w:val="0"/>
      <w:spacing w:line="400" w:lineRule="exact"/>
      <w:jc w:val="center"/>
    </w:pPr>
    <w:rPr>
      <w:rFonts w:ascii="Times New Roman" w:hAnsi="Times New Roman" w:eastAsia="宋体" w:cs="Times New Roman"/>
      <w:szCs w:val="24"/>
    </w:rPr>
  </w:style>
  <w:style w:type="character" w:customStyle="1" w:styleId="37">
    <w:name w:val="表中文字 Char"/>
    <w:link w:val="36"/>
    <w:autoRedefine/>
    <w:qFormat/>
    <w:uiPriority w:val="0"/>
    <w:rPr>
      <w:rFonts w:ascii="Times New Roman" w:hAnsi="Times New Roman" w:eastAsia="宋体" w:cs="Times New Roman"/>
      <w:szCs w:val="24"/>
    </w:rPr>
  </w:style>
  <w:style w:type="paragraph" w:customStyle="1" w:styleId="38">
    <w:name w:val="4小表"/>
    <w:basedOn w:val="1"/>
    <w:autoRedefine/>
    <w:qFormat/>
    <w:uiPriority w:val="0"/>
    <w:pPr>
      <w:adjustRightInd w:val="0"/>
      <w:snapToGrid w:val="0"/>
      <w:spacing w:line="320" w:lineRule="exact"/>
      <w:jc w:val="center"/>
    </w:pPr>
    <w:rPr>
      <w:rFonts w:ascii="Times New Roman" w:hAnsi="Times New Roman" w:eastAsia="宋体" w:cs="Times New Roman"/>
      <w:kern w:val="0"/>
      <w:sz w:val="22"/>
      <w:szCs w:val="21"/>
    </w:rPr>
  </w:style>
  <w:style w:type="character" w:customStyle="1" w:styleId="39">
    <w:name w:val="纯文本 字符"/>
    <w:basedOn w:val="22"/>
    <w:link w:val="13"/>
    <w:autoRedefine/>
    <w:qFormat/>
    <w:uiPriority w:val="0"/>
    <w:rPr>
      <w:rFonts w:ascii="宋体" w:hAnsi="Courier New" w:eastAsia="宋体" w:cs="Times New Roman"/>
      <w:szCs w:val="20"/>
    </w:rPr>
  </w:style>
  <w:style w:type="character" w:customStyle="1" w:styleId="40">
    <w:name w:val="表格文字 Char Char"/>
    <w:link w:val="41"/>
    <w:autoRedefine/>
    <w:qFormat/>
    <w:uiPriority w:val="0"/>
    <w:rPr>
      <w:szCs w:val="21"/>
    </w:rPr>
  </w:style>
  <w:style w:type="paragraph" w:customStyle="1" w:styleId="41">
    <w:name w:val="表格文字"/>
    <w:basedOn w:val="9"/>
    <w:link w:val="40"/>
    <w:autoRedefine/>
    <w:qFormat/>
    <w:uiPriority w:val="0"/>
    <w:pPr>
      <w:adjustRightInd w:val="0"/>
      <w:spacing w:line="360" w:lineRule="auto"/>
      <w:jc w:val="center"/>
      <w:textAlignment w:val="baseline"/>
    </w:pPr>
    <w:rPr>
      <w:szCs w:val="21"/>
    </w:rPr>
  </w:style>
  <w:style w:type="character" w:customStyle="1" w:styleId="42">
    <w:name w:val="批注文字 字符"/>
    <w:basedOn w:val="22"/>
    <w:link w:val="10"/>
    <w:autoRedefine/>
    <w:qFormat/>
    <w:uiPriority w:val="0"/>
  </w:style>
  <w:style w:type="character" w:customStyle="1" w:styleId="43">
    <w:name w:val="批注主题 字符"/>
    <w:basedOn w:val="42"/>
    <w:link w:val="19"/>
    <w:autoRedefine/>
    <w:semiHidden/>
    <w:qFormat/>
    <w:uiPriority w:val="99"/>
    <w:rPr>
      <w:b/>
      <w:bCs/>
    </w:rPr>
  </w:style>
  <w:style w:type="paragraph" w:customStyle="1" w:styleId="44">
    <w:name w:val="正文_4"/>
    <w:autoRedefine/>
    <w:qFormat/>
    <w:uiPriority w:val="0"/>
    <w:pPr>
      <w:widowControl w:val="0"/>
      <w:jc w:val="both"/>
    </w:pPr>
    <w:rPr>
      <w:rFonts w:ascii="Calibri" w:hAnsi="Calibri" w:eastAsia="宋体" w:cs="Times New Roman"/>
      <w:kern w:val="2"/>
      <w:sz w:val="21"/>
      <w:lang w:val="en-US" w:eastAsia="zh-CN" w:bidi="ar-SA"/>
    </w:rPr>
  </w:style>
  <w:style w:type="paragraph" w:customStyle="1" w:styleId="45">
    <w:name w:val="正文_6"/>
    <w:autoRedefine/>
    <w:qFormat/>
    <w:uiPriority w:val="0"/>
    <w:pPr>
      <w:widowControl w:val="0"/>
      <w:jc w:val="both"/>
    </w:pPr>
    <w:rPr>
      <w:rFonts w:ascii="Calibri" w:hAnsi="Calibri" w:eastAsia="宋体" w:cs="Times New Roman"/>
      <w:kern w:val="2"/>
      <w:sz w:val="21"/>
      <w:lang w:val="en-US" w:eastAsia="zh-CN" w:bidi="ar-SA"/>
    </w:rPr>
  </w:style>
  <w:style w:type="paragraph" w:customStyle="1" w:styleId="4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47">
    <w:name w:val="表格表格 Char"/>
    <w:link w:val="48"/>
    <w:autoRedefine/>
    <w:qFormat/>
    <w:uiPriority w:val="0"/>
    <w:rPr>
      <w:color w:val="000000"/>
      <w:szCs w:val="21"/>
    </w:rPr>
  </w:style>
  <w:style w:type="paragraph" w:customStyle="1" w:styleId="48">
    <w:name w:val="表格表格"/>
    <w:basedOn w:val="1"/>
    <w:link w:val="47"/>
    <w:autoRedefine/>
    <w:qFormat/>
    <w:uiPriority w:val="0"/>
    <w:pPr>
      <w:jc w:val="left"/>
    </w:pPr>
    <w:rPr>
      <w:color w:val="000000"/>
      <w:szCs w:val="21"/>
    </w:rPr>
  </w:style>
  <w:style w:type="character" w:customStyle="1" w:styleId="49">
    <w:name w:val="样式 表中文字 + Char Char"/>
    <w:link w:val="50"/>
    <w:autoRedefine/>
    <w:qFormat/>
    <w:uiPriority w:val="0"/>
    <w:rPr>
      <w:szCs w:val="21"/>
    </w:rPr>
  </w:style>
  <w:style w:type="paragraph" w:customStyle="1" w:styleId="50">
    <w:name w:val="样式 表中文字 +"/>
    <w:basedOn w:val="36"/>
    <w:link w:val="49"/>
    <w:autoRedefine/>
    <w:qFormat/>
    <w:uiPriority w:val="0"/>
    <w:rPr>
      <w:rFonts w:asciiTheme="minorHAnsi" w:hAnsiTheme="minorHAnsi" w:eastAsiaTheme="minorEastAsia" w:cstheme="minorBidi"/>
      <w:szCs w:val="21"/>
    </w:rPr>
  </w:style>
  <w:style w:type="paragraph" w:customStyle="1" w:styleId="51">
    <w:name w:val="正文(首行缩进)"/>
    <w:basedOn w:val="1"/>
    <w:link w:val="67"/>
    <w:autoRedefine/>
    <w:qFormat/>
    <w:uiPriority w:val="0"/>
    <w:pPr>
      <w:spacing w:line="360" w:lineRule="auto"/>
      <w:ind w:firstLine="510"/>
    </w:pPr>
    <w:rPr>
      <w:rFonts w:ascii="宋体" w:hAnsi="宋体" w:eastAsia="宋体" w:cs="Times New Roman"/>
      <w:snapToGrid w:val="0"/>
      <w:kern w:val="0"/>
      <w:sz w:val="24"/>
      <w:szCs w:val="24"/>
    </w:rPr>
  </w:style>
  <w:style w:type="paragraph" w:customStyle="1" w:styleId="52">
    <w:name w:val="正文_5"/>
    <w:autoRedefine/>
    <w:qFormat/>
    <w:uiPriority w:val="0"/>
    <w:pPr>
      <w:widowControl w:val="0"/>
      <w:jc w:val="both"/>
    </w:pPr>
    <w:rPr>
      <w:rFonts w:ascii="Calibri" w:hAnsi="Calibri" w:eastAsia="宋体" w:cs="Times New Roman"/>
      <w:kern w:val="2"/>
      <w:sz w:val="21"/>
      <w:lang w:val="en-US" w:eastAsia="zh-CN" w:bidi="ar-SA"/>
    </w:rPr>
  </w:style>
  <w:style w:type="paragraph" w:customStyle="1" w:styleId="53">
    <w:name w:val="正文_17"/>
    <w:autoRedefine/>
    <w:qFormat/>
    <w:uiPriority w:val="0"/>
    <w:pPr>
      <w:widowControl w:val="0"/>
      <w:jc w:val="both"/>
    </w:pPr>
    <w:rPr>
      <w:rFonts w:ascii="等线" w:hAnsi="等线" w:eastAsia="等线" w:cs="Times New Roman"/>
      <w:kern w:val="2"/>
      <w:sz w:val="21"/>
      <w:szCs w:val="22"/>
      <w:lang w:val="en-US" w:eastAsia="zh-CN" w:bidi="ar-SA"/>
    </w:rPr>
  </w:style>
  <w:style w:type="paragraph" w:customStyle="1" w:styleId="54">
    <w:name w:val="Char Char Char Char"/>
    <w:basedOn w:val="1"/>
    <w:autoRedefine/>
    <w:qFormat/>
    <w:uiPriority w:val="0"/>
    <w:rPr>
      <w:rFonts w:ascii="Times New Roman" w:hAnsi="Times New Roman" w:eastAsia="宋体" w:cs="Times New Roman"/>
      <w:szCs w:val="20"/>
    </w:rPr>
  </w:style>
  <w:style w:type="character" w:customStyle="1" w:styleId="55">
    <w:name w:val="批注框文本 字符"/>
    <w:basedOn w:val="22"/>
    <w:link w:val="14"/>
    <w:autoRedefine/>
    <w:semiHidden/>
    <w:qFormat/>
    <w:uiPriority w:val="99"/>
    <w:rPr>
      <w:sz w:val="18"/>
      <w:szCs w:val="18"/>
    </w:rPr>
  </w:style>
  <w:style w:type="paragraph" w:customStyle="1" w:styleId="56">
    <w:name w:val="Table Paragraph"/>
    <w:basedOn w:val="1"/>
    <w:autoRedefine/>
    <w:qFormat/>
    <w:uiPriority w:val="1"/>
    <w:pPr>
      <w:autoSpaceDE w:val="0"/>
      <w:autoSpaceDN w:val="0"/>
      <w:jc w:val="left"/>
    </w:pPr>
    <w:rPr>
      <w:rFonts w:ascii="仿宋" w:hAnsi="仿宋" w:eastAsia="仿宋" w:cs="仿宋"/>
      <w:kern w:val="0"/>
      <w:sz w:val="22"/>
      <w:lang w:val="zh-CN" w:bidi="zh-CN"/>
    </w:rPr>
  </w:style>
  <w:style w:type="paragraph" w:customStyle="1" w:styleId="57">
    <w:name w:val="Char Char Char Char Char Char Char Char Char Char Char Char Char Char Char1 Char Char Char Char Char Char Char Char Char Char Char Char Char Char Char Char"/>
    <w:basedOn w:val="1"/>
    <w:next w:val="2"/>
    <w:autoRedefine/>
    <w:semiHidden/>
    <w:qFormat/>
    <w:uiPriority w:val="0"/>
    <w:rPr>
      <w:rFonts w:ascii="宋体" w:hAnsi="Times New Roman" w:eastAsia="宋体" w:cs="Times New Roman"/>
      <w:snapToGrid w:val="0"/>
      <w:kern w:val="0"/>
      <w:sz w:val="26"/>
      <w:szCs w:val="24"/>
    </w:rPr>
  </w:style>
  <w:style w:type="character" w:customStyle="1" w:styleId="58">
    <w:name w:val="宏文本 字符"/>
    <w:basedOn w:val="22"/>
    <w:link w:val="2"/>
    <w:autoRedefine/>
    <w:semiHidden/>
    <w:qFormat/>
    <w:uiPriority w:val="99"/>
    <w:rPr>
      <w:rFonts w:ascii="Courier New" w:hAnsi="Courier New" w:eastAsia="宋体" w:cs="Courier New"/>
      <w:sz w:val="24"/>
      <w:szCs w:val="24"/>
    </w:rPr>
  </w:style>
  <w:style w:type="paragraph" w:styleId="59">
    <w:name w:val="No Spacing"/>
    <w:next w:val="1"/>
    <w:autoRedefine/>
    <w:qFormat/>
    <w:uiPriority w:val="1"/>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60">
    <w:name w:val="4"/>
    <w:basedOn w:val="1"/>
    <w:next w:val="9"/>
    <w:autoRedefine/>
    <w:qFormat/>
    <w:uiPriority w:val="0"/>
    <w:pPr>
      <w:adjustRightInd w:val="0"/>
      <w:snapToGrid w:val="0"/>
      <w:spacing w:line="360" w:lineRule="auto"/>
      <w:ind w:firstLine="480" w:firstLineChars="200"/>
      <w:textAlignment w:val="baseline"/>
    </w:pPr>
    <w:rPr>
      <w:rFonts w:ascii="Calibri" w:hAnsi="Calibri" w:eastAsia="仿宋_GB2312" w:cs="Times New Roman"/>
      <w:sz w:val="24"/>
      <w:szCs w:val="28"/>
    </w:rPr>
  </w:style>
  <w:style w:type="character" w:customStyle="1" w:styleId="61">
    <w:name w:val="表文字居中 Char Char"/>
    <w:link w:val="62"/>
    <w:autoRedefine/>
    <w:qFormat/>
    <w:uiPriority w:val="0"/>
    <w:rPr>
      <w:rFonts w:ascii="宋体" w:eastAsia="宋体"/>
      <w:snapToGrid w:val="0"/>
      <w:szCs w:val="24"/>
    </w:rPr>
  </w:style>
  <w:style w:type="paragraph" w:customStyle="1" w:styleId="62">
    <w:name w:val="表文字居中"/>
    <w:basedOn w:val="6"/>
    <w:next w:val="1"/>
    <w:link w:val="61"/>
    <w:autoRedefine/>
    <w:qFormat/>
    <w:uiPriority w:val="0"/>
    <w:pPr>
      <w:keepNext w:val="0"/>
      <w:keepLines w:val="0"/>
      <w:adjustRightInd w:val="0"/>
      <w:snapToGrid w:val="0"/>
      <w:spacing w:before="0" w:after="0" w:line="240" w:lineRule="auto"/>
      <w:jc w:val="center"/>
    </w:pPr>
    <w:rPr>
      <w:rFonts w:ascii="宋体" w:eastAsia="宋体" w:hAnsiTheme="minorHAnsi" w:cstheme="minorBidi"/>
      <w:b w:val="0"/>
      <w:bCs w:val="0"/>
      <w:snapToGrid w:val="0"/>
      <w:sz w:val="21"/>
      <w:szCs w:val="24"/>
    </w:rPr>
  </w:style>
  <w:style w:type="character" w:customStyle="1" w:styleId="63">
    <w:name w:val="0表格标题0 Char"/>
    <w:link w:val="64"/>
    <w:autoRedefine/>
    <w:qFormat/>
    <w:uiPriority w:val="0"/>
    <w:rPr>
      <w:rFonts w:eastAsia="黑体"/>
      <w:szCs w:val="21"/>
    </w:rPr>
  </w:style>
  <w:style w:type="paragraph" w:customStyle="1" w:styleId="64">
    <w:name w:val="0表格标题0"/>
    <w:basedOn w:val="1"/>
    <w:link w:val="63"/>
    <w:autoRedefine/>
    <w:qFormat/>
    <w:uiPriority w:val="0"/>
    <w:pPr>
      <w:widowControl/>
      <w:adjustRightInd w:val="0"/>
      <w:snapToGrid w:val="0"/>
      <w:ind w:firstLine="420" w:firstLineChars="200"/>
      <w:jc w:val="center"/>
    </w:pPr>
    <w:rPr>
      <w:rFonts w:eastAsia="黑体"/>
      <w:szCs w:val="21"/>
    </w:rPr>
  </w:style>
  <w:style w:type="paragraph" w:styleId="65">
    <w:name w:val="List Paragraph"/>
    <w:basedOn w:val="1"/>
    <w:autoRedefine/>
    <w:qFormat/>
    <w:uiPriority w:val="34"/>
    <w:pPr>
      <w:ind w:firstLine="420" w:firstLineChars="200"/>
    </w:pPr>
  </w:style>
  <w:style w:type="paragraph" w:customStyle="1" w:styleId="66">
    <w:name w:val="备注"/>
    <w:basedOn w:val="1"/>
    <w:autoRedefine/>
    <w:qFormat/>
    <w:uiPriority w:val="0"/>
    <w:pPr>
      <w:widowControl/>
      <w:jc w:val="left"/>
      <w:outlineLvl w:val="0"/>
    </w:pPr>
    <w:rPr>
      <w:rFonts w:ascii="Times New Roman" w:hAnsi="Times New Roman" w:eastAsia="宋体" w:cs="Times New Roman"/>
      <w:kern w:val="0"/>
      <w:sz w:val="18"/>
      <w:szCs w:val="24"/>
    </w:rPr>
  </w:style>
  <w:style w:type="character" w:customStyle="1" w:styleId="67">
    <w:name w:val="正文(首行缩进) Char"/>
    <w:link w:val="51"/>
    <w:autoRedefine/>
    <w:qFormat/>
    <w:locked/>
    <w:uiPriority w:val="0"/>
    <w:rPr>
      <w:rFonts w:ascii="宋体" w:hAnsi="宋体" w:eastAsia="宋体" w:cs="Times New Roman"/>
      <w:snapToGrid w:val="0"/>
      <w:kern w:val="0"/>
      <w:sz w:val="24"/>
      <w:szCs w:val="24"/>
    </w:rPr>
  </w:style>
  <w:style w:type="character" w:customStyle="1" w:styleId="68">
    <w:name w:val="信息标题 字符"/>
    <w:basedOn w:val="22"/>
    <w:link w:val="17"/>
    <w:autoRedefine/>
    <w:qFormat/>
    <w:uiPriority w:val="99"/>
    <w:rPr>
      <w:rFonts w:ascii="Cambria" w:hAnsi="Cambria" w:eastAsia="宋体" w:cs="Times New Roman"/>
      <w:sz w:val="24"/>
      <w:szCs w:val="24"/>
      <w:shd w:val="pct20" w:color="auto" w:fill="auto"/>
    </w:rPr>
  </w:style>
  <w:style w:type="paragraph" w:customStyle="1" w:styleId="69">
    <w:name w:val="Revision"/>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0">
    <w:name w:val="正文11111"/>
    <w:basedOn w:val="1"/>
    <w:autoRedefine/>
    <w:qFormat/>
    <w:uiPriority w:val="0"/>
    <w:pPr>
      <w:adjustRightInd w:val="0"/>
      <w:snapToGrid w:val="0"/>
      <w:spacing w:line="360" w:lineRule="auto"/>
      <w:ind w:firstLine="200" w:firstLineChars="200"/>
    </w:pPr>
    <w:rPr>
      <w:rFonts w:ascii="Times New Roman" w:hAnsi="Times New Roman" w:eastAsia="宋体" w:cs="Times New Roman"/>
      <w:kern w:val="0"/>
      <w:szCs w:val="24"/>
    </w:rPr>
  </w:style>
  <w:style w:type="paragraph" w:customStyle="1" w:styleId="71">
    <w:name w:val="表头"/>
    <w:link w:val="72"/>
    <w:autoRedefine/>
    <w:qFormat/>
    <w:uiPriority w:val="0"/>
    <w:pPr>
      <w:jc w:val="center"/>
    </w:pPr>
    <w:rPr>
      <w:rFonts w:ascii="Times New Roman" w:hAnsi="Times New Roman" w:eastAsia="黑体" w:cs="Times New Roman"/>
      <w:kern w:val="2"/>
      <w:sz w:val="21"/>
      <w:szCs w:val="24"/>
      <w:lang w:val="en-US" w:eastAsia="zh-CN" w:bidi="ar-SA"/>
    </w:rPr>
  </w:style>
  <w:style w:type="character" w:customStyle="1" w:styleId="72">
    <w:name w:val="表头 Char"/>
    <w:link w:val="71"/>
    <w:autoRedefine/>
    <w:qFormat/>
    <w:uiPriority w:val="0"/>
    <w:rPr>
      <w:rFonts w:ascii="Times New Roman" w:hAnsi="Times New Roman" w:eastAsia="黑体" w:cs="Times New Roman"/>
      <w:kern w:val="2"/>
      <w:sz w:val="21"/>
      <w:szCs w:val="24"/>
    </w:rPr>
  </w:style>
  <w:style w:type="character" w:customStyle="1" w:styleId="73">
    <w:name w:val="表格 Char"/>
    <w:link w:val="74"/>
    <w:autoRedefine/>
    <w:qFormat/>
    <w:locked/>
    <w:uiPriority w:val="0"/>
    <w:rPr>
      <w:rFonts w:ascii="宋体"/>
      <w:sz w:val="21"/>
    </w:rPr>
  </w:style>
  <w:style w:type="paragraph" w:customStyle="1" w:styleId="74">
    <w:name w:val="表格"/>
    <w:basedOn w:val="1"/>
    <w:next w:val="1"/>
    <w:link w:val="73"/>
    <w:autoRedefine/>
    <w:qFormat/>
    <w:uiPriority w:val="0"/>
    <w:pPr>
      <w:adjustRightInd w:val="0"/>
      <w:snapToGrid w:val="0"/>
      <w:spacing w:beforeLines="10" w:afterLines="10" w:line="259" w:lineRule="auto"/>
      <w:jc w:val="center"/>
    </w:pPr>
    <w:rPr>
      <w:rFonts w:ascii="宋体"/>
      <w:kern w:val="0"/>
      <w:szCs w:val="20"/>
    </w:rPr>
  </w:style>
  <w:style w:type="paragraph" w:customStyle="1" w:styleId="75">
    <w:name w:val="0表格"/>
    <w:basedOn w:val="1"/>
    <w:autoRedefine/>
    <w:qFormat/>
    <w:uiPriority w:val="0"/>
    <w:pPr>
      <w:adjustRightInd w:val="0"/>
      <w:snapToGrid w:val="0"/>
      <w:jc w:val="center"/>
    </w:pPr>
    <w:rPr>
      <w:rFonts w:ascii="Times New Roman" w:hAnsi="Times New Roman" w:eastAsia="宋体" w:cs="Times New Roman"/>
      <w:kern w:val="0"/>
      <w:szCs w:val="21"/>
    </w:rPr>
  </w:style>
  <w:style w:type="character" w:customStyle="1" w:styleId="76">
    <w:name w:val="_表头 字符"/>
    <w:link w:val="77"/>
    <w:autoRedefine/>
    <w:qFormat/>
    <w:uiPriority w:val="0"/>
    <w:rPr>
      <w:sz w:val="24"/>
      <w:szCs w:val="24"/>
      <w:lang w:val="zh-CN" w:eastAsia="zh-CN"/>
    </w:rPr>
  </w:style>
  <w:style w:type="paragraph" w:customStyle="1" w:styleId="77">
    <w:name w:val="_表头"/>
    <w:basedOn w:val="1"/>
    <w:next w:val="65"/>
    <w:link w:val="76"/>
    <w:autoRedefine/>
    <w:qFormat/>
    <w:uiPriority w:val="0"/>
    <w:pPr>
      <w:spacing w:line="460" w:lineRule="exact"/>
      <w:jc w:val="center"/>
    </w:pPr>
    <w:rPr>
      <w:kern w:val="0"/>
      <w:sz w:val="24"/>
      <w:szCs w:val="24"/>
      <w:lang w:val="zh-CN" w:eastAsia="zh-CN"/>
    </w:rPr>
  </w:style>
  <w:style w:type="paragraph" w:customStyle="1" w:styleId="78">
    <w:name w:val="_Style 2"/>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79">
    <w:name w:val="表格体"/>
    <w:basedOn w:val="59"/>
    <w:autoRedefine/>
    <w:qFormat/>
    <w:uiPriority w:val="0"/>
    <w:pPr>
      <w:spacing w:line="240" w:lineRule="auto"/>
      <w:ind w:firstLine="0" w:firstLineChars="0"/>
      <w:jc w:val="center"/>
    </w:pPr>
    <w:rPr>
      <w:sz w:val="21"/>
      <w:szCs w:val="18"/>
    </w:rPr>
  </w:style>
  <w:style w:type="paragraph" w:customStyle="1" w:styleId="80">
    <w:name w:val="表头11"/>
    <w:basedOn w:val="1"/>
    <w:autoRedefine/>
    <w:qFormat/>
    <w:uiPriority w:val="0"/>
    <w:pPr>
      <w:adjustRightInd w:val="0"/>
      <w:snapToGrid w:val="0"/>
      <w:spacing w:beforeLines="30" w:line="460" w:lineRule="exact"/>
      <w:ind w:firstLine="0" w:firstLineChars="0"/>
      <w:jc w:val="center"/>
    </w:pPr>
    <w:rPr>
      <w:rFonts w:eastAsia="宋体" w:cs="Times New Roman"/>
      <w:b/>
      <w:snapToGrid w:val="0"/>
      <w:kern w:val="0"/>
      <w:szCs w:val="24"/>
    </w:rPr>
  </w:style>
  <w:style w:type="paragraph" w:customStyle="1" w:styleId="81">
    <w:name w:val="表内字体111"/>
    <w:basedOn w:val="1"/>
    <w:autoRedefine/>
    <w:qFormat/>
    <w:uiPriority w:val="0"/>
    <w:pPr>
      <w:adjustRightInd w:val="0"/>
      <w:snapToGrid w:val="0"/>
      <w:spacing w:beforeLines="0" w:afterLines="0" w:line="240" w:lineRule="auto"/>
      <w:ind w:firstLine="0" w:firstLineChars="0"/>
      <w:jc w:val="center"/>
    </w:pPr>
    <w:rPr>
      <w:rFonts w:eastAsia="宋体" w:cs="Times New Roman"/>
      <w:snapToGrid w:val="0"/>
      <w:kern w:val="0"/>
      <w:sz w:val="21"/>
      <w:szCs w:val="24"/>
    </w:rPr>
  </w:style>
  <w:style w:type="paragraph" w:customStyle="1" w:styleId="82">
    <w:name w:val="标题4"/>
    <w:basedOn w:val="1"/>
    <w:autoRedefine/>
    <w:qFormat/>
    <w:uiPriority w:val="0"/>
    <w:pPr>
      <w:spacing w:beforeLines="50"/>
      <w:ind w:firstLine="0" w:firstLineChars="0"/>
      <w:jc w:val="left"/>
      <w:outlineLvl w:val="3"/>
    </w:pPr>
    <w:rPr>
      <w:rFonts w:eastAsia="宋体"/>
      <w:b/>
    </w:rPr>
  </w:style>
  <w:style w:type="paragraph" w:customStyle="1" w:styleId="83">
    <w:name w:val="文本11"/>
    <w:basedOn w:val="1"/>
    <w:autoRedefine/>
    <w:qFormat/>
    <w:uiPriority w:val="0"/>
    <w:pPr>
      <w:spacing w:beforeLines="0" w:afterLines="0"/>
    </w:pPr>
    <w:rPr>
      <w:rFonts w:eastAsia="宋体" w:cs="Times New Roman"/>
      <w:color w:val="000000"/>
      <w:szCs w:val="24"/>
    </w:rPr>
  </w:style>
  <w:style w:type="paragraph" w:customStyle="1" w:styleId="84">
    <w:name w:val="BGZW"/>
    <w:autoRedefine/>
    <w:qFormat/>
    <w:uiPriority w:val="0"/>
    <w:pPr>
      <w:widowControl w:val="0"/>
      <w:spacing w:line="360" w:lineRule="auto"/>
      <w:ind w:firstLine="480" w:firstLineChars="200"/>
      <w:jc w:val="both"/>
    </w:pPr>
    <w:rPr>
      <w:rFonts w:ascii="Times New Roman" w:hAnsi="Times New Roman" w:eastAsia="宋体" w:cs="宋体"/>
      <w:snapToGrid w:val="0"/>
      <w:sz w:val="24"/>
      <w:lang w:val="en-US" w:eastAsia="zh-CN" w:bidi="ar-SA"/>
    </w:rPr>
  </w:style>
  <w:style w:type="paragraph" w:customStyle="1" w:styleId="85">
    <w:name w:val="02-表格"/>
    <w:basedOn w:val="1"/>
    <w:autoRedefine/>
    <w:qFormat/>
    <w:uiPriority w:val="0"/>
    <w:pPr>
      <w:spacing w:line="0" w:lineRule="atLeast"/>
      <w:ind w:firstLine="0" w:firstLineChars="0"/>
      <w:jc w:val="center"/>
    </w:pPr>
    <w:rPr>
      <w:rFonts w:ascii="宋体" w:hAnsi="Times"/>
      <w:sz w:val="21"/>
    </w:rPr>
  </w:style>
  <w:style w:type="paragraph" w:customStyle="1" w:styleId="86">
    <w:name w:val="嵌套表格文字"/>
    <w:basedOn w:val="1"/>
    <w:next w:val="1"/>
    <w:autoRedefine/>
    <w:qFormat/>
    <w:uiPriority w:val="0"/>
    <w:pPr>
      <w:snapToGrid/>
      <w:spacing w:line="400" w:lineRule="exact"/>
      <w:jc w:val="center"/>
    </w:pPr>
    <w:rPr>
      <w:sz w:val="21"/>
      <w:szCs w:val="21"/>
    </w:rPr>
  </w:style>
  <w:style w:type="paragraph" w:customStyle="1" w:styleId="87">
    <w:name w:val="报告表 表中文字"/>
    <w:basedOn w:val="1"/>
    <w:autoRedefine/>
    <w:qFormat/>
    <w:uiPriority w:val="0"/>
    <w:pPr>
      <w:adjustRightInd w:val="0"/>
      <w:snapToGrid w:val="0"/>
      <w:jc w:val="center"/>
    </w:pPr>
    <w:rPr>
      <w:rFonts w:eastAsia="Times New Roman"/>
    </w:rPr>
  </w:style>
  <w:style w:type="character" w:customStyle="1" w:styleId="88">
    <w:name w:val="font41"/>
    <w:basedOn w:val="22"/>
    <w:autoRedefine/>
    <w:qFormat/>
    <w:uiPriority w:val="0"/>
    <w:rPr>
      <w:rFonts w:hint="eastAsia" w:ascii="宋体" w:hAnsi="宋体" w:eastAsia="宋体" w:cs="宋体"/>
      <w:color w:val="000000"/>
      <w:sz w:val="21"/>
      <w:szCs w:val="21"/>
      <w:u w:val="none"/>
    </w:rPr>
  </w:style>
  <w:style w:type="paragraph" w:customStyle="1" w:styleId="89">
    <w:name w:val="报告表 表名、表头、图名"/>
    <w:basedOn w:val="1"/>
    <w:autoRedefine/>
    <w:qFormat/>
    <w:uiPriority w:val="0"/>
    <w:pPr>
      <w:adjustRightInd w:val="0"/>
      <w:snapToGrid w:val="0"/>
      <w:jc w:val="center"/>
    </w:pPr>
    <w:rPr>
      <w:rFonts w:eastAsia="Times New Roman"/>
      <w:b/>
      <w:szCs w:val="21"/>
    </w:rPr>
  </w:style>
  <w:style w:type="paragraph" w:customStyle="1" w:styleId="90">
    <w:name w:val="正 文"/>
    <w:basedOn w:val="1"/>
    <w:autoRedefine/>
    <w:qFormat/>
    <w:uiPriority w:val="0"/>
    <w:pPr>
      <w:adjustRightInd w:val="0"/>
      <w:snapToGrid w:val="0"/>
      <w:spacing w:line="480" w:lineRule="exact"/>
      <w:ind w:firstLine="200" w:firstLineChars="200"/>
    </w:pPr>
    <w:rPr>
      <w:kern w:val="0"/>
      <w:sz w:val="24"/>
      <w:szCs w:val="20"/>
    </w:rPr>
  </w:style>
  <w:style w:type="paragraph" w:customStyle="1" w:styleId="91">
    <w:name w:val="样式69"/>
    <w:basedOn w:val="1"/>
    <w:autoRedefine/>
    <w:qFormat/>
    <w:uiPriority w:val="0"/>
    <w:pPr>
      <w:autoSpaceDE w:val="0"/>
      <w:autoSpaceDN w:val="0"/>
      <w:adjustRightInd w:val="0"/>
      <w:spacing w:before="120" w:beforeLines="50" w:after="120" w:afterLines="50" w:line="360" w:lineRule="auto"/>
      <w:ind w:firstLine="480"/>
    </w:pPr>
    <w:rPr>
      <w:rFonts w:ascii="Times New Roman" w:hAnsi="Times New Roman"/>
      <w:snapToGrid/>
      <w:color w:val="000000"/>
      <w:szCs w:val="24"/>
      <w:lang w:val="zh-CN"/>
    </w:rPr>
  </w:style>
  <w:style w:type="paragraph" w:customStyle="1" w:styleId="92">
    <w:name w:val="小四  居中 加粗"/>
    <w:basedOn w:val="1"/>
    <w:next w:val="1"/>
    <w:autoRedefine/>
    <w:qFormat/>
    <w:uiPriority w:val="0"/>
    <w:pPr>
      <w:spacing w:before="20" w:beforeLines="20" w:after="20" w:afterLines="20" w:line="288" w:lineRule="auto"/>
      <w:ind w:left="105" w:leftChars="50" w:right="105" w:rightChars="50"/>
      <w:jc w:val="center"/>
    </w:pPr>
    <w:rPr>
      <w:b/>
      <w:sz w:val="24"/>
    </w:rPr>
  </w:style>
  <w:style w:type="paragraph" w:customStyle="1" w:styleId="93">
    <w:name w:val="样式 样式 样式 四号 左侧:  1.53 厘米 + 首行缩进:  2 字符 + 居中 左侧:  2 字符 首行缩进:  2..."/>
    <w:basedOn w:val="94"/>
    <w:autoRedefine/>
    <w:qFormat/>
    <w:uiPriority w:val="0"/>
    <w:pPr>
      <w:jc w:val="center"/>
    </w:pPr>
  </w:style>
  <w:style w:type="paragraph" w:customStyle="1" w:styleId="94">
    <w:name w:val="样式 样式 四号 左侧:  1.53 厘米 + 首行缩进:  2 字符"/>
    <w:basedOn w:val="95"/>
    <w:autoRedefine/>
    <w:qFormat/>
    <w:uiPriority w:val="0"/>
    <w:pPr>
      <w:ind w:left="200" w:leftChars="200"/>
    </w:pPr>
    <w:rPr>
      <w:szCs w:val="20"/>
    </w:rPr>
  </w:style>
  <w:style w:type="paragraph" w:customStyle="1" w:styleId="95">
    <w:name w:val="样式 四号 左侧:  1.53 厘米"/>
    <w:basedOn w:val="1"/>
    <w:autoRedefine/>
    <w:qFormat/>
    <w:uiPriority w:val="0"/>
    <w:pPr>
      <w:adjustRightInd w:val="0"/>
    </w:pPr>
    <w:rPr>
      <w:w w:val="90"/>
      <w:sz w:val="28"/>
      <w:szCs w:val="28"/>
    </w:rPr>
  </w:style>
  <w:style w:type="character" w:customStyle="1" w:styleId="96">
    <w:name w:val="font11"/>
    <w:basedOn w:val="22"/>
    <w:autoRedefine/>
    <w:qFormat/>
    <w:uiPriority w:val="0"/>
    <w:rPr>
      <w:rFonts w:hint="eastAsia" w:ascii="宋体" w:hAnsi="宋体" w:eastAsia="宋体" w:cs="宋体"/>
      <w:color w:val="000000"/>
      <w:sz w:val="21"/>
      <w:szCs w:val="21"/>
      <w:u w:val="none"/>
    </w:rPr>
  </w:style>
  <w:style w:type="paragraph" w:customStyle="1" w:styleId="97">
    <w:name w:val="小表格"/>
    <w:basedOn w:val="1"/>
    <w:autoRedefine/>
    <w:qFormat/>
    <w:uiPriority w:val="0"/>
    <w:pPr>
      <w:spacing w:line="320" w:lineRule="exact"/>
      <w:ind w:firstLine="0" w:firstLineChars="0"/>
      <w:jc w:val="center"/>
    </w:pPr>
    <w:rPr>
      <w:sz w:val="21"/>
    </w:rPr>
  </w:style>
  <w:style w:type="character" w:customStyle="1" w:styleId="98">
    <w:name w:val="font21"/>
    <w:basedOn w:val="22"/>
    <w:autoRedefine/>
    <w:qFormat/>
    <w:uiPriority w:val="0"/>
    <w:rPr>
      <w:rFonts w:hint="default" w:ascii="Times New Roman" w:hAnsi="Times New Roman" w:cs="Times New Roman"/>
      <w:color w:val="000000"/>
      <w:sz w:val="21"/>
      <w:szCs w:val="21"/>
      <w:u w:val="none"/>
    </w:rPr>
  </w:style>
  <w:style w:type="character" w:customStyle="1" w:styleId="99">
    <w:name w:val="font31"/>
    <w:basedOn w:val="22"/>
    <w:autoRedefine/>
    <w:qFormat/>
    <w:uiPriority w:val="0"/>
    <w:rPr>
      <w:rFonts w:hint="default" w:ascii="Times New Roman" w:hAnsi="Times New Roman" w:cs="Times New Roman"/>
      <w:color w:val="000000"/>
      <w:sz w:val="21"/>
      <w:szCs w:val="21"/>
      <w:u w:val="none"/>
    </w:rPr>
  </w:style>
  <w:style w:type="character" w:customStyle="1" w:styleId="100">
    <w:name w:val="disabled"/>
    <w:basedOn w:val="22"/>
    <w:autoRedefine/>
    <w:qFormat/>
    <w:uiPriority w:val="0"/>
    <w:rPr>
      <w:vanish/>
    </w:rPr>
  </w:style>
  <w:style w:type="character" w:customStyle="1" w:styleId="101">
    <w:name w:val="znspantitle"/>
    <w:basedOn w:val="22"/>
    <w:autoRedefine/>
    <w:qFormat/>
    <w:uiPriority w:val="0"/>
    <w:rPr>
      <w:b/>
      <w:bCs/>
      <w:color w:val="333333"/>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oleObject" Target="embeddings/oleObject7.bin"/><Relationship Id="rId24" Type="http://schemas.openxmlformats.org/officeDocument/2006/relationships/image" Target="media/image13.png"/><Relationship Id="rId23" Type="http://schemas.openxmlformats.org/officeDocument/2006/relationships/image" Target="media/image12.wmf"/><Relationship Id="rId22" Type="http://schemas.openxmlformats.org/officeDocument/2006/relationships/oleObject" Target="embeddings/oleObject6.bin"/><Relationship Id="rId21" Type="http://schemas.openxmlformats.org/officeDocument/2006/relationships/image" Target="media/image11.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4.bin"/><Relationship Id="rId17" Type="http://schemas.openxmlformats.org/officeDocument/2006/relationships/image" Target="media/image9.emf"/><Relationship Id="rId16" Type="http://schemas.openxmlformats.org/officeDocument/2006/relationships/oleObject" Target="embeddings/oleObject3.bin"/><Relationship Id="rId15" Type="http://schemas.openxmlformats.org/officeDocument/2006/relationships/image" Target="media/image8.emf"/><Relationship Id="rId14" Type="http://schemas.openxmlformats.org/officeDocument/2006/relationships/oleObject" Target="embeddings/oleObject2.bin"/><Relationship Id="rId13" Type="http://schemas.openxmlformats.org/officeDocument/2006/relationships/image" Target="media/image7.emf"/><Relationship Id="rId12" Type="http://schemas.openxmlformats.org/officeDocument/2006/relationships/oleObject" Target="embeddings/oleObject1.bin"/><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78</Pages>
  <Words>45927</Words>
  <Characters>54008</Characters>
  <Lines>587</Lines>
  <Paragraphs>165</Paragraphs>
  <TotalTime>7</TotalTime>
  <ScaleCrop>false</ScaleCrop>
  <LinksUpToDate>false</LinksUpToDate>
  <CharactersWithSpaces>54652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2022-01-15T06:07:00Z</dcterms:created>
  <dc:creator>xb21cn</dc:creator>
  <cp:lastModifiedBy>Pikachu</cp:lastModifiedBy>
  <cp:lastPrinted>2022-01-21T03:38:00Z</cp:lastPrinted>
  <dcterms:modified xsi:type="dcterms:W3CDTF">2024-05-07T07:27:06Z</dcterms:modified>
  <cp:revision>3080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B3F5453E455D4CAD814380E2DC9EBC70</vt:lpwstr>
  </property>
</Properties>
</file>