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0"/>
        <w:jc w:val="center"/>
        <w:outlineLvl w:val="0"/>
        <w:rPr>
          <w:rFonts w:ascii="Times New Roman" w:hAnsi="Times New Roman" w:eastAsia="黑体"/>
          <w:snapToGrid w:val="0"/>
          <w:sz w:val="30"/>
          <w:szCs w:val="30"/>
        </w:rPr>
        <w:sectPr>
          <w:footerReference r:id="rId5" w:type="default"/>
          <w:pgSz w:w="11906" w:h="16838"/>
          <w:pgMar w:top="1701" w:right="1531" w:bottom="1701" w:left="1531" w:header="851" w:footer="1077" w:gutter="0"/>
          <w:cols w:space="720" w:num="1"/>
          <w:docGrid w:linePitch="312" w:charSpace="0"/>
        </w:sectPr>
      </w:pPr>
      <w:r>
        <w:rPr>
          <w:rFonts w:ascii="Times New Roman" w:hAnsi="Times New Roman" w:eastAsia="黑体"/>
          <w:snapToGrid w:val="0"/>
          <w:sz w:val="30"/>
          <w:szCs w:val="30"/>
        </w:rPr>
        <w:drawing>
          <wp:inline distT="0" distB="0" distL="0" distR="0">
            <wp:extent cx="5513705" cy="8531860"/>
            <wp:effectExtent l="0" t="0" r="0" b="2540"/>
            <wp:docPr id="1339399147"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39399147" name="图片 1"/>
                    <pic:cNvPicPr>
                      <a:picLocks noChangeAspect="true" noChangeArrowheads="true"/>
                    </pic:cNvPicPr>
                  </pic:nvPicPr>
                  <pic:blipFill>
                    <a:blip r:embed="rId14" cstate="print">
                      <a:extLst>
                        <a:ext uri="{28A0092B-C50C-407E-A947-70E740481C1C}">
                          <a14:useLocalDpi xmlns:a14="http://schemas.microsoft.com/office/drawing/2010/main" val="false"/>
                        </a:ext>
                      </a:extLst>
                    </a:blip>
                    <a:srcRect/>
                    <a:stretch>
                      <a:fillRect/>
                    </a:stretch>
                  </pic:blipFill>
                  <pic:spPr>
                    <a:xfrm>
                      <a:off x="0" y="0"/>
                      <a:ext cx="5513705" cy="8531860"/>
                    </a:xfrm>
                    <a:prstGeom prst="rect">
                      <a:avLst/>
                    </a:prstGeom>
                    <a:noFill/>
                    <a:ln>
                      <a:noFill/>
                    </a:ln>
                  </pic:spPr>
                </pic:pic>
              </a:graphicData>
            </a:graphic>
          </wp:inline>
        </w:drawing>
      </w:r>
    </w:p>
    <w:p>
      <w:pPr>
        <w:pStyle w:val="20"/>
        <w:jc w:val="center"/>
        <w:outlineLvl w:val="0"/>
        <w:rPr>
          <w:rFonts w:ascii="Times New Roman" w:hAnsi="Times New Roman" w:eastAsia="黑体"/>
          <w:snapToGrid w:val="0"/>
          <w:sz w:val="30"/>
          <w:szCs w:val="30"/>
        </w:rPr>
        <w:sectPr>
          <w:footerReference r:id="rId6" w:type="default"/>
          <w:pgSz w:w="11906" w:h="16838"/>
          <w:pgMar w:top="1701" w:right="1531" w:bottom="1701" w:left="1531" w:header="851" w:footer="1077" w:gutter="0"/>
          <w:cols w:space="720" w:num="1"/>
          <w:docGrid w:linePitch="312" w:charSpace="0"/>
        </w:sectPr>
      </w:pPr>
      <w:r>
        <w:rPr>
          <w:rFonts w:ascii="Times New Roman" w:hAnsi="Times New Roman" w:eastAsia="黑体"/>
          <w:snapToGrid w:val="0"/>
          <w:sz w:val="30"/>
          <w:szCs w:val="30"/>
        </w:rPr>
        <w:drawing>
          <wp:inline distT="0" distB="0" distL="0" distR="0">
            <wp:extent cx="5615940" cy="8284210"/>
            <wp:effectExtent l="0" t="0" r="3810" b="2540"/>
            <wp:docPr id="1946288509"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46288509" name="图片 2"/>
                    <pic:cNvPicPr>
                      <a:picLocks noChangeAspect="true" noChangeArrowheads="true"/>
                    </pic:cNvPicPr>
                  </pic:nvPicPr>
                  <pic:blipFill>
                    <a:blip r:embed="rId15" cstate="print">
                      <a:extLst>
                        <a:ext uri="{28A0092B-C50C-407E-A947-70E740481C1C}">
                          <a14:useLocalDpi xmlns:a14="http://schemas.microsoft.com/office/drawing/2010/main" val="false"/>
                        </a:ext>
                      </a:extLst>
                    </a:blip>
                    <a:srcRect/>
                    <a:stretch>
                      <a:fillRect/>
                    </a:stretch>
                  </pic:blipFill>
                  <pic:spPr>
                    <a:xfrm>
                      <a:off x="0" y="0"/>
                      <a:ext cx="5615940" cy="8284210"/>
                    </a:xfrm>
                    <a:prstGeom prst="rect">
                      <a:avLst/>
                    </a:prstGeom>
                    <a:noFill/>
                    <a:ln>
                      <a:noFill/>
                    </a:ln>
                  </pic:spPr>
                </pic:pic>
              </a:graphicData>
            </a:graphic>
          </wp:inline>
        </w:drawing>
      </w:r>
    </w:p>
    <w:p>
      <w:pPr>
        <w:pStyle w:val="20"/>
        <w:jc w:val="center"/>
        <w:outlineLvl w:val="0"/>
        <w:rPr>
          <w:rFonts w:ascii="Times New Roman" w:hAnsi="Times New Roman" w:eastAsia="黑体"/>
          <w:snapToGrid w:val="0"/>
          <w:sz w:val="30"/>
          <w:szCs w:val="30"/>
        </w:rPr>
        <w:sectPr>
          <w:footerReference r:id="rId7" w:type="default"/>
          <w:pgSz w:w="11906" w:h="16838"/>
          <w:pgMar w:top="1701" w:right="1531" w:bottom="1701" w:left="1531" w:header="851" w:footer="1077" w:gutter="0"/>
          <w:cols w:space="720" w:num="1"/>
          <w:docGrid w:linePitch="312" w:charSpace="0"/>
        </w:sectPr>
      </w:pPr>
      <w:r>
        <w:drawing>
          <wp:inline distT="0" distB="0" distL="0" distR="0">
            <wp:extent cx="5615305" cy="7911465"/>
            <wp:effectExtent l="0" t="0" r="4445" b="0"/>
            <wp:docPr id="1634962788"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34962788" name="图片 1"/>
                    <pic:cNvPicPr>
                      <a:picLocks noChangeAspect="true"/>
                    </pic:cNvPicPr>
                  </pic:nvPicPr>
                  <pic:blipFill>
                    <a:blip r:embed="rId16"/>
                    <a:stretch>
                      <a:fillRect/>
                    </a:stretch>
                  </pic:blipFill>
                  <pic:spPr>
                    <a:xfrm>
                      <a:off x="0" y="0"/>
                      <a:ext cx="5637028" cy="7941292"/>
                    </a:xfrm>
                    <a:prstGeom prst="rect">
                      <a:avLst/>
                    </a:prstGeom>
                  </pic:spPr>
                </pic:pic>
              </a:graphicData>
            </a:graphic>
          </wp:inline>
        </w:drawing>
      </w:r>
    </w:p>
    <w:p>
      <w:pPr>
        <w:pStyle w:val="20"/>
        <w:jc w:val="center"/>
        <w:outlineLvl w:val="0"/>
        <w:rPr>
          <w:rFonts w:ascii="Times New Roman" w:hAnsi="Times New Roman" w:eastAsia="黑体"/>
          <w:snapToGrid w:val="0"/>
          <w:sz w:val="30"/>
          <w:szCs w:val="30"/>
        </w:rPr>
        <w:sectPr>
          <w:footerReference r:id="rId8" w:type="default"/>
          <w:pgSz w:w="11906" w:h="16838"/>
          <w:pgMar w:top="1701" w:right="1531" w:bottom="1701" w:left="1531" w:header="851" w:footer="1077" w:gutter="0"/>
          <w:cols w:space="720" w:num="1"/>
          <w:docGrid w:linePitch="312" w:charSpace="0"/>
        </w:sectPr>
      </w:pPr>
      <w:r>
        <w:drawing>
          <wp:inline distT="0" distB="0" distL="0" distR="0">
            <wp:extent cx="5615940" cy="8371205"/>
            <wp:effectExtent l="0" t="0" r="3810" b="0"/>
            <wp:docPr id="313185841"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3185841" name="图片 1"/>
                    <pic:cNvPicPr>
                      <a:picLocks noChangeAspect="true"/>
                    </pic:cNvPicPr>
                  </pic:nvPicPr>
                  <pic:blipFill>
                    <a:blip r:embed="rId17"/>
                    <a:stretch>
                      <a:fillRect/>
                    </a:stretch>
                  </pic:blipFill>
                  <pic:spPr>
                    <a:xfrm>
                      <a:off x="0" y="0"/>
                      <a:ext cx="5620988" cy="8379014"/>
                    </a:xfrm>
                    <a:prstGeom prst="rect">
                      <a:avLst/>
                    </a:prstGeom>
                  </pic:spPr>
                </pic:pic>
              </a:graphicData>
            </a:graphic>
          </wp:inline>
        </w:drawing>
      </w:r>
    </w:p>
    <w:p>
      <w:pPr>
        <w:pStyle w:val="20"/>
        <w:jc w:val="center"/>
        <w:outlineLvl w:val="0"/>
        <w:rPr>
          <w:rFonts w:ascii="Times New Roman" w:hAnsi="Times New Roman" w:eastAsia="黑体"/>
          <w:snapToGrid w:val="0"/>
          <w:sz w:val="30"/>
          <w:szCs w:val="30"/>
        </w:rPr>
        <w:sectPr>
          <w:footerReference r:id="rId9" w:type="default"/>
          <w:pgSz w:w="11906" w:h="16838"/>
          <w:pgMar w:top="1701" w:right="1531" w:bottom="1701" w:left="1531" w:header="851" w:footer="1077" w:gutter="0"/>
          <w:cols w:space="720" w:num="1"/>
          <w:docGrid w:linePitch="312" w:charSpace="0"/>
        </w:sectPr>
      </w:pPr>
      <w:r>
        <w:rPr>
          <w:rFonts w:ascii="Times New Roman" w:hAnsi="Times New Roman" w:eastAsia="黑体"/>
          <w:snapToGrid w:val="0"/>
          <w:sz w:val="30"/>
          <w:szCs w:val="30"/>
        </w:rPr>
        <w:drawing>
          <wp:inline distT="0" distB="0" distL="0" distR="0">
            <wp:extent cx="5615940" cy="8170545"/>
            <wp:effectExtent l="0" t="0" r="3810" b="1905"/>
            <wp:docPr id="765142245"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65142245" name="图片 3"/>
                    <pic:cNvPicPr>
                      <a:picLocks noChangeAspect="true" noChangeArrowheads="true"/>
                    </pic:cNvPicPr>
                  </pic:nvPicPr>
                  <pic:blipFill>
                    <a:blip r:embed="rId18" cstate="print">
                      <a:extLst>
                        <a:ext uri="{28A0092B-C50C-407E-A947-70E740481C1C}">
                          <a14:useLocalDpi xmlns:a14="http://schemas.microsoft.com/office/drawing/2010/main" val="false"/>
                        </a:ext>
                      </a:extLst>
                    </a:blip>
                    <a:srcRect/>
                    <a:stretch>
                      <a:fillRect/>
                    </a:stretch>
                  </pic:blipFill>
                  <pic:spPr>
                    <a:xfrm>
                      <a:off x="0" y="0"/>
                      <a:ext cx="5615940" cy="8170545"/>
                    </a:xfrm>
                    <a:prstGeom prst="rect">
                      <a:avLst/>
                    </a:prstGeom>
                    <a:noFill/>
                    <a:ln>
                      <a:noFill/>
                    </a:ln>
                  </pic:spPr>
                </pic:pic>
              </a:graphicData>
            </a:graphic>
          </wp:inline>
        </w:drawing>
      </w:r>
    </w:p>
    <w:p>
      <w:pPr>
        <w:pStyle w:val="20"/>
        <w:jc w:val="center"/>
        <w:outlineLvl w:val="0"/>
        <w:rPr>
          <w:rFonts w:ascii="Times New Roman" w:hAnsi="Times New Roman" w:eastAsia="黑体"/>
          <w:snapToGrid w:val="0"/>
          <w:sz w:val="30"/>
          <w:szCs w:val="30"/>
        </w:rPr>
        <w:sectPr>
          <w:pgSz w:w="11906" w:h="16838"/>
          <w:pgMar w:top="1701" w:right="1531" w:bottom="1701" w:left="1531" w:header="851" w:footer="1077" w:gutter="0"/>
          <w:cols w:space="720" w:num="1"/>
          <w:docGrid w:linePitch="312" w:charSpace="0"/>
        </w:sectPr>
      </w:pPr>
      <w:r>
        <w:rPr>
          <w:rFonts w:ascii="Times New Roman" w:hAnsi="Times New Roman" w:eastAsia="黑体"/>
          <w:snapToGrid w:val="0"/>
          <w:sz w:val="30"/>
          <w:szCs w:val="30"/>
        </w:rPr>
        <w:drawing>
          <wp:inline distT="0" distB="0" distL="0" distR="0">
            <wp:extent cx="5615940" cy="8336280"/>
            <wp:effectExtent l="0" t="0" r="3810" b="7620"/>
            <wp:docPr id="1294134551"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94134551" name="图片 4"/>
                    <pic:cNvPicPr>
                      <a:picLocks noChangeAspect="true" noChangeArrowheads="true"/>
                    </pic:cNvPicPr>
                  </pic:nvPicPr>
                  <pic:blipFill>
                    <a:blip r:embed="rId19" cstate="print">
                      <a:extLst>
                        <a:ext uri="{28A0092B-C50C-407E-A947-70E740481C1C}">
                          <a14:useLocalDpi xmlns:a14="http://schemas.microsoft.com/office/drawing/2010/main" val="false"/>
                        </a:ext>
                      </a:extLst>
                    </a:blip>
                    <a:srcRect/>
                    <a:stretch>
                      <a:fillRect/>
                    </a:stretch>
                  </pic:blipFill>
                  <pic:spPr>
                    <a:xfrm>
                      <a:off x="0" y="0"/>
                      <a:ext cx="5615940" cy="8336280"/>
                    </a:xfrm>
                    <a:prstGeom prst="rect">
                      <a:avLst/>
                    </a:prstGeom>
                    <a:noFill/>
                    <a:ln>
                      <a:noFill/>
                    </a:ln>
                  </pic:spPr>
                </pic:pic>
              </a:graphicData>
            </a:graphic>
          </wp:inline>
        </w:drawing>
      </w:r>
    </w:p>
    <w:p>
      <w:pPr>
        <w:pStyle w:val="20"/>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一、建设项目基本情况</w:t>
      </w:r>
    </w:p>
    <w:tbl>
      <w:tblPr>
        <w:tblStyle w:val="24"/>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714"/>
        <w:gridCol w:w="2305"/>
        <w:gridCol w:w="1917"/>
        <w:gridCol w:w="293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14" w:type="dxa"/>
            <w:tcMar>
              <w:top w:w="16" w:type="dxa"/>
              <w:left w:w="16" w:type="dxa"/>
              <w:right w:w="16" w:type="dxa"/>
            </w:tcMar>
            <w:vAlign w:val="center"/>
          </w:tcPr>
          <w:p>
            <w:pPr>
              <w:adjustRightInd w:val="0"/>
              <w:snapToGrid w:val="0"/>
              <w:jc w:val="center"/>
              <w:rPr>
                <w:sz w:val="24"/>
              </w:rPr>
            </w:pPr>
            <w:r>
              <w:rPr>
                <w:sz w:val="24"/>
              </w:rPr>
              <w:t>建设项目名称</w:t>
            </w:r>
          </w:p>
        </w:tc>
        <w:tc>
          <w:tcPr>
            <w:tcW w:w="7156" w:type="dxa"/>
            <w:gridSpan w:val="3"/>
            <w:vAlign w:val="center"/>
          </w:tcPr>
          <w:p>
            <w:pPr>
              <w:adjustRightInd w:val="0"/>
              <w:snapToGrid w:val="0"/>
              <w:jc w:val="center"/>
              <w:rPr>
                <w:sz w:val="24"/>
              </w:rPr>
            </w:pPr>
            <w:r>
              <w:rPr>
                <w:rFonts w:hint="eastAsia"/>
                <w:sz w:val="24"/>
              </w:rPr>
              <w:t>重庆聚合顺新材料有限公司新建高分子材料生产项目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14" w:type="dxa"/>
            <w:tcMar>
              <w:top w:w="16" w:type="dxa"/>
              <w:left w:w="16" w:type="dxa"/>
              <w:right w:w="16" w:type="dxa"/>
            </w:tcMar>
            <w:vAlign w:val="center"/>
          </w:tcPr>
          <w:p>
            <w:pPr>
              <w:adjustRightInd w:val="0"/>
              <w:snapToGrid w:val="0"/>
              <w:jc w:val="center"/>
              <w:rPr>
                <w:sz w:val="24"/>
              </w:rPr>
            </w:pPr>
            <w:r>
              <w:rPr>
                <w:sz w:val="24"/>
              </w:rPr>
              <w:t>项目代码</w:t>
            </w:r>
          </w:p>
        </w:tc>
        <w:tc>
          <w:tcPr>
            <w:tcW w:w="7156" w:type="dxa"/>
            <w:gridSpan w:val="3"/>
            <w:vAlign w:val="center"/>
          </w:tcPr>
          <w:p>
            <w:pPr>
              <w:adjustRightInd w:val="0"/>
              <w:snapToGrid w:val="0"/>
              <w:jc w:val="center"/>
              <w:rPr>
                <w:sz w:val="24"/>
              </w:rPr>
            </w:pPr>
            <w:r>
              <w:rPr>
                <w:sz w:val="24"/>
              </w:rPr>
              <w:t>2304-500151-04-01-829893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14" w:type="dxa"/>
            <w:tcMar>
              <w:top w:w="16" w:type="dxa"/>
              <w:left w:w="16" w:type="dxa"/>
              <w:right w:w="16" w:type="dxa"/>
            </w:tcMar>
            <w:vAlign w:val="center"/>
          </w:tcPr>
          <w:p>
            <w:pPr>
              <w:adjustRightInd w:val="0"/>
              <w:snapToGrid w:val="0"/>
              <w:jc w:val="center"/>
              <w:rPr>
                <w:sz w:val="24"/>
              </w:rPr>
            </w:pPr>
            <w:r>
              <w:rPr>
                <w:sz w:val="24"/>
              </w:rPr>
              <w:t>建设单位联系人</w:t>
            </w:r>
          </w:p>
        </w:tc>
        <w:tc>
          <w:tcPr>
            <w:tcW w:w="2305" w:type="dxa"/>
            <w:vAlign w:val="center"/>
          </w:tcPr>
          <w:p>
            <w:pPr>
              <w:adjustRightInd w:val="0"/>
              <w:snapToGrid w:val="0"/>
              <w:jc w:val="center"/>
              <w:rPr>
                <w:sz w:val="24"/>
              </w:rPr>
            </w:pPr>
            <w:r>
              <w:rPr>
                <w:rFonts w:hint="eastAsia"/>
                <w:sz w:val="24"/>
              </w:rPr>
              <w:t>邱斌</w:t>
            </w:r>
          </w:p>
        </w:tc>
        <w:tc>
          <w:tcPr>
            <w:tcW w:w="1917" w:type="dxa"/>
            <w:vAlign w:val="center"/>
          </w:tcPr>
          <w:p>
            <w:pPr>
              <w:adjustRightInd w:val="0"/>
              <w:snapToGrid w:val="0"/>
              <w:jc w:val="center"/>
              <w:rPr>
                <w:sz w:val="24"/>
              </w:rPr>
            </w:pPr>
            <w:r>
              <w:rPr>
                <w:sz w:val="24"/>
              </w:rPr>
              <w:t>联系方式</w:t>
            </w:r>
          </w:p>
        </w:tc>
        <w:tc>
          <w:tcPr>
            <w:tcW w:w="2934" w:type="dxa"/>
            <w:vAlign w:val="center"/>
          </w:tcPr>
          <w:p>
            <w:pPr>
              <w:adjustRightInd w:val="0"/>
              <w:snapToGrid w:val="0"/>
              <w:jc w:val="center"/>
              <w:rPr>
                <w:sz w:val="24"/>
              </w:rPr>
            </w:pPr>
            <w:r>
              <w:rPr>
                <w:sz w:val="24"/>
              </w:rPr>
              <w:t>13068300277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14" w:type="dxa"/>
            <w:tcMar>
              <w:top w:w="16" w:type="dxa"/>
              <w:left w:w="16" w:type="dxa"/>
              <w:right w:w="16" w:type="dxa"/>
            </w:tcMar>
            <w:vAlign w:val="center"/>
          </w:tcPr>
          <w:p>
            <w:pPr>
              <w:adjustRightInd w:val="0"/>
              <w:snapToGrid w:val="0"/>
              <w:jc w:val="center"/>
              <w:rPr>
                <w:sz w:val="24"/>
              </w:rPr>
            </w:pPr>
            <w:r>
              <w:rPr>
                <w:sz w:val="24"/>
              </w:rPr>
              <w:t>建设地点</w:t>
            </w:r>
          </w:p>
        </w:tc>
        <w:tc>
          <w:tcPr>
            <w:tcW w:w="7156" w:type="dxa"/>
            <w:gridSpan w:val="3"/>
            <w:vAlign w:val="center"/>
          </w:tcPr>
          <w:p>
            <w:pPr>
              <w:adjustRightInd w:val="0"/>
              <w:snapToGrid w:val="0"/>
              <w:jc w:val="center"/>
              <w:rPr>
                <w:sz w:val="24"/>
              </w:rPr>
            </w:pPr>
            <w:r>
              <w:rPr>
                <w:rFonts w:hint="eastAsia"/>
                <w:sz w:val="24"/>
              </w:rPr>
              <w:t>重庆市铜梁区龙山大道20号</w:t>
            </w:r>
          </w:p>
          <w:p>
            <w:pPr>
              <w:adjustRightInd w:val="0"/>
              <w:snapToGrid w:val="0"/>
              <w:jc w:val="center"/>
              <w:rPr>
                <w:sz w:val="24"/>
              </w:rPr>
            </w:pPr>
            <w:r>
              <w:rPr>
                <w:rFonts w:hint="eastAsia"/>
                <w:sz w:val="24"/>
              </w:rPr>
              <w:t>（重庆铜梁高新技术产业开发区蒲吕片区）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14" w:type="dxa"/>
            <w:tcMar>
              <w:top w:w="16" w:type="dxa"/>
              <w:left w:w="16" w:type="dxa"/>
              <w:right w:w="16" w:type="dxa"/>
            </w:tcMar>
            <w:vAlign w:val="center"/>
          </w:tcPr>
          <w:p>
            <w:pPr>
              <w:adjustRightInd w:val="0"/>
              <w:snapToGrid w:val="0"/>
              <w:jc w:val="center"/>
              <w:rPr>
                <w:sz w:val="24"/>
              </w:rPr>
            </w:pPr>
            <w:r>
              <w:rPr>
                <w:sz w:val="24"/>
              </w:rPr>
              <w:t>地理坐标</w:t>
            </w:r>
          </w:p>
        </w:tc>
        <w:tc>
          <w:tcPr>
            <w:tcW w:w="7156" w:type="dxa"/>
            <w:gridSpan w:val="3"/>
            <w:vAlign w:val="center"/>
          </w:tcPr>
          <w:p>
            <w:pPr>
              <w:jc w:val="center"/>
              <w:rPr>
                <w:sz w:val="24"/>
              </w:rPr>
            </w:pPr>
            <w:r>
              <w:rPr>
                <w:sz w:val="24"/>
              </w:rPr>
              <w:t>（</w:t>
            </w:r>
            <w:r>
              <w:rPr>
                <w:rFonts w:hint="eastAsia"/>
                <w:sz w:val="24"/>
              </w:rPr>
              <w:t xml:space="preserve"> </w:t>
            </w:r>
            <w:r>
              <w:rPr>
                <w:sz w:val="24"/>
                <w:u w:val="single"/>
              </w:rPr>
              <w:t xml:space="preserve">106 </w:t>
            </w:r>
            <w:r>
              <w:rPr>
                <w:sz w:val="24"/>
              </w:rPr>
              <w:t>度</w:t>
            </w:r>
            <w:r>
              <w:rPr>
                <w:sz w:val="24"/>
                <w:u w:val="single"/>
              </w:rPr>
              <w:t xml:space="preserve"> 6 </w:t>
            </w:r>
            <w:r>
              <w:rPr>
                <w:sz w:val="24"/>
              </w:rPr>
              <w:t>分</w:t>
            </w:r>
            <w:r>
              <w:rPr>
                <w:sz w:val="24"/>
                <w:u w:val="single"/>
              </w:rPr>
              <w:t xml:space="preserve"> 40.481 </w:t>
            </w:r>
            <w:r>
              <w:rPr>
                <w:sz w:val="24"/>
              </w:rPr>
              <w:t>秒，</w:t>
            </w:r>
            <w:r>
              <w:rPr>
                <w:sz w:val="24"/>
                <w:u w:val="single"/>
              </w:rPr>
              <w:t xml:space="preserve"> 29 </w:t>
            </w:r>
            <w:r>
              <w:rPr>
                <w:sz w:val="24"/>
              </w:rPr>
              <w:t>度</w:t>
            </w:r>
            <w:r>
              <w:rPr>
                <w:sz w:val="24"/>
                <w:u w:val="single"/>
              </w:rPr>
              <w:t xml:space="preserve"> 51 </w:t>
            </w:r>
            <w:r>
              <w:rPr>
                <w:sz w:val="24"/>
              </w:rPr>
              <w:t>分</w:t>
            </w:r>
            <w:r>
              <w:rPr>
                <w:sz w:val="24"/>
                <w:u w:val="single"/>
              </w:rPr>
              <w:t xml:space="preserve"> 10.704 </w:t>
            </w:r>
            <w:r>
              <w:rPr>
                <w:sz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714" w:type="dxa"/>
            <w:tcMar>
              <w:top w:w="16" w:type="dxa"/>
              <w:left w:w="16" w:type="dxa"/>
              <w:right w:w="16" w:type="dxa"/>
            </w:tcMar>
            <w:vAlign w:val="center"/>
          </w:tcPr>
          <w:p>
            <w:pPr>
              <w:adjustRightInd w:val="0"/>
              <w:snapToGrid w:val="0"/>
              <w:jc w:val="center"/>
              <w:rPr>
                <w:sz w:val="24"/>
              </w:rPr>
            </w:pPr>
            <w:r>
              <w:rPr>
                <w:sz w:val="24"/>
              </w:rPr>
              <w:t>国民经济</w:t>
            </w:r>
          </w:p>
          <w:p>
            <w:pPr>
              <w:adjustRightInd w:val="0"/>
              <w:snapToGrid w:val="0"/>
              <w:jc w:val="center"/>
              <w:rPr>
                <w:sz w:val="24"/>
              </w:rPr>
            </w:pPr>
            <w:r>
              <w:rPr>
                <w:sz w:val="24"/>
              </w:rPr>
              <w:t>行业类别</w:t>
            </w:r>
          </w:p>
        </w:tc>
        <w:tc>
          <w:tcPr>
            <w:tcW w:w="2305" w:type="dxa"/>
            <w:vAlign w:val="center"/>
          </w:tcPr>
          <w:p>
            <w:pPr>
              <w:adjustRightInd w:val="0"/>
              <w:snapToGrid w:val="0"/>
              <w:jc w:val="center"/>
              <w:rPr>
                <w:sz w:val="24"/>
              </w:rPr>
            </w:pPr>
            <w:r>
              <w:rPr>
                <w:rFonts w:hint="eastAsia"/>
                <w:sz w:val="24"/>
              </w:rPr>
              <w:t>C292</w:t>
            </w:r>
            <w:r>
              <w:rPr>
                <w:sz w:val="24"/>
              </w:rPr>
              <w:t>9</w:t>
            </w:r>
            <w:r>
              <w:rPr>
                <w:rFonts w:hint="eastAsia"/>
                <w:sz w:val="24"/>
              </w:rPr>
              <w:t>塑料零件及其他塑料制品制造</w:t>
            </w:r>
          </w:p>
        </w:tc>
        <w:tc>
          <w:tcPr>
            <w:tcW w:w="1917" w:type="dxa"/>
            <w:vAlign w:val="center"/>
          </w:tcPr>
          <w:p>
            <w:pPr>
              <w:adjustRightInd w:val="0"/>
              <w:snapToGrid w:val="0"/>
              <w:jc w:val="center"/>
              <w:rPr>
                <w:sz w:val="24"/>
              </w:rPr>
            </w:pPr>
            <w:bookmarkStart w:id="0" w:name="_Hlk49843745"/>
            <w:r>
              <w:rPr>
                <w:sz w:val="24"/>
              </w:rPr>
              <w:t>建设项目</w:t>
            </w:r>
          </w:p>
          <w:p>
            <w:pPr>
              <w:adjustRightInd w:val="0"/>
              <w:snapToGrid w:val="0"/>
              <w:jc w:val="center"/>
              <w:rPr>
                <w:sz w:val="24"/>
              </w:rPr>
            </w:pPr>
            <w:r>
              <w:rPr>
                <w:sz w:val="24"/>
              </w:rPr>
              <w:t>行业类别</w:t>
            </w:r>
            <w:bookmarkEnd w:id="0"/>
          </w:p>
        </w:tc>
        <w:tc>
          <w:tcPr>
            <w:tcW w:w="2934" w:type="dxa"/>
            <w:vAlign w:val="center"/>
          </w:tcPr>
          <w:p>
            <w:pPr>
              <w:autoSpaceDE w:val="0"/>
              <w:autoSpaceDN w:val="0"/>
              <w:adjustRightInd w:val="0"/>
              <w:jc w:val="left"/>
              <w:rPr>
                <w:sz w:val="24"/>
              </w:rPr>
            </w:pPr>
            <w:r>
              <w:rPr>
                <w:rFonts w:hint="eastAsia"/>
                <w:sz w:val="24"/>
              </w:rPr>
              <w:t xml:space="preserve">二十六、橡胶和塑料制品业 </w:t>
            </w:r>
            <w:r>
              <w:rPr>
                <w:sz w:val="24"/>
              </w:rPr>
              <w:t>53</w:t>
            </w:r>
            <w:r>
              <w:rPr>
                <w:rFonts w:hint="eastAsia"/>
                <w:sz w:val="24"/>
              </w:rPr>
              <w:t xml:space="preserve">塑料制品业 </w:t>
            </w:r>
            <w:r>
              <w:rPr>
                <w:sz w:val="24"/>
              </w:rPr>
              <w:t>292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714" w:type="dxa"/>
            <w:tcMar>
              <w:top w:w="16" w:type="dxa"/>
              <w:left w:w="16" w:type="dxa"/>
              <w:right w:w="16" w:type="dxa"/>
            </w:tcMar>
            <w:vAlign w:val="center"/>
          </w:tcPr>
          <w:p>
            <w:pPr>
              <w:adjustRightInd w:val="0"/>
              <w:snapToGrid w:val="0"/>
              <w:jc w:val="center"/>
              <w:rPr>
                <w:sz w:val="24"/>
              </w:rPr>
            </w:pPr>
            <w:r>
              <w:rPr>
                <w:sz w:val="24"/>
              </w:rPr>
              <w:t>建设性质</w:t>
            </w:r>
          </w:p>
        </w:tc>
        <w:tc>
          <w:tcPr>
            <w:tcW w:w="2305" w:type="dxa"/>
            <w:vAlign w:val="center"/>
          </w:tcPr>
          <w:p>
            <w:pPr>
              <w:jc w:val="left"/>
              <w:rPr>
                <w:sz w:val="24"/>
              </w:rPr>
            </w:pPr>
            <w:r>
              <w:rPr>
                <w:sz w:val="24"/>
              </w:rPr>
              <w:sym w:font="Wingdings 2" w:char="F052"/>
            </w:r>
            <w:r>
              <w:rPr>
                <w:sz w:val="24"/>
              </w:rPr>
              <w:t>新建（迁建）</w:t>
            </w:r>
          </w:p>
          <w:p>
            <w:pPr>
              <w:jc w:val="left"/>
              <w:rPr>
                <w:sz w:val="24"/>
              </w:rPr>
            </w:pPr>
            <w:r>
              <w:rPr>
                <w:sz w:val="24"/>
              </w:rPr>
              <w:sym w:font="Wingdings 2" w:char="00A3"/>
            </w:r>
            <w:r>
              <w:rPr>
                <w:sz w:val="24"/>
              </w:rPr>
              <w:t>改建</w:t>
            </w:r>
          </w:p>
          <w:p>
            <w:pPr>
              <w:jc w:val="left"/>
              <w:rPr>
                <w:sz w:val="24"/>
              </w:rPr>
            </w:pPr>
            <w:r>
              <w:rPr>
                <w:sz w:val="24"/>
              </w:rPr>
              <w:sym w:font="Wingdings 2" w:char="00A3"/>
            </w:r>
            <w:r>
              <w:rPr>
                <w:sz w:val="24"/>
              </w:rPr>
              <w:t>扩建</w:t>
            </w:r>
          </w:p>
          <w:p>
            <w:pPr>
              <w:jc w:val="left"/>
              <w:rPr>
                <w:sz w:val="24"/>
              </w:rPr>
            </w:pPr>
            <w:r>
              <w:rPr>
                <w:sz w:val="24"/>
              </w:rPr>
              <w:sym w:font="Wingdings 2" w:char="00A3"/>
            </w:r>
            <w:r>
              <w:rPr>
                <w:sz w:val="24"/>
              </w:rPr>
              <w:t>技术改造</w:t>
            </w:r>
          </w:p>
        </w:tc>
        <w:tc>
          <w:tcPr>
            <w:tcW w:w="1917" w:type="dxa"/>
            <w:vAlign w:val="center"/>
          </w:tcPr>
          <w:p>
            <w:pPr>
              <w:adjustRightInd w:val="0"/>
              <w:snapToGrid w:val="0"/>
              <w:jc w:val="center"/>
              <w:rPr>
                <w:sz w:val="24"/>
              </w:rPr>
            </w:pPr>
            <w:r>
              <w:rPr>
                <w:sz w:val="24"/>
              </w:rPr>
              <w:t>建设项目</w:t>
            </w:r>
          </w:p>
          <w:p>
            <w:pPr>
              <w:adjustRightInd w:val="0"/>
              <w:snapToGrid w:val="0"/>
              <w:jc w:val="center"/>
              <w:rPr>
                <w:sz w:val="24"/>
              </w:rPr>
            </w:pPr>
            <w:r>
              <w:rPr>
                <w:sz w:val="24"/>
              </w:rPr>
              <w:t>申报情形</w:t>
            </w:r>
          </w:p>
        </w:tc>
        <w:tc>
          <w:tcPr>
            <w:tcW w:w="2934" w:type="dxa"/>
            <w:vAlign w:val="center"/>
          </w:tcPr>
          <w:p>
            <w:pPr>
              <w:jc w:val="left"/>
              <w:rPr>
                <w:sz w:val="24"/>
              </w:rPr>
            </w:pPr>
            <w:r>
              <w:rPr>
                <w:sz w:val="24"/>
              </w:rPr>
              <w:sym w:font="Wingdings 2" w:char="00A3"/>
            </w:r>
            <w:r>
              <w:rPr>
                <w:sz w:val="24"/>
              </w:rPr>
              <w:t>首次申报项目</w:t>
            </w:r>
          </w:p>
          <w:p>
            <w:pPr>
              <w:jc w:val="left"/>
              <w:rPr>
                <w:sz w:val="24"/>
              </w:rPr>
            </w:pPr>
            <w:r>
              <w:rPr>
                <w:sz w:val="24"/>
              </w:rPr>
              <w:sym w:font="Wingdings 2" w:char="F052"/>
            </w:r>
            <w:r>
              <w:rPr>
                <w:sz w:val="24"/>
              </w:rPr>
              <w:t>不予批准后再次申报项目</w:t>
            </w:r>
          </w:p>
          <w:p>
            <w:pPr>
              <w:jc w:val="left"/>
              <w:rPr>
                <w:sz w:val="24"/>
              </w:rPr>
            </w:pPr>
            <w:r>
              <w:rPr>
                <w:sz w:val="24"/>
              </w:rPr>
              <w:sym w:font="Wingdings 2" w:char="00A3"/>
            </w:r>
            <w:r>
              <w:rPr>
                <w:sz w:val="24"/>
              </w:rPr>
              <w:t>超五年重新审核项目</w:t>
            </w:r>
          </w:p>
          <w:p>
            <w:pPr>
              <w:jc w:val="left"/>
              <w:rPr>
                <w:sz w:val="24"/>
              </w:rPr>
            </w:pPr>
            <w:r>
              <w:rPr>
                <w:sz w:val="24"/>
              </w:rPr>
              <w:sym w:font="Wingdings 2" w:char="00A3"/>
            </w:r>
            <w:r>
              <w:rPr>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714" w:type="dxa"/>
            <w:tcMar>
              <w:top w:w="16" w:type="dxa"/>
              <w:left w:w="16" w:type="dxa"/>
              <w:right w:w="16" w:type="dxa"/>
            </w:tcMar>
            <w:vAlign w:val="center"/>
          </w:tcPr>
          <w:p>
            <w:pPr>
              <w:adjustRightInd w:val="0"/>
              <w:snapToGrid w:val="0"/>
              <w:jc w:val="center"/>
              <w:rPr>
                <w:sz w:val="24"/>
              </w:rPr>
            </w:pPr>
            <w:r>
              <w:rPr>
                <w:sz w:val="24"/>
              </w:rPr>
              <w:t>项目审批（核准/</w:t>
            </w:r>
          </w:p>
          <w:p>
            <w:pPr>
              <w:adjustRightInd w:val="0"/>
              <w:snapToGrid w:val="0"/>
              <w:jc w:val="center"/>
              <w:rPr>
                <w:sz w:val="24"/>
              </w:rPr>
            </w:pPr>
            <w:r>
              <w:rPr>
                <w:sz w:val="24"/>
              </w:rPr>
              <w:t>备案）部门（选填）</w:t>
            </w:r>
          </w:p>
        </w:tc>
        <w:tc>
          <w:tcPr>
            <w:tcW w:w="2305" w:type="dxa"/>
            <w:vAlign w:val="center"/>
          </w:tcPr>
          <w:p>
            <w:pPr>
              <w:adjustRightInd w:val="0"/>
              <w:snapToGrid w:val="0"/>
              <w:jc w:val="center"/>
              <w:rPr>
                <w:sz w:val="24"/>
              </w:rPr>
            </w:pPr>
            <w:r>
              <w:rPr>
                <w:sz w:val="24"/>
              </w:rPr>
              <w:t>重庆市</w:t>
            </w:r>
            <w:r>
              <w:rPr>
                <w:rFonts w:hint="eastAsia"/>
                <w:sz w:val="24"/>
              </w:rPr>
              <w:t>铜梁</w:t>
            </w:r>
            <w:r>
              <w:rPr>
                <w:sz w:val="24"/>
              </w:rPr>
              <w:t>区发展和改革委员会</w:t>
            </w:r>
          </w:p>
        </w:tc>
        <w:tc>
          <w:tcPr>
            <w:tcW w:w="1917" w:type="dxa"/>
            <w:vAlign w:val="center"/>
          </w:tcPr>
          <w:p>
            <w:pPr>
              <w:adjustRightInd w:val="0"/>
              <w:snapToGrid w:val="0"/>
              <w:jc w:val="center"/>
              <w:rPr>
                <w:sz w:val="24"/>
              </w:rPr>
            </w:pPr>
            <w:r>
              <w:rPr>
                <w:sz w:val="24"/>
              </w:rPr>
              <w:t>项目审批（核准/</w:t>
            </w:r>
          </w:p>
          <w:p>
            <w:pPr>
              <w:adjustRightInd w:val="0"/>
              <w:snapToGrid w:val="0"/>
              <w:jc w:val="center"/>
              <w:rPr>
                <w:sz w:val="24"/>
              </w:rPr>
            </w:pPr>
            <w:r>
              <w:rPr>
                <w:sz w:val="24"/>
              </w:rPr>
              <w:t>备案）文号（选填）</w:t>
            </w:r>
          </w:p>
        </w:tc>
        <w:tc>
          <w:tcPr>
            <w:tcW w:w="2934" w:type="dxa"/>
            <w:vAlign w:val="center"/>
          </w:tcPr>
          <w:p>
            <w:pPr>
              <w:adjustRightInd w:val="0"/>
              <w:snapToGrid w:val="0"/>
              <w:jc w:val="center"/>
              <w:rPr>
                <w:sz w:val="24"/>
              </w:rPr>
            </w:pPr>
            <w:r>
              <w:rPr>
                <w:sz w:val="24"/>
              </w:rPr>
              <w:t>2304-500151-04-01-829893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14" w:type="dxa"/>
            <w:tcMar>
              <w:top w:w="16" w:type="dxa"/>
              <w:left w:w="16" w:type="dxa"/>
              <w:right w:w="16" w:type="dxa"/>
            </w:tcMar>
            <w:vAlign w:val="center"/>
          </w:tcPr>
          <w:p>
            <w:pPr>
              <w:adjustRightInd w:val="0"/>
              <w:snapToGrid w:val="0"/>
              <w:jc w:val="center"/>
              <w:rPr>
                <w:sz w:val="24"/>
              </w:rPr>
            </w:pPr>
            <w:r>
              <w:rPr>
                <w:sz w:val="24"/>
              </w:rPr>
              <w:t>总投资（万元）</w:t>
            </w:r>
          </w:p>
        </w:tc>
        <w:tc>
          <w:tcPr>
            <w:tcW w:w="2305" w:type="dxa"/>
            <w:vAlign w:val="center"/>
          </w:tcPr>
          <w:p>
            <w:pPr>
              <w:adjustRightInd w:val="0"/>
              <w:snapToGrid w:val="0"/>
              <w:jc w:val="center"/>
              <w:rPr>
                <w:sz w:val="24"/>
              </w:rPr>
            </w:pPr>
            <w:r>
              <w:rPr>
                <w:sz w:val="24"/>
              </w:rPr>
              <w:t>1000</w:t>
            </w:r>
          </w:p>
        </w:tc>
        <w:tc>
          <w:tcPr>
            <w:tcW w:w="1917" w:type="dxa"/>
            <w:tcMar>
              <w:top w:w="16" w:type="dxa"/>
              <w:left w:w="16" w:type="dxa"/>
              <w:right w:w="16" w:type="dxa"/>
            </w:tcMar>
            <w:vAlign w:val="center"/>
          </w:tcPr>
          <w:p>
            <w:pPr>
              <w:adjustRightInd w:val="0"/>
              <w:snapToGrid w:val="0"/>
              <w:jc w:val="center"/>
              <w:rPr>
                <w:sz w:val="24"/>
              </w:rPr>
            </w:pPr>
            <w:r>
              <w:rPr>
                <w:sz w:val="24"/>
              </w:rPr>
              <w:t>环保投资（万元）</w:t>
            </w:r>
          </w:p>
        </w:tc>
        <w:tc>
          <w:tcPr>
            <w:tcW w:w="2934" w:type="dxa"/>
            <w:vAlign w:val="center"/>
          </w:tcPr>
          <w:p>
            <w:pPr>
              <w:adjustRightInd w:val="0"/>
              <w:snapToGrid w:val="0"/>
              <w:jc w:val="center"/>
              <w:rPr>
                <w:sz w:val="24"/>
              </w:rPr>
            </w:pPr>
            <w:r>
              <w:rPr>
                <w:sz w:val="24"/>
              </w:rPr>
              <w:t>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14" w:type="dxa"/>
            <w:tcMar>
              <w:top w:w="16" w:type="dxa"/>
              <w:left w:w="16" w:type="dxa"/>
              <w:right w:w="16" w:type="dxa"/>
            </w:tcMar>
            <w:vAlign w:val="center"/>
          </w:tcPr>
          <w:p>
            <w:pPr>
              <w:adjustRightInd w:val="0"/>
              <w:snapToGrid w:val="0"/>
              <w:jc w:val="center"/>
              <w:rPr>
                <w:sz w:val="24"/>
              </w:rPr>
            </w:pPr>
            <w:r>
              <w:rPr>
                <w:sz w:val="24"/>
              </w:rPr>
              <w:t>环保投资占比（%）</w:t>
            </w:r>
          </w:p>
        </w:tc>
        <w:tc>
          <w:tcPr>
            <w:tcW w:w="2305" w:type="dxa"/>
            <w:vAlign w:val="center"/>
          </w:tcPr>
          <w:p>
            <w:pPr>
              <w:adjustRightInd w:val="0"/>
              <w:snapToGrid w:val="0"/>
              <w:jc w:val="center"/>
              <w:rPr>
                <w:sz w:val="24"/>
              </w:rPr>
            </w:pPr>
            <w:r>
              <w:rPr>
                <w:sz w:val="24"/>
              </w:rPr>
              <w:t>1</w:t>
            </w:r>
          </w:p>
        </w:tc>
        <w:tc>
          <w:tcPr>
            <w:tcW w:w="1917" w:type="dxa"/>
            <w:tcMar>
              <w:top w:w="16" w:type="dxa"/>
              <w:left w:w="16" w:type="dxa"/>
              <w:right w:w="16" w:type="dxa"/>
            </w:tcMar>
            <w:vAlign w:val="center"/>
          </w:tcPr>
          <w:p>
            <w:pPr>
              <w:adjustRightInd w:val="0"/>
              <w:snapToGrid w:val="0"/>
              <w:jc w:val="center"/>
              <w:rPr>
                <w:sz w:val="24"/>
              </w:rPr>
            </w:pPr>
            <w:r>
              <w:rPr>
                <w:sz w:val="24"/>
              </w:rPr>
              <w:t>施工工期</w:t>
            </w:r>
          </w:p>
        </w:tc>
        <w:tc>
          <w:tcPr>
            <w:tcW w:w="2934" w:type="dxa"/>
            <w:vAlign w:val="center"/>
          </w:tcPr>
          <w:p>
            <w:pPr>
              <w:adjustRightInd w:val="0"/>
              <w:snapToGrid w:val="0"/>
              <w:jc w:val="center"/>
              <w:rPr>
                <w:sz w:val="24"/>
              </w:rPr>
            </w:pPr>
            <w:r>
              <w:rPr>
                <w:sz w:val="24"/>
              </w:rPr>
              <w:t>4个月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14" w:type="dxa"/>
            <w:tcMar>
              <w:top w:w="16" w:type="dxa"/>
              <w:left w:w="16" w:type="dxa"/>
              <w:right w:w="16" w:type="dxa"/>
            </w:tcMar>
            <w:vAlign w:val="center"/>
          </w:tcPr>
          <w:p>
            <w:pPr>
              <w:adjustRightInd w:val="0"/>
              <w:snapToGrid w:val="0"/>
              <w:jc w:val="center"/>
              <w:rPr>
                <w:sz w:val="24"/>
              </w:rPr>
            </w:pPr>
            <w:r>
              <w:rPr>
                <w:sz w:val="24"/>
              </w:rPr>
              <w:t>是否开工建设</w:t>
            </w:r>
          </w:p>
        </w:tc>
        <w:tc>
          <w:tcPr>
            <w:tcW w:w="2305" w:type="dxa"/>
            <w:vAlign w:val="center"/>
          </w:tcPr>
          <w:p>
            <w:pPr>
              <w:adjustRightInd w:val="0"/>
              <w:snapToGrid w:val="0"/>
              <w:rPr>
                <w:sz w:val="24"/>
              </w:rPr>
            </w:pPr>
            <w:r>
              <w:rPr>
                <w:sz w:val="24"/>
              </w:rPr>
              <w:sym w:font="Wingdings 2" w:char="F052"/>
            </w:r>
            <w:r>
              <w:rPr>
                <w:sz w:val="24"/>
              </w:rPr>
              <w:t>否</w:t>
            </w:r>
          </w:p>
          <w:p>
            <w:pPr>
              <w:adjustRightInd w:val="0"/>
              <w:snapToGrid w:val="0"/>
              <w:rPr>
                <w:sz w:val="24"/>
              </w:rPr>
            </w:pPr>
            <w:r>
              <w:rPr>
                <w:sz w:val="24"/>
              </w:rPr>
              <w:sym w:font="Wingdings 2" w:char="00A3"/>
            </w:r>
            <w:r>
              <w:rPr>
                <w:sz w:val="24"/>
              </w:rPr>
              <w:t>是：</w:t>
            </w:r>
            <w:r>
              <w:rPr>
                <w:sz w:val="24"/>
                <w:u w:val="single"/>
              </w:rPr>
              <w:t xml:space="preserve">             </w:t>
            </w:r>
          </w:p>
        </w:tc>
        <w:tc>
          <w:tcPr>
            <w:tcW w:w="1917" w:type="dxa"/>
            <w:tcMar>
              <w:top w:w="16" w:type="dxa"/>
              <w:left w:w="16" w:type="dxa"/>
              <w:right w:w="16" w:type="dxa"/>
            </w:tcMar>
            <w:vAlign w:val="center"/>
          </w:tcPr>
          <w:p>
            <w:pPr>
              <w:adjustRightInd w:val="0"/>
              <w:snapToGrid w:val="0"/>
              <w:jc w:val="center"/>
              <w:rPr>
                <w:spacing w:val="-6"/>
                <w:sz w:val="24"/>
              </w:rPr>
            </w:pPr>
            <w:r>
              <w:rPr>
                <w:spacing w:val="-6"/>
                <w:sz w:val="24"/>
              </w:rPr>
              <w:t>用地（用海）</w:t>
            </w:r>
          </w:p>
          <w:p>
            <w:pPr>
              <w:adjustRightInd w:val="0"/>
              <w:snapToGrid w:val="0"/>
              <w:jc w:val="center"/>
              <w:rPr>
                <w:sz w:val="24"/>
              </w:rPr>
            </w:pPr>
            <w:r>
              <w:rPr>
                <w:spacing w:val="-6"/>
                <w:sz w:val="24"/>
              </w:rPr>
              <w:t>面积（</w:t>
            </w:r>
            <w:r>
              <w:rPr>
                <w:rFonts w:hint="eastAsia"/>
                <w:spacing w:val="-6"/>
                <w:sz w:val="24"/>
              </w:rPr>
              <w:t>m</w:t>
            </w:r>
            <w:r>
              <w:rPr>
                <w:rFonts w:hint="eastAsia"/>
                <w:spacing w:val="-6"/>
                <w:sz w:val="24"/>
                <w:vertAlign w:val="superscript"/>
              </w:rPr>
              <w:t>2</w:t>
            </w:r>
            <w:r>
              <w:rPr>
                <w:spacing w:val="-6"/>
                <w:sz w:val="24"/>
              </w:rPr>
              <w:t>）</w:t>
            </w:r>
          </w:p>
        </w:tc>
        <w:tc>
          <w:tcPr>
            <w:tcW w:w="2934" w:type="dxa"/>
            <w:vAlign w:val="center"/>
          </w:tcPr>
          <w:p>
            <w:pPr>
              <w:adjustRightInd w:val="0"/>
              <w:snapToGrid w:val="0"/>
              <w:jc w:val="center"/>
              <w:rPr>
                <w:sz w:val="24"/>
              </w:rPr>
            </w:pPr>
            <w:r>
              <w:rPr>
                <w:sz w:val="24"/>
              </w:rPr>
              <w:t>2600</w:t>
            </w:r>
            <w:r>
              <w:rPr>
                <w:rFonts w:hint="eastAsia"/>
                <w:sz w:val="24"/>
              </w:rPr>
              <w:t>（租赁建筑面积）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714" w:type="dxa"/>
            <w:vAlign w:val="center"/>
          </w:tcPr>
          <w:p>
            <w:pPr>
              <w:autoSpaceDE w:val="0"/>
              <w:autoSpaceDN w:val="0"/>
              <w:adjustRightInd w:val="0"/>
              <w:snapToGrid w:val="0"/>
              <w:jc w:val="center"/>
              <w:rPr>
                <w:kern w:val="0"/>
                <w:sz w:val="24"/>
              </w:rPr>
            </w:pPr>
            <w:r>
              <w:rPr>
                <w:kern w:val="0"/>
                <w:sz w:val="24"/>
              </w:rPr>
              <w:t>专项评价设置情况</w:t>
            </w:r>
          </w:p>
        </w:tc>
        <w:tc>
          <w:tcPr>
            <w:tcW w:w="7156" w:type="dxa"/>
            <w:gridSpan w:val="3"/>
            <w:vAlign w:val="center"/>
          </w:tcPr>
          <w:p>
            <w:pPr>
              <w:pStyle w:val="82"/>
            </w:pPr>
            <w:r>
              <w:t>对照《建设项目环境影响报告表编制技术指南（污染影响类）（试行）》中“表1专项评价设置原则表”，拟建项目是否开展专项评价情况见下表1-1。</w:t>
            </w:r>
          </w:p>
          <w:p>
            <w:pPr>
              <w:pStyle w:val="83"/>
              <w:ind w:firstLine="422"/>
            </w:pPr>
            <w:r>
              <w:t>表1-1  专项评价设置原则表</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4"/>
              <w:gridCol w:w="3215"/>
              <w:gridCol w:w="26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884" w:type="dxa"/>
                  <w:vAlign w:val="center"/>
                </w:tcPr>
                <w:p>
                  <w:pPr>
                    <w:pStyle w:val="11"/>
                    <w:spacing w:line="320" w:lineRule="exact"/>
                    <w:ind w:left="-105" w:leftChars="-50" w:right="-105" w:rightChars="-50"/>
                    <w:jc w:val="center"/>
                    <w:rPr>
                      <w:rFonts w:ascii="Times New Roman" w:hAnsi="Times New Roman"/>
                      <w:szCs w:val="21"/>
                    </w:rPr>
                  </w:pPr>
                  <w:r>
                    <w:rPr>
                      <w:rFonts w:ascii="Times New Roman" w:hAnsi="Times New Roman"/>
                      <w:szCs w:val="21"/>
                    </w:rPr>
                    <w:t>专项评价的类别</w:t>
                  </w:r>
                </w:p>
              </w:tc>
              <w:tc>
                <w:tcPr>
                  <w:tcW w:w="3215" w:type="dxa"/>
                  <w:vAlign w:val="center"/>
                </w:tcPr>
                <w:p>
                  <w:pPr>
                    <w:pStyle w:val="11"/>
                    <w:spacing w:line="320" w:lineRule="exact"/>
                    <w:jc w:val="center"/>
                    <w:rPr>
                      <w:rFonts w:ascii="Times New Roman" w:hAnsi="Times New Roman"/>
                      <w:szCs w:val="21"/>
                    </w:rPr>
                  </w:pPr>
                  <w:r>
                    <w:rPr>
                      <w:rFonts w:ascii="Times New Roman" w:hAnsi="Times New Roman"/>
                      <w:szCs w:val="21"/>
                    </w:rPr>
                    <w:t>设置原则</w:t>
                  </w:r>
                </w:p>
              </w:tc>
              <w:tc>
                <w:tcPr>
                  <w:tcW w:w="2689" w:type="dxa"/>
                  <w:vAlign w:val="center"/>
                </w:tcPr>
                <w:p>
                  <w:pPr>
                    <w:pStyle w:val="11"/>
                    <w:spacing w:line="320" w:lineRule="exact"/>
                    <w:jc w:val="center"/>
                    <w:rPr>
                      <w:rFonts w:ascii="Times New Roman" w:hAnsi="Times New Roman"/>
                      <w:szCs w:val="21"/>
                    </w:rPr>
                  </w:pPr>
                  <w:r>
                    <w:rPr>
                      <w:rFonts w:ascii="Times New Roman" w:hAnsi="Times New Roman"/>
                      <w:szCs w:val="21"/>
                    </w:rPr>
                    <w:t>拟建项目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trPr>
              <w:tc>
                <w:tcPr>
                  <w:tcW w:w="884" w:type="dxa"/>
                  <w:vAlign w:val="center"/>
                </w:tcPr>
                <w:p>
                  <w:pPr>
                    <w:pStyle w:val="11"/>
                    <w:spacing w:line="320" w:lineRule="exact"/>
                    <w:jc w:val="center"/>
                    <w:rPr>
                      <w:rFonts w:ascii="Times New Roman" w:hAnsi="Times New Roman"/>
                      <w:szCs w:val="21"/>
                    </w:rPr>
                  </w:pPr>
                  <w:r>
                    <w:rPr>
                      <w:rFonts w:ascii="Times New Roman" w:hAnsi="Times New Roman"/>
                      <w:szCs w:val="21"/>
                    </w:rPr>
                    <w:t>大气</w:t>
                  </w:r>
                </w:p>
              </w:tc>
              <w:tc>
                <w:tcPr>
                  <w:tcW w:w="3215" w:type="dxa"/>
                  <w:vAlign w:val="center"/>
                </w:tcPr>
                <w:p>
                  <w:pPr>
                    <w:pStyle w:val="11"/>
                    <w:spacing w:line="320" w:lineRule="exact"/>
                    <w:rPr>
                      <w:rFonts w:ascii="Times New Roman" w:hAnsi="Times New Roman"/>
                      <w:szCs w:val="21"/>
                    </w:rPr>
                  </w:pPr>
                  <w:r>
                    <w:rPr>
                      <w:rFonts w:ascii="Times New Roman" w:hAnsi="Times New Roman"/>
                      <w:szCs w:val="21"/>
                    </w:rPr>
                    <w:t>排放废气含有毒有害污染物</w:t>
                  </w:r>
                  <w:r>
                    <w:rPr>
                      <w:rFonts w:ascii="Times New Roman" w:hAnsi="Times New Roman"/>
                      <w:szCs w:val="21"/>
                      <w:vertAlign w:val="superscript"/>
                    </w:rPr>
                    <w:t>1</w:t>
                  </w:r>
                  <w:r>
                    <w:rPr>
                      <w:rFonts w:ascii="Times New Roman" w:hAnsi="Times New Roman"/>
                      <w:szCs w:val="21"/>
                    </w:rPr>
                    <w:t>、二噁英、苯并[a]芘、氰化物、氯气且厂界外500米范围内有环境空气保护目标</w:t>
                  </w:r>
                  <w:r>
                    <w:rPr>
                      <w:rFonts w:ascii="Times New Roman" w:hAnsi="Times New Roman"/>
                      <w:szCs w:val="21"/>
                      <w:vertAlign w:val="superscript"/>
                    </w:rPr>
                    <w:t>2</w:t>
                  </w:r>
                  <w:r>
                    <w:rPr>
                      <w:rFonts w:ascii="Times New Roman" w:hAnsi="Times New Roman"/>
                      <w:szCs w:val="21"/>
                    </w:rPr>
                    <w:t>的建设项目</w:t>
                  </w:r>
                </w:p>
              </w:tc>
              <w:tc>
                <w:tcPr>
                  <w:tcW w:w="2689" w:type="dxa"/>
                  <w:vAlign w:val="center"/>
                </w:tcPr>
                <w:p>
                  <w:pPr>
                    <w:pStyle w:val="11"/>
                    <w:spacing w:line="320" w:lineRule="exact"/>
                    <w:rPr>
                      <w:rFonts w:ascii="Times New Roman" w:hAnsi="Times New Roman"/>
                      <w:szCs w:val="21"/>
                    </w:rPr>
                  </w:pPr>
                  <w:r>
                    <w:rPr>
                      <w:rFonts w:hint="eastAsia" w:ascii="Times New Roman" w:hAnsi="Times New Roman"/>
                      <w:szCs w:val="21"/>
                    </w:rPr>
                    <w:t>拟建项目营运期排放废气不含有毒有害污染物1、二噁英、苯并[a]芘、氰化物、氯气，故拟建项目无需开展大气专项评价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4" w:type="dxa"/>
                  <w:vAlign w:val="center"/>
                </w:tcPr>
                <w:p>
                  <w:pPr>
                    <w:pStyle w:val="11"/>
                    <w:spacing w:line="320" w:lineRule="exact"/>
                    <w:jc w:val="center"/>
                    <w:rPr>
                      <w:rFonts w:ascii="Times New Roman" w:hAnsi="Times New Roman"/>
                      <w:szCs w:val="21"/>
                    </w:rPr>
                  </w:pPr>
                  <w:r>
                    <w:rPr>
                      <w:rFonts w:ascii="Times New Roman" w:hAnsi="Times New Roman"/>
                      <w:szCs w:val="21"/>
                    </w:rPr>
                    <w:t>地表水</w:t>
                  </w:r>
                </w:p>
              </w:tc>
              <w:tc>
                <w:tcPr>
                  <w:tcW w:w="3215" w:type="dxa"/>
                  <w:vAlign w:val="center"/>
                </w:tcPr>
                <w:p>
                  <w:pPr>
                    <w:pStyle w:val="11"/>
                    <w:spacing w:line="320" w:lineRule="exact"/>
                    <w:rPr>
                      <w:rFonts w:ascii="Times New Roman" w:hAnsi="Times New Roman"/>
                      <w:szCs w:val="21"/>
                    </w:rPr>
                  </w:pPr>
                  <w:r>
                    <w:rPr>
                      <w:rFonts w:ascii="Times New Roman" w:hAnsi="Times New Roman"/>
                      <w:szCs w:val="21"/>
                    </w:rPr>
                    <w:t>新增工业废水直排建设项目（槽罐车外送污水处理厂的除外）；新增废水直排的污水集中处理厂</w:t>
                  </w:r>
                </w:p>
              </w:tc>
              <w:tc>
                <w:tcPr>
                  <w:tcW w:w="2689" w:type="dxa"/>
                  <w:vAlign w:val="center"/>
                </w:tcPr>
                <w:p>
                  <w:pPr>
                    <w:pStyle w:val="11"/>
                    <w:spacing w:line="320" w:lineRule="exact"/>
                    <w:rPr>
                      <w:rFonts w:ascii="Times New Roman" w:hAnsi="Times New Roman"/>
                      <w:szCs w:val="21"/>
                    </w:rPr>
                  </w:pPr>
                  <w:r>
                    <w:rPr>
                      <w:rFonts w:ascii="Times New Roman" w:hAnsi="Times New Roman"/>
                      <w:szCs w:val="21"/>
                    </w:rPr>
                    <w:t>拟建项目运营期生活污水为间接排放，故拟建项目无需开展地表水专项评价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4" w:type="dxa"/>
                  <w:vAlign w:val="center"/>
                </w:tcPr>
                <w:p>
                  <w:pPr>
                    <w:pStyle w:val="11"/>
                    <w:spacing w:line="320" w:lineRule="exact"/>
                    <w:jc w:val="center"/>
                    <w:rPr>
                      <w:rFonts w:ascii="Times New Roman" w:hAnsi="Times New Roman"/>
                      <w:szCs w:val="21"/>
                    </w:rPr>
                  </w:pPr>
                  <w:r>
                    <w:rPr>
                      <w:rFonts w:ascii="Times New Roman" w:hAnsi="Times New Roman"/>
                      <w:szCs w:val="21"/>
                    </w:rPr>
                    <w:t>环境风险</w:t>
                  </w:r>
                </w:p>
              </w:tc>
              <w:tc>
                <w:tcPr>
                  <w:tcW w:w="3215" w:type="dxa"/>
                  <w:vAlign w:val="center"/>
                </w:tcPr>
                <w:p>
                  <w:pPr>
                    <w:pStyle w:val="11"/>
                    <w:spacing w:line="320" w:lineRule="exact"/>
                    <w:rPr>
                      <w:rFonts w:ascii="Times New Roman" w:hAnsi="Times New Roman"/>
                      <w:szCs w:val="21"/>
                    </w:rPr>
                  </w:pPr>
                  <w:r>
                    <w:rPr>
                      <w:rFonts w:ascii="Times New Roman" w:hAnsi="Times New Roman"/>
                      <w:szCs w:val="21"/>
                    </w:rPr>
                    <w:t>有毒有害和易燃易爆危险物质存储量超过临界量</w:t>
                  </w:r>
                  <w:r>
                    <w:rPr>
                      <w:rFonts w:ascii="Times New Roman" w:hAnsi="Times New Roman"/>
                      <w:szCs w:val="21"/>
                      <w:vertAlign w:val="superscript"/>
                    </w:rPr>
                    <w:t>3</w:t>
                  </w:r>
                  <w:r>
                    <w:rPr>
                      <w:rFonts w:ascii="Times New Roman" w:hAnsi="Times New Roman"/>
                      <w:szCs w:val="21"/>
                    </w:rPr>
                    <w:t>的建设项目</w:t>
                  </w:r>
                </w:p>
              </w:tc>
              <w:tc>
                <w:tcPr>
                  <w:tcW w:w="2689" w:type="dxa"/>
                  <w:vAlign w:val="center"/>
                </w:tcPr>
                <w:p>
                  <w:pPr>
                    <w:pStyle w:val="11"/>
                    <w:spacing w:line="320" w:lineRule="exact"/>
                    <w:rPr>
                      <w:rFonts w:ascii="Times New Roman" w:hAnsi="Times New Roman"/>
                      <w:szCs w:val="21"/>
                    </w:rPr>
                  </w:pPr>
                  <w:r>
                    <w:rPr>
                      <w:rFonts w:ascii="Times New Roman" w:hAnsi="Times New Roman"/>
                      <w:szCs w:val="21"/>
                    </w:rPr>
                    <w:t>拟建项目有毒有害</w:t>
                  </w:r>
                  <w:r>
                    <w:rPr>
                      <w:rFonts w:hint="eastAsia" w:ascii="Times New Roman" w:hAnsi="Times New Roman"/>
                      <w:szCs w:val="21"/>
                    </w:rPr>
                    <w:t>危险物质和</w:t>
                  </w:r>
                  <w:r>
                    <w:rPr>
                      <w:rFonts w:ascii="Times New Roman" w:hAnsi="Times New Roman"/>
                      <w:szCs w:val="21"/>
                    </w:rPr>
                    <w:t>易燃易爆危险物质存储量未超过临界量，故拟建项目无需开展环境风险专项评价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4" w:type="dxa"/>
                  <w:vAlign w:val="center"/>
                </w:tcPr>
                <w:p>
                  <w:pPr>
                    <w:pStyle w:val="11"/>
                    <w:spacing w:line="320" w:lineRule="exact"/>
                    <w:jc w:val="center"/>
                    <w:rPr>
                      <w:rFonts w:ascii="Times New Roman" w:hAnsi="Times New Roman"/>
                      <w:szCs w:val="21"/>
                    </w:rPr>
                  </w:pPr>
                  <w:r>
                    <w:rPr>
                      <w:rFonts w:ascii="Times New Roman" w:hAnsi="Times New Roman"/>
                      <w:szCs w:val="21"/>
                    </w:rPr>
                    <w:t>生态</w:t>
                  </w:r>
                </w:p>
              </w:tc>
              <w:tc>
                <w:tcPr>
                  <w:tcW w:w="3215" w:type="dxa"/>
                  <w:vAlign w:val="center"/>
                </w:tcPr>
                <w:p>
                  <w:pPr>
                    <w:pStyle w:val="11"/>
                    <w:spacing w:line="320" w:lineRule="exact"/>
                    <w:rPr>
                      <w:rFonts w:ascii="Times New Roman" w:hAnsi="Times New Roman"/>
                      <w:szCs w:val="21"/>
                    </w:rPr>
                  </w:pPr>
                  <w:r>
                    <w:rPr>
                      <w:rFonts w:ascii="Times New Roman" w:hAnsi="Times New Roman"/>
                      <w:szCs w:val="21"/>
                    </w:rPr>
                    <w:t>取水口下游500米范围内有重要水生生物的自然产卵场、索饵场、越冬场和洄游通道的新增河道取水的污染类建设项目</w:t>
                  </w:r>
                </w:p>
              </w:tc>
              <w:tc>
                <w:tcPr>
                  <w:tcW w:w="2689" w:type="dxa"/>
                  <w:vAlign w:val="center"/>
                </w:tcPr>
                <w:p>
                  <w:pPr>
                    <w:pStyle w:val="11"/>
                    <w:spacing w:line="320" w:lineRule="exact"/>
                    <w:rPr>
                      <w:rFonts w:ascii="Times New Roman" w:hAnsi="Times New Roman"/>
                      <w:szCs w:val="21"/>
                    </w:rPr>
                  </w:pPr>
                  <w:r>
                    <w:rPr>
                      <w:rFonts w:ascii="Times New Roman" w:hAnsi="Times New Roman"/>
                      <w:szCs w:val="21"/>
                    </w:rPr>
                    <w:t>拟建项目不涉及取水，故拟建项目无需开展生态专项评价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4" w:type="dxa"/>
                  <w:vAlign w:val="center"/>
                </w:tcPr>
                <w:p>
                  <w:pPr>
                    <w:pStyle w:val="11"/>
                    <w:spacing w:line="320" w:lineRule="exact"/>
                    <w:jc w:val="center"/>
                    <w:rPr>
                      <w:rFonts w:ascii="Times New Roman" w:hAnsi="Times New Roman"/>
                      <w:szCs w:val="21"/>
                    </w:rPr>
                  </w:pPr>
                  <w:r>
                    <w:rPr>
                      <w:rFonts w:ascii="Times New Roman" w:hAnsi="Times New Roman"/>
                      <w:szCs w:val="21"/>
                    </w:rPr>
                    <w:t>海洋</w:t>
                  </w:r>
                </w:p>
              </w:tc>
              <w:tc>
                <w:tcPr>
                  <w:tcW w:w="3215" w:type="dxa"/>
                  <w:vAlign w:val="center"/>
                </w:tcPr>
                <w:p>
                  <w:pPr>
                    <w:pStyle w:val="11"/>
                    <w:spacing w:line="320" w:lineRule="exact"/>
                    <w:rPr>
                      <w:rFonts w:ascii="Times New Roman" w:hAnsi="Times New Roman"/>
                      <w:szCs w:val="21"/>
                    </w:rPr>
                  </w:pPr>
                  <w:r>
                    <w:rPr>
                      <w:rFonts w:ascii="Times New Roman" w:hAnsi="Times New Roman"/>
                      <w:szCs w:val="21"/>
                    </w:rPr>
                    <w:t>直接向海排放污染物的海洋工程建设项目</w:t>
                  </w:r>
                </w:p>
              </w:tc>
              <w:tc>
                <w:tcPr>
                  <w:tcW w:w="2689" w:type="dxa"/>
                  <w:vAlign w:val="center"/>
                </w:tcPr>
                <w:p>
                  <w:pPr>
                    <w:pStyle w:val="11"/>
                    <w:spacing w:line="320" w:lineRule="exact"/>
                    <w:rPr>
                      <w:rFonts w:ascii="Times New Roman" w:hAnsi="Times New Roman"/>
                      <w:szCs w:val="21"/>
                    </w:rPr>
                  </w:pPr>
                  <w:r>
                    <w:rPr>
                      <w:rFonts w:ascii="Times New Roman" w:hAnsi="Times New Roman"/>
                      <w:szCs w:val="21"/>
                    </w:rPr>
                    <w:t>拟建项目不属于海洋工程建设项目，故拟建项目无需开展海洋专项评价</w:t>
                  </w:r>
                </w:p>
              </w:tc>
            </w:tr>
          </w:tbl>
          <w:p>
            <w:pPr>
              <w:pStyle w:val="85"/>
              <w:ind w:firstLine="420"/>
            </w:pPr>
            <w:r>
              <w:t>注：1</w:t>
            </w:r>
            <w:r>
              <w:rPr>
                <w:rFonts w:hint="eastAsia"/>
              </w:rPr>
              <w:t>、</w:t>
            </w:r>
            <w:r>
              <w:t>废气中有毒有害污染物指纳入《有毒有害大气污染物名录》的污染物（不包括无排放标准的污染物）。</w:t>
            </w:r>
          </w:p>
          <w:p>
            <w:pPr>
              <w:pStyle w:val="85"/>
              <w:ind w:firstLine="420"/>
            </w:pPr>
            <w:r>
              <w:rPr>
                <w:rFonts w:hint="eastAsia"/>
              </w:rPr>
              <w:t>2、</w:t>
            </w:r>
            <w:r>
              <w:t>环境空气保护目标指自然保护区、风景名胜区、居住区、文化区和农村地区中人群较集中的区域。</w:t>
            </w:r>
          </w:p>
          <w:p>
            <w:pPr>
              <w:pStyle w:val="85"/>
              <w:ind w:firstLine="420"/>
              <w:rPr>
                <w:kern w:val="0"/>
              </w:rPr>
            </w:pPr>
            <w:r>
              <w:t>3</w:t>
            </w:r>
            <w:r>
              <w:rPr>
                <w:rFonts w:hint="eastAsia"/>
              </w:rPr>
              <w:t>、</w:t>
            </w:r>
            <w:r>
              <w:t>临界量及其计算方法可参考《建设项目环境风险评价技术导则》（HJ 169）附录B、附录C。</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47" w:hRule="atLeast"/>
          <w:jc w:val="center"/>
        </w:trPr>
        <w:tc>
          <w:tcPr>
            <w:tcW w:w="1714" w:type="dxa"/>
            <w:vAlign w:val="center"/>
          </w:tcPr>
          <w:p>
            <w:pPr>
              <w:autoSpaceDE w:val="0"/>
              <w:autoSpaceDN w:val="0"/>
              <w:adjustRightInd w:val="0"/>
              <w:snapToGrid w:val="0"/>
              <w:jc w:val="center"/>
              <w:rPr>
                <w:kern w:val="0"/>
                <w:sz w:val="24"/>
              </w:rPr>
            </w:pPr>
            <w:r>
              <w:rPr>
                <w:sz w:val="24"/>
              </w:rPr>
              <w:t>规划情况</w:t>
            </w:r>
          </w:p>
        </w:tc>
        <w:tc>
          <w:tcPr>
            <w:tcW w:w="7156" w:type="dxa"/>
            <w:gridSpan w:val="3"/>
            <w:vAlign w:val="center"/>
          </w:tcPr>
          <w:p>
            <w:pPr>
              <w:pStyle w:val="82"/>
              <w:spacing w:line="240" w:lineRule="auto"/>
              <w:rPr>
                <w:kern w:val="0"/>
              </w:rPr>
            </w:pPr>
            <w:r>
              <w:t>《铜梁区工业发展规划（2017-2025年）》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60" w:hRule="atLeast"/>
          <w:jc w:val="center"/>
        </w:trPr>
        <w:tc>
          <w:tcPr>
            <w:tcW w:w="1714" w:type="dxa"/>
            <w:vAlign w:val="center"/>
          </w:tcPr>
          <w:p>
            <w:pPr>
              <w:adjustRightInd w:val="0"/>
              <w:snapToGrid w:val="0"/>
              <w:jc w:val="center"/>
              <w:rPr>
                <w:sz w:val="24"/>
              </w:rPr>
            </w:pPr>
            <w:r>
              <w:rPr>
                <w:sz w:val="24"/>
              </w:rPr>
              <w:t>规划环境影响</w:t>
            </w:r>
          </w:p>
          <w:p>
            <w:pPr>
              <w:adjustRightInd w:val="0"/>
              <w:snapToGrid w:val="0"/>
              <w:jc w:val="center"/>
              <w:rPr>
                <w:kern w:val="0"/>
                <w:sz w:val="24"/>
              </w:rPr>
            </w:pPr>
            <w:r>
              <w:rPr>
                <w:sz w:val="24"/>
              </w:rPr>
              <w:t>评价情况</w:t>
            </w:r>
          </w:p>
        </w:tc>
        <w:tc>
          <w:tcPr>
            <w:tcW w:w="7156" w:type="dxa"/>
            <w:gridSpan w:val="3"/>
            <w:vAlign w:val="center"/>
          </w:tcPr>
          <w:p>
            <w:pPr>
              <w:pStyle w:val="82"/>
            </w:pPr>
            <w:r>
              <w:t>文件名称：《重庆铜梁高新区铜梁及全蒲片区规划环境影响跟踪评价报告书》</w:t>
            </w:r>
          </w:p>
          <w:p>
            <w:pPr>
              <w:pStyle w:val="82"/>
            </w:pPr>
            <w:r>
              <w:t>召集审查机关：重庆市生态环境局</w:t>
            </w:r>
          </w:p>
          <w:p>
            <w:pPr>
              <w:pStyle w:val="82"/>
              <w:rPr>
                <w:kern w:val="0"/>
              </w:rPr>
            </w:pPr>
            <w:r>
              <w:t>审查文件名称及文号：《重庆市生态环境局关于重庆市铜梁高新区铜梁片区及全蒲片区规划环境影响跟踪评价报告书审查意见的函》（渝环函[2019]94号）</w:t>
            </w:r>
          </w:p>
        </w:tc>
      </w:tr>
    </w:tbl>
    <w:p/>
    <w:tbl>
      <w:tblPr>
        <w:tblStyle w:val="24"/>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41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96" w:hRule="atLeast"/>
          <w:jc w:val="center"/>
        </w:trPr>
        <w:tc>
          <w:tcPr>
            <w:tcW w:w="456" w:type="dxa"/>
            <w:vAlign w:val="center"/>
          </w:tcPr>
          <w:p>
            <w:pPr>
              <w:autoSpaceDE w:val="0"/>
              <w:autoSpaceDN w:val="0"/>
              <w:adjustRightInd w:val="0"/>
              <w:snapToGrid w:val="0"/>
              <w:jc w:val="center"/>
              <w:rPr>
                <w:kern w:val="0"/>
                <w:sz w:val="24"/>
              </w:rPr>
            </w:pPr>
            <w:r>
              <w:rPr>
                <w:kern w:val="0"/>
                <w:sz w:val="24"/>
              </w:rPr>
              <w:t>规划及规划环境影响评价符合性分析</w:t>
            </w:r>
          </w:p>
        </w:tc>
        <w:tc>
          <w:tcPr>
            <w:tcW w:w="8414" w:type="dxa"/>
            <w:vAlign w:val="center"/>
          </w:tcPr>
          <w:p>
            <w:pPr>
              <w:pStyle w:val="82"/>
              <w:ind w:firstLine="482"/>
              <w:rPr>
                <w:b/>
                <w:bCs/>
              </w:rPr>
            </w:pPr>
            <w:r>
              <w:rPr>
                <w:rFonts w:hint="eastAsia"/>
                <w:b/>
                <w:bCs/>
              </w:rPr>
              <w:t>1、《铜梁区工业发展规划（2017-2025年）》符合性分析</w:t>
            </w:r>
          </w:p>
          <w:p>
            <w:pPr>
              <w:pStyle w:val="82"/>
            </w:pPr>
            <w:r>
              <w:rPr>
                <w:rFonts w:hint="eastAsia"/>
              </w:rPr>
              <w:t>①规划范围及面积以白土坝片区、姜家岩片区、蒲吕片区为核心，白土坝片区、姜家岩片区、蒲吕片区规划面积2233.48km</w:t>
            </w:r>
            <w:r>
              <w:rPr>
                <w:rFonts w:hint="eastAsia"/>
                <w:vertAlign w:val="superscript"/>
              </w:rPr>
              <w:t>2</w:t>
            </w:r>
            <w:r>
              <w:rPr>
                <w:rFonts w:hint="eastAsia"/>
              </w:rPr>
              <w:t>，远景规划面积50hm</w:t>
            </w:r>
            <w:r>
              <w:rPr>
                <w:rFonts w:hint="eastAsia"/>
                <w:vertAlign w:val="superscript"/>
              </w:rPr>
              <w:t>2</w:t>
            </w:r>
            <w:r>
              <w:rPr>
                <w:rFonts w:hint="eastAsia"/>
              </w:rPr>
              <w:t>。②功能定位重庆市重要的先进制造业基地，具有国内竞争力的高新技术开发 区，成渝大健康产业集聚区。③产业结构主要发展电子信息、装备制造、新材料、适当大健康等产业。④排水规划园区采用雨污分流制。铜梁工业园以及全蒲片区北部属淮远河排水系统，雨水管网采用重力流，沿园区雨水干管就近排入淮远河。铜梁工业园的全德、姜家岩、食品工业小区以及全蒲片区北部废水进入东城污水处理厂处理，污水经处理达到《城镇污水处理厂污染物排放标准》（GB18918-2002）中一级B标准后，排入淮远河。蒲吕工业园、全蒲片区南部污水进入蒲吕污水处理厂处理达《城镇污水处理厂污染物排放标准》（GB18918-2002）中一级A标准后，排入小安溪河。拟建项目位于重庆铜梁高新技术产业开发区蒲吕片区，规划布局如下：以装备制造、电子信息、新材料、大健康产业为主要发展方向，培育新型工业。</w:t>
            </w:r>
          </w:p>
          <w:p>
            <w:pPr>
              <w:pStyle w:val="82"/>
            </w:pPr>
            <w:r>
              <w:rPr>
                <w:rFonts w:hint="eastAsia"/>
              </w:rPr>
              <w:t>拟建项目属于其他塑料制品制造，位于重庆市铜梁区龙山大道2</w:t>
            </w:r>
            <w:r>
              <w:t>0</w:t>
            </w:r>
            <w:r>
              <w:rPr>
                <w:rFonts w:hint="eastAsia"/>
              </w:rPr>
              <w:t>号，属于重庆铜梁高新技术产业开发区蒲吕片区，与重庆铜梁高新技术产业开发区蒲吕片区的产业定位和规划布局不冲突。</w:t>
            </w:r>
          </w:p>
          <w:p>
            <w:pPr>
              <w:pStyle w:val="82"/>
              <w:ind w:firstLine="482"/>
              <w:rPr>
                <w:b/>
                <w:bCs/>
              </w:rPr>
            </w:pPr>
            <w:r>
              <w:rPr>
                <w:rFonts w:hint="eastAsia"/>
                <w:b/>
                <w:bCs/>
              </w:rPr>
              <w:t>2、</w:t>
            </w:r>
            <w:r>
              <w:rPr>
                <w:b/>
                <w:bCs/>
              </w:rPr>
              <w:t>与</w:t>
            </w:r>
            <w:r>
              <w:rPr>
                <w:rFonts w:hint="eastAsia"/>
                <w:b/>
                <w:bCs/>
              </w:rPr>
              <w:t>《重庆铜梁高新区铜梁片区及全蒲片区规划环境影响跟踪评价报告书》</w:t>
            </w:r>
            <w:r>
              <w:rPr>
                <w:b/>
                <w:bCs/>
              </w:rPr>
              <w:t>的符合性分析</w:t>
            </w:r>
          </w:p>
          <w:p>
            <w:pPr>
              <w:pStyle w:val="88"/>
              <w:adjustRightInd/>
              <w:spacing w:line="360" w:lineRule="auto"/>
              <w:ind w:firstLineChars="200"/>
              <w:contextualSpacing/>
              <w:jc w:val="both"/>
              <w:rPr>
                <w:rFonts w:ascii="Times New Roman" w:hAnsi="Times New Roman" w:eastAsia="宋体" w:cs="Times New Roman"/>
              </w:rPr>
            </w:pPr>
            <w:r>
              <w:rPr>
                <w:rFonts w:ascii="Times New Roman" w:hAnsi="Times New Roman" w:eastAsia="宋体" w:cs="Times New Roman"/>
              </w:rPr>
              <w:t>重庆铜梁工业园区于2002年成立，是重庆市人民政府《关于同意渝北区等16个区县（市）设立特色工业园区的批复》（渝府〔2002〕210号）批准设立的首批市级特色工业园区。</w:t>
            </w:r>
          </w:p>
          <w:p>
            <w:pPr>
              <w:pStyle w:val="88"/>
              <w:adjustRightInd/>
              <w:spacing w:line="360" w:lineRule="auto"/>
              <w:ind w:firstLineChars="200"/>
              <w:contextualSpacing/>
              <w:jc w:val="both"/>
              <w:rPr>
                <w:rFonts w:ascii="Times New Roman" w:hAnsi="Times New Roman" w:eastAsia="宋体" w:cs="Times New Roman"/>
              </w:rPr>
            </w:pPr>
            <w:r>
              <w:rPr>
                <w:rFonts w:ascii="Times New Roman" w:hAnsi="Times New Roman" w:eastAsia="宋体" w:cs="Times New Roman"/>
              </w:rPr>
              <w:t>根据</w:t>
            </w:r>
            <w:r>
              <w:rPr>
                <w:rFonts w:hint="eastAsia" w:ascii="Times New Roman" w:hAnsi="Times New Roman" w:eastAsia="宋体" w:cs="Times New Roman"/>
              </w:rPr>
              <w:t>《</w:t>
            </w:r>
            <w:r>
              <w:rPr>
                <w:rFonts w:ascii="Times New Roman" w:hAnsi="Times New Roman" w:eastAsia="宋体" w:cs="Times New Roman"/>
              </w:rPr>
              <w:t>重庆市铜梁工业园区管理委员会提供的铜梁区控制性详细规划整合（2014）</w:t>
            </w:r>
            <w:r>
              <w:rPr>
                <w:rFonts w:hint="eastAsia" w:ascii="Times New Roman" w:hAnsi="Times New Roman" w:eastAsia="宋体" w:cs="Times New Roman"/>
              </w:rPr>
              <w:t>》</w:t>
            </w:r>
            <w:r>
              <w:rPr>
                <w:rFonts w:ascii="Times New Roman" w:hAnsi="Times New Roman" w:eastAsia="宋体" w:cs="Times New Roman"/>
              </w:rPr>
              <w:t>、</w:t>
            </w:r>
            <w:r>
              <w:rPr>
                <w:rFonts w:hint="eastAsia" w:ascii="Times New Roman" w:hAnsi="Times New Roman" w:eastAsia="宋体" w:cs="Times New Roman"/>
              </w:rPr>
              <w:t>《</w:t>
            </w:r>
            <w:r>
              <w:rPr>
                <w:rFonts w:ascii="Times New Roman" w:hAnsi="Times New Roman" w:eastAsia="宋体" w:cs="Times New Roman"/>
              </w:rPr>
              <w:t>铜梁区工业发展规划（2017-2025）</w:t>
            </w:r>
            <w:r>
              <w:rPr>
                <w:rFonts w:hint="eastAsia" w:ascii="Times New Roman" w:hAnsi="Times New Roman" w:eastAsia="宋体" w:cs="Times New Roman"/>
              </w:rPr>
              <w:t>》</w:t>
            </w:r>
            <w:r>
              <w:rPr>
                <w:rFonts w:ascii="Times New Roman" w:hAnsi="Times New Roman" w:eastAsia="宋体" w:cs="Times New Roman"/>
              </w:rPr>
              <w:t>及铜梁区各专项规划，铜梁高新区最新规划概要如下：</w:t>
            </w:r>
          </w:p>
          <w:p>
            <w:pPr>
              <w:pStyle w:val="88"/>
              <w:adjustRightInd/>
              <w:spacing w:line="360" w:lineRule="auto"/>
              <w:ind w:firstLineChars="200"/>
              <w:contextualSpacing/>
              <w:jc w:val="both"/>
              <w:rPr>
                <w:rFonts w:ascii="Times New Roman" w:hAnsi="Times New Roman" w:eastAsia="宋体" w:cs="Times New Roman"/>
              </w:rPr>
            </w:pPr>
            <w:r>
              <w:rPr>
                <w:rFonts w:hint="eastAsia" w:ascii="Times New Roman" w:hAnsi="Times New Roman" w:eastAsia="宋体" w:cs="Times New Roman"/>
              </w:rPr>
              <w:t>①</w:t>
            </w:r>
            <w:r>
              <w:rPr>
                <w:rFonts w:ascii="Times New Roman" w:hAnsi="Times New Roman" w:eastAsia="宋体" w:cs="Times New Roman"/>
              </w:rPr>
              <w:t>规划范围及面积</w:t>
            </w:r>
          </w:p>
          <w:p>
            <w:pPr>
              <w:pStyle w:val="88"/>
              <w:adjustRightInd/>
              <w:spacing w:line="360" w:lineRule="auto"/>
              <w:ind w:firstLineChars="200"/>
              <w:contextualSpacing/>
              <w:jc w:val="both"/>
              <w:rPr>
                <w:rFonts w:ascii="Times New Roman" w:hAnsi="Times New Roman" w:eastAsia="宋体" w:cs="Times New Roman"/>
              </w:rPr>
            </w:pPr>
            <w:r>
              <w:rPr>
                <w:rFonts w:ascii="Times New Roman" w:hAnsi="Times New Roman" w:eastAsia="宋体" w:cs="Times New Roman"/>
              </w:rPr>
              <w:t>以白土坝片区、姜家岩片区、蒲吕片区、大庙片区为核心，白土坝片区、姜家岩片区、蒲吕片区规划面积2233.48ha，远景规划面积50平方公里。</w:t>
            </w:r>
          </w:p>
          <w:p>
            <w:pPr>
              <w:pStyle w:val="88"/>
              <w:adjustRightInd/>
              <w:spacing w:line="360" w:lineRule="auto"/>
              <w:ind w:firstLineChars="200"/>
              <w:contextualSpacing/>
              <w:jc w:val="both"/>
              <w:rPr>
                <w:rFonts w:ascii="Times New Roman" w:hAnsi="Times New Roman" w:eastAsia="宋体" w:cs="Times New Roman"/>
              </w:rPr>
            </w:pPr>
            <w:r>
              <w:rPr>
                <w:rFonts w:hint="eastAsia" w:ascii="Times New Roman" w:hAnsi="Times New Roman" w:eastAsia="宋体" w:cs="Times New Roman"/>
              </w:rPr>
              <w:t>②</w:t>
            </w:r>
            <w:r>
              <w:rPr>
                <w:rFonts w:ascii="Times New Roman" w:hAnsi="Times New Roman" w:eastAsia="宋体" w:cs="Times New Roman"/>
              </w:rPr>
              <w:t>功能定位</w:t>
            </w:r>
          </w:p>
          <w:p>
            <w:pPr>
              <w:pStyle w:val="88"/>
              <w:adjustRightInd/>
              <w:spacing w:line="360" w:lineRule="auto"/>
              <w:ind w:firstLineChars="200"/>
              <w:contextualSpacing/>
              <w:jc w:val="both"/>
              <w:rPr>
                <w:rFonts w:ascii="Times New Roman" w:hAnsi="Times New Roman" w:eastAsia="宋体" w:cs="Times New Roman"/>
              </w:rPr>
            </w:pPr>
            <w:r>
              <w:rPr>
                <w:rFonts w:ascii="Times New Roman" w:hAnsi="Times New Roman" w:eastAsia="宋体" w:cs="Times New Roman"/>
              </w:rPr>
              <w:t>重庆市重要的先进制造业基地，具有国内竞争力的高新技术开发区，成渝大健康产业集聚区。</w:t>
            </w:r>
          </w:p>
          <w:p>
            <w:pPr>
              <w:pStyle w:val="88"/>
              <w:adjustRightInd/>
              <w:spacing w:line="360" w:lineRule="auto"/>
              <w:ind w:firstLineChars="200"/>
              <w:contextualSpacing/>
              <w:jc w:val="both"/>
              <w:rPr>
                <w:rFonts w:ascii="Times New Roman" w:hAnsi="Times New Roman" w:eastAsia="宋体" w:cs="Times New Roman"/>
              </w:rPr>
            </w:pPr>
            <w:r>
              <w:rPr>
                <w:rFonts w:hint="eastAsia" w:ascii="Times New Roman" w:hAnsi="Times New Roman" w:eastAsia="宋体" w:cs="Times New Roman"/>
              </w:rPr>
              <w:t>③</w:t>
            </w:r>
            <w:r>
              <w:rPr>
                <w:rFonts w:ascii="Times New Roman" w:hAnsi="Times New Roman" w:eastAsia="宋体" w:cs="Times New Roman"/>
              </w:rPr>
              <w:t>产业结构</w:t>
            </w:r>
          </w:p>
          <w:p>
            <w:pPr>
              <w:pStyle w:val="88"/>
              <w:adjustRightInd/>
              <w:spacing w:line="360" w:lineRule="auto"/>
              <w:ind w:firstLineChars="200"/>
              <w:contextualSpacing/>
              <w:jc w:val="both"/>
              <w:rPr>
                <w:rFonts w:ascii="Times New Roman" w:hAnsi="Times New Roman" w:eastAsia="宋体" w:cs="Times New Roman"/>
              </w:rPr>
            </w:pPr>
            <w:r>
              <w:rPr>
                <w:rFonts w:ascii="Times New Roman" w:hAnsi="Times New Roman" w:eastAsia="宋体" w:cs="Times New Roman"/>
              </w:rPr>
              <w:t>电子信息、装备制造、新材料、大健康等产业。</w:t>
            </w:r>
          </w:p>
          <w:p>
            <w:pPr>
              <w:pStyle w:val="88"/>
              <w:adjustRightInd/>
              <w:spacing w:line="360" w:lineRule="auto"/>
              <w:ind w:firstLineChars="200"/>
              <w:contextualSpacing/>
              <w:jc w:val="both"/>
              <w:rPr>
                <w:rFonts w:ascii="Times New Roman" w:hAnsi="Times New Roman" w:eastAsia="宋体" w:cs="Times New Roman"/>
              </w:rPr>
            </w:pPr>
            <w:r>
              <w:rPr>
                <w:rFonts w:hint="eastAsia" w:ascii="Times New Roman" w:hAnsi="Times New Roman" w:eastAsia="宋体" w:cs="Times New Roman"/>
              </w:rPr>
              <w:t>④</w:t>
            </w:r>
            <w:r>
              <w:rPr>
                <w:rFonts w:ascii="Times New Roman" w:hAnsi="Times New Roman" w:eastAsia="宋体" w:cs="Times New Roman"/>
              </w:rPr>
              <w:t>规划布局</w:t>
            </w:r>
          </w:p>
          <w:p>
            <w:pPr>
              <w:pStyle w:val="88"/>
              <w:adjustRightInd/>
              <w:spacing w:line="360" w:lineRule="auto"/>
              <w:ind w:firstLineChars="200"/>
              <w:contextualSpacing/>
              <w:jc w:val="both"/>
              <w:rPr>
                <w:rFonts w:ascii="Times New Roman" w:hAnsi="Times New Roman" w:eastAsia="宋体" w:cs="Times New Roman"/>
              </w:rPr>
            </w:pPr>
            <w:r>
              <w:rPr>
                <w:rFonts w:ascii="Times New Roman" w:hAnsi="Times New Roman" w:eastAsia="宋体" w:cs="Times New Roman"/>
              </w:rPr>
              <w:t>“一区四组团”为主、镇街特色工业为辅助的工业格局。</w:t>
            </w:r>
          </w:p>
          <w:p>
            <w:pPr>
              <w:pStyle w:val="88"/>
              <w:adjustRightInd/>
              <w:spacing w:line="360" w:lineRule="auto"/>
              <w:ind w:firstLineChars="200"/>
              <w:contextualSpacing/>
              <w:jc w:val="both"/>
              <w:rPr>
                <w:rFonts w:ascii="Times New Roman" w:hAnsi="Times New Roman" w:eastAsia="宋体" w:cs="Times New Roman"/>
              </w:rPr>
            </w:pPr>
            <w:r>
              <w:rPr>
                <w:rFonts w:hint="eastAsia" w:ascii="Times New Roman" w:hAnsi="Times New Roman" w:eastAsia="宋体" w:cs="Times New Roman"/>
              </w:rPr>
              <w:t>蒲吕片区：以装备制造、电子信息、新材料、大健康产业为主要发展方向，培育新型工业。电子信息主要依托蒲旧大道相对集中布局，约1700亩符合城市总规；装备制造主要沿渝遂高速、龙腾大道（东）延伸段进行连片布置，以形成相对连续的产业链，发挥集群效应，约2100亩符合城市总规，包含中车集团及拦河堰水库面积约600亩；新材料类企业用地主要规划于蒲旧大道与渝遂高速交汇处南侧及旧县场镇以西区域，约1700亩符合城市总规，剩余部分作为远景用地进行控制。</w:t>
            </w:r>
          </w:p>
          <w:p>
            <w:pPr>
              <w:pStyle w:val="88"/>
              <w:adjustRightInd/>
              <w:spacing w:line="360" w:lineRule="auto"/>
              <w:ind w:firstLineChars="200"/>
              <w:contextualSpacing/>
              <w:jc w:val="both"/>
              <w:rPr>
                <w:rFonts w:ascii="Times New Roman" w:hAnsi="Times New Roman" w:eastAsia="宋体" w:cs="Times New Roman"/>
              </w:rPr>
            </w:pPr>
            <w:r>
              <w:rPr>
                <w:rFonts w:ascii="Times New Roman" w:hAnsi="Times New Roman" w:eastAsia="宋体" w:cs="Times New Roman"/>
              </w:rPr>
              <w:t>项目与《重庆铜梁高新区铜梁片区及全蒲片区规划环境影响跟踪评价报告书》的联动分析见表1-2。</w:t>
            </w:r>
          </w:p>
          <w:p>
            <w:pPr>
              <w:pStyle w:val="83"/>
              <w:ind w:firstLine="422"/>
            </w:pPr>
            <w:r>
              <w:t xml:space="preserve">表1-2  </w:t>
            </w:r>
            <w:r>
              <w:rPr>
                <w:rFonts w:hint="eastAsia"/>
              </w:rPr>
              <w:t>项目与规划环评相关符合性分析</w:t>
            </w:r>
          </w:p>
          <w:tbl>
            <w:tblPr>
              <w:tblStyle w:val="24"/>
              <w:tblW w:w="5000" w:type="pct"/>
              <w:tblInd w:w="0" w:type="dxa"/>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Layout w:type="autofit"/>
              <w:tblCellMar>
                <w:top w:w="0" w:type="dxa"/>
                <w:left w:w="108" w:type="dxa"/>
                <w:bottom w:w="0" w:type="dxa"/>
                <w:right w:w="108" w:type="dxa"/>
              </w:tblCellMar>
            </w:tblPr>
            <w:tblGrid>
              <w:gridCol w:w="497"/>
              <w:gridCol w:w="659"/>
              <w:gridCol w:w="3991"/>
              <w:gridCol w:w="2308"/>
              <w:gridCol w:w="738"/>
            </w:tblGrid>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284" w:hRule="atLeast"/>
              </w:trPr>
              <w:tc>
                <w:tcPr>
                  <w:tcW w:w="304" w:type="pct"/>
                  <w:tcBorders>
                    <w:top w:val="single" w:color="000000" w:sz="2" w:space="0"/>
                    <w:left w:val="single" w:color="000000" w:sz="2" w:space="0"/>
                    <w:bottom w:val="single" w:color="000000" w:sz="6" w:space="0"/>
                    <w:right w:val="single" w:color="000000" w:sz="6" w:space="0"/>
                  </w:tcBorders>
                  <w:vAlign w:val="center"/>
                </w:tcPr>
                <w:p>
                  <w:pPr>
                    <w:pStyle w:val="78"/>
                    <w:rPr>
                      <w:rFonts w:eastAsia="宋体"/>
                      <w:b/>
                      <w:bCs/>
                    </w:rPr>
                  </w:pPr>
                  <w:r>
                    <w:rPr>
                      <w:rFonts w:eastAsia="宋体"/>
                      <w:b/>
                      <w:bCs/>
                    </w:rPr>
                    <w:t>序号</w:t>
                  </w:r>
                </w:p>
              </w:tc>
              <w:tc>
                <w:tcPr>
                  <w:tcW w:w="402" w:type="pct"/>
                  <w:tcBorders>
                    <w:top w:val="single" w:color="000000" w:sz="2" w:space="0"/>
                    <w:left w:val="single" w:color="000000" w:sz="6" w:space="0"/>
                    <w:bottom w:val="single" w:color="000000" w:sz="6" w:space="0"/>
                    <w:right w:val="single" w:color="000000" w:sz="6" w:space="0"/>
                  </w:tcBorders>
                  <w:vAlign w:val="center"/>
                </w:tcPr>
                <w:p>
                  <w:pPr>
                    <w:pStyle w:val="78"/>
                    <w:rPr>
                      <w:rFonts w:eastAsia="宋体"/>
                      <w:b/>
                      <w:bCs/>
                    </w:rPr>
                  </w:pPr>
                  <w:r>
                    <w:rPr>
                      <w:rFonts w:eastAsia="宋体"/>
                      <w:b/>
                      <w:bCs/>
                    </w:rPr>
                    <w:t>类别</w:t>
                  </w:r>
                </w:p>
              </w:tc>
              <w:tc>
                <w:tcPr>
                  <w:tcW w:w="2435" w:type="pct"/>
                  <w:tcBorders>
                    <w:top w:val="single" w:color="000000" w:sz="2" w:space="0"/>
                    <w:left w:val="single" w:color="000000" w:sz="6" w:space="0"/>
                    <w:bottom w:val="single" w:color="000000" w:sz="6" w:space="0"/>
                    <w:right w:val="single" w:color="000000" w:sz="6" w:space="0"/>
                  </w:tcBorders>
                  <w:vAlign w:val="center"/>
                </w:tcPr>
                <w:p>
                  <w:pPr>
                    <w:pStyle w:val="78"/>
                    <w:rPr>
                      <w:rFonts w:eastAsia="宋体"/>
                      <w:b/>
                      <w:bCs/>
                    </w:rPr>
                  </w:pPr>
                  <w:r>
                    <w:rPr>
                      <w:rFonts w:eastAsia="宋体"/>
                      <w:b/>
                      <w:bCs/>
                    </w:rPr>
                    <w:t>环境准入条件</w:t>
                  </w:r>
                </w:p>
              </w:tc>
              <w:tc>
                <w:tcPr>
                  <w:tcW w:w="1408" w:type="pct"/>
                  <w:tcBorders>
                    <w:top w:val="single" w:color="000000" w:sz="2" w:space="0"/>
                    <w:left w:val="single" w:color="000000" w:sz="6" w:space="0"/>
                    <w:bottom w:val="single" w:color="000000" w:sz="6" w:space="0"/>
                    <w:right w:val="single" w:color="000000" w:sz="6" w:space="0"/>
                  </w:tcBorders>
                  <w:vAlign w:val="center"/>
                </w:tcPr>
                <w:p>
                  <w:pPr>
                    <w:pStyle w:val="78"/>
                    <w:rPr>
                      <w:rFonts w:eastAsia="宋体"/>
                      <w:b/>
                      <w:bCs/>
                    </w:rPr>
                  </w:pPr>
                  <w:r>
                    <w:rPr>
                      <w:rFonts w:eastAsia="宋体"/>
                      <w:b/>
                      <w:bCs/>
                    </w:rPr>
                    <w:t>项目符合性分析</w:t>
                  </w:r>
                </w:p>
              </w:tc>
              <w:tc>
                <w:tcPr>
                  <w:tcW w:w="450" w:type="pct"/>
                  <w:tcBorders>
                    <w:top w:val="single" w:color="000000" w:sz="2" w:space="0"/>
                    <w:left w:val="single" w:color="000000" w:sz="6" w:space="0"/>
                    <w:bottom w:val="single" w:color="000000" w:sz="6" w:space="0"/>
                    <w:right w:val="single" w:color="000000" w:sz="2" w:space="0"/>
                  </w:tcBorders>
                  <w:vAlign w:val="center"/>
                </w:tcPr>
                <w:p>
                  <w:pPr>
                    <w:pStyle w:val="78"/>
                    <w:rPr>
                      <w:rFonts w:eastAsia="宋体"/>
                      <w:b/>
                      <w:bCs/>
                    </w:rPr>
                  </w:pPr>
                  <w:r>
                    <w:rPr>
                      <w:rFonts w:eastAsia="宋体"/>
                      <w:b/>
                      <w:bCs/>
                    </w:rPr>
                    <w:t>符合性</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284" w:hRule="atLeast"/>
              </w:trPr>
              <w:tc>
                <w:tcPr>
                  <w:tcW w:w="304" w:type="pct"/>
                  <w:tcBorders>
                    <w:top w:val="single" w:color="000000" w:sz="6" w:space="0"/>
                    <w:left w:val="single" w:color="000000" w:sz="2" w:space="0"/>
                    <w:bottom w:val="single" w:color="000000" w:sz="6" w:space="0"/>
                    <w:right w:val="single" w:color="000000" w:sz="6" w:space="0"/>
                  </w:tcBorders>
                  <w:vAlign w:val="center"/>
                </w:tcPr>
                <w:p>
                  <w:pPr>
                    <w:pStyle w:val="78"/>
                    <w:rPr>
                      <w:rFonts w:eastAsia="宋体"/>
                    </w:rPr>
                  </w:pPr>
                  <w:r>
                    <w:rPr>
                      <w:rFonts w:eastAsia="宋体"/>
                    </w:rPr>
                    <w:t>1</w:t>
                  </w:r>
                </w:p>
              </w:tc>
              <w:tc>
                <w:tcPr>
                  <w:tcW w:w="402" w:type="pct"/>
                  <w:tcBorders>
                    <w:top w:val="single" w:color="000000" w:sz="6" w:space="0"/>
                    <w:left w:val="single" w:color="000000" w:sz="6" w:space="0"/>
                    <w:bottom w:val="single" w:color="000000" w:sz="6" w:space="0"/>
                    <w:right w:val="single" w:color="000000" w:sz="6" w:space="0"/>
                  </w:tcBorders>
                  <w:vAlign w:val="center"/>
                </w:tcPr>
                <w:p>
                  <w:pPr>
                    <w:pStyle w:val="78"/>
                    <w:rPr>
                      <w:rFonts w:eastAsia="宋体"/>
                    </w:rPr>
                  </w:pPr>
                  <w:r>
                    <w:rPr>
                      <w:rFonts w:eastAsia="宋体"/>
                    </w:rPr>
                    <w:t>产业定位</w:t>
                  </w:r>
                </w:p>
              </w:tc>
              <w:tc>
                <w:tcPr>
                  <w:tcW w:w="2435" w:type="pct"/>
                  <w:tcBorders>
                    <w:top w:val="single" w:color="000000" w:sz="6" w:space="0"/>
                    <w:left w:val="single" w:color="000000" w:sz="6" w:space="0"/>
                    <w:bottom w:val="single" w:color="000000" w:sz="6" w:space="0"/>
                    <w:right w:val="single" w:color="000000" w:sz="6" w:space="0"/>
                  </w:tcBorders>
                  <w:vAlign w:val="center"/>
                </w:tcPr>
                <w:p>
                  <w:pPr>
                    <w:pStyle w:val="78"/>
                    <w:jc w:val="both"/>
                    <w:rPr>
                      <w:rFonts w:eastAsia="宋体"/>
                    </w:rPr>
                  </w:pPr>
                  <w:r>
                    <w:rPr>
                      <w:rFonts w:eastAsia="宋体"/>
                    </w:rPr>
                    <w:t>禁止发展冶炼等产业和印染、原料药业、医药中间体等重污染企业。限制重庆铜梁工业园纺织羽绒、食品加工产业的发展，在淮远河、小安溪流域水体未改善前不得新引进该类企业。限制电镀规模，电镀主要为IT产业配套。</w:t>
                  </w:r>
                </w:p>
              </w:tc>
              <w:tc>
                <w:tcPr>
                  <w:tcW w:w="1408" w:type="pct"/>
                  <w:tcBorders>
                    <w:top w:val="single" w:color="000000" w:sz="6" w:space="0"/>
                    <w:left w:val="single" w:color="000000" w:sz="6" w:space="0"/>
                    <w:bottom w:val="single" w:color="000000" w:sz="6" w:space="0"/>
                    <w:right w:val="single" w:color="000000" w:sz="6" w:space="0"/>
                  </w:tcBorders>
                  <w:vAlign w:val="center"/>
                </w:tcPr>
                <w:p>
                  <w:pPr>
                    <w:pStyle w:val="78"/>
                    <w:rPr>
                      <w:rFonts w:eastAsia="宋体"/>
                    </w:rPr>
                  </w:pPr>
                  <w:r>
                    <w:rPr>
                      <w:rFonts w:eastAsia="宋体"/>
                    </w:rPr>
                    <w:t>拟建项目不属于冶炼等产业和印染、原料药业、医药中间体等，不属于食品发酵业等耗水量大、水污染物排放强度高的项目。</w:t>
                  </w:r>
                </w:p>
              </w:tc>
              <w:tc>
                <w:tcPr>
                  <w:tcW w:w="450" w:type="pct"/>
                  <w:tcBorders>
                    <w:top w:val="single" w:color="000000" w:sz="6" w:space="0"/>
                    <w:left w:val="single" w:color="000000" w:sz="6" w:space="0"/>
                    <w:bottom w:val="single" w:color="000000" w:sz="6" w:space="0"/>
                    <w:right w:val="single" w:color="000000" w:sz="2" w:space="0"/>
                  </w:tcBorders>
                  <w:vAlign w:val="center"/>
                </w:tcPr>
                <w:p>
                  <w:pPr>
                    <w:pStyle w:val="78"/>
                    <w:rPr>
                      <w:rFonts w:eastAsia="宋体"/>
                    </w:rPr>
                  </w:pPr>
                  <w:r>
                    <w:rPr>
                      <w:rFonts w:eastAsia="宋体"/>
                    </w:rPr>
                    <w:t>符合</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284" w:hRule="atLeast"/>
              </w:trPr>
              <w:tc>
                <w:tcPr>
                  <w:tcW w:w="304" w:type="pct"/>
                  <w:tcBorders>
                    <w:top w:val="single" w:color="000000" w:sz="6" w:space="0"/>
                    <w:left w:val="single" w:color="000000" w:sz="2" w:space="0"/>
                    <w:bottom w:val="single" w:color="000000" w:sz="6" w:space="0"/>
                    <w:right w:val="single" w:color="000000" w:sz="6" w:space="0"/>
                  </w:tcBorders>
                  <w:vAlign w:val="center"/>
                </w:tcPr>
                <w:p>
                  <w:pPr>
                    <w:pStyle w:val="78"/>
                    <w:rPr>
                      <w:rFonts w:eastAsia="宋体"/>
                    </w:rPr>
                  </w:pPr>
                  <w:r>
                    <w:rPr>
                      <w:rFonts w:eastAsia="宋体"/>
                    </w:rPr>
                    <w:t>2</w:t>
                  </w:r>
                </w:p>
              </w:tc>
              <w:tc>
                <w:tcPr>
                  <w:tcW w:w="402" w:type="pct"/>
                  <w:tcBorders>
                    <w:top w:val="single" w:color="000000" w:sz="6" w:space="0"/>
                    <w:left w:val="single" w:color="000000" w:sz="6" w:space="0"/>
                    <w:bottom w:val="single" w:color="000000" w:sz="6" w:space="0"/>
                    <w:right w:val="single" w:color="000000" w:sz="6" w:space="0"/>
                  </w:tcBorders>
                  <w:vAlign w:val="center"/>
                </w:tcPr>
                <w:p>
                  <w:pPr>
                    <w:pStyle w:val="78"/>
                    <w:rPr>
                      <w:rFonts w:eastAsia="宋体"/>
                    </w:rPr>
                  </w:pPr>
                  <w:r>
                    <w:rPr>
                      <w:rFonts w:eastAsia="宋体"/>
                    </w:rPr>
                    <w:t>规划布局</w:t>
                  </w:r>
                </w:p>
              </w:tc>
              <w:tc>
                <w:tcPr>
                  <w:tcW w:w="2435" w:type="pct"/>
                  <w:tcBorders>
                    <w:top w:val="single" w:color="000000" w:sz="6" w:space="0"/>
                    <w:left w:val="single" w:color="000000" w:sz="6" w:space="0"/>
                    <w:bottom w:val="single" w:color="000000" w:sz="6" w:space="0"/>
                    <w:right w:val="single" w:color="000000" w:sz="6" w:space="0"/>
                  </w:tcBorders>
                  <w:vAlign w:val="center"/>
                </w:tcPr>
                <w:p>
                  <w:pPr>
                    <w:pStyle w:val="78"/>
                    <w:jc w:val="both"/>
                    <w:rPr>
                      <w:rFonts w:eastAsia="宋体"/>
                    </w:rPr>
                  </w:pPr>
                  <w:r>
                    <w:rPr>
                      <w:rFonts w:eastAsia="宋体"/>
                    </w:rPr>
                    <w:t>铜梁县电镀企业均应进入电镀工业集中加工区，不得在加工区外布置。电镀工业集中加工区布置在铜梁工业园东南部，不得在蒲吕工业园布置。工业用地与居住区之间应留出不低于50米的防护距离。</w:t>
                  </w:r>
                </w:p>
              </w:tc>
              <w:tc>
                <w:tcPr>
                  <w:tcW w:w="1408" w:type="pct"/>
                  <w:tcBorders>
                    <w:top w:val="single" w:color="000000" w:sz="6" w:space="0"/>
                    <w:left w:val="single" w:color="000000" w:sz="6" w:space="0"/>
                    <w:bottom w:val="single" w:color="000000" w:sz="6" w:space="0"/>
                    <w:right w:val="single" w:color="000000" w:sz="6" w:space="0"/>
                  </w:tcBorders>
                  <w:vAlign w:val="center"/>
                </w:tcPr>
                <w:p>
                  <w:pPr>
                    <w:pStyle w:val="78"/>
                    <w:rPr>
                      <w:rFonts w:eastAsia="宋体"/>
                    </w:rPr>
                  </w:pPr>
                  <w:r>
                    <w:rPr>
                      <w:rFonts w:eastAsia="宋体"/>
                    </w:rPr>
                    <w:t>拟建项目不属于电镀行业且项目周边50m范围内无居民点。</w:t>
                  </w:r>
                </w:p>
              </w:tc>
              <w:tc>
                <w:tcPr>
                  <w:tcW w:w="450" w:type="pct"/>
                  <w:tcBorders>
                    <w:top w:val="single" w:color="000000" w:sz="6" w:space="0"/>
                    <w:left w:val="single" w:color="000000" w:sz="6" w:space="0"/>
                    <w:bottom w:val="single" w:color="000000" w:sz="6" w:space="0"/>
                    <w:right w:val="single" w:color="000000" w:sz="2" w:space="0"/>
                  </w:tcBorders>
                  <w:vAlign w:val="center"/>
                </w:tcPr>
                <w:p>
                  <w:pPr>
                    <w:pStyle w:val="78"/>
                    <w:rPr>
                      <w:rFonts w:eastAsia="宋体"/>
                    </w:rPr>
                  </w:pPr>
                  <w:r>
                    <w:rPr>
                      <w:rFonts w:eastAsia="宋体"/>
                    </w:rPr>
                    <w:t>符合</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284" w:hRule="atLeast"/>
              </w:trPr>
              <w:tc>
                <w:tcPr>
                  <w:tcW w:w="304" w:type="pct"/>
                  <w:tcBorders>
                    <w:top w:val="single" w:color="000000" w:sz="6" w:space="0"/>
                    <w:left w:val="single" w:color="000000" w:sz="2" w:space="0"/>
                    <w:bottom w:val="single" w:color="000000" w:sz="6" w:space="0"/>
                    <w:right w:val="single" w:color="000000" w:sz="6" w:space="0"/>
                  </w:tcBorders>
                  <w:vAlign w:val="center"/>
                </w:tcPr>
                <w:p>
                  <w:pPr>
                    <w:pStyle w:val="78"/>
                    <w:rPr>
                      <w:rFonts w:eastAsia="宋体"/>
                    </w:rPr>
                  </w:pPr>
                  <w:r>
                    <w:rPr>
                      <w:rFonts w:eastAsia="宋体"/>
                    </w:rPr>
                    <w:t>3</w:t>
                  </w:r>
                </w:p>
              </w:tc>
              <w:tc>
                <w:tcPr>
                  <w:tcW w:w="402" w:type="pct"/>
                  <w:tcBorders>
                    <w:top w:val="single" w:color="000000" w:sz="6" w:space="0"/>
                    <w:left w:val="single" w:color="000000" w:sz="6" w:space="0"/>
                    <w:bottom w:val="single" w:color="000000" w:sz="6" w:space="0"/>
                    <w:right w:val="single" w:color="000000" w:sz="6" w:space="0"/>
                  </w:tcBorders>
                  <w:vAlign w:val="center"/>
                </w:tcPr>
                <w:p>
                  <w:pPr>
                    <w:pStyle w:val="78"/>
                    <w:rPr>
                      <w:rFonts w:eastAsia="宋体"/>
                    </w:rPr>
                  </w:pPr>
                  <w:r>
                    <w:rPr>
                      <w:rFonts w:eastAsia="宋体"/>
                    </w:rPr>
                    <w:t>环境准入</w:t>
                  </w:r>
                </w:p>
              </w:tc>
              <w:tc>
                <w:tcPr>
                  <w:tcW w:w="2435" w:type="pct"/>
                  <w:tcBorders>
                    <w:top w:val="single" w:color="000000" w:sz="6" w:space="0"/>
                    <w:left w:val="single" w:color="000000" w:sz="6" w:space="0"/>
                    <w:bottom w:val="single" w:color="000000" w:sz="6" w:space="0"/>
                    <w:right w:val="single" w:color="000000" w:sz="6" w:space="0"/>
                  </w:tcBorders>
                  <w:vAlign w:val="center"/>
                </w:tcPr>
                <w:p>
                  <w:pPr>
                    <w:pStyle w:val="78"/>
                    <w:jc w:val="both"/>
                    <w:rPr>
                      <w:rFonts w:eastAsia="宋体"/>
                    </w:rPr>
                  </w:pPr>
                  <w:r>
                    <w:rPr>
                      <w:rFonts w:eastAsia="宋体"/>
                    </w:rPr>
                    <w:t>入驻铜梁工业园的工业企业应符合《重庆市工业项目环境准入规定》和有关行业准入条件，采用先进工艺和设备，清洁生产水平不得低于国家清洁生产二级水平。</w:t>
                  </w:r>
                </w:p>
              </w:tc>
              <w:tc>
                <w:tcPr>
                  <w:tcW w:w="1408" w:type="pct"/>
                  <w:tcBorders>
                    <w:top w:val="single" w:color="000000" w:sz="6" w:space="0"/>
                    <w:left w:val="single" w:color="000000" w:sz="6" w:space="0"/>
                    <w:bottom w:val="single" w:color="000000" w:sz="6" w:space="0"/>
                    <w:right w:val="single" w:color="000000" w:sz="6" w:space="0"/>
                  </w:tcBorders>
                  <w:vAlign w:val="center"/>
                </w:tcPr>
                <w:p>
                  <w:pPr>
                    <w:pStyle w:val="78"/>
                    <w:rPr>
                      <w:rFonts w:eastAsia="宋体"/>
                    </w:rPr>
                  </w:pPr>
                  <w:r>
                    <w:rPr>
                      <w:rFonts w:eastAsia="宋体"/>
                    </w:rPr>
                    <w:t>项目满足《重庆市工业项目环境准入规定（修订）》，符合园区环境准入清单要求。</w:t>
                  </w:r>
                </w:p>
              </w:tc>
              <w:tc>
                <w:tcPr>
                  <w:tcW w:w="450" w:type="pct"/>
                  <w:tcBorders>
                    <w:top w:val="single" w:color="000000" w:sz="6" w:space="0"/>
                    <w:left w:val="single" w:color="000000" w:sz="6" w:space="0"/>
                    <w:bottom w:val="single" w:color="000000" w:sz="6" w:space="0"/>
                    <w:right w:val="single" w:color="000000" w:sz="2" w:space="0"/>
                  </w:tcBorders>
                  <w:vAlign w:val="center"/>
                </w:tcPr>
                <w:p>
                  <w:pPr>
                    <w:pStyle w:val="78"/>
                    <w:rPr>
                      <w:rFonts w:eastAsia="宋体"/>
                    </w:rPr>
                  </w:pPr>
                  <w:r>
                    <w:rPr>
                      <w:rFonts w:eastAsia="宋体"/>
                    </w:rPr>
                    <w:t>符合</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284" w:hRule="atLeast"/>
              </w:trPr>
              <w:tc>
                <w:tcPr>
                  <w:tcW w:w="304" w:type="pct"/>
                  <w:tcBorders>
                    <w:top w:val="single" w:color="000000" w:sz="6" w:space="0"/>
                    <w:left w:val="single" w:color="000000" w:sz="2" w:space="0"/>
                    <w:bottom w:val="single" w:color="000000" w:sz="6" w:space="0"/>
                    <w:right w:val="single" w:color="000000" w:sz="6" w:space="0"/>
                  </w:tcBorders>
                  <w:vAlign w:val="center"/>
                </w:tcPr>
                <w:p>
                  <w:pPr>
                    <w:pStyle w:val="78"/>
                    <w:rPr>
                      <w:rFonts w:eastAsia="宋体"/>
                    </w:rPr>
                  </w:pPr>
                  <w:r>
                    <w:rPr>
                      <w:rFonts w:eastAsia="宋体"/>
                    </w:rPr>
                    <w:t>4</w:t>
                  </w:r>
                </w:p>
              </w:tc>
              <w:tc>
                <w:tcPr>
                  <w:tcW w:w="402" w:type="pct"/>
                  <w:tcBorders>
                    <w:top w:val="single" w:color="000000" w:sz="6" w:space="0"/>
                    <w:left w:val="single" w:color="000000" w:sz="6" w:space="0"/>
                    <w:bottom w:val="single" w:color="000000" w:sz="6" w:space="0"/>
                    <w:right w:val="single" w:color="000000" w:sz="6" w:space="0"/>
                  </w:tcBorders>
                  <w:vAlign w:val="center"/>
                </w:tcPr>
                <w:p>
                  <w:pPr>
                    <w:pStyle w:val="78"/>
                    <w:rPr>
                      <w:rFonts w:eastAsia="宋体"/>
                    </w:rPr>
                  </w:pPr>
                  <w:r>
                    <w:rPr>
                      <w:rFonts w:eastAsia="宋体"/>
                    </w:rPr>
                    <w:t>污染防治</w:t>
                  </w:r>
                </w:p>
              </w:tc>
              <w:tc>
                <w:tcPr>
                  <w:tcW w:w="2435" w:type="pct"/>
                  <w:tcBorders>
                    <w:top w:val="single" w:color="000000" w:sz="6" w:space="0"/>
                    <w:left w:val="single" w:color="000000" w:sz="6" w:space="0"/>
                    <w:bottom w:val="single" w:color="000000" w:sz="6" w:space="0"/>
                    <w:right w:val="single" w:color="000000" w:sz="6" w:space="0"/>
                  </w:tcBorders>
                  <w:vAlign w:val="center"/>
                </w:tcPr>
                <w:p>
                  <w:pPr>
                    <w:pStyle w:val="78"/>
                    <w:jc w:val="both"/>
                    <w:rPr>
                      <w:rFonts w:eastAsia="宋体"/>
                    </w:rPr>
                  </w:pPr>
                  <w:r>
                    <w:rPr>
                      <w:rFonts w:eastAsia="宋体"/>
                    </w:rPr>
                    <w:t>废水需进行收集治理。铜梁工业园污水处理厂污水处理达到 《城镇污水处理厂污染物排放标准》（GB18918-2002）中一级B标准后排入淮远河。电镀集中加工中心产生的生活污水和生产废水进入电镀加工中心污水处理厂集中处理后排入淮远河。电镀污水处理厂总规模为1.5万吨/天，近期规模控制在0.5万吨/天，远期根据水环境容量分期实施。电镀集中加工区采用多级回收、逆流漂洗、清洗水循环等清洁生产工艺，水循环综合利用率不得低于60%，污水厂尾水回用率不得低于40%，废水排放执行《电镀污染物排放标准》 （GB21900-2008）表3标准。</w:t>
                  </w:r>
                </w:p>
              </w:tc>
              <w:tc>
                <w:tcPr>
                  <w:tcW w:w="1408" w:type="pct"/>
                  <w:tcBorders>
                    <w:top w:val="single" w:color="000000" w:sz="6" w:space="0"/>
                    <w:left w:val="single" w:color="000000" w:sz="6" w:space="0"/>
                    <w:bottom w:val="single" w:color="000000" w:sz="6" w:space="0"/>
                    <w:right w:val="single" w:color="000000" w:sz="6" w:space="0"/>
                  </w:tcBorders>
                  <w:vAlign w:val="center"/>
                </w:tcPr>
                <w:p>
                  <w:pPr>
                    <w:pStyle w:val="78"/>
                    <w:rPr>
                      <w:rFonts w:eastAsia="宋体"/>
                    </w:rPr>
                  </w:pPr>
                  <w:r>
                    <w:rPr>
                      <w:rFonts w:eastAsia="宋体"/>
                    </w:rPr>
                    <w:t>拟建项目不属于电镀行业。</w:t>
                  </w:r>
                  <w:r>
                    <w:rPr>
                      <w:rFonts w:hint="eastAsia" w:eastAsia="宋体"/>
                    </w:rPr>
                    <w:t>本项目生活污水经重庆绅鹏商业运营管理有限公司已建的生化池预处理达《污水综合排放标准》（GB8978-1996）三级标准排入园区污水管网，进入蒲吕污水处理厂进一步处理至《城镇污水处理厂污染物排放标准》（GB18918-2002）一级排放标准中的一级A标准后排入小安溪河。</w:t>
                  </w:r>
                </w:p>
              </w:tc>
              <w:tc>
                <w:tcPr>
                  <w:tcW w:w="450" w:type="pct"/>
                  <w:tcBorders>
                    <w:top w:val="single" w:color="000000" w:sz="6" w:space="0"/>
                    <w:left w:val="single" w:color="000000" w:sz="6" w:space="0"/>
                    <w:bottom w:val="single" w:color="000000" w:sz="6" w:space="0"/>
                    <w:right w:val="single" w:color="000000" w:sz="2" w:space="0"/>
                  </w:tcBorders>
                  <w:vAlign w:val="center"/>
                </w:tcPr>
                <w:p>
                  <w:pPr>
                    <w:pStyle w:val="78"/>
                    <w:rPr>
                      <w:rFonts w:eastAsia="宋体"/>
                    </w:rPr>
                  </w:pPr>
                  <w:r>
                    <w:rPr>
                      <w:rFonts w:eastAsia="宋体"/>
                    </w:rPr>
                    <w:t>符合</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284" w:hRule="atLeast"/>
              </w:trPr>
              <w:tc>
                <w:tcPr>
                  <w:tcW w:w="304" w:type="pct"/>
                  <w:tcBorders>
                    <w:top w:val="single" w:color="000000" w:sz="6" w:space="0"/>
                    <w:left w:val="single" w:color="000000" w:sz="2" w:space="0"/>
                    <w:bottom w:val="single" w:color="000000" w:sz="6" w:space="0"/>
                    <w:right w:val="single" w:color="000000" w:sz="6" w:space="0"/>
                  </w:tcBorders>
                  <w:vAlign w:val="center"/>
                </w:tcPr>
                <w:p>
                  <w:pPr>
                    <w:pStyle w:val="78"/>
                    <w:rPr>
                      <w:rFonts w:eastAsia="宋体"/>
                    </w:rPr>
                  </w:pPr>
                  <w:r>
                    <w:rPr>
                      <w:rFonts w:eastAsia="宋体"/>
                    </w:rPr>
                    <w:t>5</w:t>
                  </w:r>
                </w:p>
              </w:tc>
              <w:tc>
                <w:tcPr>
                  <w:tcW w:w="402" w:type="pct"/>
                  <w:tcBorders>
                    <w:top w:val="single" w:color="000000" w:sz="6" w:space="0"/>
                    <w:left w:val="single" w:color="000000" w:sz="6" w:space="0"/>
                    <w:bottom w:val="single" w:color="000000" w:sz="6" w:space="0"/>
                    <w:right w:val="single" w:color="000000" w:sz="6" w:space="0"/>
                  </w:tcBorders>
                  <w:vAlign w:val="center"/>
                </w:tcPr>
                <w:p>
                  <w:pPr>
                    <w:pStyle w:val="78"/>
                    <w:rPr>
                      <w:rFonts w:eastAsia="宋体"/>
                    </w:rPr>
                  </w:pPr>
                  <w:r>
                    <w:rPr>
                      <w:rFonts w:eastAsia="宋体"/>
                    </w:rPr>
                    <w:t>流域综合整治</w:t>
                  </w:r>
                </w:p>
              </w:tc>
              <w:tc>
                <w:tcPr>
                  <w:tcW w:w="2435" w:type="pct"/>
                  <w:tcBorders>
                    <w:top w:val="single" w:color="000000" w:sz="6" w:space="0"/>
                    <w:left w:val="single" w:color="000000" w:sz="6" w:space="0"/>
                    <w:bottom w:val="single" w:color="000000" w:sz="6" w:space="0"/>
                    <w:right w:val="single" w:color="000000" w:sz="6" w:space="0"/>
                  </w:tcBorders>
                  <w:vAlign w:val="center"/>
                </w:tcPr>
                <w:p>
                  <w:pPr>
                    <w:pStyle w:val="78"/>
                    <w:jc w:val="both"/>
                    <w:rPr>
                      <w:rFonts w:eastAsia="宋体"/>
                    </w:rPr>
                  </w:pPr>
                  <w:r>
                    <w:rPr>
                      <w:rFonts w:eastAsia="宋体"/>
                    </w:rPr>
                    <w:t>加快淮远河、小安溪流域水环境综合整治，为园区建设腾出环境容量。尽快调整旧县镇水厂功能。</w:t>
                  </w:r>
                </w:p>
              </w:tc>
              <w:tc>
                <w:tcPr>
                  <w:tcW w:w="1408" w:type="pct"/>
                  <w:tcBorders>
                    <w:top w:val="single" w:color="000000" w:sz="6" w:space="0"/>
                    <w:left w:val="single" w:color="000000" w:sz="6" w:space="0"/>
                    <w:bottom w:val="single" w:color="000000" w:sz="6" w:space="0"/>
                    <w:right w:val="single" w:color="000000" w:sz="6" w:space="0"/>
                  </w:tcBorders>
                  <w:vAlign w:val="center"/>
                </w:tcPr>
                <w:p>
                  <w:pPr>
                    <w:pStyle w:val="78"/>
                    <w:rPr>
                      <w:rFonts w:eastAsia="宋体"/>
                    </w:rPr>
                  </w:pPr>
                  <w:r>
                    <w:rPr>
                      <w:rFonts w:hint="eastAsia" w:eastAsia="宋体"/>
                    </w:rPr>
                    <w:t>拟建项目</w:t>
                  </w:r>
                  <w:r>
                    <w:rPr>
                      <w:rFonts w:eastAsia="宋体"/>
                    </w:rPr>
                    <w:t>不涉及。</w:t>
                  </w:r>
                </w:p>
              </w:tc>
              <w:tc>
                <w:tcPr>
                  <w:tcW w:w="450" w:type="pct"/>
                  <w:tcBorders>
                    <w:top w:val="single" w:color="000000" w:sz="6" w:space="0"/>
                    <w:left w:val="single" w:color="000000" w:sz="6" w:space="0"/>
                    <w:bottom w:val="single" w:color="000000" w:sz="6" w:space="0"/>
                    <w:right w:val="single" w:color="000000" w:sz="2" w:space="0"/>
                  </w:tcBorders>
                  <w:vAlign w:val="center"/>
                </w:tcPr>
                <w:p>
                  <w:pPr>
                    <w:pStyle w:val="78"/>
                    <w:rPr>
                      <w:rFonts w:eastAsia="宋体"/>
                    </w:rPr>
                  </w:pPr>
                  <w:r>
                    <w:rPr>
                      <w:rFonts w:eastAsia="宋体"/>
                    </w:rPr>
                    <w:t>/</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284" w:hRule="atLeast"/>
              </w:trPr>
              <w:tc>
                <w:tcPr>
                  <w:tcW w:w="304" w:type="pct"/>
                  <w:tcBorders>
                    <w:top w:val="single" w:color="000000" w:sz="6" w:space="0"/>
                    <w:left w:val="single" w:color="000000" w:sz="2" w:space="0"/>
                    <w:bottom w:val="single" w:color="000000" w:sz="6" w:space="0"/>
                    <w:right w:val="single" w:color="000000" w:sz="6" w:space="0"/>
                  </w:tcBorders>
                  <w:vAlign w:val="center"/>
                </w:tcPr>
                <w:p>
                  <w:pPr>
                    <w:pStyle w:val="78"/>
                    <w:rPr>
                      <w:rFonts w:eastAsia="宋体"/>
                    </w:rPr>
                  </w:pPr>
                  <w:r>
                    <w:rPr>
                      <w:rFonts w:eastAsia="宋体"/>
                    </w:rPr>
                    <w:t>6</w:t>
                  </w:r>
                </w:p>
              </w:tc>
              <w:tc>
                <w:tcPr>
                  <w:tcW w:w="402" w:type="pct"/>
                  <w:tcBorders>
                    <w:top w:val="single" w:color="000000" w:sz="6" w:space="0"/>
                    <w:left w:val="single" w:color="000000" w:sz="6" w:space="0"/>
                    <w:bottom w:val="single" w:color="000000" w:sz="6" w:space="0"/>
                    <w:right w:val="single" w:color="000000" w:sz="6" w:space="0"/>
                  </w:tcBorders>
                  <w:vAlign w:val="center"/>
                </w:tcPr>
                <w:p>
                  <w:pPr>
                    <w:pStyle w:val="78"/>
                    <w:rPr>
                      <w:rFonts w:eastAsia="宋体"/>
                    </w:rPr>
                  </w:pPr>
                  <w:r>
                    <w:rPr>
                      <w:rFonts w:eastAsia="宋体"/>
                    </w:rPr>
                    <w:t>风险防范</w:t>
                  </w:r>
                </w:p>
              </w:tc>
              <w:tc>
                <w:tcPr>
                  <w:tcW w:w="2435" w:type="pct"/>
                  <w:tcBorders>
                    <w:top w:val="single" w:color="000000" w:sz="6" w:space="0"/>
                    <w:left w:val="single" w:color="000000" w:sz="6" w:space="0"/>
                    <w:bottom w:val="single" w:color="000000" w:sz="6" w:space="0"/>
                    <w:right w:val="single" w:color="000000" w:sz="6" w:space="0"/>
                  </w:tcBorders>
                  <w:vAlign w:val="center"/>
                </w:tcPr>
                <w:p>
                  <w:pPr>
                    <w:pStyle w:val="78"/>
                    <w:jc w:val="both"/>
                    <w:rPr>
                      <w:rFonts w:eastAsia="宋体"/>
                    </w:rPr>
                  </w:pPr>
                  <w:r>
                    <w:rPr>
                      <w:rFonts w:eastAsia="宋体"/>
                    </w:rPr>
                    <w:t>建立园区环境风险防范体系，完善环境风险防范措施和应急预案，防治发生环境污染事故。</w:t>
                  </w:r>
                </w:p>
              </w:tc>
              <w:tc>
                <w:tcPr>
                  <w:tcW w:w="1408" w:type="pct"/>
                  <w:tcBorders>
                    <w:top w:val="single" w:color="000000" w:sz="6" w:space="0"/>
                    <w:left w:val="single" w:color="000000" w:sz="6" w:space="0"/>
                    <w:bottom w:val="single" w:color="000000" w:sz="6" w:space="0"/>
                    <w:right w:val="single" w:color="000000" w:sz="6" w:space="0"/>
                  </w:tcBorders>
                  <w:vAlign w:val="center"/>
                </w:tcPr>
                <w:p>
                  <w:pPr>
                    <w:pStyle w:val="78"/>
                    <w:rPr>
                      <w:rFonts w:eastAsia="宋体"/>
                    </w:rPr>
                  </w:pPr>
                  <w:r>
                    <w:rPr>
                      <w:rFonts w:eastAsia="宋体"/>
                    </w:rPr>
                    <w:t>项目无重大危险源，生产车间进行分区防渗，</w:t>
                  </w:r>
                  <w:r>
                    <w:rPr>
                      <w:rFonts w:hint="eastAsia" w:eastAsia="宋体"/>
                    </w:rPr>
                    <w:t>油料库房、</w:t>
                  </w:r>
                  <w:r>
                    <w:rPr>
                      <w:rFonts w:eastAsia="宋体"/>
                    </w:rPr>
                    <w:t>危废暂存间设置托盘、围堰等应急设施。</w:t>
                  </w:r>
                </w:p>
              </w:tc>
              <w:tc>
                <w:tcPr>
                  <w:tcW w:w="450" w:type="pct"/>
                  <w:tcBorders>
                    <w:top w:val="single" w:color="000000" w:sz="6" w:space="0"/>
                    <w:left w:val="single" w:color="000000" w:sz="6" w:space="0"/>
                    <w:bottom w:val="single" w:color="000000" w:sz="6" w:space="0"/>
                    <w:right w:val="single" w:color="000000" w:sz="2" w:space="0"/>
                  </w:tcBorders>
                  <w:vAlign w:val="center"/>
                </w:tcPr>
                <w:p>
                  <w:pPr>
                    <w:pStyle w:val="78"/>
                    <w:rPr>
                      <w:rFonts w:eastAsia="宋体"/>
                    </w:rPr>
                  </w:pPr>
                  <w:r>
                    <w:rPr>
                      <w:rFonts w:eastAsia="宋体"/>
                    </w:rPr>
                    <w:t>符合</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304" w:type="pct"/>
                  <w:tcBorders>
                    <w:top w:val="single" w:color="000000" w:sz="6" w:space="0"/>
                    <w:left w:val="single" w:color="000000" w:sz="2" w:space="0"/>
                    <w:bottom w:val="single" w:color="000000" w:sz="6" w:space="0"/>
                    <w:right w:val="single" w:color="000000" w:sz="6" w:space="0"/>
                  </w:tcBorders>
                  <w:vAlign w:val="center"/>
                </w:tcPr>
                <w:p>
                  <w:pPr>
                    <w:pStyle w:val="78"/>
                    <w:rPr>
                      <w:rFonts w:eastAsia="宋体"/>
                    </w:rPr>
                  </w:pPr>
                  <w:r>
                    <w:rPr>
                      <w:rFonts w:eastAsia="宋体"/>
                    </w:rPr>
                    <w:t>7</w:t>
                  </w:r>
                </w:p>
              </w:tc>
              <w:tc>
                <w:tcPr>
                  <w:tcW w:w="402" w:type="pct"/>
                  <w:tcBorders>
                    <w:top w:val="single" w:color="000000" w:sz="6" w:space="0"/>
                    <w:left w:val="single" w:color="000000" w:sz="6" w:space="0"/>
                    <w:bottom w:val="single" w:color="000000" w:sz="6" w:space="0"/>
                    <w:right w:val="single" w:color="000000" w:sz="6" w:space="0"/>
                  </w:tcBorders>
                  <w:vAlign w:val="center"/>
                </w:tcPr>
                <w:p>
                  <w:pPr>
                    <w:pStyle w:val="78"/>
                    <w:rPr>
                      <w:rFonts w:eastAsia="宋体"/>
                    </w:rPr>
                  </w:pPr>
                  <w:r>
                    <w:rPr>
                      <w:rFonts w:eastAsia="宋体"/>
                    </w:rPr>
                    <w:t>环境管理</w:t>
                  </w:r>
                </w:p>
              </w:tc>
              <w:tc>
                <w:tcPr>
                  <w:tcW w:w="2435" w:type="pct"/>
                  <w:tcBorders>
                    <w:top w:val="single" w:color="000000" w:sz="6" w:space="0"/>
                    <w:left w:val="single" w:color="000000" w:sz="6" w:space="0"/>
                    <w:bottom w:val="single" w:color="000000" w:sz="6" w:space="0"/>
                    <w:right w:val="single" w:color="000000" w:sz="6" w:space="0"/>
                  </w:tcBorders>
                  <w:vAlign w:val="center"/>
                </w:tcPr>
                <w:p>
                  <w:pPr>
                    <w:pStyle w:val="78"/>
                    <w:jc w:val="both"/>
                    <w:rPr>
                      <w:rFonts w:eastAsia="宋体"/>
                    </w:rPr>
                  </w:pPr>
                  <w:r>
                    <w:rPr>
                      <w:rFonts w:eastAsia="宋体"/>
                    </w:rPr>
                    <w:t>该园区应配备专业环境管理人员和必要的监控设备，建立环境管理与风险防范制度，指定环境风险应急预案，落实污染治理、环境风险防范措施和环境管理责任。加工监测能力建设，确保铜梁县具备各工业组团产生的特征污染物的监测能力。</w:t>
                  </w:r>
                </w:p>
              </w:tc>
              <w:tc>
                <w:tcPr>
                  <w:tcW w:w="1408" w:type="pct"/>
                  <w:tcBorders>
                    <w:top w:val="single" w:color="000000" w:sz="6" w:space="0"/>
                    <w:left w:val="single" w:color="000000" w:sz="6" w:space="0"/>
                    <w:bottom w:val="single" w:color="000000" w:sz="6" w:space="0"/>
                    <w:right w:val="single" w:color="000000" w:sz="6" w:space="0"/>
                  </w:tcBorders>
                  <w:vAlign w:val="center"/>
                </w:tcPr>
                <w:p>
                  <w:pPr>
                    <w:pStyle w:val="78"/>
                    <w:rPr>
                      <w:rFonts w:eastAsia="宋体"/>
                    </w:rPr>
                  </w:pPr>
                  <w:r>
                    <w:rPr>
                      <w:rFonts w:eastAsia="宋体"/>
                    </w:rPr>
                    <w:t>企业将配备环保管理人员</w:t>
                  </w:r>
                  <w:r>
                    <w:rPr>
                      <w:rFonts w:hint="eastAsia" w:eastAsia="宋体"/>
                    </w:rPr>
                    <w:t>1人</w:t>
                  </w:r>
                  <w:r>
                    <w:rPr>
                      <w:rFonts w:eastAsia="宋体"/>
                    </w:rPr>
                    <w:t>，建立健全VOCs治理设施的运行维护规程和台帐等日常管理制度，并对废气治理设施进行维护管理。</w:t>
                  </w:r>
                </w:p>
              </w:tc>
              <w:tc>
                <w:tcPr>
                  <w:tcW w:w="450" w:type="pct"/>
                  <w:tcBorders>
                    <w:top w:val="single" w:color="000000" w:sz="6" w:space="0"/>
                    <w:left w:val="single" w:color="000000" w:sz="6" w:space="0"/>
                    <w:bottom w:val="single" w:color="000000" w:sz="6" w:space="0"/>
                    <w:right w:val="single" w:color="000000" w:sz="2" w:space="0"/>
                  </w:tcBorders>
                  <w:vAlign w:val="center"/>
                </w:tcPr>
                <w:p>
                  <w:pPr>
                    <w:pStyle w:val="78"/>
                    <w:rPr>
                      <w:rFonts w:eastAsia="宋体"/>
                    </w:rPr>
                  </w:pPr>
                  <w:r>
                    <w:rPr>
                      <w:rFonts w:eastAsia="宋体"/>
                    </w:rPr>
                    <w:t>符合</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304" w:type="pct"/>
                  <w:tcBorders>
                    <w:top w:val="single" w:color="000000" w:sz="6" w:space="0"/>
                    <w:left w:val="single" w:color="000000" w:sz="2" w:space="0"/>
                    <w:bottom w:val="single" w:color="000000" w:sz="2" w:space="0"/>
                    <w:right w:val="single" w:color="000000" w:sz="6" w:space="0"/>
                  </w:tcBorders>
                  <w:vAlign w:val="center"/>
                </w:tcPr>
                <w:p>
                  <w:pPr>
                    <w:pStyle w:val="78"/>
                    <w:rPr>
                      <w:rFonts w:eastAsia="宋体"/>
                    </w:rPr>
                  </w:pPr>
                  <w:r>
                    <w:rPr>
                      <w:rFonts w:eastAsia="宋体"/>
                    </w:rPr>
                    <w:t>8</w:t>
                  </w:r>
                </w:p>
              </w:tc>
              <w:tc>
                <w:tcPr>
                  <w:tcW w:w="402" w:type="pct"/>
                  <w:tcBorders>
                    <w:top w:val="single" w:color="000000" w:sz="6" w:space="0"/>
                    <w:left w:val="single" w:color="000000" w:sz="6" w:space="0"/>
                    <w:bottom w:val="single" w:color="000000" w:sz="2" w:space="0"/>
                    <w:right w:val="single" w:color="000000" w:sz="6" w:space="0"/>
                  </w:tcBorders>
                  <w:vAlign w:val="center"/>
                </w:tcPr>
                <w:p>
                  <w:pPr>
                    <w:pStyle w:val="78"/>
                    <w:rPr>
                      <w:rFonts w:eastAsia="宋体"/>
                    </w:rPr>
                  </w:pPr>
                  <w:r>
                    <w:rPr>
                      <w:rFonts w:eastAsia="宋体"/>
                    </w:rPr>
                    <w:t>其他</w:t>
                  </w:r>
                </w:p>
              </w:tc>
              <w:tc>
                <w:tcPr>
                  <w:tcW w:w="2435" w:type="pct"/>
                  <w:tcBorders>
                    <w:top w:val="single" w:color="000000" w:sz="6" w:space="0"/>
                    <w:left w:val="single" w:color="000000" w:sz="6" w:space="0"/>
                    <w:bottom w:val="single" w:color="000000" w:sz="2" w:space="0"/>
                    <w:right w:val="single" w:color="000000" w:sz="6" w:space="0"/>
                  </w:tcBorders>
                  <w:vAlign w:val="center"/>
                </w:tcPr>
                <w:p>
                  <w:pPr>
                    <w:pStyle w:val="78"/>
                    <w:jc w:val="both"/>
                    <w:rPr>
                      <w:rFonts w:eastAsia="宋体"/>
                    </w:rPr>
                  </w:pPr>
                  <w:r>
                    <w:rPr>
                      <w:rFonts w:eastAsia="宋体"/>
                    </w:rPr>
                    <w:t>入驻重庆铜梁高新区铜梁片区的建设项目的重金属总量应在“等量置换”落实重金属总量排放指标的情况下，严格执行环境影响评价和环保“三同时”制度，按规定办理建设项目环评审批和环保验收手续。</w:t>
                  </w:r>
                </w:p>
              </w:tc>
              <w:tc>
                <w:tcPr>
                  <w:tcW w:w="1408" w:type="pct"/>
                  <w:tcBorders>
                    <w:top w:val="single" w:color="000000" w:sz="6" w:space="0"/>
                    <w:left w:val="single" w:color="000000" w:sz="6" w:space="0"/>
                    <w:bottom w:val="single" w:color="000000" w:sz="2" w:space="0"/>
                    <w:right w:val="single" w:color="000000" w:sz="6" w:space="0"/>
                  </w:tcBorders>
                  <w:vAlign w:val="center"/>
                </w:tcPr>
                <w:p>
                  <w:pPr>
                    <w:pStyle w:val="78"/>
                    <w:rPr>
                      <w:rFonts w:eastAsia="宋体"/>
                    </w:rPr>
                  </w:pPr>
                  <w:r>
                    <w:rPr>
                      <w:rFonts w:eastAsia="宋体"/>
                    </w:rPr>
                    <w:t>拟建项目不排放重金属污染物。</w:t>
                  </w:r>
                </w:p>
              </w:tc>
              <w:tc>
                <w:tcPr>
                  <w:tcW w:w="450" w:type="pct"/>
                  <w:tcBorders>
                    <w:top w:val="single" w:color="000000" w:sz="6" w:space="0"/>
                    <w:left w:val="single" w:color="000000" w:sz="6" w:space="0"/>
                    <w:bottom w:val="single" w:color="000000" w:sz="2" w:space="0"/>
                    <w:right w:val="single" w:color="000000" w:sz="2" w:space="0"/>
                  </w:tcBorders>
                  <w:vAlign w:val="center"/>
                </w:tcPr>
                <w:p>
                  <w:pPr>
                    <w:pStyle w:val="78"/>
                    <w:rPr>
                      <w:rFonts w:eastAsia="宋体"/>
                    </w:rPr>
                  </w:pPr>
                  <w:r>
                    <w:rPr>
                      <w:rFonts w:eastAsia="宋体"/>
                    </w:rPr>
                    <w:t>符合</w:t>
                  </w:r>
                </w:p>
              </w:tc>
            </w:tr>
          </w:tbl>
          <w:p>
            <w:pPr>
              <w:pStyle w:val="82"/>
            </w:pPr>
            <w:r>
              <w:t>拟建项目与《重庆铜梁高新区铜梁片区及全蒲片区规划环境影响跟踪评价报告书》提出的环境准入负面清单，详见表1-3。</w:t>
            </w:r>
          </w:p>
          <w:p>
            <w:pPr>
              <w:pStyle w:val="83"/>
              <w:ind w:firstLine="422"/>
            </w:pPr>
            <w:r>
              <w:t>表1-3  环境准入负面清单</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7"/>
              <w:gridCol w:w="1295"/>
              <w:gridCol w:w="3978"/>
              <w:gridCol w:w="1552"/>
              <w:gridCol w:w="6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7"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b/>
                      <w:bCs/>
                      <w:kern w:val="2"/>
                      <w:sz w:val="21"/>
                      <w:szCs w:val="21"/>
                    </w:rPr>
                  </w:pPr>
                  <w:r>
                    <w:rPr>
                      <w:rFonts w:ascii="Times New Roman" w:hAnsi="Times New Roman"/>
                      <w:b/>
                      <w:bCs/>
                      <w:kern w:val="2"/>
                      <w:sz w:val="21"/>
                      <w:szCs w:val="21"/>
                    </w:rPr>
                    <w:t>分类</w:t>
                  </w:r>
                </w:p>
              </w:tc>
              <w:tc>
                <w:tcPr>
                  <w:tcW w:w="791"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b/>
                      <w:bCs/>
                      <w:kern w:val="2"/>
                      <w:sz w:val="21"/>
                      <w:szCs w:val="21"/>
                    </w:rPr>
                  </w:pPr>
                  <w:r>
                    <w:rPr>
                      <w:rFonts w:ascii="Times New Roman" w:hAnsi="Times New Roman"/>
                      <w:b/>
                      <w:bCs/>
                      <w:kern w:val="2"/>
                      <w:sz w:val="21"/>
                      <w:szCs w:val="21"/>
                    </w:rPr>
                    <w:t>限制类</w:t>
                  </w:r>
                </w:p>
              </w:tc>
              <w:tc>
                <w:tcPr>
                  <w:tcW w:w="2429"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b/>
                      <w:bCs/>
                      <w:kern w:val="2"/>
                      <w:sz w:val="21"/>
                      <w:szCs w:val="21"/>
                    </w:rPr>
                  </w:pPr>
                  <w:r>
                    <w:rPr>
                      <w:rFonts w:ascii="Times New Roman" w:hAnsi="Times New Roman"/>
                      <w:b/>
                      <w:bCs/>
                      <w:kern w:val="2"/>
                      <w:sz w:val="21"/>
                      <w:szCs w:val="21"/>
                    </w:rPr>
                    <w:t>禁止类</w:t>
                  </w:r>
                </w:p>
              </w:tc>
              <w:tc>
                <w:tcPr>
                  <w:tcW w:w="948"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b/>
                      <w:bCs/>
                      <w:kern w:val="2"/>
                      <w:sz w:val="21"/>
                      <w:szCs w:val="21"/>
                    </w:rPr>
                  </w:pPr>
                  <w:r>
                    <w:rPr>
                      <w:rFonts w:ascii="Times New Roman" w:hAnsi="Times New Roman"/>
                      <w:b/>
                      <w:bCs/>
                      <w:kern w:val="2"/>
                      <w:sz w:val="21"/>
                      <w:szCs w:val="21"/>
                    </w:rPr>
                    <w:t>拟建项目情况</w:t>
                  </w:r>
                </w:p>
              </w:tc>
              <w:tc>
                <w:tcPr>
                  <w:tcW w:w="425"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b/>
                      <w:bCs/>
                      <w:kern w:val="2"/>
                      <w:sz w:val="21"/>
                      <w:szCs w:val="21"/>
                    </w:rPr>
                  </w:pPr>
                  <w:r>
                    <w:rPr>
                      <w:rFonts w:ascii="Times New Roman" w:hAnsi="Times New Roman"/>
                      <w:b/>
                      <w:bCs/>
                      <w:kern w:val="2"/>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7"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清洁生产标准</w:t>
                  </w:r>
                </w:p>
              </w:tc>
              <w:tc>
                <w:tcPr>
                  <w:tcW w:w="791"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低于清洁生产国内先进水平</w:t>
                  </w:r>
                </w:p>
              </w:tc>
              <w:tc>
                <w:tcPr>
                  <w:tcW w:w="2429"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w:t>
                  </w:r>
                </w:p>
              </w:tc>
              <w:tc>
                <w:tcPr>
                  <w:tcW w:w="948"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bCs/>
                      <w:sz w:val="21"/>
                      <w:szCs w:val="21"/>
                    </w:rPr>
                    <w:t>符合清洁生产相关要求。</w:t>
                  </w:r>
                </w:p>
              </w:tc>
              <w:tc>
                <w:tcPr>
                  <w:tcW w:w="425"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7" w:type="pct"/>
                  <w:vMerge w:val="restar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行业准入清单</w:t>
                  </w:r>
                </w:p>
              </w:tc>
              <w:tc>
                <w:tcPr>
                  <w:tcW w:w="791"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w:t>
                  </w:r>
                </w:p>
              </w:tc>
              <w:tc>
                <w:tcPr>
                  <w:tcW w:w="2429"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rPr>
                      <w:rFonts w:ascii="Times New Roman" w:hAnsi="Times New Roman"/>
                      <w:kern w:val="2"/>
                      <w:sz w:val="21"/>
                      <w:szCs w:val="21"/>
                    </w:rPr>
                  </w:pPr>
                  <w:r>
                    <w:rPr>
                      <w:rFonts w:ascii="Times New Roman" w:hAnsi="Times New Roman"/>
                      <w:kern w:val="2"/>
                      <w:sz w:val="21"/>
                      <w:szCs w:val="21"/>
                    </w:rPr>
                    <w:t>禁止钢铁冶炼、重化工、造纸、印染等重污染行业入驻园区。禁止新建、扩建化学合成药类项目。</w:t>
                  </w:r>
                </w:p>
              </w:tc>
              <w:tc>
                <w:tcPr>
                  <w:tcW w:w="948"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不属于左列禁止类行业。</w:t>
                  </w:r>
                </w:p>
              </w:tc>
              <w:tc>
                <w:tcPr>
                  <w:tcW w:w="425"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07" w:type="pct"/>
                  <w:vMerge w:val="continue"/>
                  <w:tcBorders>
                    <w:top w:val="single" w:color="auto" w:sz="4" w:space="0"/>
                    <w:left w:val="single" w:color="auto" w:sz="4" w:space="0"/>
                    <w:bottom w:val="single" w:color="auto" w:sz="4" w:space="0"/>
                    <w:right w:val="single" w:color="auto" w:sz="4" w:space="0"/>
                  </w:tcBorders>
                  <w:vAlign w:val="center"/>
                </w:tcPr>
                <w:p/>
              </w:tc>
              <w:tc>
                <w:tcPr>
                  <w:tcW w:w="791"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w:t>
                  </w:r>
                </w:p>
              </w:tc>
              <w:tc>
                <w:tcPr>
                  <w:tcW w:w="2429"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rPr>
                      <w:rFonts w:ascii="Times New Roman" w:hAnsi="Times New Roman"/>
                      <w:kern w:val="2"/>
                      <w:sz w:val="21"/>
                      <w:szCs w:val="21"/>
                    </w:rPr>
                  </w:pPr>
                  <w:r>
                    <w:rPr>
                      <w:rFonts w:ascii="Times New Roman" w:hAnsi="Times New Roman"/>
                      <w:kern w:val="2"/>
                      <w:sz w:val="21"/>
                      <w:szCs w:val="21"/>
                    </w:rPr>
                    <w:t>园区距离中心城区及其主导风上风向20公里、其他方向5公里范围内和乡镇人民政府所在地及其周边3公里范围内，禁止新建燃煤电厂、水泥、钢铁冶炼等大气污染严重的项目。</w:t>
                  </w:r>
                </w:p>
              </w:tc>
              <w:tc>
                <w:tcPr>
                  <w:tcW w:w="948"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不属于左列禁止类行业。</w:t>
                  </w:r>
                </w:p>
              </w:tc>
              <w:tc>
                <w:tcPr>
                  <w:tcW w:w="425"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3" w:hRule="atLeast"/>
              </w:trPr>
              <w:tc>
                <w:tcPr>
                  <w:tcW w:w="407" w:type="pct"/>
                  <w:vMerge w:val="restar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工艺、产品准入清单</w:t>
                  </w:r>
                </w:p>
              </w:tc>
              <w:tc>
                <w:tcPr>
                  <w:tcW w:w="791"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高能耗、高耗水的工艺</w:t>
                  </w:r>
                </w:p>
              </w:tc>
              <w:tc>
                <w:tcPr>
                  <w:tcW w:w="2429"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rPr>
                      <w:rFonts w:ascii="Times New Roman" w:hAnsi="Times New Roman"/>
                      <w:kern w:val="2"/>
                      <w:sz w:val="21"/>
                      <w:szCs w:val="21"/>
                    </w:rPr>
                  </w:pPr>
                  <w:r>
                    <w:rPr>
                      <w:rFonts w:ascii="Times New Roman" w:hAnsi="Times New Roman"/>
                      <w:kern w:val="2"/>
                      <w:sz w:val="21"/>
                      <w:szCs w:val="21"/>
                    </w:rPr>
                    <w:t>《产业结构调整指导目录</w:t>
                  </w:r>
                  <w:r>
                    <w:rPr>
                      <w:rFonts w:hint="eastAsia" w:ascii="Times New Roman" w:hAnsi="Times New Roman"/>
                      <w:kern w:val="2"/>
                      <w:sz w:val="21"/>
                      <w:szCs w:val="21"/>
                    </w:rPr>
                    <w:t>（</w:t>
                  </w:r>
                  <w:r>
                    <w:rPr>
                      <w:rFonts w:ascii="Times New Roman" w:hAnsi="Times New Roman"/>
                      <w:kern w:val="2"/>
                      <w:sz w:val="21"/>
                      <w:szCs w:val="21"/>
                    </w:rPr>
                    <w:t>2011年本</w:t>
                  </w:r>
                  <w:r>
                    <w:rPr>
                      <w:rFonts w:hint="eastAsia" w:ascii="Times New Roman" w:hAnsi="Times New Roman"/>
                      <w:kern w:val="2"/>
                      <w:sz w:val="21"/>
                      <w:szCs w:val="21"/>
                    </w:rPr>
                    <w:t>）</w:t>
                  </w:r>
                  <w:r>
                    <w:rPr>
                      <w:rFonts w:ascii="Times New Roman" w:hAnsi="Times New Roman"/>
                      <w:kern w:val="2"/>
                      <w:sz w:val="21"/>
                      <w:szCs w:val="21"/>
                    </w:rPr>
                    <w:t>》</w:t>
                  </w:r>
                  <w:r>
                    <w:rPr>
                      <w:rFonts w:hint="eastAsia" w:ascii="Times New Roman" w:hAnsi="Times New Roman"/>
                      <w:kern w:val="2"/>
                      <w:sz w:val="21"/>
                      <w:szCs w:val="21"/>
                    </w:rPr>
                    <w:t>（</w:t>
                  </w:r>
                  <w:r>
                    <w:rPr>
                      <w:rFonts w:ascii="Times New Roman" w:hAnsi="Times New Roman"/>
                      <w:kern w:val="2"/>
                      <w:sz w:val="21"/>
                      <w:szCs w:val="21"/>
                    </w:rPr>
                    <w:t>修订</w:t>
                  </w:r>
                  <w:r>
                    <w:rPr>
                      <w:rFonts w:hint="eastAsia" w:ascii="Times New Roman" w:hAnsi="Times New Roman"/>
                      <w:kern w:val="2"/>
                      <w:sz w:val="21"/>
                      <w:szCs w:val="21"/>
                    </w:rPr>
                    <w:t>）</w:t>
                  </w:r>
                  <w:r>
                    <w:rPr>
                      <w:rFonts w:ascii="Times New Roman" w:hAnsi="Times New Roman"/>
                      <w:kern w:val="2"/>
                      <w:sz w:val="21"/>
                      <w:szCs w:val="21"/>
                    </w:rPr>
                    <w:t>、《部分工业行业淘汰落后生产工艺装备和产品指导目录（2010年本）》和《外商投资产业指导目录</w:t>
                  </w:r>
                  <w:r>
                    <w:rPr>
                      <w:rFonts w:hint="eastAsia" w:ascii="Times New Roman" w:hAnsi="Times New Roman"/>
                      <w:kern w:val="2"/>
                      <w:sz w:val="21"/>
                      <w:szCs w:val="21"/>
                    </w:rPr>
                    <w:t>（</w:t>
                  </w:r>
                  <w:r>
                    <w:rPr>
                      <w:rFonts w:ascii="Times New Roman" w:hAnsi="Times New Roman"/>
                      <w:kern w:val="2"/>
                      <w:sz w:val="21"/>
                      <w:szCs w:val="21"/>
                    </w:rPr>
                    <w:t>2011年修订</w:t>
                  </w:r>
                  <w:r>
                    <w:rPr>
                      <w:rFonts w:hint="eastAsia" w:ascii="Times New Roman" w:hAnsi="Times New Roman"/>
                      <w:kern w:val="2"/>
                      <w:sz w:val="21"/>
                      <w:szCs w:val="21"/>
                    </w:rPr>
                    <w:t>）</w:t>
                  </w:r>
                  <w:r>
                    <w:rPr>
                      <w:rFonts w:ascii="Times New Roman" w:hAnsi="Times New Roman"/>
                      <w:kern w:val="2"/>
                      <w:sz w:val="21"/>
                      <w:szCs w:val="21"/>
                    </w:rPr>
                    <w:t>》中所列淘汰类、禁止类项目。</w:t>
                  </w:r>
                </w:p>
              </w:tc>
              <w:tc>
                <w:tcPr>
                  <w:tcW w:w="948"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拟建项目属于允许类项目。</w:t>
                  </w:r>
                </w:p>
              </w:tc>
              <w:tc>
                <w:tcPr>
                  <w:tcW w:w="425"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7" w:type="pct"/>
                  <w:vMerge w:val="continue"/>
                  <w:tcBorders>
                    <w:top w:val="single" w:color="auto" w:sz="4" w:space="0"/>
                    <w:left w:val="single" w:color="auto" w:sz="4" w:space="0"/>
                    <w:bottom w:val="single" w:color="auto" w:sz="4" w:space="0"/>
                    <w:right w:val="single" w:color="auto" w:sz="4" w:space="0"/>
                  </w:tcBorders>
                  <w:vAlign w:val="center"/>
                </w:tcPr>
                <w:p/>
              </w:tc>
              <w:tc>
                <w:tcPr>
                  <w:tcW w:w="791"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除国防军工等特殊需要外，严格限制含铅电镀工艺</w:t>
                  </w:r>
                </w:p>
              </w:tc>
              <w:tc>
                <w:tcPr>
                  <w:tcW w:w="2429"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rPr>
                      <w:rFonts w:ascii="Times New Roman" w:hAnsi="Times New Roman"/>
                      <w:kern w:val="2"/>
                      <w:sz w:val="21"/>
                      <w:szCs w:val="21"/>
                    </w:rPr>
                  </w:pPr>
                  <w:r>
                    <w:rPr>
                      <w:rFonts w:ascii="Times New Roman" w:hAnsi="Times New Roman"/>
                      <w:kern w:val="2"/>
                      <w:sz w:val="21"/>
                      <w:szCs w:val="21"/>
                    </w:rPr>
                    <w:t>严格执行国家含氰电镀工艺方面的产业政策规定，禁止含有毒有害氰化物电镀工艺（氰化金钾电镀金及氰化亚金钾镀金）。</w:t>
                  </w:r>
                </w:p>
              </w:tc>
              <w:tc>
                <w:tcPr>
                  <w:tcW w:w="948"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不属于左列禁止类行业。</w:t>
                  </w:r>
                </w:p>
              </w:tc>
              <w:tc>
                <w:tcPr>
                  <w:tcW w:w="425"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7" w:type="pct"/>
                  <w:vMerge w:val="continue"/>
                  <w:tcBorders>
                    <w:top w:val="single" w:color="auto" w:sz="4" w:space="0"/>
                    <w:left w:val="single" w:color="auto" w:sz="4" w:space="0"/>
                    <w:bottom w:val="single" w:color="auto" w:sz="4" w:space="0"/>
                    <w:right w:val="single" w:color="auto" w:sz="4" w:space="0"/>
                  </w:tcBorders>
                  <w:vAlign w:val="center"/>
                </w:tcPr>
                <w:p/>
              </w:tc>
              <w:tc>
                <w:tcPr>
                  <w:tcW w:w="791"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w:t>
                  </w:r>
                </w:p>
              </w:tc>
              <w:tc>
                <w:tcPr>
                  <w:tcW w:w="2429"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rPr>
                      <w:rFonts w:ascii="Times New Roman" w:hAnsi="Times New Roman"/>
                      <w:kern w:val="2"/>
                      <w:sz w:val="21"/>
                      <w:szCs w:val="21"/>
                    </w:rPr>
                  </w:pPr>
                  <w:r>
                    <w:rPr>
                      <w:rFonts w:ascii="Times New Roman" w:hAnsi="Times New Roman"/>
                      <w:kern w:val="2"/>
                      <w:sz w:val="21"/>
                      <w:szCs w:val="21"/>
                    </w:rPr>
                    <w:t>旧县水厂取水口位于规划区小安溪下游约6.8km，小安溪河沿岸一公里范围禁止建设排放重金属（铬、镉、汞、砷、铅等五类重金属）、剧毒物质和持久性有机污染物工艺。</w:t>
                  </w:r>
                </w:p>
              </w:tc>
              <w:tc>
                <w:tcPr>
                  <w:tcW w:w="948"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项目</w:t>
                  </w:r>
                  <w:r>
                    <w:rPr>
                      <w:rFonts w:hint="eastAsia" w:ascii="Times New Roman" w:hAnsi="Times New Roman"/>
                      <w:kern w:val="2"/>
                      <w:sz w:val="21"/>
                      <w:szCs w:val="21"/>
                    </w:rPr>
                    <w:t>距小安溪约6</w:t>
                  </w:r>
                  <w:r>
                    <w:rPr>
                      <w:rFonts w:ascii="Times New Roman" w:hAnsi="Times New Roman"/>
                      <w:kern w:val="2"/>
                      <w:sz w:val="21"/>
                      <w:szCs w:val="21"/>
                    </w:rPr>
                    <w:t>00</w:t>
                  </w:r>
                  <w:r>
                    <w:rPr>
                      <w:rFonts w:hint="eastAsia" w:ascii="Times New Roman" w:hAnsi="Times New Roman"/>
                      <w:kern w:val="2"/>
                      <w:sz w:val="21"/>
                      <w:szCs w:val="21"/>
                    </w:rPr>
                    <w:t>m，但不涉及排放重金属、剧毒物质和持久性有机污染物</w:t>
                  </w:r>
                  <w:r>
                    <w:rPr>
                      <w:rFonts w:ascii="Times New Roman" w:hAnsi="Times New Roman"/>
                      <w:kern w:val="2"/>
                      <w:sz w:val="21"/>
                      <w:szCs w:val="21"/>
                    </w:rPr>
                    <w:t>。</w:t>
                  </w:r>
                </w:p>
              </w:tc>
              <w:tc>
                <w:tcPr>
                  <w:tcW w:w="425"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7" w:type="pct"/>
                  <w:vMerge w:val="restart"/>
                  <w:tcBorders>
                    <w:top w:val="single" w:color="auto" w:sz="4" w:space="0"/>
                    <w:left w:val="single" w:color="auto" w:sz="4" w:space="0"/>
                    <w:bottom w:val="single" w:color="auto" w:sz="4" w:space="0"/>
                    <w:right w:val="single" w:color="auto" w:sz="4" w:space="0"/>
                  </w:tcBorders>
                  <w:vAlign w:val="center"/>
                </w:tcPr>
                <w:p>
                  <w:pPr>
                    <w:spacing w:line="320" w:lineRule="exact"/>
                    <w:jc w:val="center"/>
                  </w:pPr>
                  <w:r>
                    <w:t>其他</w:t>
                  </w:r>
                </w:p>
              </w:tc>
              <w:tc>
                <w:tcPr>
                  <w:tcW w:w="791"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w:t>
                  </w:r>
                </w:p>
              </w:tc>
              <w:tc>
                <w:tcPr>
                  <w:tcW w:w="2429"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rPr>
                      <w:rFonts w:ascii="Times New Roman" w:hAnsi="Times New Roman"/>
                      <w:kern w:val="2"/>
                      <w:sz w:val="21"/>
                      <w:szCs w:val="21"/>
                    </w:rPr>
                  </w:pPr>
                  <w:r>
                    <w:rPr>
                      <w:rFonts w:ascii="Times New Roman" w:hAnsi="Times New Roman"/>
                      <w:kern w:val="2"/>
                      <w:sz w:val="21"/>
                      <w:szCs w:val="21"/>
                    </w:rPr>
                    <w:t>禁止引进使用煤为燃料的工业项目。</w:t>
                  </w:r>
                </w:p>
              </w:tc>
              <w:tc>
                <w:tcPr>
                  <w:tcW w:w="948"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项目采用电作为能</w:t>
                  </w:r>
                  <w:r>
                    <w:rPr>
                      <w:rFonts w:hint="eastAsia" w:ascii="Times New Roman" w:hAnsi="Times New Roman"/>
                      <w:kern w:val="2"/>
                      <w:sz w:val="21"/>
                      <w:szCs w:val="21"/>
                    </w:rPr>
                    <w:t>源</w:t>
                  </w:r>
                  <w:r>
                    <w:rPr>
                      <w:rFonts w:ascii="Times New Roman" w:hAnsi="Times New Roman"/>
                      <w:kern w:val="2"/>
                      <w:sz w:val="21"/>
                      <w:szCs w:val="21"/>
                    </w:rPr>
                    <w:t>。</w:t>
                  </w:r>
                </w:p>
              </w:tc>
              <w:tc>
                <w:tcPr>
                  <w:tcW w:w="425"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7" w:type="pct"/>
                  <w:vMerge w:val="continue"/>
                  <w:tcBorders>
                    <w:top w:val="single" w:color="auto" w:sz="4" w:space="0"/>
                    <w:left w:val="single" w:color="auto" w:sz="4" w:space="0"/>
                    <w:bottom w:val="single" w:color="auto" w:sz="4" w:space="0"/>
                    <w:right w:val="single" w:color="auto" w:sz="4" w:space="0"/>
                  </w:tcBorders>
                  <w:vAlign w:val="center"/>
                </w:tcPr>
                <w:p/>
              </w:tc>
              <w:tc>
                <w:tcPr>
                  <w:tcW w:w="791"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电镀企业应进入表面处理园</w:t>
                  </w:r>
                </w:p>
              </w:tc>
              <w:tc>
                <w:tcPr>
                  <w:tcW w:w="2429"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w:t>
                  </w:r>
                </w:p>
              </w:tc>
              <w:tc>
                <w:tcPr>
                  <w:tcW w:w="948"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不属于电镀行业。</w:t>
                  </w:r>
                </w:p>
              </w:tc>
              <w:tc>
                <w:tcPr>
                  <w:tcW w:w="425"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7"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ind w:left="-105" w:leftChars="-50" w:right="-105" w:rightChars="-50"/>
                    <w:jc w:val="center"/>
                    <w:rPr>
                      <w:rFonts w:ascii="Times New Roman" w:hAnsi="Times New Roman"/>
                      <w:kern w:val="2"/>
                      <w:sz w:val="21"/>
                      <w:szCs w:val="21"/>
                    </w:rPr>
                  </w:pPr>
                  <w:r>
                    <w:rPr>
                      <w:rFonts w:ascii="Times New Roman" w:hAnsi="Times New Roman"/>
                      <w:kern w:val="2"/>
                      <w:sz w:val="21"/>
                      <w:szCs w:val="21"/>
                    </w:rPr>
                    <w:t>主导行业</w:t>
                  </w:r>
                </w:p>
              </w:tc>
              <w:tc>
                <w:tcPr>
                  <w:tcW w:w="4593" w:type="pct"/>
                  <w:gridSpan w:val="4"/>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禁止工艺及产品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7"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电子信息</w:t>
                  </w:r>
                </w:p>
              </w:tc>
              <w:tc>
                <w:tcPr>
                  <w:tcW w:w="3220" w:type="pct"/>
                  <w:gridSpan w:val="2"/>
                  <w:tcBorders>
                    <w:top w:val="single" w:color="auto" w:sz="4" w:space="0"/>
                    <w:left w:val="single" w:color="auto" w:sz="4" w:space="0"/>
                    <w:bottom w:val="single" w:color="auto" w:sz="4" w:space="0"/>
                    <w:right w:val="single" w:color="auto" w:sz="4" w:space="0"/>
                  </w:tcBorders>
                  <w:vAlign w:val="center"/>
                </w:tcPr>
                <w:p>
                  <w:pPr>
                    <w:pStyle w:val="20"/>
                    <w:spacing w:line="320" w:lineRule="exact"/>
                    <w:jc w:val="both"/>
                    <w:rPr>
                      <w:rFonts w:ascii="Times New Roman" w:hAnsi="Times New Roman"/>
                      <w:kern w:val="2"/>
                      <w:sz w:val="21"/>
                      <w:szCs w:val="21"/>
                    </w:rPr>
                  </w:pPr>
                  <w:r>
                    <w:rPr>
                      <w:rFonts w:ascii="Times New Roman" w:hAnsi="Times New Roman"/>
                      <w:kern w:val="2"/>
                      <w:sz w:val="21"/>
                      <w:szCs w:val="21"/>
                    </w:rPr>
                    <w:t>1、含有毒有害氰化物电镀工艺（氰化金钾电镀金及氰化亚金钾镀金（2014年）2、银、铜基合金及予镀铜打底工艺电子管高频感应加热设备；3、电子管高频感应加热设备；4、模拟CRT黑白及彩色电视机项目；5、激光视盘机生产线（VCD系列整机产品）。</w:t>
                  </w:r>
                </w:p>
              </w:tc>
              <w:tc>
                <w:tcPr>
                  <w:tcW w:w="948"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项目属于</w:t>
                  </w:r>
                  <w:r>
                    <w:rPr>
                      <w:rFonts w:hint="eastAsia" w:ascii="Times New Roman" w:hAnsi="Times New Roman"/>
                      <w:kern w:val="2"/>
                      <w:sz w:val="21"/>
                      <w:szCs w:val="21"/>
                    </w:rPr>
                    <w:t>其他塑料制品制造</w:t>
                  </w:r>
                  <w:r>
                    <w:rPr>
                      <w:rFonts w:ascii="Times New Roman" w:hAnsi="Times New Roman"/>
                      <w:kern w:val="2"/>
                      <w:sz w:val="21"/>
                      <w:szCs w:val="21"/>
                    </w:rPr>
                    <w:t>，不属于左列禁止工艺及产品。</w:t>
                  </w:r>
                </w:p>
              </w:tc>
              <w:tc>
                <w:tcPr>
                  <w:tcW w:w="425"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7"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生物医药</w:t>
                  </w:r>
                </w:p>
              </w:tc>
              <w:tc>
                <w:tcPr>
                  <w:tcW w:w="3220" w:type="pct"/>
                  <w:gridSpan w:val="2"/>
                  <w:tcBorders>
                    <w:top w:val="single" w:color="auto" w:sz="4" w:space="0"/>
                    <w:left w:val="single" w:color="auto" w:sz="4" w:space="0"/>
                    <w:bottom w:val="single" w:color="auto" w:sz="4" w:space="0"/>
                    <w:right w:val="single" w:color="auto" w:sz="4" w:space="0"/>
                  </w:tcBorders>
                  <w:vAlign w:val="center"/>
                </w:tcPr>
                <w:p>
                  <w:pPr>
                    <w:pStyle w:val="20"/>
                    <w:spacing w:line="320" w:lineRule="exact"/>
                    <w:jc w:val="both"/>
                    <w:rPr>
                      <w:rFonts w:ascii="Times New Roman" w:hAnsi="Times New Roman"/>
                      <w:kern w:val="2"/>
                      <w:sz w:val="21"/>
                      <w:szCs w:val="21"/>
                    </w:rPr>
                  </w:pPr>
                  <w:r>
                    <w:rPr>
                      <w:rFonts w:ascii="Times New Roman" w:hAnsi="Times New Roman"/>
                      <w:kern w:val="2"/>
                      <w:sz w:val="21"/>
                      <w:szCs w:val="21"/>
                    </w:rPr>
                    <w:t>1、新建、扩建古龙酸和维生素C原粉（包括药用、食品用和饲料用、化妆品用）生产装置，新建药品、食品、饲料、化妆品等用途的维生素B1、维生素B2、维生素B1；2(综合利用除外)、维生素E原料生产装置2、新建青霉素工业盐、6-氨基青霉烷酸（6-APA）、化学法生产7-氨基头孢烷酸（7-ACA）、7-氨基-3-去乙酰氧基头孢烷酸（7-ADCA）、青霉素V、氨苄青霉素、羟氨苄青霉素、头孢菌素c发酵、土霉素、四环素、氯霉素、安乃近、扑热息痛、林可霉素、庆大霉素、双氢链霉素、丁胺卡那霉素、麦迪霉素、柱晶白霉素、环丙氟哌酸、氟哌酸、氟嗪酸、利福平、咖啡因、柯柯豆碱生产装置；3、新建紫杉醇（配套红豆杉种植除外）、植物提取法黄连素（配套黄连种植除外）生产装置；4、手工胶囊填充工艺、软木塞烫腊包装药品工艺；5、新建及改扩建原料含有尚未规模化种植或养殖的濒危动植物药材的产品生产装置；6、新开办无新药证书的药品生产企业。</w:t>
                  </w:r>
                </w:p>
              </w:tc>
              <w:tc>
                <w:tcPr>
                  <w:tcW w:w="948"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项目属于</w:t>
                  </w:r>
                  <w:r>
                    <w:rPr>
                      <w:rFonts w:hint="eastAsia" w:ascii="Times New Roman" w:hAnsi="Times New Roman"/>
                      <w:kern w:val="2"/>
                      <w:sz w:val="21"/>
                      <w:szCs w:val="21"/>
                    </w:rPr>
                    <w:t>其他塑料制品制造</w:t>
                  </w:r>
                  <w:r>
                    <w:rPr>
                      <w:rFonts w:ascii="Times New Roman" w:hAnsi="Times New Roman"/>
                      <w:kern w:val="2"/>
                      <w:sz w:val="21"/>
                      <w:szCs w:val="21"/>
                    </w:rPr>
                    <w:t>，不属于左列禁止工艺及产品。</w:t>
                  </w:r>
                </w:p>
              </w:tc>
              <w:tc>
                <w:tcPr>
                  <w:tcW w:w="425"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7"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医疗器械及医药包材</w:t>
                  </w:r>
                </w:p>
              </w:tc>
              <w:tc>
                <w:tcPr>
                  <w:tcW w:w="3220" w:type="pct"/>
                  <w:gridSpan w:val="2"/>
                  <w:tcBorders>
                    <w:top w:val="single" w:color="auto" w:sz="4" w:space="0"/>
                    <w:left w:val="single" w:color="auto" w:sz="4" w:space="0"/>
                    <w:bottom w:val="single" w:color="auto" w:sz="4" w:space="0"/>
                    <w:right w:val="single" w:color="auto" w:sz="4" w:space="0"/>
                  </w:tcBorders>
                  <w:vAlign w:val="center"/>
                </w:tcPr>
                <w:p>
                  <w:pPr>
                    <w:pStyle w:val="20"/>
                    <w:spacing w:line="320" w:lineRule="exact"/>
                    <w:jc w:val="both"/>
                    <w:rPr>
                      <w:rFonts w:ascii="Times New Roman" w:hAnsi="Times New Roman"/>
                      <w:kern w:val="2"/>
                      <w:sz w:val="21"/>
                      <w:szCs w:val="21"/>
                    </w:rPr>
                  </w:pPr>
                  <w:r>
                    <w:rPr>
                      <w:rFonts w:ascii="Times New Roman" w:hAnsi="Times New Roman"/>
                      <w:kern w:val="2"/>
                      <w:sz w:val="21"/>
                      <w:szCs w:val="21"/>
                    </w:rPr>
                    <w:t>1、新建、改扩建药用丁基橡胶塞、二步法生产输液用塑料瓶生产装置2、新建、改扩建充汞式玻璃体温计、血压计生产装置、银汞齐齿科材料、新建2亿支/年以下一次性注射器、输血器、输液器生产装置3、不符合GMP要求的安瓿拉丝灌封机。</w:t>
                  </w:r>
                </w:p>
              </w:tc>
              <w:tc>
                <w:tcPr>
                  <w:tcW w:w="948"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项目属于</w:t>
                  </w:r>
                  <w:r>
                    <w:rPr>
                      <w:rFonts w:hint="eastAsia" w:ascii="Times New Roman" w:hAnsi="Times New Roman"/>
                      <w:kern w:val="2"/>
                      <w:sz w:val="21"/>
                      <w:szCs w:val="21"/>
                    </w:rPr>
                    <w:t>其他塑料制品制造</w:t>
                  </w:r>
                  <w:r>
                    <w:rPr>
                      <w:rFonts w:ascii="Times New Roman" w:hAnsi="Times New Roman"/>
                      <w:kern w:val="2"/>
                      <w:sz w:val="21"/>
                      <w:szCs w:val="21"/>
                    </w:rPr>
                    <w:t>，不属于左列禁止工艺及产品。</w:t>
                  </w:r>
                </w:p>
              </w:tc>
              <w:tc>
                <w:tcPr>
                  <w:tcW w:w="425"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7"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机械装备制造</w:t>
                  </w:r>
                </w:p>
              </w:tc>
              <w:tc>
                <w:tcPr>
                  <w:tcW w:w="3220" w:type="pct"/>
                  <w:gridSpan w:val="2"/>
                  <w:tcBorders>
                    <w:top w:val="single" w:color="auto" w:sz="4" w:space="0"/>
                    <w:left w:val="single" w:color="auto" w:sz="4" w:space="0"/>
                    <w:bottom w:val="single" w:color="auto" w:sz="4" w:space="0"/>
                    <w:right w:val="single" w:color="auto" w:sz="4" w:space="0"/>
                  </w:tcBorders>
                  <w:vAlign w:val="center"/>
                </w:tcPr>
                <w:p>
                  <w:pPr>
                    <w:pStyle w:val="20"/>
                    <w:spacing w:line="320" w:lineRule="exact"/>
                    <w:jc w:val="both"/>
                    <w:rPr>
                      <w:rFonts w:ascii="Times New Roman" w:hAnsi="Times New Roman"/>
                      <w:kern w:val="2"/>
                      <w:sz w:val="21"/>
                      <w:szCs w:val="21"/>
                    </w:rPr>
                  </w:pPr>
                  <w:r>
                    <w:rPr>
                      <w:rFonts w:ascii="Times New Roman" w:hAnsi="Times New Roman"/>
                      <w:kern w:val="2"/>
                      <w:sz w:val="21"/>
                      <w:szCs w:val="21"/>
                    </w:rPr>
                    <w:t>1、国家《产业结构调整指导目录（2011年本）（修正）》限制类</w:t>
                  </w:r>
                  <w:r>
                    <w:rPr>
                      <w:rFonts w:hint="eastAsia" w:ascii="Times New Roman" w:hAnsi="Times New Roman"/>
                      <w:kern w:val="2"/>
                      <w:sz w:val="21"/>
                      <w:szCs w:val="21"/>
                    </w:rPr>
                    <w:t xml:space="preserve"> “</w:t>
                  </w:r>
                  <w:r>
                    <w:rPr>
                      <w:rFonts w:ascii="Times New Roman" w:hAnsi="Times New Roman"/>
                      <w:kern w:val="2"/>
                      <w:sz w:val="21"/>
                      <w:szCs w:val="21"/>
                    </w:rPr>
                    <w:t>十一、机械</w:t>
                  </w:r>
                  <w:r>
                    <w:rPr>
                      <w:rFonts w:hint="eastAsia" w:ascii="Times New Roman" w:hAnsi="Times New Roman"/>
                      <w:kern w:val="2"/>
                      <w:sz w:val="21"/>
                      <w:szCs w:val="21"/>
                    </w:rPr>
                    <w:t>”</w:t>
                  </w:r>
                  <w:r>
                    <w:rPr>
                      <w:rFonts w:ascii="Times New Roman" w:hAnsi="Times New Roman"/>
                      <w:kern w:val="2"/>
                      <w:sz w:val="21"/>
                      <w:szCs w:val="21"/>
                    </w:rPr>
                    <w:t>第12、16-19、21-23、28、29、31-33、36、37、40-43、47、48项等通用设备制造。2、国家《产业结构调整指导目录</w:t>
                  </w:r>
                  <w:r>
                    <w:rPr>
                      <w:rFonts w:hint="eastAsia" w:ascii="Times New Roman" w:hAnsi="Times New Roman"/>
                      <w:kern w:val="2"/>
                      <w:sz w:val="21"/>
                      <w:szCs w:val="21"/>
                    </w:rPr>
                    <w:t>（</w:t>
                  </w:r>
                  <w:r>
                    <w:rPr>
                      <w:rFonts w:ascii="Times New Roman" w:hAnsi="Times New Roman"/>
                      <w:kern w:val="2"/>
                      <w:sz w:val="21"/>
                      <w:szCs w:val="21"/>
                    </w:rPr>
                    <w:t>2011年本）（修正）》限制类“十一、机械”第1-10、13、46、51-55项及</w:t>
                  </w:r>
                  <w:r>
                    <w:rPr>
                      <w:rFonts w:hint="eastAsia" w:ascii="Times New Roman" w:hAnsi="Times New Roman"/>
                      <w:kern w:val="2"/>
                      <w:sz w:val="21"/>
                      <w:szCs w:val="21"/>
                    </w:rPr>
                    <w:t>“</w:t>
                  </w:r>
                  <w:r>
                    <w:rPr>
                      <w:rFonts w:ascii="Times New Roman" w:hAnsi="Times New Roman"/>
                      <w:kern w:val="2"/>
                      <w:sz w:val="21"/>
                      <w:szCs w:val="21"/>
                    </w:rPr>
                    <w:t>十五、消防</w:t>
                  </w:r>
                  <w:r>
                    <w:rPr>
                      <w:rFonts w:hint="eastAsia" w:ascii="Times New Roman" w:hAnsi="Times New Roman"/>
                      <w:kern w:val="2"/>
                      <w:sz w:val="21"/>
                      <w:szCs w:val="21"/>
                    </w:rPr>
                    <w:t>”</w:t>
                  </w:r>
                  <w:r>
                    <w:rPr>
                      <w:rFonts w:ascii="Times New Roman" w:hAnsi="Times New Roman"/>
                      <w:kern w:val="2"/>
                      <w:sz w:val="21"/>
                      <w:szCs w:val="21"/>
                    </w:rPr>
                    <w:t>第1-8项等专用设备制造。3、国家《产业结构调整指导目录（2011年本）</w:t>
                  </w:r>
                  <w:r>
                    <w:rPr>
                      <w:rFonts w:hint="eastAsia" w:ascii="Times New Roman" w:hAnsi="Times New Roman"/>
                      <w:kern w:val="2"/>
                      <w:sz w:val="21"/>
                      <w:szCs w:val="21"/>
                    </w:rPr>
                    <w:t>（</w:t>
                  </w:r>
                  <w:r>
                    <w:rPr>
                      <w:rFonts w:ascii="Times New Roman" w:hAnsi="Times New Roman"/>
                      <w:kern w:val="2"/>
                      <w:sz w:val="21"/>
                      <w:szCs w:val="21"/>
                    </w:rPr>
                    <w:t>修正）》限制类“十一、机械”第14、15、24、25、44、50项等电气机械和器材制造；糊式锌锰电池、镉镍电池；普通照明白炽灯、高压汞灯。4、低速汽车（三轮汽车、低速货车）（自2015年起执行与轻型卡车同等的节能与排放标准）；4档及以下机械式车用自动变速箱（AT</w:t>
                  </w:r>
                  <w:r>
                    <w:rPr>
                      <w:kern w:val="2"/>
                      <w:sz w:val="21"/>
                      <w:szCs w:val="21"/>
                    </w:rPr>
                    <w:t>)</w:t>
                  </w:r>
                  <w:r>
                    <w:rPr>
                      <w:rFonts w:hint="eastAsia"/>
                      <w:kern w:val="2"/>
                      <w:sz w:val="21"/>
                      <w:szCs w:val="21"/>
                    </w:rPr>
                    <w:t>；</w:t>
                  </w:r>
                  <w:r>
                    <w:rPr>
                      <w:rFonts w:ascii="Times New Roman" w:hAnsi="Times New Roman"/>
                      <w:kern w:val="2"/>
                      <w:sz w:val="21"/>
                      <w:szCs w:val="21"/>
                    </w:rPr>
                    <w:t>排放标准国三及以下的机动车用发动机。5、出口船舶分段建造项目。</w:t>
                  </w:r>
                </w:p>
              </w:tc>
              <w:tc>
                <w:tcPr>
                  <w:tcW w:w="948"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项目属于</w:t>
                  </w:r>
                  <w:r>
                    <w:rPr>
                      <w:rFonts w:hint="eastAsia" w:ascii="Times New Roman" w:hAnsi="Times New Roman"/>
                      <w:kern w:val="2"/>
                      <w:sz w:val="21"/>
                      <w:szCs w:val="21"/>
                    </w:rPr>
                    <w:t>其他塑料制品制造</w:t>
                  </w:r>
                  <w:r>
                    <w:rPr>
                      <w:rFonts w:ascii="Times New Roman" w:hAnsi="Times New Roman"/>
                      <w:kern w:val="2"/>
                      <w:sz w:val="21"/>
                      <w:szCs w:val="21"/>
                    </w:rPr>
                    <w:t>，不属于左列禁止工艺及产品。</w:t>
                  </w:r>
                </w:p>
              </w:tc>
              <w:tc>
                <w:tcPr>
                  <w:tcW w:w="425"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7"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生态农产品加工</w:t>
                  </w:r>
                </w:p>
              </w:tc>
              <w:tc>
                <w:tcPr>
                  <w:tcW w:w="3220" w:type="pct"/>
                  <w:gridSpan w:val="2"/>
                  <w:tcBorders>
                    <w:top w:val="single" w:color="auto" w:sz="4" w:space="0"/>
                    <w:left w:val="single" w:color="auto" w:sz="4" w:space="0"/>
                    <w:bottom w:val="single" w:color="auto" w:sz="4" w:space="0"/>
                    <w:right w:val="single" w:color="auto" w:sz="4" w:space="0"/>
                  </w:tcBorders>
                  <w:vAlign w:val="center"/>
                </w:tcPr>
                <w:p>
                  <w:pPr>
                    <w:pStyle w:val="20"/>
                    <w:spacing w:line="320" w:lineRule="exact"/>
                    <w:jc w:val="both"/>
                    <w:rPr>
                      <w:rFonts w:ascii="Times New Roman" w:hAnsi="Times New Roman"/>
                      <w:kern w:val="2"/>
                      <w:sz w:val="21"/>
                      <w:szCs w:val="21"/>
                    </w:rPr>
                  </w:pPr>
                  <w:r>
                    <w:rPr>
                      <w:rFonts w:ascii="Times New Roman" w:hAnsi="Times New Roman"/>
                      <w:kern w:val="2"/>
                      <w:sz w:val="21"/>
                      <w:szCs w:val="21"/>
                    </w:rPr>
                    <w:t>1、3万吨/年以下酒精生产线（废糖蜜制酒精除外）</w:t>
                  </w:r>
                  <w:r>
                    <w:rPr>
                      <w:rFonts w:hint="eastAsia" w:ascii="Times New Roman" w:hAnsi="Times New Roman"/>
                      <w:kern w:val="2"/>
                      <w:sz w:val="21"/>
                      <w:szCs w:val="21"/>
                    </w:rPr>
                    <w:t>；</w:t>
                  </w:r>
                  <w:r>
                    <w:rPr>
                      <w:rFonts w:ascii="Times New Roman" w:hAnsi="Times New Roman"/>
                      <w:kern w:val="2"/>
                      <w:sz w:val="21"/>
                      <w:szCs w:val="21"/>
                    </w:rPr>
                    <w:t>2、3万吨/年以下味精生产装置</w:t>
                  </w:r>
                  <w:r>
                    <w:rPr>
                      <w:rFonts w:hint="eastAsia" w:ascii="Times New Roman" w:hAnsi="Times New Roman"/>
                      <w:kern w:val="2"/>
                      <w:sz w:val="21"/>
                      <w:szCs w:val="21"/>
                    </w:rPr>
                    <w:t>；</w:t>
                  </w:r>
                  <w:r>
                    <w:rPr>
                      <w:rFonts w:ascii="Times New Roman" w:hAnsi="Times New Roman"/>
                      <w:kern w:val="2"/>
                      <w:sz w:val="21"/>
                      <w:szCs w:val="21"/>
                    </w:rPr>
                    <w:t>3、2万吨/年及以下柠檬酸生产装置</w:t>
                  </w:r>
                  <w:r>
                    <w:rPr>
                      <w:rFonts w:hint="eastAsia" w:ascii="Times New Roman" w:hAnsi="Times New Roman"/>
                      <w:kern w:val="2"/>
                      <w:sz w:val="21"/>
                      <w:szCs w:val="21"/>
                    </w:rPr>
                    <w:t>；</w:t>
                  </w:r>
                  <w:r>
                    <w:rPr>
                      <w:rFonts w:ascii="Times New Roman" w:hAnsi="Times New Roman"/>
                      <w:kern w:val="2"/>
                      <w:sz w:val="21"/>
                      <w:szCs w:val="21"/>
                    </w:rPr>
                    <w:t>4、年处理10万吨以下、总干物收率97%以下的湿法玉米淀粉生产线</w:t>
                  </w:r>
                  <w:r>
                    <w:rPr>
                      <w:rFonts w:hint="eastAsia" w:ascii="Times New Roman" w:hAnsi="Times New Roman"/>
                      <w:kern w:val="2"/>
                      <w:sz w:val="21"/>
                      <w:szCs w:val="21"/>
                    </w:rPr>
                    <w:t>；</w:t>
                  </w:r>
                  <w:r>
                    <w:rPr>
                      <w:rFonts w:ascii="Times New Roman" w:hAnsi="Times New Roman"/>
                      <w:kern w:val="2"/>
                      <w:sz w:val="21"/>
                      <w:szCs w:val="21"/>
                    </w:rPr>
                    <w:t>5、桥式劈半锯、敞式生猪烫毛机等生猪屠宰设备</w:t>
                  </w:r>
                  <w:r>
                    <w:rPr>
                      <w:rFonts w:hint="eastAsia" w:ascii="Times New Roman" w:hAnsi="Times New Roman"/>
                      <w:kern w:val="2"/>
                      <w:sz w:val="21"/>
                      <w:szCs w:val="21"/>
                    </w:rPr>
                    <w:t>；</w:t>
                  </w:r>
                  <w:r>
                    <w:rPr>
                      <w:rFonts w:ascii="Times New Roman" w:hAnsi="Times New Roman"/>
                      <w:kern w:val="2"/>
                      <w:sz w:val="21"/>
                      <w:szCs w:val="21"/>
                    </w:rPr>
                    <w:t>6、猪、牛、羊、禽手工屠宰工艺</w:t>
                  </w:r>
                  <w:r>
                    <w:rPr>
                      <w:rFonts w:hint="eastAsia" w:ascii="Times New Roman" w:hAnsi="Times New Roman"/>
                      <w:kern w:val="2"/>
                      <w:sz w:val="21"/>
                      <w:szCs w:val="21"/>
                    </w:rPr>
                    <w:t>；</w:t>
                  </w:r>
                  <w:r>
                    <w:rPr>
                      <w:rFonts w:ascii="Times New Roman" w:hAnsi="Times New Roman"/>
                      <w:kern w:val="2"/>
                      <w:sz w:val="21"/>
                      <w:szCs w:val="21"/>
                    </w:rPr>
                    <w:t>7、小麦粉增白剂（过氧化苯甲酰、过氧化钙）的添加工艺。</w:t>
                  </w:r>
                </w:p>
              </w:tc>
              <w:tc>
                <w:tcPr>
                  <w:tcW w:w="948"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hint="eastAsia" w:ascii="Times New Roman" w:hAnsi="Times New Roman"/>
                      <w:kern w:val="2"/>
                      <w:sz w:val="21"/>
                      <w:szCs w:val="21"/>
                    </w:rPr>
                    <w:t>项目属于其他塑料制品制造，</w:t>
                  </w:r>
                  <w:r>
                    <w:rPr>
                      <w:rFonts w:ascii="Times New Roman" w:hAnsi="Times New Roman"/>
                      <w:kern w:val="2"/>
                      <w:sz w:val="21"/>
                      <w:szCs w:val="21"/>
                    </w:rPr>
                    <w:t>不属于左列禁止工艺及产品。</w:t>
                  </w:r>
                </w:p>
              </w:tc>
              <w:tc>
                <w:tcPr>
                  <w:tcW w:w="425" w:type="pct"/>
                  <w:tcBorders>
                    <w:top w:val="single" w:color="auto" w:sz="4" w:space="0"/>
                    <w:left w:val="single" w:color="auto" w:sz="4" w:space="0"/>
                    <w:bottom w:val="single" w:color="auto" w:sz="4" w:space="0"/>
                    <w:right w:val="single" w:color="auto" w:sz="4" w:space="0"/>
                  </w:tcBorders>
                  <w:vAlign w:val="center"/>
                </w:tcPr>
                <w:p>
                  <w:pPr>
                    <w:pStyle w:val="20"/>
                    <w:spacing w:line="320" w:lineRule="exact"/>
                    <w:jc w:val="center"/>
                    <w:rPr>
                      <w:rFonts w:ascii="Times New Roman" w:hAnsi="Times New Roman"/>
                      <w:kern w:val="2"/>
                      <w:sz w:val="21"/>
                      <w:szCs w:val="21"/>
                    </w:rPr>
                  </w:pPr>
                  <w:r>
                    <w:rPr>
                      <w:rFonts w:ascii="Times New Roman" w:hAnsi="Times New Roman"/>
                      <w:kern w:val="2"/>
                      <w:sz w:val="21"/>
                      <w:szCs w:val="21"/>
                    </w:rPr>
                    <w:t>符合</w:t>
                  </w:r>
                </w:p>
              </w:tc>
            </w:tr>
          </w:tbl>
          <w:p>
            <w:pPr>
              <w:pStyle w:val="82"/>
            </w:pPr>
            <w:r>
              <w:t>由上表可知，拟建项目为</w:t>
            </w:r>
            <w:r>
              <w:rPr>
                <w:rFonts w:hint="eastAsia"/>
              </w:rPr>
              <w:t>其他塑料制品制造</w:t>
            </w:r>
            <w:r>
              <w:t>业，与园区主导产业不冲突，拟建项目不在《重庆铜梁高新区铜梁片区及全蒲片区规划环境影响跟踪评价报告书》提出的生态环境准入负面清单中。</w:t>
            </w:r>
          </w:p>
          <w:p>
            <w:pPr>
              <w:pStyle w:val="82"/>
              <w:ind w:firstLine="482"/>
              <w:rPr>
                <w:b/>
                <w:bCs/>
              </w:rPr>
            </w:pPr>
            <w:r>
              <w:rPr>
                <w:rFonts w:hint="eastAsia"/>
                <w:b/>
                <w:bCs/>
              </w:rPr>
              <w:t>3、与《重庆市生态环境局关于重庆铜梁高新区铜梁片区及全蒲片区规划环境影响跟踪评价报告书审查意见的函》（渝环函〔2019〕94号）符合性分析</w:t>
            </w:r>
          </w:p>
          <w:p>
            <w:pPr>
              <w:pStyle w:val="83"/>
              <w:ind w:firstLine="422"/>
            </w:pPr>
            <w:r>
              <w:t>表1</w:t>
            </w:r>
            <w:r>
              <w:rPr>
                <w:rFonts w:hint="eastAsia"/>
              </w:rPr>
              <w:t>-</w:t>
            </w:r>
            <w:r>
              <w:t>4  项目与</w:t>
            </w:r>
            <w:r>
              <w:rPr>
                <w:rFonts w:hint="eastAsia"/>
              </w:rPr>
              <w:t>规划环评审查意见的函</w:t>
            </w:r>
            <w:r>
              <w:t>（渝环函〔2019〕94号）相关符合性分析</w:t>
            </w:r>
          </w:p>
          <w:tbl>
            <w:tblPr>
              <w:tblStyle w:val="24"/>
              <w:tblW w:w="5000" w:type="pct"/>
              <w:tblInd w:w="0" w:type="dxa"/>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Layout w:type="autofit"/>
              <w:tblCellMar>
                <w:top w:w="0" w:type="dxa"/>
                <w:left w:w="108" w:type="dxa"/>
                <w:bottom w:w="0" w:type="dxa"/>
                <w:right w:w="108" w:type="dxa"/>
              </w:tblCellMar>
            </w:tblPr>
            <w:tblGrid>
              <w:gridCol w:w="732"/>
              <w:gridCol w:w="4409"/>
              <w:gridCol w:w="2324"/>
              <w:gridCol w:w="728"/>
            </w:tblGrid>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420" w:hRule="atLeast"/>
              </w:trPr>
              <w:tc>
                <w:tcPr>
                  <w:tcW w:w="447" w:type="pct"/>
                  <w:tcBorders>
                    <w:top w:val="single" w:color="000000" w:sz="2" w:space="0"/>
                    <w:left w:val="single" w:color="000000" w:sz="2" w:space="0"/>
                    <w:bottom w:val="single" w:color="000000" w:sz="6" w:space="0"/>
                    <w:right w:val="single" w:color="000000" w:sz="6" w:space="0"/>
                  </w:tcBorders>
                  <w:vAlign w:val="center"/>
                </w:tcPr>
                <w:p>
                  <w:pPr>
                    <w:pStyle w:val="78"/>
                    <w:rPr>
                      <w:rFonts w:eastAsia="宋体"/>
                      <w:b/>
                      <w:bCs/>
                    </w:rPr>
                  </w:pPr>
                  <w:r>
                    <w:rPr>
                      <w:rFonts w:eastAsia="宋体"/>
                      <w:b/>
                      <w:bCs/>
                    </w:rPr>
                    <w:t>类别</w:t>
                  </w:r>
                </w:p>
              </w:tc>
              <w:tc>
                <w:tcPr>
                  <w:tcW w:w="2691" w:type="pct"/>
                  <w:tcBorders>
                    <w:top w:val="single" w:color="000000" w:sz="2" w:space="0"/>
                    <w:left w:val="single" w:color="000000" w:sz="6" w:space="0"/>
                    <w:bottom w:val="single" w:color="000000" w:sz="6" w:space="0"/>
                    <w:right w:val="single" w:color="000000" w:sz="6" w:space="0"/>
                  </w:tcBorders>
                  <w:vAlign w:val="center"/>
                </w:tcPr>
                <w:p>
                  <w:pPr>
                    <w:pStyle w:val="78"/>
                    <w:rPr>
                      <w:rFonts w:eastAsia="宋体"/>
                      <w:b/>
                      <w:bCs/>
                    </w:rPr>
                  </w:pPr>
                  <w:r>
                    <w:rPr>
                      <w:rFonts w:eastAsia="宋体"/>
                      <w:b/>
                      <w:bCs/>
                    </w:rPr>
                    <w:t>环境准入条件</w:t>
                  </w:r>
                </w:p>
              </w:tc>
              <w:tc>
                <w:tcPr>
                  <w:tcW w:w="1418" w:type="pct"/>
                  <w:tcBorders>
                    <w:top w:val="single" w:color="000000" w:sz="2" w:space="0"/>
                    <w:left w:val="single" w:color="000000" w:sz="6" w:space="0"/>
                    <w:bottom w:val="single" w:color="000000" w:sz="6" w:space="0"/>
                    <w:right w:val="single" w:color="000000" w:sz="6" w:space="0"/>
                  </w:tcBorders>
                  <w:vAlign w:val="center"/>
                </w:tcPr>
                <w:p>
                  <w:pPr>
                    <w:pStyle w:val="78"/>
                    <w:rPr>
                      <w:rFonts w:eastAsia="宋体"/>
                      <w:b/>
                      <w:bCs/>
                    </w:rPr>
                  </w:pPr>
                  <w:r>
                    <w:rPr>
                      <w:rFonts w:eastAsia="宋体"/>
                      <w:b/>
                      <w:bCs/>
                    </w:rPr>
                    <w:t>项目的准入条件分析</w:t>
                  </w:r>
                </w:p>
              </w:tc>
              <w:tc>
                <w:tcPr>
                  <w:tcW w:w="444" w:type="pct"/>
                  <w:tcBorders>
                    <w:top w:val="single" w:color="000000" w:sz="2" w:space="0"/>
                    <w:left w:val="single" w:color="000000" w:sz="6" w:space="0"/>
                    <w:bottom w:val="single" w:color="000000" w:sz="6" w:space="0"/>
                    <w:right w:val="single" w:color="000000" w:sz="2" w:space="0"/>
                  </w:tcBorders>
                  <w:vAlign w:val="center"/>
                </w:tcPr>
                <w:p>
                  <w:pPr>
                    <w:pStyle w:val="78"/>
                    <w:ind w:left="-105" w:leftChars="-50" w:right="-105" w:rightChars="-50"/>
                    <w:rPr>
                      <w:rFonts w:eastAsia="宋体"/>
                      <w:b/>
                      <w:bCs/>
                    </w:rPr>
                  </w:pPr>
                  <w:r>
                    <w:rPr>
                      <w:rFonts w:eastAsia="宋体"/>
                      <w:b/>
                      <w:bCs/>
                    </w:rPr>
                    <w:t>符合性</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284" w:hRule="atLeast"/>
              </w:trPr>
              <w:tc>
                <w:tcPr>
                  <w:tcW w:w="447" w:type="pct"/>
                  <w:tcBorders>
                    <w:top w:val="single" w:color="000000" w:sz="6" w:space="0"/>
                    <w:left w:val="single" w:color="000000" w:sz="2" w:space="0"/>
                    <w:bottom w:val="single" w:color="000000" w:sz="6" w:space="0"/>
                    <w:right w:val="single" w:color="000000" w:sz="6" w:space="0"/>
                  </w:tcBorders>
                  <w:vAlign w:val="center"/>
                </w:tcPr>
                <w:p>
                  <w:pPr>
                    <w:pStyle w:val="78"/>
                    <w:rPr>
                      <w:rFonts w:eastAsia="宋体"/>
                    </w:rPr>
                  </w:pPr>
                  <w:r>
                    <w:rPr>
                      <w:rFonts w:eastAsia="宋体"/>
                    </w:rPr>
                    <w:t>严格建设项目环境准入</w:t>
                  </w:r>
                </w:p>
              </w:tc>
              <w:tc>
                <w:tcPr>
                  <w:tcW w:w="2691" w:type="pct"/>
                  <w:tcBorders>
                    <w:top w:val="single" w:color="000000" w:sz="6" w:space="0"/>
                    <w:left w:val="single" w:color="000000" w:sz="6" w:space="0"/>
                    <w:bottom w:val="single" w:color="000000" w:sz="6" w:space="0"/>
                    <w:right w:val="single" w:color="000000" w:sz="6" w:space="0"/>
                  </w:tcBorders>
                  <w:vAlign w:val="center"/>
                </w:tcPr>
                <w:p>
                  <w:pPr>
                    <w:pStyle w:val="78"/>
                    <w:jc w:val="both"/>
                    <w:rPr>
                      <w:rFonts w:eastAsia="宋体"/>
                    </w:rPr>
                  </w:pPr>
                  <w:r>
                    <w:rPr>
                      <w:rFonts w:eastAsia="宋体"/>
                    </w:rPr>
                    <w:t>规划区应不断优化产业发展方向，按照报告书提出的“三线一单”管理要求，以资源利用上线、环境质量底线为约束，严格建设项目环境准入，入驻工业企业应满足《重庆市工业项目环境准入规定（修订）》《报告书》确定的环境准入清单要求，禁止发展印染，化学合成药类等重污染企业，限制引进食品发酵业等耗水量大、水污染物排放强度高的项目。</w:t>
                  </w:r>
                </w:p>
              </w:tc>
              <w:tc>
                <w:tcPr>
                  <w:tcW w:w="1418" w:type="pct"/>
                  <w:tcBorders>
                    <w:top w:val="single" w:color="000000" w:sz="6" w:space="0"/>
                    <w:left w:val="single" w:color="000000" w:sz="6" w:space="0"/>
                    <w:bottom w:val="single" w:color="000000" w:sz="6" w:space="0"/>
                    <w:right w:val="single" w:color="000000" w:sz="6" w:space="0"/>
                  </w:tcBorders>
                  <w:vAlign w:val="center"/>
                </w:tcPr>
                <w:p>
                  <w:pPr>
                    <w:pStyle w:val="78"/>
                    <w:jc w:val="left"/>
                    <w:rPr>
                      <w:rFonts w:eastAsia="宋体"/>
                    </w:rPr>
                  </w:pPr>
                  <w:r>
                    <w:rPr>
                      <w:rFonts w:hint="eastAsia" w:eastAsia="宋体"/>
                    </w:rPr>
                    <w:t>项目</w:t>
                  </w:r>
                  <w:r>
                    <w:rPr>
                      <w:rFonts w:eastAsia="宋体"/>
                    </w:rPr>
                    <w:t>满足《重庆市工业项目环境准入规定</w:t>
                  </w:r>
                  <w:r>
                    <w:rPr>
                      <w:rFonts w:hint="eastAsia" w:eastAsia="宋体"/>
                    </w:rPr>
                    <w:t>（</w:t>
                  </w:r>
                  <w:r>
                    <w:rPr>
                      <w:rFonts w:eastAsia="宋体"/>
                    </w:rPr>
                    <w:t>修订</w:t>
                  </w:r>
                  <w:r>
                    <w:rPr>
                      <w:rFonts w:hint="eastAsia" w:eastAsia="宋体"/>
                    </w:rPr>
                    <w:t>）</w:t>
                  </w:r>
                  <w:r>
                    <w:rPr>
                      <w:rFonts w:eastAsia="宋体"/>
                    </w:rPr>
                    <w:t>》，符合园区环境准入清单要求，不属于印染、化学合成药类等重污染企业，不属于食品发酵业等耗水量大、水污染物排放强度高的项目。</w:t>
                  </w:r>
                </w:p>
              </w:tc>
              <w:tc>
                <w:tcPr>
                  <w:tcW w:w="444" w:type="pct"/>
                  <w:tcBorders>
                    <w:top w:val="single" w:color="000000" w:sz="6" w:space="0"/>
                    <w:left w:val="single" w:color="000000" w:sz="6" w:space="0"/>
                    <w:bottom w:val="single" w:color="000000" w:sz="6" w:space="0"/>
                    <w:right w:val="single" w:color="000000" w:sz="2" w:space="0"/>
                  </w:tcBorders>
                  <w:vAlign w:val="center"/>
                </w:tcPr>
                <w:p>
                  <w:pPr>
                    <w:pStyle w:val="78"/>
                    <w:rPr>
                      <w:rFonts w:eastAsia="宋体"/>
                    </w:rPr>
                  </w:pPr>
                  <w:r>
                    <w:rPr>
                      <w:rFonts w:eastAsia="宋体"/>
                    </w:rPr>
                    <w:t>符合</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284" w:hRule="atLeast"/>
              </w:trPr>
              <w:tc>
                <w:tcPr>
                  <w:tcW w:w="447" w:type="pct"/>
                  <w:tcBorders>
                    <w:top w:val="single" w:color="000000" w:sz="6" w:space="0"/>
                    <w:left w:val="single" w:color="000000" w:sz="2" w:space="0"/>
                    <w:bottom w:val="single" w:color="000000" w:sz="6" w:space="0"/>
                    <w:right w:val="single" w:color="000000" w:sz="6" w:space="0"/>
                  </w:tcBorders>
                  <w:vAlign w:val="center"/>
                </w:tcPr>
                <w:p>
                  <w:pPr>
                    <w:pStyle w:val="78"/>
                    <w:rPr>
                      <w:rFonts w:eastAsia="宋体"/>
                    </w:rPr>
                  </w:pPr>
                  <w:r>
                    <w:rPr>
                      <w:rFonts w:eastAsia="宋体"/>
                    </w:rPr>
                    <w:t>强化生态空间管控和景观优化</w:t>
                  </w:r>
                </w:p>
              </w:tc>
              <w:tc>
                <w:tcPr>
                  <w:tcW w:w="2691" w:type="pct"/>
                  <w:tcBorders>
                    <w:top w:val="single" w:color="000000" w:sz="6" w:space="0"/>
                    <w:left w:val="single" w:color="000000" w:sz="6" w:space="0"/>
                    <w:bottom w:val="single" w:color="000000" w:sz="6" w:space="0"/>
                    <w:right w:val="single" w:color="000000" w:sz="6" w:space="0"/>
                  </w:tcBorders>
                  <w:vAlign w:val="center"/>
                </w:tcPr>
                <w:p>
                  <w:pPr>
                    <w:pStyle w:val="78"/>
                    <w:jc w:val="both"/>
                    <w:rPr>
                      <w:rFonts w:eastAsia="宋体"/>
                    </w:rPr>
                  </w:pPr>
                  <w:r>
                    <w:rPr>
                      <w:rFonts w:eastAsia="宋体"/>
                    </w:rPr>
                    <w:t>规划区内淮远河、小安溪等河流两岸以及拦河堰水库、生基嘴水库库岸应设置一定宽度的绿化缓冲带，绿化缓冲带要保持原有的状况和自然形态，原则上应为绿地，除护岸工程及必要的市政设施外，禁止修建任何建筑物和构筑物。规划区要优化区域内的工业景观设计和建设，调整不和谐的建筑因素，按国务院实现全域旅游景观的原则要求，逐步调整工业园区与城市的景观和谐、自然，达到园区工业景观的“产业美”目标。规划区后续涉及环境防护距离的工业企业或项目，应通过选址或调整布局严格控制环境防护距离。结合铜梁区工业发展规划，白土坝片区采取“腾笼换鸟”的方式，发展以物流、生产资料交易为主的生产性服务业，将片区内不符合产业规划、排污量大企业逐步迁出片区。</w:t>
                  </w:r>
                </w:p>
              </w:tc>
              <w:tc>
                <w:tcPr>
                  <w:tcW w:w="1418" w:type="pct"/>
                  <w:tcBorders>
                    <w:top w:val="single" w:color="000000" w:sz="6" w:space="0"/>
                    <w:left w:val="single" w:color="000000" w:sz="6" w:space="0"/>
                    <w:bottom w:val="single" w:color="000000" w:sz="6" w:space="0"/>
                    <w:right w:val="single" w:color="000000" w:sz="6" w:space="0"/>
                  </w:tcBorders>
                  <w:vAlign w:val="center"/>
                </w:tcPr>
                <w:p>
                  <w:pPr>
                    <w:pStyle w:val="78"/>
                    <w:rPr>
                      <w:rFonts w:eastAsia="宋体"/>
                    </w:rPr>
                  </w:pPr>
                  <w:r>
                    <w:rPr>
                      <w:rFonts w:hint="eastAsia" w:eastAsia="宋体"/>
                    </w:rPr>
                    <w:t>本项目选址位于重庆市铜梁区龙山大道路</w:t>
                  </w:r>
                  <w:r>
                    <w:rPr>
                      <w:rFonts w:eastAsia="宋体"/>
                    </w:rPr>
                    <w:t>20</w:t>
                  </w:r>
                  <w:r>
                    <w:rPr>
                      <w:rFonts w:hint="eastAsia" w:eastAsia="宋体"/>
                    </w:rPr>
                    <w:t>号；距小安溪</w:t>
                  </w:r>
                  <w:r>
                    <w:rPr>
                      <w:rFonts w:eastAsia="宋体"/>
                    </w:rPr>
                    <w:t>600</w:t>
                  </w:r>
                  <w:r>
                    <w:rPr>
                      <w:rFonts w:hint="eastAsia" w:eastAsia="宋体"/>
                    </w:rPr>
                    <w:t>m，不涉及沿河绿化缓冲带；</w:t>
                  </w:r>
                </w:p>
                <w:p>
                  <w:pPr>
                    <w:pStyle w:val="78"/>
                    <w:rPr>
                      <w:rFonts w:eastAsia="宋体"/>
                    </w:rPr>
                  </w:pPr>
                  <w:r>
                    <w:rPr>
                      <w:rFonts w:hint="eastAsia" w:eastAsia="宋体"/>
                    </w:rPr>
                    <w:t>项目所在区域属于蒲吕片区，不属于白土坝片区，符合产业规划</w:t>
                  </w:r>
                </w:p>
              </w:tc>
              <w:tc>
                <w:tcPr>
                  <w:tcW w:w="444" w:type="pct"/>
                  <w:tcBorders>
                    <w:top w:val="single" w:color="000000" w:sz="6" w:space="0"/>
                    <w:left w:val="single" w:color="000000" w:sz="6" w:space="0"/>
                    <w:bottom w:val="single" w:color="000000" w:sz="6" w:space="0"/>
                    <w:right w:val="single" w:color="000000" w:sz="2" w:space="0"/>
                  </w:tcBorders>
                  <w:vAlign w:val="center"/>
                </w:tcPr>
                <w:p>
                  <w:pPr>
                    <w:pStyle w:val="78"/>
                    <w:rPr>
                      <w:rFonts w:eastAsia="宋体"/>
                    </w:rPr>
                  </w:pPr>
                  <w:r>
                    <w:rPr>
                      <w:rFonts w:eastAsia="宋体"/>
                    </w:rPr>
                    <w:t>符合</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284" w:hRule="atLeast"/>
              </w:trPr>
              <w:tc>
                <w:tcPr>
                  <w:tcW w:w="447" w:type="pct"/>
                  <w:tcBorders>
                    <w:top w:val="single" w:color="000000" w:sz="6" w:space="0"/>
                    <w:left w:val="single" w:color="000000" w:sz="2" w:space="0"/>
                    <w:bottom w:val="single" w:color="000000" w:sz="6" w:space="0"/>
                    <w:right w:val="single" w:color="000000" w:sz="6" w:space="0"/>
                  </w:tcBorders>
                  <w:vAlign w:val="center"/>
                </w:tcPr>
                <w:p>
                  <w:pPr>
                    <w:pStyle w:val="78"/>
                    <w:rPr>
                      <w:rFonts w:eastAsia="宋体"/>
                    </w:rPr>
                  </w:pPr>
                  <w:r>
                    <w:rPr>
                      <w:rFonts w:eastAsia="宋体"/>
                    </w:rPr>
                    <w:t>做好大气污染防治</w:t>
                  </w:r>
                </w:p>
              </w:tc>
              <w:tc>
                <w:tcPr>
                  <w:tcW w:w="2691" w:type="pct"/>
                  <w:tcBorders>
                    <w:top w:val="single" w:color="000000" w:sz="6" w:space="0"/>
                    <w:left w:val="single" w:color="000000" w:sz="6" w:space="0"/>
                    <w:bottom w:val="single" w:color="000000" w:sz="6" w:space="0"/>
                    <w:right w:val="single" w:color="000000" w:sz="6" w:space="0"/>
                  </w:tcBorders>
                  <w:vAlign w:val="center"/>
                </w:tcPr>
                <w:p>
                  <w:pPr>
                    <w:pStyle w:val="78"/>
                    <w:jc w:val="both"/>
                    <w:rPr>
                      <w:rFonts w:eastAsia="宋体"/>
                    </w:rPr>
                  </w:pPr>
                  <w:r>
                    <w:rPr>
                      <w:rFonts w:eastAsia="宋体"/>
                    </w:rPr>
                    <w:t>严格环境准入。禁止燃煤，鼓励燃气锅炉采用低氮燃烧技术。加强现状企业大气污染治理和监管，各入驻企业采用清洁工艺，采取先进的污染防治措施，确保废气稳定达标排放。排放挥发性有机物的企业应符合《重庆市“十三五”挥发性有机物污染防治工作实施方案》等相关要求。合理布局，产生有毒有害气体、粉尘的项目尽量远离生活配套服务区等集中居住区，尽量降低企业达标扰民的影响。食品加工、生物医药等对环境要求较高企业布局应考虑周边企业污染排放，留足防护距离。</w:t>
                  </w:r>
                </w:p>
              </w:tc>
              <w:tc>
                <w:tcPr>
                  <w:tcW w:w="1418" w:type="pct"/>
                  <w:tcBorders>
                    <w:top w:val="single" w:color="000000" w:sz="6" w:space="0"/>
                    <w:left w:val="single" w:color="000000" w:sz="6" w:space="0"/>
                    <w:bottom w:val="single" w:color="000000" w:sz="6" w:space="0"/>
                    <w:right w:val="single" w:color="000000" w:sz="6" w:space="0"/>
                  </w:tcBorders>
                  <w:vAlign w:val="center"/>
                </w:tcPr>
                <w:p>
                  <w:pPr>
                    <w:pStyle w:val="78"/>
                    <w:rPr>
                      <w:rFonts w:eastAsia="宋体"/>
                    </w:rPr>
                  </w:pPr>
                  <w:r>
                    <w:rPr>
                      <w:rFonts w:eastAsia="宋体"/>
                    </w:rPr>
                    <w:t>项目以电作为</w:t>
                  </w:r>
                  <w:r>
                    <w:rPr>
                      <w:rFonts w:hint="eastAsia" w:eastAsia="宋体"/>
                    </w:rPr>
                    <w:t>能</w:t>
                  </w:r>
                  <w:r>
                    <w:rPr>
                      <w:rFonts w:eastAsia="宋体"/>
                    </w:rPr>
                    <w:t>源，不燃煤，产生的</w:t>
                  </w:r>
                  <w:r>
                    <w:rPr>
                      <w:rFonts w:hint="eastAsia" w:eastAsia="宋体"/>
                    </w:rPr>
                    <w:t>有机</w:t>
                  </w:r>
                  <w:r>
                    <w:rPr>
                      <w:rFonts w:eastAsia="宋体"/>
                    </w:rPr>
                    <w:t>废气采取“</w:t>
                  </w:r>
                  <w:r>
                    <w:rPr>
                      <w:rFonts w:hint="eastAsia" w:eastAsia="宋体"/>
                    </w:rPr>
                    <w:t>UV光催化+三级活性炭</w:t>
                  </w:r>
                  <w:r>
                    <w:rPr>
                      <w:rFonts w:eastAsia="宋体"/>
                    </w:rPr>
                    <w:t>”处理工艺</w:t>
                  </w:r>
                  <w:r>
                    <w:rPr>
                      <w:rFonts w:hint="eastAsia" w:eastAsia="宋体"/>
                    </w:rPr>
                    <w:t>，</w:t>
                  </w:r>
                  <w:r>
                    <w:rPr>
                      <w:rFonts w:eastAsia="宋体"/>
                    </w:rPr>
                    <w:t>可实现</w:t>
                  </w:r>
                  <w:r>
                    <w:rPr>
                      <w:rFonts w:hint="eastAsia" w:eastAsia="宋体"/>
                    </w:rPr>
                    <w:t>废气达标排放</w:t>
                  </w:r>
                  <w:r>
                    <w:rPr>
                      <w:rFonts w:eastAsia="宋体"/>
                    </w:rPr>
                    <w:t>，满足</w:t>
                  </w:r>
                  <w:r>
                    <w:rPr>
                      <w:rFonts w:hint="eastAsia" w:ascii="宋体" w:hAnsi="宋体" w:eastAsia="宋体" w:cs="宋体"/>
                    </w:rPr>
                    <w:t>《挥发性有机物（</w:t>
                  </w:r>
                  <w:r>
                    <w:t>VOCs</w:t>
                  </w:r>
                  <w:r>
                    <w:rPr>
                      <w:rFonts w:hint="eastAsia" w:ascii="宋体" w:hAnsi="宋体" w:eastAsia="宋体" w:cs="宋体"/>
                    </w:rPr>
                    <w:t>）污染防治技术政策》</w:t>
                  </w:r>
                  <w:r>
                    <w:rPr>
                      <w:rFonts w:eastAsia="宋体"/>
                    </w:rPr>
                    <w:t>等相关要求。厂区周边50m范围内无环境敏感目标分布。</w:t>
                  </w:r>
                  <w:r>
                    <w:rPr>
                      <w:rFonts w:hint="eastAsia" w:eastAsia="宋体"/>
                    </w:rPr>
                    <w:t>不属于食品加工、生物医药行业，本项目不设防护距离。</w:t>
                  </w:r>
                </w:p>
              </w:tc>
              <w:tc>
                <w:tcPr>
                  <w:tcW w:w="444" w:type="pct"/>
                  <w:tcBorders>
                    <w:top w:val="single" w:color="000000" w:sz="6" w:space="0"/>
                    <w:left w:val="single" w:color="000000" w:sz="6" w:space="0"/>
                    <w:bottom w:val="single" w:color="000000" w:sz="6" w:space="0"/>
                    <w:right w:val="single" w:color="000000" w:sz="2" w:space="0"/>
                  </w:tcBorders>
                  <w:vAlign w:val="center"/>
                </w:tcPr>
                <w:p>
                  <w:pPr>
                    <w:pStyle w:val="78"/>
                    <w:rPr>
                      <w:rFonts w:eastAsia="宋体"/>
                    </w:rPr>
                  </w:pPr>
                  <w:r>
                    <w:rPr>
                      <w:rFonts w:eastAsia="宋体"/>
                    </w:rPr>
                    <w:t>符合</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284" w:hRule="atLeast"/>
              </w:trPr>
              <w:tc>
                <w:tcPr>
                  <w:tcW w:w="447" w:type="pct"/>
                  <w:tcBorders>
                    <w:top w:val="single" w:color="000000" w:sz="6" w:space="0"/>
                    <w:left w:val="single" w:color="000000" w:sz="2" w:space="0"/>
                    <w:bottom w:val="single" w:color="000000" w:sz="6" w:space="0"/>
                    <w:right w:val="single" w:color="000000" w:sz="6" w:space="0"/>
                  </w:tcBorders>
                  <w:vAlign w:val="center"/>
                </w:tcPr>
                <w:p>
                  <w:pPr>
                    <w:spacing w:line="320" w:lineRule="exact"/>
                    <w:jc w:val="center"/>
                  </w:pPr>
                  <w:r>
                    <w:t>做好水环境保护</w:t>
                  </w:r>
                </w:p>
              </w:tc>
              <w:tc>
                <w:tcPr>
                  <w:tcW w:w="2691" w:type="pct"/>
                  <w:tcBorders>
                    <w:top w:val="single" w:color="000000" w:sz="6" w:space="0"/>
                    <w:left w:val="single" w:color="000000" w:sz="6" w:space="0"/>
                    <w:bottom w:val="single" w:color="000000" w:sz="6" w:space="0"/>
                    <w:right w:val="single" w:color="000000" w:sz="6" w:space="0"/>
                  </w:tcBorders>
                  <w:vAlign w:val="center"/>
                </w:tcPr>
                <w:p>
                  <w:pPr>
                    <w:spacing w:line="320" w:lineRule="exact"/>
                  </w:pPr>
                  <w:r>
                    <w:rPr>
                      <w:rFonts w:hint="eastAsia"/>
                    </w:rPr>
                    <w:t>淮远河、小安溪水环境容量有限，规划实施必须采取严格的水污染防治措施，尽可能减小对区域地表水带来的不利影响。应根据《锏梁区小安溪流域水环境整治提升方案》(铜府办[2016] 152号)《淮远河(含茨巴河)库综合治理工作方案》(铜河长办发〔2017〕32号)《铜梁区小安溪流域减排方案(2018-2020年)》(铜府[2018]134号),进一步系统地开展淮远河、小安溪流域水污染环境综合整治工作，同时加快调整旧县街道水厂水源，保障饮用水安全。尽快实施铜梁污水处理厂和东城污水处理厂提标改造，园区污水处理厂新建或改扩建时，应根据当期地表水环境容量确定尾水排放标准，至少达到《城镇污水处理厂污染物排放标准》(GB18918-2002)中一级A标准,确保淮远河、小安溪水质满足水环境功能区划要求。采取源头控制为主的原则，落实分区、分级防渗措施，防止规划实施对区域地下水环境的污染。按监测计划，园区应定期开展地下水跟踪监测工作，根据监测结论，督促相关企业完善相应的地下水污染防控措施。</w:t>
                  </w:r>
                </w:p>
              </w:tc>
              <w:tc>
                <w:tcPr>
                  <w:tcW w:w="1418" w:type="pct"/>
                  <w:tcBorders>
                    <w:top w:val="single" w:color="000000" w:sz="6" w:space="0"/>
                    <w:left w:val="single" w:color="000000" w:sz="6" w:space="0"/>
                    <w:bottom w:val="single" w:color="000000" w:sz="6" w:space="0"/>
                    <w:right w:val="single" w:color="000000" w:sz="6" w:space="0"/>
                  </w:tcBorders>
                  <w:vAlign w:val="center"/>
                </w:tcPr>
                <w:p>
                  <w:pPr>
                    <w:pStyle w:val="78"/>
                    <w:rPr>
                      <w:rFonts w:eastAsia="宋体"/>
                    </w:rPr>
                  </w:pPr>
                  <w:r>
                    <w:rPr>
                      <w:rFonts w:hint="eastAsia" w:eastAsia="宋体"/>
                    </w:rPr>
                    <w:t>拟建项目产生的生活污水依托现有生化池处理达《污水综合排放标准》（GB8978-1996）三级标准排入市政污水管网排入蒲吕污水处理厂达《城镇污水处理厂污染物排放标准》(GB18918-2002 )一级A标准后排入小安溪。</w:t>
                  </w:r>
                  <w:r>
                    <w:rPr>
                      <w:rFonts w:eastAsia="宋体"/>
                    </w:rPr>
                    <w:t>厂区内采取分区、分级防渗措施，不会对地下水环境造成影响。</w:t>
                  </w:r>
                </w:p>
              </w:tc>
              <w:tc>
                <w:tcPr>
                  <w:tcW w:w="444" w:type="pct"/>
                  <w:tcBorders>
                    <w:top w:val="single" w:color="000000" w:sz="6" w:space="0"/>
                    <w:left w:val="single" w:color="000000" w:sz="6" w:space="0"/>
                    <w:bottom w:val="single" w:color="000000" w:sz="6" w:space="0"/>
                    <w:right w:val="single" w:color="000000" w:sz="2" w:space="0"/>
                  </w:tcBorders>
                  <w:vAlign w:val="center"/>
                </w:tcPr>
                <w:p>
                  <w:pPr>
                    <w:pStyle w:val="78"/>
                    <w:rPr>
                      <w:rFonts w:eastAsia="宋体"/>
                    </w:rPr>
                  </w:pP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284" w:hRule="atLeast"/>
              </w:trPr>
              <w:tc>
                <w:tcPr>
                  <w:tcW w:w="447" w:type="pct"/>
                  <w:tcBorders>
                    <w:top w:val="single" w:color="000000" w:sz="6" w:space="0"/>
                    <w:left w:val="single" w:color="000000" w:sz="2" w:space="0"/>
                    <w:bottom w:val="single" w:color="000000" w:sz="6" w:space="0"/>
                    <w:right w:val="single" w:color="000000" w:sz="6" w:space="0"/>
                  </w:tcBorders>
                  <w:vAlign w:val="center"/>
                </w:tcPr>
                <w:p>
                  <w:pPr>
                    <w:pStyle w:val="78"/>
                    <w:rPr>
                      <w:rFonts w:eastAsia="宋体"/>
                    </w:rPr>
                  </w:pPr>
                  <w:r>
                    <w:rPr>
                      <w:rFonts w:eastAsia="宋体"/>
                    </w:rPr>
                    <w:t>强化噪声污染防控</w:t>
                  </w:r>
                </w:p>
              </w:tc>
              <w:tc>
                <w:tcPr>
                  <w:tcW w:w="2691" w:type="pct"/>
                  <w:tcBorders>
                    <w:top w:val="single" w:color="000000" w:sz="6" w:space="0"/>
                    <w:left w:val="single" w:color="000000" w:sz="6" w:space="0"/>
                    <w:bottom w:val="single" w:color="000000" w:sz="6" w:space="0"/>
                    <w:right w:val="single" w:color="000000" w:sz="6" w:space="0"/>
                  </w:tcBorders>
                  <w:vAlign w:val="center"/>
                </w:tcPr>
                <w:p>
                  <w:pPr>
                    <w:pStyle w:val="78"/>
                    <w:jc w:val="both"/>
                    <w:rPr>
                      <w:rFonts w:eastAsia="宋体"/>
                    </w:rPr>
                  </w:pPr>
                  <w:r>
                    <w:rPr>
                      <w:rFonts w:eastAsia="宋体"/>
                    </w:rPr>
                    <w:t>合理布局企业噪声源，高噪声源企业选址和布局应满足相应的环境防护距离要求，尽量远离居住区；选择低噪声设备，采取消声、隔声、减震等措施，确保厂界噪声达标；合理布局、科学设定建筑物与交通干线的防噪声距离，严格落实规划区内交通主干道两侧的防护绿化带要求。</w:t>
                  </w:r>
                </w:p>
              </w:tc>
              <w:tc>
                <w:tcPr>
                  <w:tcW w:w="1418" w:type="pct"/>
                  <w:tcBorders>
                    <w:top w:val="single" w:color="000000" w:sz="6" w:space="0"/>
                    <w:left w:val="single" w:color="000000" w:sz="6" w:space="0"/>
                    <w:bottom w:val="single" w:color="000000" w:sz="6" w:space="0"/>
                    <w:right w:val="single" w:color="000000" w:sz="6" w:space="0"/>
                  </w:tcBorders>
                  <w:vAlign w:val="center"/>
                </w:tcPr>
                <w:p>
                  <w:pPr>
                    <w:pStyle w:val="78"/>
                    <w:rPr>
                      <w:rFonts w:eastAsia="宋体"/>
                    </w:rPr>
                  </w:pPr>
                  <w:r>
                    <w:rPr>
                      <w:rFonts w:eastAsia="宋体"/>
                    </w:rPr>
                    <w:t>项目运营期生产设备均置于密闭生产厂房内，通过采取合理布局、加装减</w:t>
                  </w:r>
                  <w:r>
                    <w:rPr>
                      <w:rFonts w:hint="eastAsia" w:eastAsia="宋体"/>
                    </w:rPr>
                    <w:t>振</w:t>
                  </w:r>
                  <w:r>
                    <w:rPr>
                      <w:rFonts w:eastAsia="宋体"/>
                    </w:rPr>
                    <w:t>基座</w:t>
                  </w:r>
                  <w:r>
                    <w:rPr>
                      <w:rFonts w:hint="eastAsia" w:eastAsia="宋体"/>
                    </w:rPr>
                    <w:t>、消声</w:t>
                  </w:r>
                  <w:r>
                    <w:rPr>
                      <w:rFonts w:eastAsia="宋体"/>
                    </w:rPr>
                    <w:t>等降噪措施后，厂界噪声可实现达标外排。</w:t>
                  </w:r>
                </w:p>
              </w:tc>
              <w:tc>
                <w:tcPr>
                  <w:tcW w:w="444" w:type="pct"/>
                  <w:tcBorders>
                    <w:top w:val="single" w:color="000000" w:sz="6" w:space="0"/>
                    <w:left w:val="single" w:color="000000" w:sz="6" w:space="0"/>
                    <w:bottom w:val="single" w:color="000000" w:sz="6" w:space="0"/>
                    <w:right w:val="single" w:color="000000" w:sz="2" w:space="0"/>
                  </w:tcBorders>
                  <w:vAlign w:val="center"/>
                </w:tcPr>
                <w:p>
                  <w:pPr>
                    <w:pStyle w:val="78"/>
                    <w:rPr>
                      <w:rFonts w:eastAsia="宋体"/>
                    </w:rPr>
                  </w:pPr>
                  <w:r>
                    <w:rPr>
                      <w:rFonts w:eastAsia="宋体"/>
                    </w:rPr>
                    <w:t>符合</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284" w:hRule="atLeast"/>
              </w:trPr>
              <w:tc>
                <w:tcPr>
                  <w:tcW w:w="447" w:type="pct"/>
                  <w:tcBorders>
                    <w:top w:val="single" w:color="000000" w:sz="6" w:space="0"/>
                    <w:left w:val="single" w:color="000000" w:sz="2" w:space="0"/>
                    <w:bottom w:val="single" w:color="000000" w:sz="6" w:space="0"/>
                    <w:right w:val="single" w:color="000000" w:sz="6" w:space="0"/>
                  </w:tcBorders>
                  <w:vAlign w:val="center"/>
                </w:tcPr>
                <w:p>
                  <w:pPr>
                    <w:pStyle w:val="78"/>
                    <w:rPr>
                      <w:rFonts w:eastAsia="宋体"/>
                    </w:rPr>
                  </w:pPr>
                  <w:r>
                    <w:rPr>
                      <w:rFonts w:eastAsia="宋体"/>
                    </w:rPr>
                    <w:t>做好土壤和固体废物污染防控</w:t>
                  </w:r>
                </w:p>
              </w:tc>
              <w:tc>
                <w:tcPr>
                  <w:tcW w:w="2691" w:type="pct"/>
                  <w:tcBorders>
                    <w:top w:val="single" w:color="000000" w:sz="6" w:space="0"/>
                    <w:left w:val="single" w:color="000000" w:sz="6" w:space="0"/>
                    <w:bottom w:val="single" w:color="000000" w:sz="6" w:space="0"/>
                    <w:right w:val="single" w:color="000000" w:sz="6" w:space="0"/>
                  </w:tcBorders>
                  <w:vAlign w:val="center"/>
                </w:tcPr>
                <w:p>
                  <w:pPr>
                    <w:pStyle w:val="78"/>
                    <w:jc w:val="both"/>
                    <w:rPr>
                      <w:rFonts w:eastAsia="宋体"/>
                    </w:rPr>
                  </w:pPr>
                  <w:r>
                    <w:rPr>
                      <w:rFonts w:eastAsia="宋体"/>
                    </w:rPr>
                    <w:t>固体废物应按相关要求进行妥善收集、处理。加强一般工业固体废物综合利用和处置；危险废物交有相应危险废物处理资质的单位进行处置；生活垃圾经收集后由环卫部门统一清运处置。严格执行土壤风险评估和污染土壤修复制度，对疑似污染地块开展调查评估，建立污染地块名录及其开发利用负面清单，土地开发利用必须满足规划用地土壤环境质量要求。</w:t>
                  </w:r>
                </w:p>
              </w:tc>
              <w:tc>
                <w:tcPr>
                  <w:tcW w:w="1418" w:type="pct"/>
                  <w:tcBorders>
                    <w:top w:val="single" w:color="000000" w:sz="6" w:space="0"/>
                    <w:left w:val="single" w:color="000000" w:sz="6" w:space="0"/>
                    <w:bottom w:val="single" w:color="000000" w:sz="6" w:space="0"/>
                    <w:right w:val="single" w:color="000000" w:sz="6" w:space="0"/>
                  </w:tcBorders>
                  <w:vAlign w:val="center"/>
                </w:tcPr>
                <w:p>
                  <w:pPr>
                    <w:pStyle w:val="78"/>
                    <w:rPr>
                      <w:rFonts w:eastAsia="宋体"/>
                    </w:rPr>
                  </w:pPr>
                  <w:r>
                    <w:rPr>
                      <w:rFonts w:eastAsia="宋体"/>
                    </w:rPr>
                    <w:t>项目运营期按固废性质进行分类收集处置，</w:t>
                  </w:r>
                  <w:r>
                    <w:rPr>
                      <w:rFonts w:hint="eastAsia" w:eastAsia="宋体"/>
                    </w:rPr>
                    <w:t>生活垃圾由环卫部门统一清运处理，</w:t>
                  </w:r>
                  <w:r>
                    <w:rPr>
                      <w:rFonts w:eastAsia="宋体"/>
                    </w:rPr>
                    <w:t>不会对外环境造成二次污染。</w:t>
                  </w:r>
                </w:p>
              </w:tc>
              <w:tc>
                <w:tcPr>
                  <w:tcW w:w="444" w:type="pct"/>
                  <w:tcBorders>
                    <w:top w:val="single" w:color="000000" w:sz="6" w:space="0"/>
                    <w:left w:val="single" w:color="000000" w:sz="6" w:space="0"/>
                    <w:bottom w:val="single" w:color="000000" w:sz="6" w:space="0"/>
                    <w:right w:val="single" w:color="000000" w:sz="2" w:space="0"/>
                  </w:tcBorders>
                  <w:vAlign w:val="center"/>
                </w:tcPr>
                <w:p>
                  <w:pPr>
                    <w:pStyle w:val="78"/>
                    <w:rPr>
                      <w:rFonts w:eastAsia="宋体"/>
                    </w:rPr>
                  </w:pPr>
                  <w:r>
                    <w:rPr>
                      <w:rFonts w:eastAsia="宋体"/>
                    </w:rPr>
                    <w:t>符合</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447" w:type="pct"/>
                  <w:tcBorders>
                    <w:top w:val="single" w:color="000000" w:sz="6" w:space="0"/>
                    <w:left w:val="single" w:color="000000" w:sz="2" w:space="0"/>
                    <w:bottom w:val="single" w:color="000000" w:sz="6" w:space="0"/>
                    <w:right w:val="single" w:color="000000" w:sz="6" w:space="0"/>
                  </w:tcBorders>
                  <w:vAlign w:val="center"/>
                </w:tcPr>
                <w:p>
                  <w:pPr>
                    <w:pStyle w:val="78"/>
                    <w:rPr>
                      <w:rFonts w:eastAsia="宋体"/>
                    </w:rPr>
                  </w:pPr>
                  <w:r>
                    <w:rPr>
                      <w:rFonts w:eastAsia="宋体"/>
                    </w:rPr>
                    <w:t>强化环境风险管控</w:t>
                  </w:r>
                </w:p>
              </w:tc>
              <w:tc>
                <w:tcPr>
                  <w:tcW w:w="2691" w:type="pct"/>
                  <w:tcBorders>
                    <w:top w:val="single" w:color="000000" w:sz="6" w:space="0"/>
                    <w:left w:val="single" w:color="000000" w:sz="6" w:space="0"/>
                    <w:bottom w:val="single" w:color="000000" w:sz="6" w:space="0"/>
                    <w:right w:val="single" w:color="000000" w:sz="6" w:space="0"/>
                  </w:tcBorders>
                  <w:vAlign w:val="center"/>
                </w:tcPr>
                <w:p>
                  <w:pPr>
                    <w:pStyle w:val="78"/>
                    <w:jc w:val="both"/>
                    <w:rPr>
                      <w:rFonts w:eastAsia="宋体"/>
                    </w:rPr>
                  </w:pPr>
                  <w:r>
                    <w:rPr>
                      <w:rFonts w:eastAsia="宋体"/>
                    </w:rPr>
                    <w:t>环境风险防范和应急处置是确保环境安全的重要工作内容，园区应在现有基础上完善环境风险防范体系建设，相关企业尤其是涉及危化品的企业应严格落实各项环境风险防范措施，防范突发性环境风险事故发生。完善环境污染事故应急预案，配备相应风险防范应急物资，定期做好应急演练，完善园区三级风险防范体系，保障环境安全。</w:t>
                  </w:r>
                </w:p>
              </w:tc>
              <w:tc>
                <w:tcPr>
                  <w:tcW w:w="1418" w:type="pct"/>
                  <w:tcBorders>
                    <w:top w:val="single" w:color="000000" w:sz="6" w:space="0"/>
                    <w:left w:val="single" w:color="000000" w:sz="6" w:space="0"/>
                    <w:bottom w:val="single" w:color="000000" w:sz="6" w:space="0"/>
                    <w:right w:val="single" w:color="000000" w:sz="6" w:space="0"/>
                  </w:tcBorders>
                  <w:vAlign w:val="center"/>
                </w:tcPr>
                <w:p>
                  <w:pPr>
                    <w:pStyle w:val="78"/>
                    <w:rPr>
                      <w:rFonts w:eastAsia="宋体"/>
                    </w:rPr>
                  </w:pPr>
                  <w:r>
                    <w:rPr>
                      <w:rFonts w:eastAsia="宋体"/>
                    </w:rPr>
                    <w:t>项目无重大危险源，车间进行分区防渗处理，</w:t>
                  </w:r>
                  <w:r>
                    <w:rPr>
                      <w:rFonts w:hint="eastAsia" w:eastAsia="宋体"/>
                    </w:rPr>
                    <w:t>油料库房、</w:t>
                  </w:r>
                  <w:r>
                    <w:rPr>
                      <w:rFonts w:eastAsia="宋体"/>
                    </w:rPr>
                    <w:t>危废暂存间设置托盘、围堰等应急设施。</w:t>
                  </w:r>
                </w:p>
              </w:tc>
              <w:tc>
                <w:tcPr>
                  <w:tcW w:w="444" w:type="pct"/>
                  <w:tcBorders>
                    <w:top w:val="single" w:color="000000" w:sz="6" w:space="0"/>
                    <w:left w:val="single" w:color="000000" w:sz="6" w:space="0"/>
                    <w:bottom w:val="single" w:color="000000" w:sz="6" w:space="0"/>
                    <w:right w:val="single" w:color="000000" w:sz="2" w:space="0"/>
                  </w:tcBorders>
                  <w:vAlign w:val="center"/>
                </w:tcPr>
                <w:p>
                  <w:pPr>
                    <w:pStyle w:val="78"/>
                    <w:rPr>
                      <w:rFonts w:eastAsia="宋体"/>
                    </w:rPr>
                  </w:pPr>
                  <w:r>
                    <w:rPr>
                      <w:rFonts w:eastAsia="宋体"/>
                    </w:rPr>
                    <w:t>符合</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447" w:type="pct"/>
                  <w:tcBorders>
                    <w:top w:val="single" w:color="000000" w:sz="6" w:space="0"/>
                    <w:left w:val="single" w:color="000000" w:sz="2" w:space="0"/>
                    <w:bottom w:val="single" w:color="000000" w:sz="2" w:space="0"/>
                    <w:right w:val="single" w:color="000000" w:sz="6" w:space="0"/>
                  </w:tcBorders>
                  <w:vAlign w:val="center"/>
                </w:tcPr>
                <w:p>
                  <w:pPr>
                    <w:pStyle w:val="78"/>
                    <w:rPr>
                      <w:rFonts w:eastAsia="宋体"/>
                    </w:rPr>
                  </w:pPr>
                  <w:r>
                    <w:rPr>
                      <w:rFonts w:hint="eastAsia" w:eastAsia="宋体"/>
                    </w:rPr>
                    <w:t>加强环境管理</w:t>
                  </w:r>
                </w:p>
              </w:tc>
              <w:tc>
                <w:tcPr>
                  <w:tcW w:w="2691" w:type="pct"/>
                  <w:tcBorders>
                    <w:top w:val="single" w:color="000000" w:sz="6" w:space="0"/>
                    <w:left w:val="single" w:color="000000" w:sz="6" w:space="0"/>
                    <w:bottom w:val="single" w:color="000000" w:sz="2" w:space="0"/>
                    <w:right w:val="single" w:color="000000" w:sz="6" w:space="0"/>
                  </w:tcBorders>
                  <w:vAlign w:val="center"/>
                </w:tcPr>
                <w:p>
                  <w:pPr>
                    <w:pStyle w:val="78"/>
                    <w:jc w:val="both"/>
                    <w:rPr>
                      <w:rFonts w:eastAsia="宋体"/>
                    </w:rPr>
                  </w:pPr>
                  <w:r>
                    <w:rPr>
                      <w:rFonts w:hint="eastAsia" w:eastAsia="宋体"/>
                    </w:rPr>
                    <w:t>严格执行规划环评、跟踪评价和环境准入负面清单的有关规定，加强日常环境监管，建设项目应严格执行环境影响评价和环保“三同时”制度，特别应强化对标准厂房内企业的环境监管；园区应尽快建立起环境质量跟踪监测体系，并按规定开展环境影响跟踪评价</w:t>
                  </w:r>
                </w:p>
              </w:tc>
              <w:tc>
                <w:tcPr>
                  <w:tcW w:w="1418" w:type="pct"/>
                  <w:tcBorders>
                    <w:top w:val="single" w:color="000000" w:sz="6" w:space="0"/>
                    <w:left w:val="single" w:color="000000" w:sz="6" w:space="0"/>
                    <w:bottom w:val="single" w:color="000000" w:sz="2" w:space="0"/>
                    <w:right w:val="single" w:color="000000" w:sz="6" w:space="0"/>
                  </w:tcBorders>
                  <w:vAlign w:val="center"/>
                </w:tcPr>
                <w:p>
                  <w:pPr>
                    <w:pStyle w:val="78"/>
                    <w:rPr>
                      <w:rFonts w:eastAsia="宋体"/>
                    </w:rPr>
                  </w:pPr>
                  <w:r>
                    <w:rPr>
                      <w:rFonts w:hint="eastAsia" w:eastAsia="宋体"/>
                    </w:rPr>
                    <w:t>项目严格执行规划环评、跟踪评价和环境准入负面清单的有关规定，加强日常环境监管，建设项目应完善环境影响评价和环保“三同时”制度。</w:t>
                  </w:r>
                </w:p>
              </w:tc>
              <w:tc>
                <w:tcPr>
                  <w:tcW w:w="444" w:type="pct"/>
                  <w:tcBorders>
                    <w:top w:val="single" w:color="000000" w:sz="6" w:space="0"/>
                    <w:left w:val="single" w:color="000000" w:sz="6" w:space="0"/>
                    <w:bottom w:val="single" w:color="000000" w:sz="2" w:space="0"/>
                    <w:right w:val="single" w:color="000000" w:sz="2" w:space="0"/>
                  </w:tcBorders>
                  <w:vAlign w:val="center"/>
                </w:tcPr>
                <w:p>
                  <w:pPr>
                    <w:pStyle w:val="78"/>
                    <w:rPr>
                      <w:rFonts w:eastAsia="宋体"/>
                    </w:rPr>
                  </w:pPr>
                  <w:r>
                    <w:rPr>
                      <w:rFonts w:hint="eastAsia" w:eastAsia="宋体"/>
                    </w:rPr>
                    <w:t>符合</w:t>
                  </w:r>
                </w:p>
              </w:tc>
            </w:tr>
          </w:tbl>
          <w:p>
            <w:pPr>
              <w:pStyle w:val="82"/>
            </w:pPr>
            <w:r>
              <w:rPr>
                <w:rFonts w:hint="eastAsia"/>
              </w:rPr>
              <w:t>综上，拟建项目属于其他塑料制品制造企业，位于重庆市铜梁区龙山大道2</w:t>
            </w:r>
            <w:r>
              <w:t>0</w:t>
            </w:r>
            <w:r>
              <w:rPr>
                <w:rFonts w:hint="eastAsia"/>
              </w:rPr>
              <w:t>号（铜梁高新区蒲吕片区），与园区主导产业不冲突。项目生产过程中产生废气、废水、噪声及固废均采取有效措施治理后实现达标排放，属于低能耗、低污染类项目，且工艺先进，对厂区周边的环境影响较小，符合《重庆铜梁高新区铜梁片区及全蒲片区规划环境影响跟踪评价报告书审查意见函》（渝环函〔2019〕94号）的相关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35" w:hRule="atLeast"/>
          <w:jc w:val="center"/>
        </w:trPr>
        <w:tc>
          <w:tcPr>
            <w:tcW w:w="456" w:type="dxa"/>
            <w:vAlign w:val="center"/>
          </w:tcPr>
          <w:p>
            <w:pPr>
              <w:autoSpaceDE w:val="0"/>
              <w:autoSpaceDN w:val="0"/>
              <w:adjustRightInd w:val="0"/>
              <w:snapToGrid w:val="0"/>
              <w:jc w:val="center"/>
              <w:rPr>
                <w:kern w:val="0"/>
                <w:sz w:val="24"/>
              </w:rPr>
            </w:pPr>
            <w:r>
              <w:rPr>
                <w:kern w:val="0"/>
                <w:sz w:val="24"/>
              </w:rPr>
              <w:t>其他符合性分析</w:t>
            </w:r>
          </w:p>
        </w:tc>
        <w:tc>
          <w:tcPr>
            <w:tcW w:w="8414" w:type="dxa"/>
          </w:tcPr>
          <w:p>
            <w:pPr>
              <w:pStyle w:val="82"/>
              <w:ind w:firstLine="482"/>
              <w:rPr>
                <w:b/>
                <w:bCs/>
              </w:rPr>
            </w:pPr>
            <w:r>
              <w:rPr>
                <w:rFonts w:hint="eastAsia"/>
                <w:b/>
                <w:bCs/>
              </w:rPr>
              <w:t>1、与“三线一单”相关符合性分析</w:t>
            </w:r>
          </w:p>
          <w:p>
            <w:pPr>
              <w:pStyle w:val="82"/>
            </w:pPr>
            <w:r>
              <w:rPr>
                <w:rFonts w:hint="eastAsia"/>
                <w:szCs w:val="24"/>
              </w:rPr>
              <w:t>根</w:t>
            </w:r>
            <w:r>
              <w:rPr>
                <w:szCs w:val="24"/>
              </w:rPr>
              <w:t>据《重庆市生态环境局关于印发&lt;规划环评“三线一单”符合性分析技术要点（试行）&gt;&lt;建设项目环评“三线一单”符合性分析技术要点（试行）&gt;的通知》</w:t>
            </w:r>
            <w:r>
              <w:rPr>
                <w:rFonts w:hint="eastAsia"/>
                <w:szCs w:val="24"/>
              </w:rPr>
              <w:t>（渝环函〔2022〕397号），</w:t>
            </w:r>
            <w:r>
              <w:rPr>
                <w:rFonts w:hint="eastAsia"/>
              </w:rPr>
              <w:t>建设项目涉及环境管控单元的生态环境准入清单（包括全市总体管控要求、区县总体管控要求和单元管控要求），从空间布局约束、污染物排放管控、环境风险防控、资源开发效率四个维度，项目与“三线一单”的符合性分析详见表1</w:t>
            </w:r>
            <w:r>
              <w:t>-5</w:t>
            </w:r>
            <w:r>
              <w:rPr>
                <w:rFonts w:hint="eastAsia"/>
              </w:rPr>
              <w:t>。</w:t>
            </w:r>
          </w:p>
        </w:tc>
      </w:tr>
    </w:tbl>
    <w:p>
      <w:pPr>
        <w:sectPr>
          <w:footerReference r:id="rId10" w:type="default"/>
          <w:pgSz w:w="11906" w:h="16838"/>
          <w:pgMar w:top="1701" w:right="1531" w:bottom="1701" w:left="1531" w:header="851" w:footer="1077" w:gutter="0"/>
          <w:cols w:space="720" w:num="1"/>
          <w:docGrid w:linePitch="312" w:charSpace="0"/>
        </w:sectPr>
      </w:pPr>
    </w:p>
    <w:tbl>
      <w:tblPr>
        <w:tblStyle w:val="2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1319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34" w:hRule="atLeast"/>
          <w:jc w:val="center"/>
        </w:trPr>
        <w:tc>
          <w:tcPr>
            <w:tcW w:w="155" w:type="pct"/>
            <w:vAlign w:val="center"/>
          </w:tcPr>
          <w:p>
            <w:pPr>
              <w:autoSpaceDE w:val="0"/>
              <w:autoSpaceDN w:val="0"/>
              <w:adjustRightInd w:val="0"/>
              <w:snapToGrid w:val="0"/>
              <w:jc w:val="center"/>
              <w:rPr>
                <w:kern w:val="0"/>
                <w:sz w:val="24"/>
              </w:rPr>
            </w:pPr>
            <w:r>
              <w:rPr>
                <w:kern w:val="0"/>
                <w:sz w:val="24"/>
              </w:rPr>
              <w:t>其他符合性分析</w:t>
            </w:r>
          </w:p>
        </w:tc>
        <w:tc>
          <w:tcPr>
            <w:tcW w:w="4845" w:type="pct"/>
            <w:vAlign w:val="center"/>
          </w:tcPr>
          <w:p>
            <w:pPr>
              <w:pStyle w:val="83"/>
              <w:ind w:firstLine="422"/>
            </w:pPr>
            <w:r>
              <w:t>表1</w:t>
            </w:r>
            <w:r>
              <w:rPr>
                <w:rFonts w:hint="eastAsia"/>
              </w:rPr>
              <w:t>.</w:t>
            </w:r>
            <w:r>
              <w:t>5  建设项目与“三线一单”管控要求的符合性分析表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8"/>
              <w:gridCol w:w="1030"/>
              <w:gridCol w:w="7294"/>
              <w:gridCol w:w="2734"/>
              <w:gridCol w:w="10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747" w:type="pct"/>
                  <w:gridSpan w:val="2"/>
                  <w:tcBorders>
                    <w:top w:val="single" w:color="auto" w:sz="4" w:space="0"/>
                    <w:left w:val="single" w:color="auto" w:sz="4" w:space="0"/>
                    <w:bottom w:val="single" w:color="auto" w:sz="4" w:space="0"/>
                    <w:right w:val="single" w:color="auto" w:sz="4" w:space="0"/>
                  </w:tcBorders>
                  <w:vAlign w:val="center"/>
                </w:tcPr>
                <w:p>
                  <w:pPr>
                    <w:pStyle w:val="52"/>
                  </w:pPr>
                  <w:r>
                    <w:t>环境管控单元编码</w:t>
                  </w:r>
                </w:p>
              </w:tc>
              <w:tc>
                <w:tcPr>
                  <w:tcW w:w="2812" w:type="pct"/>
                  <w:tcBorders>
                    <w:top w:val="single" w:color="auto" w:sz="4" w:space="0"/>
                    <w:left w:val="single" w:color="auto" w:sz="4" w:space="0"/>
                    <w:bottom w:val="single" w:color="auto" w:sz="4" w:space="0"/>
                    <w:right w:val="single" w:color="auto" w:sz="4" w:space="0"/>
                  </w:tcBorders>
                  <w:vAlign w:val="center"/>
                </w:tcPr>
                <w:p>
                  <w:pPr>
                    <w:pStyle w:val="52"/>
                  </w:pPr>
                  <w:r>
                    <w:t>环境管控单元名称</w:t>
                  </w:r>
                </w:p>
              </w:tc>
              <w:tc>
                <w:tcPr>
                  <w:tcW w:w="1441" w:type="pct"/>
                  <w:gridSpan w:val="2"/>
                  <w:tcBorders>
                    <w:top w:val="single" w:color="auto" w:sz="4" w:space="0"/>
                    <w:left w:val="single" w:color="auto" w:sz="4" w:space="0"/>
                    <w:bottom w:val="single" w:color="auto" w:sz="4" w:space="0"/>
                    <w:right w:val="single" w:color="auto" w:sz="4" w:space="0"/>
                  </w:tcBorders>
                  <w:vAlign w:val="center"/>
                </w:tcPr>
                <w:p>
                  <w:pPr>
                    <w:pStyle w:val="52"/>
                  </w:pPr>
                  <w:r>
                    <w:t>环境管控单元类型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747" w:type="pct"/>
                  <w:gridSpan w:val="2"/>
                  <w:tcBorders>
                    <w:top w:val="single" w:color="auto" w:sz="4" w:space="0"/>
                    <w:left w:val="single" w:color="auto" w:sz="4" w:space="0"/>
                    <w:bottom w:val="single" w:color="auto" w:sz="4" w:space="0"/>
                    <w:right w:val="single" w:color="auto" w:sz="4" w:space="0"/>
                  </w:tcBorders>
                  <w:vAlign w:val="center"/>
                </w:tcPr>
                <w:p>
                  <w:pPr>
                    <w:pStyle w:val="52"/>
                  </w:pPr>
                  <w:r>
                    <w:rPr>
                      <w:rFonts w:hint="eastAsia"/>
                    </w:rPr>
                    <w:t>ZH50015120001</w:t>
                  </w:r>
                </w:p>
              </w:tc>
              <w:tc>
                <w:tcPr>
                  <w:tcW w:w="2812"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铜梁区重点管控单元-小安溪段家塘</w:t>
                  </w:r>
                </w:p>
              </w:tc>
              <w:tc>
                <w:tcPr>
                  <w:tcW w:w="1441" w:type="pct"/>
                  <w:gridSpan w:val="2"/>
                  <w:tcBorders>
                    <w:top w:val="single" w:color="auto" w:sz="4" w:space="0"/>
                    <w:left w:val="single" w:color="auto" w:sz="4" w:space="0"/>
                    <w:bottom w:val="single" w:color="auto" w:sz="4" w:space="0"/>
                    <w:right w:val="single" w:color="auto" w:sz="4" w:space="0"/>
                  </w:tcBorders>
                  <w:vAlign w:val="center"/>
                </w:tcPr>
                <w:p>
                  <w:pPr>
                    <w:pStyle w:val="52"/>
                  </w:pPr>
                  <w:r>
                    <w:rPr>
                      <w:rFonts w:hint="eastAsia"/>
                    </w:rPr>
                    <w:t>重点管控单元1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350" w:type="pct"/>
                  <w:tcBorders>
                    <w:top w:val="single" w:color="auto" w:sz="4" w:space="0"/>
                    <w:left w:val="single" w:color="auto" w:sz="4" w:space="0"/>
                    <w:bottom w:val="single" w:color="auto" w:sz="4" w:space="0"/>
                    <w:right w:val="single" w:color="auto" w:sz="4" w:space="0"/>
                  </w:tcBorders>
                  <w:vAlign w:val="center"/>
                </w:tcPr>
                <w:p>
                  <w:pPr>
                    <w:pStyle w:val="52"/>
                  </w:pPr>
                  <w:r>
                    <w:t>管控要求层级</w:t>
                  </w:r>
                </w:p>
              </w:tc>
              <w:tc>
                <w:tcPr>
                  <w:tcW w:w="397" w:type="pct"/>
                  <w:tcBorders>
                    <w:top w:val="single" w:color="auto" w:sz="4" w:space="0"/>
                    <w:left w:val="single" w:color="auto" w:sz="4" w:space="0"/>
                    <w:bottom w:val="single" w:color="auto" w:sz="4" w:space="0"/>
                    <w:right w:val="single" w:color="auto" w:sz="4" w:space="0"/>
                  </w:tcBorders>
                  <w:vAlign w:val="center"/>
                </w:tcPr>
                <w:p>
                  <w:pPr>
                    <w:pStyle w:val="52"/>
                  </w:pPr>
                  <w:r>
                    <w:t>管控类型</w:t>
                  </w:r>
                </w:p>
              </w:tc>
              <w:tc>
                <w:tcPr>
                  <w:tcW w:w="2812" w:type="pct"/>
                  <w:tcBorders>
                    <w:top w:val="single" w:color="auto" w:sz="4" w:space="0"/>
                    <w:left w:val="single" w:color="auto" w:sz="4" w:space="0"/>
                    <w:bottom w:val="single" w:color="auto" w:sz="4" w:space="0"/>
                    <w:right w:val="single" w:color="auto" w:sz="4" w:space="0"/>
                  </w:tcBorders>
                  <w:vAlign w:val="center"/>
                </w:tcPr>
                <w:p>
                  <w:pPr>
                    <w:pStyle w:val="52"/>
                  </w:pPr>
                  <w:r>
                    <w:t>管控要求</w:t>
                  </w:r>
                </w:p>
              </w:tc>
              <w:tc>
                <w:tcPr>
                  <w:tcW w:w="1054" w:type="pct"/>
                  <w:tcBorders>
                    <w:top w:val="single" w:color="auto" w:sz="4" w:space="0"/>
                    <w:left w:val="single" w:color="auto" w:sz="4" w:space="0"/>
                    <w:bottom w:val="single" w:color="auto" w:sz="4" w:space="0"/>
                    <w:right w:val="single" w:color="auto" w:sz="4" w:space="0"/>
                  </w:tcBorders>
                  <w:vAlign w:val="center"/>
                </w:tcPr>
                <w:p>
                  <w:pPr>
                    <w:pStyle w:val="52"/>
                  </w:pPr>
                  <w:r>
                    <w:t>建设项目</w:t>
                  </w:r>
                  <w:r>
                    <w:rPr>
                      <w:rFonts w:hint="eastAsia"/>
                    </w:rPr>
                    <w:t>相关情况</w:t>
                  </w:r>
                </w:p>
              </w:tc>
              <w:tc>
                <w:tcPr>
                  <w:tcW w:w="387" w:type="pct"/>
                  <w:tcBorders>
                    <w:top w:val="single" w:color="auto" w:sz="4" w:space="0"/>
                    <w:left w:val="single" w:color="auto" w:sz="4" w:space="0"/>
                    <w:bottom w:val="single" w:color="auto" w:sz="4" w:space="0"/>
                    <w:right w:val="single" w:color="auto" w:sz="4" w:space="0"/>
                  </w:tcBorders>
                  <w:vAlign w:val="center"/>
                </w:tcPr>
                <w:p>
                  <w:pPr>
                    <w:pStyle w:val="52"/>
                  </w:pPr>
                  <w:r>
                    <w:t>符合性分析结论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350" w:type="pct"/>
                  <w:vMerge w:val="restart"/>
                  <w:tcBorders>
                    <w:top w:val="nil"/>
                    <w:left w:val="single" w:color="auto" w:sz="4" w:space="0"/>
                    <w:bottom w:val="single" w:color="auto" w:sz="4" w:space="0"/>
                    <w:right w:val="single" w:color="auto" w:sz="4" w:space="0"/>
                  </w:tcBorders>
                  <w:vAlign w:val="center"/>
                </w:tcPr>
                <w:p>
                  <w:pPr>
                    <w:pStyle w:val="52"/>
                  </w:pPr>
                  <w:r>
                    <w:t>全市总体管控要求</w:t>
                  </w:r>
                </w:p>
              </w:tc>
              <w:tc>
                <w:tcPr>
                  <w:tcW w:w="397" w:type="pct"/>
                  <w:tcBorders>
                    <w:top w:val="single" w:color="auto" w:sz="4" w:space="0"/>
                    <w:left w:val="single" w:color="auto" w:sz="4" w:space="0"/>
                    <w:bottom w:val="single" w:color="auto" w:sz="4" w:space="0"/>
                    <w:right w:val="single" w:color="auto" w:sz="4" w:space="0"/>
                  </w:tcBorders>
                  <w:vAlign w:val="center"/>
                </w:tcPr>
                <w:p>
                  <w:pPr>
                    <w:pStyle w:val="52"/>
                  </w:pPr>
                  <w:r>
                    <w:t>空间布局约束</w:t>
                  </w:r>
                </w:p>
              </w:tc>
              <w:tc>
                <w:tcPr>
                  <w:tcW w:w="2812" w:type="pct"/>
                  <w:tcBorders>
                    <w:top w:val="single" w:color="auto" w:sz="4" w:space="0"/>
                    <w:left w:val="single" w:color="auto" w:sz="4" w:space="0"/>
                    <w:bottom w:val="single" w:color="auto" w:sz="4" w:space="0"/>
                    <w:right w:val="single" w:color="auto" w:sz="4" w:space="0"/>
                  </w:tcBorders>
                  <w:vAlign w:val="center"/>
                </w:tcPr>
                <w:p>
                  <w:pPr>
                    <w:pStyle w:val="52"/>
                    <w:jc w:val="both"/>
                  </w:pPr>
                  <w:r>
                    <w:t>1.严格执行《产业结构调整指导目录》、《重庆市产业投资准入工作手册》、《重庆市工业项目环境准入规定》、《重庆市长江经济带发展负面清单指南实施细则（试行）》等文件要求，优化重点区域、流域、产业的空间布局。对不符合准入要求的既有项目，依法依规实施整改、退出等分类治理方案。</w:t>
                  </w:r>
                </w:p>
                <w:p>
                  <w:pPr>
                    <w:pStyle w:val="52"/>
                    <w:jc w:val="both"/>
                  </w:pPr>
                  <w:r>
                    <w:t>2.禁止在长江干流及主要支流岸线1公里范围内新建重化工、纺织、造纸等存在污染风险的工业项目，禁止在长江干支流1公里范围内新建、扩建化工园区和化工项目。5公里范围内除经国家和市政府批准设立、仍在建设的工业园区外，不再新布局工业园区（不包括现有工业园区拓展）。新建有污染物排放的工业项目应进入工业园区或工业集中区，不得在工业园区（集聚区）以外区域实施单纯增加产能的技改（扩建）项目。</w:t>
                  </w:r>
                </w:p>
                <w:p>
                  <w:pPr>
                    <w:pStyle w:val="52"/>
                    <w:jc w:val="both"/>
                  </w:pPr>
                  <w:r>
                    <w:t>3.在长江鱼嘴以上江段及其一级支流汇入口上游20公里、嘉陵江及其一级支流汇入口上游20公里、集中式饮用水水源取水口上游20公里范围内的沿岸地区（江河50年一遇洪水位向陆域一侧1公里范围内），禁止新建、扩建排放重点重金属（铬、镉、汞、砷、铅等五类重金属）、剧毒物质和持久性有机污染物的工业项目。</w:t>
                  </w:r>
                </w:p>
                <w:p>
                  <w:pPr>
                    <w:pStyle w:val="52"/>
                    <w:jc w:val="both"/>
                  </w:pPr>
                  <w:r>
                    <w:t>4.严格执行相关行业企业布局选址要求，优化环境防护距离设置，按要求设置生态隔离带，防范工业园区（工业集聚区）涉生态环境“邻避</w:t>
                  </w:r>
                  <w:r>
                    <w:rPr>
                      <w:rFonts w:hint="eastAsia"/>
                    </w:rPr>
                    <w:t>”</w:t>
                  </w:r>
                  <w:r>
                    <w:t>问题，将环境防护距离优化控制在园区边界或用地红线以内。</w:t>
                  </w:r>
                </w:p>
                <w:p>
                  <w:pPr>
                    <w:pStyle w:val="52"/>
                    <w:jc w:val="both"/>
                  </w:pPr>
                  <w:r>
                    <w:t>5.加快布局分散的企业向园区集中，鼓励现有工业项目、化工项目分别搬入工业集聚区、化工产业集聚区。</w:t>
                  </w:r>
                </w:p>
                <w:p>
                  <w:pPr>
                    <w:pStyle w:val="52"/>
                    <w:jc w:val="both"/>
                    <w:rPr>
                      <w:rFonts w:cs="宋体"/>
                      <w:sz w:val="24"/>
                      <w:szCs w:val="24"/>
                    </w:rPr>
                  </w:pPr>
                  <w:r>
                    <w:t>6.优化城镇功能布局，开发活动限制在资源环境承载能力之内。科学确定城镇开发强度，提高城镇土地利用效率、建成区人口密度，划定城镇开发边界，从严供给城市建设用地，推动城镇化发展由外延扩张式向内涵提升式转变。精心维护自然山水和城乡人居环境，凸显历史文化底蕴，充分塑造和着力体现重庆的山水自然人文特色。</w:t>
                  </w:r>
                </w:p>
              </w:tc>
              <w:tc>
                <w:tcPr>
                  <w:tcW w:w="1054" w:type="pct"/>
                  <w:tcBorders>
                    <w:top w:val="single" w:color="auto" w:sz="4" w:space="0"/>
                    <w:left w:val="single" w:color="auto" w:sz="4" w:space="0"/>
                    <w:bottom w:val="single" w:color="auto" w:sz="4" w:space="0"/>
                    <w:right w:val="single" w:color="auto" w:sz="4" w:space="0"/>
                  </w:tcBorders>
                  <w:vAlign w:val="center"/>
                </w:tcPr>
                <w:p>
                  <w:pPr>
                    <w:pStyle w:val="52"/>
                    <w:jc w:val="both"/>
                  </w:pPr>
                  <w:r>
                    <w:rPr>
                      <w:rFonts w:hint="eastAsia"/>
                    </w:rPr>
                    <w:t>1.拟建项目为其他塑料制品制造项目，属于国家产业结构调整目录中允许类项目；</w:t>
                  </w:r>
                </w:p>
                <w:p>
                  <w:pPr>
                    <w:pStyle w:val="52"/>
                    <w:jc w:val="both"/>
                  </w:pPr>
                  <w:r>
                    <w:rPr>
                      <w:rFonts w:hint="eastAsia"/>
                    </w:rPr>
                    <w:t>2.拟建项目不在长江干流及主要支流岸线1公里范围内，位于铜梁高新区蒲吕片区内，不属于化工园区和化工项目；</w:t>
                  </w:r>
                </w:p>
                <w:p>
                  <w:pPr>
                    <w:pStyle w:val="52"/>
                    <w:jc w:val="both"/>
                  </w:pPr>
                  <w:r>
                    <w:rPr>
                      <w:rFonts w:hint="eastAsia"/>
                    </w:rPr>
                    <w:t>3.拟建项目位于铜梁高新区蒲吕片区，不在长江鱼嘴以上江段及其一级支流汇入口上游20公里、嘉陵江及其一级支流汇入口上游20公里、集中式饮用水水源取水口上游20公里范围内的沿岸地区，不排放重点重金属、剧毒物质和持久性有机污染物；</w:t>
                  </w:r>
                </w:p>
                <w:p>
                  <w:pPr>
                    <w:pStyle w:val="52"/>
                    <w:jc w:val="both"/>
                  </w:pPr>
                  <w:r>
                    <w:rPr>
                      <w:rFonts w:hint="eastAsia"/>
                    </w:rPr>
                    <w:t>4.拟建项目已严格执行相关行业企业布局选址要求，位于铜梁高新区蒲吕片区内；</w:t>
                  </w:r>
                </w:p>
                <w:p>
                  <w:pPr>
                    <w:pStyle w:val="52"/>
                    <w:jc w:val="both"/>
                  </w:pPr>
                  <w:r>
                    <w:rPr>
                      <w:rFonts w:hint="eastAsia"/>
                    </w:rPr>
                    <w:t>5.拟建项目位于铜梁高新区蒲吕片区，属于其他塑料制品制造项目，属于国家产业结构调整目录中允许类项目；</w:t>
                  </w:r>
                </w:p>
                <w:p>
                  <w:pPr>
                    <w:pStyle w:val="52"/>
                    <w:jc w:val="both"/>
                    <w:rPr>
                      <w:rFonts w:cs="宋体"/>
                      <w:sz w:val="24"/>
                      <w:szCs w:val="24"/>
                    </w:rPr>
                  </w:pPr>
                  <w:r>
                    <w:rPr>
                      <w:rFonts w:hint="eastAsia"/>
                    </w:rPr>
                    <w:t>6.拟建项目不涉及城镇功能布局。</w:t>
                  </w:r>
                </w:p>
              </w:tc>
              <w:tc>
                <w:tcPr>
                  <w:tcW w:w="387"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350" w:type="pct"/>
                  <w:vMerge w:val="continue"/>
                  <w:tcBorders>
                    <w:top w:val="nil"/>
                    <w:left w:val="single" w:color="auto" w:sz="4" w:space="0"/>
                    <w:bottom w:val="single" w:color="auto" w:sz="4" w:space="0"/>
                    <w:right w:val="single" w:color="auto" w:sz="4" w:space="0"/>
                  </w:tcBorders>
                  <w:vAlign w:val="center"/>
                </w:tcPr>
                <w:p>
                  <w:pPr>
                    <w:pStyle w:val="52"/>
                  </w:pPr>
                </w:p>
              </w:tc>
              <w:tc>
                <w:tcPr>
                  <w:tcW w:w="397" w:type="pct"/>
                  <w:tcBorders>
                    <w:top w:val="single" w:color="auto" w:sz="4" w:space="0"/>
                    <w:left w:val="single" w:color="auto" w:sz="4" w:space="0"/>
                    <w:bottom w:val="single" w:color="auto" w:sz="4" w:space="0"/>
                    <w:right w:val="single" w:color="auto" w:sz="4" w:space="0"/>
                  </w:tcBorders>
                  <w:vAlign w:val="center"/>
                </w:tcPr>
                <w:p>
                  <w:pPr>
                    <w:pStyle w:val="52"/>
                  </w:pPr>
                  <w:r>
                    <w:t>污染物排放管控</w:t>
                  </w:r>
                </w:p>
              </w:tc>
              <w:tc>
                <w:tcPr>
                  <w:tcW w:w="2812" w:type="pct"/>
                  <w:tcBorders>
                    <w:top w:val="single" w:color="auto" w:sz="4" w:space="0"/>
                    <w:left w:val="single" w:color="auto" w:sz="4" w:space="0"/>
                    <w:bottom w:val="single" w:color="auto" w:sz="4" w:space="0"/>
                    <w:right w:val="single" w:color="auto" w:sz="4" w:space="0"/>
                  </w:tcBorders>
                  <w:vAlign w:val="center"/>
                </w:tcPr>
                <w:p>
                  <w:pPr>
                    <w:pStyle w:val="52"/>
                    <w:jc w:val="both"/>
                  </w:pPr>
                  <w:r>
                    <w:t>1.未达到国家环境质量标准的重点区域、流域的有关地方人民政府，应当制定限期达标规划，并采取措施按期达标。</w:t>
                  </w:r>
                </w:p>
                <w:p>
                  <w:pPr>
                    <w:pStyle w:val="52"/>
                    <w:jc w:val="both"/>
                  </w:pPr>
                  <w:r>
                    <w:t>2.巩固</w:t>
                  </w:r>
                  <w:r>
                    <w:rPr>
                      <w:rFonts w:hint="eastAsia"/>
                    </w:rPr>
                    <w:t>“</w:t>
                  </w:r>
                  <w:r>
                    <w:t>十一小</w:t>
                  </w:r>
                  <w:r>
                    <w:rPr>
                      <w:rFonts w:hint="eastAsia"/>
                    </w:rPr>
                    <w:t>”</w:t>
                  </w:r>
                  <w:r>
                    <w:t>（不符合国家产业政策的小型造纸、制革、印染、染料、炼焦、炼硫、炼砷、炼油、电镀、农药、涉磷生产和使用等企业）取缔成果，防止死灰复燃。巩固</w:t>
                  </w:r>
                  <w:r>
                    <w:rPr>
                      <w:rFonts w:hint="eastAsia"/>
                    </w:rPr>
                    <w:t>“</w:t>
                  </w:r>
                  <w:r>
                    <w:t>十一大</w:t>
                  </w:r>
                  <w:r>
                    <w:rPr>
                      <w:rFonts w:hint="eastAsia"/>
                    </w:rPr>
                    <w:t>”</w:t>
                  </w:r>
                  <w:r>
                    <w:t>（造纸、焦化、氮肥、有色金属、印染、农副产品及食品加工、原料药制造</w:t>
                  </w:r>
                  <w:r>
                    <w:rPr>
                      <w:rFonts w:hint="eastAsia"/>
                    </w:rPr>
                    <w:t>（</w:t>
                  </w:r>
                  <w:r>
                    <w:t>生化制药</w:t>
                  </w:r>
                  <w:r>
                    <w:rPr>
                      <w:rFonts w:hint="eastAsia"/>
                    </w:rPr>
                    <w:t>）</w:t>
                  </w:r>
                  <w:r>
                    <w:t>、制革、农药、电镀以及涉磷产品等）企业污染整治成果。</w:t>
                  </w:r>
                </w:p>
                <w:p>
                  <w:pPr>
                    <w:pStyle w:val="52"/>
                    <w:jc w:val="both"/>
                  </w:pPr>
                  <w:r>
                    <w:t>3.城区及江津区、合川区、璧山区、铜梁区二氧化硫、氮氧化物、颗粒物、挥发性有机物严格执行大气污染物特别排放限值，并逐步将执行范围扩大到重点控制区重点行业。</w:t>
                  </w:r>
                </w:p>
                <w:p>
                  <w:pPr>
                    <w:pStyle w:val="52"/>
                    <w:jc w:val="both"/>
                  </w:pPr>
                  <w:r>
                    <w:t>4.新建、改建、扩建涉VOCs排放的项目，加强源头控制，使用低（无）VOCs含量的原辅料，加强废气收集，安装高效治理设施。有条件的工业集聚区建设集中喷涂中心，配备高效治污设施，替代企业独立喷涂工序。</w:t>
                  </w:r>
                </w:p>
                <w:p>
                  <w:pPr>
                    <w:pStyle w:val="52"/>
                    <w:jc w:val="both"/>
                    <w:rPr>
                      <w:rFonts w:cs="宋体"/>
                      <w:sz w:val="24"/>
                      <w:szCs w:val="24"/>
                    </w:rPr>
                  </w:pPr>
                  <w:r>
                    <w:t>5.集中治理工业集聚区水污染，新建、升级工业集聚区应同步规划建设污水集中处理设施并安装自动在线监控装置。组织评估依托城镇生活污水处理设施处理园区工业废水对出水的影响，导致出水不能稳定达标的，要限期退出城镇污水处理设施并另行专门处理。</w:t>
                  </w:r>
                </w:p>
              </w:tc>
              <w:tc>
                <w:tcPr>
                  <w:tcW w:w="1054" w:type="pct"/>
                  <w:tcBorders>
                    <w:top w:val="single" w:color="auto" w:sz="4" w:space="0"/>
                    <w:left w:val="single" w:color="auto" w:sz="4" w:space="0"/>
                    <w:bottom w:val="single" w:color="auto" w:sz="4" w:space="0"/>
                    <w:right w:val="single" w:color="auto" w:sz="4" w:space="0"/>
                  </w:tcBorders>
                  <w:vAlign w:val="center"/>
                </w:tcPr>
                <w:p>
                  <w:pPr>
                    <w:pStyle w:val="52"/>
                    <w:jc w:val="both"/>
                  </w:pPr>
                  <w:r>
                    <w:rPr>
                      <w:rFonts w:hint="eastAsia"/>
                    </w:rPr>
                    <w:t>1.拟建项目位于铜梁区，区域地表水、声环境质量均达标；</w:t>
                  </w:r>
                </w:p>
                <w:p>
                  <w:pPr>
                    <w:pStyle w:val="52"/>
                    <w:jc w:val="both"/>
                  </w:pPr>
                  <w:r>
                    <w:rPr>
                      <w:rFonts w:hint="eastAsia"/>
                    </w:rPr>
                    <w:t>2.拟建项目不属于“十一小”和“十一大”企业；</w:t>
                  </w:r>
                </w:p>
                <w:p>
                  <w:pPr>
                    <w:pStyle w:val="52"/>
                    <w:jc w:val="both"/>
                  </w:pPr>
                  <w:r>
                    <w:rPr>
                      <w:rFonts w:hint="eastAsia"/>
                    </w:rPr>
                    <w:t>3.拟建项目位于铜梁区，挥发性有机物执行大气污染物特别排放限值，满足排放标准要求；</w:t>
                  </w:r>
                </w:p>
                <w:p>
                  <w:pPr>
                    <w:pStyle w:val="52"/>
                    <w:jc w:val="both"/>
                  </w:pPr>
                  <w:r>
                    <w:rPr>
                      <w:rFonts w:hint="eastAsia"/>
                    </w:rPr>
                    <w:t>4.拟建项目为新建项目，项目涉及VOCs排放的相关工序及设备均设置了严格的收集和处理设施，且产生的挥发性有机物经得到有效的处理达标后排放；</w:t>
                  </w:r>
                </w:p>
                <w:p>
                  <w:pPr>
                    <w:pStyle w:val="52"/>
                    <w:jc w:val="both"/>
                    <w:rPr>
                      <w:sz w:val="24"/>
                      <w:szCs w:val="24"/>
                    </w:rPr>
                  </w:pPr>
                  <w:r>
                    <w:rPr>
                      <w:rFonts w:hint="eastAsia"/>
                    </w:rPr>
                    <w:t>5.拟建项目无生产废水产生，生活污水由已建生化池处理后通过市政管网进入蒲吕污水处理厂进一步处理达标排放。</w:t>
                  </w:r>
                </w:p>
              </w:tc>
              <w:tc>
                <w:tcPr>
                  <w:tcW w:w="387"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350" w:type="pct"/>
                  <w:vMerge w:val="continue"/>
                  <w:tcBorders>
                    <w:top w:val="nil"/>
                    <w:left w:val="single" w:color="auto" w:sz="4" w:space="0"/>
                    <w:bottom w:val="single" w:color="auto" w:sz="4" w:space="0"/>
                    <w:right w:val="single" w:color="auto" w:sz="4" w:space="0"/>
                  </w:tcBorders>
                  <w:vAlign w:val="center"/>
                </w:tcPr>
                <w:p>
                  <w:pPr>
                    <w:pStyle w:val="52"/>
                  </w:pPr>
                </w:p>
              </w:tc>
              <w:tc>
                <w:tcPr>
                  <w:tcW w:w="397" w:type="pct"/>
                  <w:tcBorders>
                    <w:top w:val="single" w:color="auto" w:sz="4" w:space="0"/>
                    <w:left w:val="single" w:color="auto" w:sz="4" w:space="0"/>
                    <w:bottom w:val="single" w:color="auto" w:sz="4" w:space="0"/>
                    <w:right w:val="single" w:color="auto" w:sz="4" w:space="0"/>
                  </w:tcBorders>
                  <w:vAlign w:val="center"/>
                </w:tcPr>
                <w:p>
                  <w:pPr>
                    <w:pStyle w:val="52"/>
                  </w:pPr>
                  <w:r>
                    <w:t>环境风险防控</w:t>
                  </w:r>
                </w:p>
              </w:tc>
              <w:tc>
                <w:tcPr>
                  <w:tcW w:w="2812" w:type="pct"/>
                  <w:tcBorders>
                    <w:top w:val="single" w:color="auto" w:sz="4" w:space="0"/>
                    <w:left w:val="single" w:color="auto" w:sz="4" w:space="0"/>
                    <w:bottom w:val="single" w:color="auto" w:sz="4" w:space="0"/>
                    <w:right w:val="single" w:color="auto" w:sz="4" w:space="0"/>
                  </w:tcBorders>
                  <w:vAlign w:val="center"/>
                </w:tcPr>
                <w:p>
                  <w:pPr>
                    <w:pStyle w:val="52"/>
                    <w:jc w:val="both"/>
                  </w:pPr>
                  <w:r>
                    <w:t>1.健全风险防范体系，制定环境风险防范协调联动工作机制。开展涉及化工生产的工业园区突发环境事件风险评估。长江三峡库区干流流域、城市集中式饮用水源、涉及化工生产的化工园区等按要求开展突发环境事件风险评估。</w:t>
                  </w:r>
                </w:p>
                <w:p>
                  <w:pPr>
                    <w:pStyle w:val="52"/>
                    <w:jc w:val="both"/>
                    <w:rPr>
                      <w:rFonts w:cs="宋体"/>
                      <w:sz w:val="24"/>
                      <w:szCs w:val="24"/>
                    </w:rPr>
                  </w:pPr>
                  <w:r>
                    <w:t>2.禁止建设存在重大环境安全隐患的工业项目。严禁工艺技术落后、环境风险高的化工企业向我市转移。</w:t>
                  </w:r>
                </w:p>
              </w:tc>
              <w:tc>
                <w:tcPr>
                  <w:tcW w:w="1054" w:type="pct"/>
                  <w:tcBorders>
                    <w:top w:val="single" w:color="auto" w:sz="4" w:space="0"/>
                    <w:left w:val="single" w:color="auto" w:sz="4" w:space="0"/>
                    <w:bottom w:val="single" w:color="auto" w:sz="4" w:space="0"/>
                    <w:right w:val="single" w:color="auto" w:sz="4" w:space="0"/>
                  </w:tcBorders>
                  <w:vAlign w:val="center"/>
                </w:tcPr>
                <w:p>
                  <w:pPr>
                    <w:spacing w:line="320" w:lineRule="exact"/>
                  </w:pPr>
                  <w:r>
                    <w:t>1.</w:t>
                  </w:r>
                  <w:r>
                    <w:rPr>
                      <w:rFonts w:hint="eastAsia"/>
                    </w:rPr>
                    <w:t>拟建项目</w:t>
                  </w:r>
                  <w:r>
                    <w:t>建成后健全风险防范体系，制定环境风险防范协调联动工作机制；</w:t>
                  </w:r>
                </w:p>
                <w:p>
                  <w:pPr>
                    <w:pStyle w:val="52"/>
                  </w:pPr>
                  <w:r>
                    <w:t>2.</w:t>
                  </w:r>
                  <w:r>
                    <w:rPr>
                      <w:rFonts w:hint="eastAsia"/>
                    </w:rPr>
                    <w:t>拟建项目</w:t>
                  </w:r>
                  <w:r>
                    <w:t>不属于重大环境安全隐患的工业项目。</w:t>
                  </w:r>
                </w:p>
              </w:tc>
              <w:tc>
                <w:tcPr>
                  <w:tcW w:w="387"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350" w:type="pct"/>
                  <w:vMerge w:val="continue"/>
                  <w:tcBorders>
                    <w:top w:val="nil"/>
                    <w:left w:val="single" w:color="auto" w:sz="4" w:space="0"/>
                    <w:bottom w:val="single" w:color="auto" w:sz="4" w:space="0"/>
                    <w:right w:val="single" w:color="auto" w:sz="4" w:space="0"/>
                  </w:tcBorders>
                  <w:vAlign w:val="center"/>
                </w:tcPr>
                <w:p>
                  <w:pPr>
                    <w:pStyle w:val="52"/>
                  </w:pPr>
                </w:p>
              </w:tc>
              <w:tc>
                <w:tcPr>
                  <w:tcW w:w="397" w:type="pct"/>
                  <w:tcBorders>
                    <w:top w:val="single" w:color="auto" w:sz="4" w:space="0"/>
                    <w:left w:val="single" w:color="auto" w:sz="4" w:space="0"/>
                    <w:bottom w:val="single" w:color="auto" w:sz="4" w:space="0"/>
                    <w:right w:val="single" w:color="auto" w:sz="4" w:space="0"/>
                  </w:tcBorders>
                  <w:vAlign w:val="center"/>
                </w:tcPr>
                <w:p>
                  <w:pPr>
                    <w:pStyle w:val="52"/>
                  </w:pPr>
                  <w:r>
                    <w:t>资源开发利用效率</w:t>
                  </w:r>
                </w:p>
              </w:tc>
              <w:tc>
                <w:tcPr>
                  <w:tcW w:w="2812" w:type="pct"/>
                  <w:tcBorders>
                    <w:top w:val="single" w:color="auto" w:sz="4" w:space="0"/>
                    <w:left w:val="single" w:color="auto" w:sz="4" w:space="0"/>
                    <w:bottom w:val="single" w:color="auto" w:sz="4" w:space="0"/>
                    <w:right w:val="single" w:color="auto" w:sz="4" w:space="0"/>
                  </w:tcBorders>
                  <w:vAlign w:val="center"/>
                </w:tcPr>
                <w:p>
                  <w:pPr>
                    <w:pStyle w:val="52"/>
                    <w:jc w:val="both"/>
                  </w:pPr>
                  <w:r>
                    <w:t>1.加强资源节约集约利用。实行能源、水资源、建设用地总量和强度双控行动，推进节能、节水、节地、节材等节约自然资源行动，从源头减少污染物排放。</w:t>
                  </w:r>
                </w:p>
                <w:p>
                  <w:pPr>
                    <w:pStyle w:val="52"/>
                    <w:jc w:val="both"/>
                  </w:pPr>
                  <w:r>
                    <w:t>2.在禁燃区内，禁止销售、燃用高污染燃料，禁止新建、改建、扩建任何燃用高污染燃料的项目和设备，已建成使用高污染燃料的各类设备应当拆除或者改用管道天然气、页岩气、液化石油气、电或者其他清洁能源；在不具备使用清洁能源条件的区域，可使用配备专用锅炉和除尘装置的生物质成型燃料。</w:t>
                  </w:r>
                </w:p>
                <w:p>
                  <w:pPr>
                    <w:pStyle w:val="52"/>
                    <w:jc w:val="both"/>
                  </w:pPr>
                  <w:r>
                    <w:t>3.电力、钢铁、纺织、造纸、石油石化、化工、食品发酵等高耗水行业达到先进定额标准。</w:t>
                  </w:r>
                </w:p>
                <w:p>
                  <w:pPr>
                    <w:pStyle w:val="52"/>
                    <w:jc w:val="both"/>
                  </w:pPr>
                  <w:r>
                    <w:t>4.重点控制区域新建高耗能项目单位产品（产值）能耗要达到国际先进水平。</w:t>
                  </w:r>
                </w:p>
                <w:p>
                  <w:pPr>
                    <w:pStyle w:val="52"/>
                    <w:jc w:val="both"/>
                    <w:rPr>
                      <w:rFonts w:cs="宋体"/>
                      <w:sz w:val="24"/>
                      <w:szCs w:val="24"/>
                    </w:rPr>
                  </w:pPr>
                  <w:r>
                    <w:t>5.水利水电工程应保证合理的生态流量，具备条件的都应实施生态流量监测监控。</w:t>
                  </w:r>
                </w:p>
              </w:tc>
              <w:tc>
                <w:tcPr>
                  <w:tcW w:w="1054" w:type="pct"/>
                  <w:tcBorders>
                    <w:top w:val="single" w:color="auto" w:sz="4" w:space="0"/>
                    <w:left w:val="single" w:color="auto" w:sz="4" w:space="0"/>
                    <w:bottom w:val="single" w:color="auto" w:sz="4" w:space="0"/>
                    <w:right w:val="single" w:color="auto" w:sz="4" w:space="0"/>
                  </w:tcBorders>
                  <w:vAlign w:val="center"/>
                </w:tcPr>
                <w:p>
                  <w:pPr>
                    <w:pStyle w:val="52"/>
                    <w:jc w:val="both"/>
                  </w:pPr>
                  <w:r>
                    <w:t>1.</w:t>
                  </w:r>
                  <w:r>
                    <w:rPr>
                      <w:rFonts w:hint="eastAsia"/>
                    </w:rPr>
                    <w:t>拟建项目耗水量小；</w:t>
                  </w:r>
                </w:p>
                <w:p>
                  <w:pPr>
                    <w:pStyle w:val="52"/>
                    <w:jc w:val="both"/>
                  </w:pPr>
                  <w:r>
                    <w:t>2.不涉及；</w:t>
                  </w:r>
                </w:p>
                <w:p>
                  <w:pPr>
                    <w:pStyle w:val="52"/>
                    <w:jc w:val="both"/>
                  </w:pPr>
                  <w:r>
                    <w:t>3.不涉及；</w:t>
                  </w:r>
                </w:p>
                <w:p>
                  <w:pPr>
                    <w:pStyle w:val="52"/>
                    <w:jc w:val="both"/>
                  </w:pPr>
                  <w:r>
                    <w:t>4.不涉及；</w:t>
                  </w:r>
                </w:p>
                <w:p>
                  <w:pPr>
                    <w:pStyle w:val="52"/>
                    <w:jc w:val="both"/>
                    <w:rPr>
                      <w:rFonts w:cs="宋体"/>
                      <w:sz w:val="24"/>
                      <w:szCs w:val="24"/>
                    </w:rPr>
                  </w:pPr>
                  <w:r>
                    <w:t>5.不涉及。</w:t>
                  </w:r>
                </w:p>
              </w:tc>
              <w:tc>
                <w:tcPr>
                  <w:tcW w:w="387"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3" w:hRule="atLeast"/>
              </w:trPr>
              <w:tc>
                <w:tcPr>
                  <w:tcW w:w="350" w:type="pct"/>
                  <w:vMerge w:val="restart"/>
                  <w:tcBorders>
                    <w:top w:val="nil"/>
                    <w:left w:val="single" w:color="auto" w:sz="4" w:space="0"/>
                    <w:bottom w:val="single" w:color="auto" w:sz="4" w:space="0"/>
                    <w:right w:val="single" w:color="auto" w:sz="4" w:space="0"/>
                  </w:tcBorders>
                  <w:vAlign w:val="center"/>
                </w:tcPr>
                <w:p>
                  <w:pPr>
                    <w:pStyle w:val="52"/>
                  </w:pPr>
                  <w:r>
                    <w:t>区县总体管控要求</w:t>
                  </w:r>
                </w:p>
              </w:tc>
              <w:tc>
                <w:tcPr>
                  <w:tcW w:w="397" w:type="pct"/>
                  <w:vMerge w:val="restart"/>
                  <w:tcBorders>
                    <w:top w:val="nil"/>
                    <w:left w:val="single" w:color="auto" w:sz="4" w:space="0"/>
                    <w:bottom w:val="single" w:color="auto" w:sz="4" w:space="0"/>
                    <w:right w:val="single" w:color="auto" w:sz="4" w:space="0"/>
                  </w:tcBorders>
                  <w:vAlign w:val="center"/>
                </w:tcPr>
                <w:p>
                  <w:pPr>
                    <w:pStyle w:val="52"/>
                  </w:pPr>
                  <w:r>
                    <w:t>空间布局约束</w:t>
                  </w:r>
                </w:p>
              </w:tc>
              <w:tc>
                <w:tcPr>
                  <w:tcW w:w="2812" w:type="pct"/>
                  <w:tcBorders>
                    <w:top w:val="single" w:color="auto" w:sz="4" w:space="0"/>
                    <w:left w:val="single" w:color="auto" w:sz="4" w:space="0"/>
                    <w:bottom w:val="single" w:color="auto" w:sz="4" w:space="0"/>
                    <w:right w:val="single" w:color="auto" w:sz="4" w:space="0"/>
                  </w:tcBorders>
                  <w:vAlign w:val="center"/>
                </w:tcPr>
                <w:p>
                  <w:pPr>
                    <w:pStyle w:val="52"/>
                    <w:jc w:val="both"/>
                  </w:pPr>
                  <w:r>
                    <w:t>第一条：保护好巴岳山、毓青山等自然生态环境，形成以生态功能区为支撑，国家禁止开发区域为重要组成部分的生态空间体系。小企业基地规划范围不得侵占生态空间。</w:t>
                  </w:r>
                </w:p>
              </w:tc>
              <w:tc>
                <w:tcPr>
                  <w:tcW w:w="1054" w:type="pct"/>
                  <w:tcBorders>
                    <w:top w:val="single" w:color="auto" w:sz="4" w:space="0"/>
                    <w:left w:val="single" w:color="auto" w:sz="4" w:space="0"/>
                    <w:bottom w:val="single" w:color="auto" w:sz="4" w:space="0"/>
                    <w:right w:val="single" w:color="auto" w:sz="4" w:space="0"/>
                  </w:tcBorders>
                  <w:vAlign w:val="center"/>
                </w:tcPr>
                <w:p>
                  <w:pPr>
                    <w:pStyle w:val="52"/>
                    <w:jc w:val="both"/>
                  </w:pPr>
                  <w:r>
                    <w:t>项目不在生态红线范围内。</w:t>
                  </w:r>
                </w:p>
              </w:tc>
              <w:tc>
                <w:tcPr>
                  <w:tcW w:w="387"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3" w:hRule="atLeast"/>
              </w:trPr>
              <w:tc>
                <w:tcPr>
                  <w:tcW w:w="350" w:type="pct"/>
                  <w:vMerge w:val="continue"/>
                  <w:tcBorders>
                    <w:top w:val="nil"/>
                    <w:left w:val="single" w:color="auto" w:sz="4" w:space="0"/>
                    <w:bottom w:val="single" w:color="auto" w:sz="4" w:space="0"/>
                    <w:right w:val="single" w:color="auto" w:sz="4" w:space="0"/>
                  </w:tcBorders>
                  <w:vAlign w:val="center"/>
                </w:tcPr>
                <w:p>
                  <w:pPr>
                    <w:pStyle w:val="52"/>
                  </w:pPr>
                </w:p>
              </w:tc>
              <w:tc>
                <w:tcPr>
                  <w:tcW w:w="397" w:type="pct"/>
                  <w:vMerge w:val="continue"/>
                  <w:tcBorders>
                    <w:top w:val="nil"/>
                    <w:left w:val="single" w:color="auto" w:sz="4" w:space="0"/>
                    <w:bottom w:val="single" w:color="auto" w:sz="4" w:space="0"/>
                    <w:right w:val="single" w:color="auto" w:sz="4" w:space="0"/>
                  </w:tcBorders>
                  <w:vAlign w:val="center"/>
                </w:tcPr>
                <w:p>
                  <w:pPr>
                    <w:pStyle w:val="52"/>
                  </w:pPr>
                </w:p>
              </w:tc>
              <w:tc>
                <w:tcPr>
                  <w:tcW w:w="2812" w:type="pct"/>
                  <w:tcBorders>
                    <w:top w:val="single" w:color="auto" w:sz="4" w:space="0"/>
                    <w:left w:val="single" w:color="auto" w:sz="4" w:space="0"/>
                    <w:bottom w:val="single" w:color="auto" w:sz="4" w:space="0"/>
                    <w:right w:val="single" w:color="auto" w:sz="4" w:space="0"/>
                  </w:tcBorders>
                  <w:vAlign w:val="center"/>
                </w:tcPr>
                <w:p>
                  <w:pPr>
                    <w:pStyle w:val="52"/>
                    <w:jc w:val="both"/>
                  </w:pPr>
                  <w:r>
                    <w:t>第二条：铜梁高新区白土坝片区采取“腾笼换鸟”的方式，推动现有产业提档升级，发展环境影响小、风险可控的产业。</w:t>
                  </w:r>
                </w:p>
              </w:tc>
              <w:tc>
                <w:tcPr>
                  <w:tcW w:w="1054" w:type="pct"/>
                  <w:tcBorders>
                    <w:top w:val="single" w:color="auto" w:sz="4" w:space="0"/>
                    <w:left w:val="single" w:color="auto" w:sz="4" w:space="0"/>
                    <w:bottom w:val="single" w:color="auto" w:sz="4" w:space="0"/>
                    <w:right w:val="single" w:color="auto" w:sz="4" w:space="0"/>
                  </w:tcBorders>
                  <w:vAlign w:val="center"/>
                </w:tcPr>
                <w:p>
                  <w:pPr>
                    <w:pStyle w:val="52"/>
                    <w:jc w:val="both"/>
                  </w:pPr>
                  <w:r>
                    <w:t>拟建项目不在白土坝片区，位于铜梁高新区</w:t>
                  </w:r>
                  <w:r>
                    <w:rPr>
                      <w:rFonts w:hint="eastAsia"/>
                    </w:rPr>
                    <w:t>蒲吕片区</w:t>
                  </w:r>
                  <w:r>
                    <w:t>。</w:t>
                  </w:r>
                </w:p>
              </w:tc>
              <w:tc>
                <w:tcPr>
                  <w:tcW w:w="387"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350" w:type="pct"/>
                  <w:vMerge w:val="continue"/>
                  <w:tcBorders>
                    <w:top w:val="nil"/>
                    <w:left w:val="single" w:color="auto" w:sz="4" w:space="0"/>
                    <w:bottom w:val="single" w:color="auto" w:sz="4" w:space="0"/>
                    <w:right w:val="single" w:color="auto" w:sz="4" w:space="0"/>
                  </w:tcBorders>
                  <w:vAlign w:val="center"/>
                </w:tcPr>
                <w:p>
                  <w:pPr>
                    <w:pStyle w:val="52"/>
                  </w:pPr>
                </w:p>
              </w:tc>
              <w:tc>
                <w:tcPr>
                  <w:tcW w:w="397" w:type="pct"/>
                  <w:vMerge w:val="restart"/>
                  <w:tcBorders>
                    <w:top w:val="nil"/>
                    <w:left w:val="single" w:color="auto" w:sz="4" w:space="0"/>
                    <w:bottom w:val="single" w:color="auto" w:sz="4" w:space="0"/>
                    <w:right w:val="single" w:color="auto" w:sz="4" w:space="0"/>
                  </w:tcBorders>
                  <w:vAlign w:val="center"/>
                </w:tcPr>
                <w:p>
                  <w:pPr>
                    <w:pStyle w:val="52"/>
                  </w:pPr>
                  <w:r>
                    <w:t>污染物排放管控</w:t>
                  </w:r>
                </w:p>
              </w:tc>
              <w:tc>
                <w:tcPr>
                  <w:tcW w:w="2812" w:type="pct"/>
                  <w:tcBorders>
                    <w:top w:val="single" w:color="auto" w:sz="4" w:space="0"/>
                    <w:left w:val="single" w:color="auto" w:sz="4" w:space="0"/>
                    <w:bottom w:val="single" w:color="auto" w:sz="4" w:space="0"/>
                    <w:right w:val="single" w:color="auto" w:sz="4" w:space="0"/>
                  </w:tcBorders>
                  <w:vAlign w:val="center"/>
                </w:tcPr>
                <w:p>
                  <w:pPr>
                    <w:pStyle w:val="52"/>
                    <w:jc w:val="both"/>
                  </w:pPr>
                  <w:r>
                    <w:t>第三条：城市生活污水处理厂全面达到《城镇污水处理厂污染物排放标准》（GB18919-2002）一级A排放标准，生活污水处理厂污泥无害化处置率达到85%。</w:t>
                  </w:r>
                </w:p>
              </w:tc>
              <w:tc>
                <w:tcPr>
                  <w:tcW w:w="1054" w:type="pct"/>
                  <w:tcBorders>
                    <w:top w:val="single" w:color="auto" w:sz="4" w:space="0"/>
                    <w:left w:val="single" w:color="auto" w:sz="4" w:space="0"/>
                    <w:bottom w:val="single" w:color="auto" w:sz="4" w:space="0"/>
                    <w:right w:val="single" w:color="auto" w:sz="4" w:space="0"/>
                  </w:tcBorders>
                  <w:vAlign w:val="center"/>
                </w:tcPr>
                <w:p>
                  <w:pPr>
                    <w:pStyle w:val="52"/>
                    <w:jc w:val="both"/>
                  </w:pPr>
                  <w:r>
                    <w:t>拟建项目不涉及。</w:t>
                  </w:r>
                </w:p>
              </w:tc>
              <w:tc>
                <w:tcPr>
                  <w:tcW w:w="387"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350" w:type="pct"/>
                  <w:vMerge w:val="continue"/>
                  <w:tcBorders>
                    <w:top w:val="nil"/>
                    <w:left w:val="single" w:color="auto" w:sz="4" w:space="0"/>
                    <w:bottom w:val="single" w:color="auto" w:sz="4" w:space="0"/>
                    <w:right w:val="single" w:color="auto" w:sz="4" w:space="0"/>
                  </w:tcBorders>
                  <w:vAlign w:val="center"/>
                </w:tcPr>
                <w:p>
                  <w:pPr>
                    <w:pStyle w:val="52"/>
                  </w:pPr>
                </w:p>
              </w:tc>
              <w:tc>
                <w:tcPr>
                  <w:tcW w:w="397" w:type="pct"/>
                  <w:vMerge w:val="continue"/>
                  <w:tcBorders>
                    <w:top w:val="nil"/>
                    <w:left w:val="single" w:color="auto" w:sz="4" w:space="0"/>
                    <w:bottom w:val="single" w:color="auto" w:sz="4" w:space="0"/>
                    <w:right w:val="single" w:color="auto" w:sz="4" w:space="0"/>
                  </w:tcBorders>
                  <w:vAlign w:val="center"/>
                </w:tcPr>
                <w:p>
                  <w:pPr>
                    <w:pStyle w:val="52"/>
                  </w:pPr>
                </w:p>
              </w:tc>
              <w:tc>
                <w:tcPr>
                  <w:tcW w:w="2812" w:type="pct"/>
                  <w:tcBorders>
                    <w:top w:val="single" w:color="auto" w:sz="4" w:space="0"/>
                    <w:left w:val="single" w:color="auto" w:sz="4" w:space="0"/>
                    <w:bottom w:val="single" w:color="auto" w:sz="4" w:space="0"/>
                    <w:right w:val="single" w:color="auto" w:sz="4" w:space="0"/>
                  </w:tcBorders>
                  <w:vAlign w:val="center"/>
                </w:tcPr>
                <w:p>
                  <w:pPr>
                    <w:pStyle w:val="52"/>
                    <w:jc w:val="both"/>
                  </w:pPr>
                  <w:r>
                    <w:t>第四条：持续推进企业大气污染防治。二氧化硫、氮氧化物、颗粒物、VOCs严格执行大气污染物特别排放限值，鼓励辖区内水泥、烧结砖瓦窑企业错峰生产。</w:t>
                  </w:r>
                </w:p>
              </w:tc>
              <w:tc>
                <w:tcPr>
                  <w:tcW w:w="1054" w:type="pct"/>
                  <w:tcBorders>
                    <w:top w:val="single" w:color="auto" w:sz="4" w:space="0"/>
                    <w:left w:val="single" w:color="auto" w:sz="4" w:space="0"/>
                    <w:bottom w:val="single" w:color="auto" w:sz="4" w:space="0"/>
                    <w:right w:val="single" w:color="auto" w:sz="4" w:space="0"/>
                  </w:tcBorders>
                  <w:vAlign w:val="center"/>
                </w:tcPr>
                <w:p>
                  <w:pPr>
                    <w:pStyle w:val="52"/>
                    <w:jc w:val="both"/>
                  </w:pPr>
                  <w:r>
                    <w:t>项目废气均得到有效处理后达标排放，严格执行大气污染物特别排放限值</w:t>
                  </w:r>
                  <w:r>
                    <w:rPr>
                      <w:rFonts w:hint="eastAsia"/>
                    </w:rPr>
                    <w:t>，</w:t>
                  </w:r>
                  <w:r>
                    <w:t>不属于水泥、烧结砖瓦窑行业。</w:t>
                  </w:r>
                </w:p>
              </w:tc>
              <w:tc>
                <w:tcPr>
                  <w:tcW w:w="387"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350" w:type="pct"/>
                  <w:vMerge w:val="continue"/>
                  <w:tcBorders>
                    <w:top w:val="nil"/>
                    <w:left w:val="single" w:color="auto" w:sz="4" w:space="0"/>
                    <w:bottom w:val="single" w:color="auto" w:sz="4" w:space="0"/>
                    <w:right w:val="single" w:color="auto" w:sz="4" w:space="0"/>
                  </w:tcBorders>
                  <w:vAlign w:val="center"/>
                </w:tcPr>
                <w:p>
                  <w:pPr>
                    <w:pStyle w:val="52"/>
                  </w:pPr>
                </w:p>
              </w:tc>
              <w:tc>
                <w:tcPr>
                  <w:tcW w:w="397" w:type="pct"/>
                  <w:vMerge w:val="continue"/>
                  <w:tcBorders>
                    <w:top w:val="nil"/>
                    <w:left w:val="single" w:color="auto" w:sz="4" w:space="0"/>
                    <w:bottom w:val="single" w:color="auto" w:sz="4" w:space="0"/>
                    <w:right w:val="single" w:color="auto" w:sz="4" w:space="0"/>
                  </w:tcBorders>
                  <w:vAlign w:val="center"/>
                </w:tcPr>
                <w:p>
                  <w:pPr>
                    <w:pStyle w:val="52"/>
                  </w:pPr>
                </w:p>
              </w:tc>
              <w:tc>
                <w:tcPr>
                  <w:tcW w:w="2812" w:type="pct"/>
                  <w:tcBorders>
                    <w:top w:val="single" w:color="auto" w:sz="4" w:space="0"/>
                    <w:left w:val="single" w:color="auto" w:sz="4" w:space="0"/>
                    <w:bottom w:val="single" w:color="auto" w:sz="4" w:space="0"/>
                    <w:right w:val="single" w:color="auto" w:sz="4" w:space="0"/>
                  </w:tcBorders>
                  <w:vAlign w:val="center"/>
                </w:tcPr>
                <w:p>
                  <w:pPr>
                    <w:pStyle w:val="52"/>
                    <w:jc w:val="both"/>
                  </w:pPr>
                  <w:r>
                    <w:t>第五条：新建、改建、扩建涉VOCs的项目，要加强源头控制，使用低（无）VOCs含量的原辅料，加强废气收集，安装高效治理设施。</w:t>
                  </w:r>
                </w:p>
              </w:tc>
              <w:tc>
                <w:tcPr>
                  <w:tcW w:w="1054" w:type="pct"/>
                  <w:tcBorders>
                    <w:top w:val="single" w:color="auto" w:sz="4" w:space="0"/>
                    <w:left w:val="single" w:color="auto" w:sz="4" w:space="0"/>
                    <w:bottom w:val="single" w:color="auto" w:sz="4" w:space="0"/>
                    <w:right w:val="single" w:color="auto" w:sz="4" w:space="0"/>
                  </w:tcBorders>
                  <w:vAlign w:val="center"/>
                </w:tcPr>
                <w:p>
                  <w:pPr>
                    <w:pStyle w:val="52"/>
                    <w:jc w:val="both"/>
                  </w:pPr>
                  <w:r>
                    <w:rPr>
                      <w:rFonts w:hint="eastAsia"/>
                    </w:rPr>
                    <w:t>项目为新建项目，项目涉及VOCs排放的相关工序及设备均设置了严格的收集和处理设施。产生的挥发性有机物经得到有效的处理达标后排放。</w:t>
                  </w:r>
                </w:p>
              </w:tc>
              <w:tc>
                <w:tcPr>
                  <w:tcW w:w="387"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350" w:type="pct"/>
                  <w:vMerge w:val="continue"/>
                  <w:tcBorders>
                    <w:top w:val="nil"/>
                    <w:left w:val="single" w:color="auto" w:sz="4" w:space="0"/>
                    <w:bottom w:val="single" w:color="auto" w:sz="4" w:space="0"/>
                    <w:right w:val="single" w:color="auto" w:sz="4" w:space="0"/>
                  </w:tcBorders>
                  <w:vAlign w:val="center"/>
                </w:tcPr>
                <w:p>
                  <w:pPr>
                    <w:pStyle w:val="52"/>
                  </w:pPr>
                </w:p>
              </w:tc>
              <w:tc>
                <w:tcPr>
                  <w:tcW w:w="397" w:type="pct"/>
                  <w:vMerge w:val="continue"/>
                  <w:tcBorders>
                    <w:top w:val="nil"/>
                    <w:left w:val="single" w:color="auto" w:sz="4" w:space="0"/>
                    <w:bottom w:val="single" w:color="auto" w:sz="4" w:space="0"/>
                    <w:right w:val="single" w:color="auto" w:sz="4" w:space="0"/>
                  </w:tcBorders>
                  <w:vAlign w:val="center"/>
                </w:tcPr>
                <w:p>
                  <w:pPr>
                    <w:pStyle w:val="52"/>
                  </w:pPr>
                </w:p>
              </w:tc>
              <w:tc>
                <w:tcPr>
                  <w:tcW w:w="2812" w:type="pct"/>
                  <w:tcBorders>
                    <w:top w:val="single" w:color="auto" w:sz="4" w:space="0"/>
                    <w:left w:val="single" w:color="auto" w:sz="4" w:space="0"/>
                    <w:bottom w:val="single" w:color="auto" w:sz="4" w:space="0"/>
                    <w:right w:val="single" w:color="auto" w:sz="4" w:space="0"/>
                  </w:tcBorders>
                  <w:vAlign w:val="center"/>
                </w:tcPr>
                <w:p>
                  <w:pPr>
                    <w:pStyle w:val="52"/>
                    <w:jc w:val="both"/>
                  </w:pPr>
                  <w:r>
                    <w:t>第六条：持续推进小安溪综合整治，加强农业面源污染防治；加快农村分散污水有效处理，推进农村生活垃圾进行集中收集并转运统一处置。</w:t>
                  </w:r>
                </w:p>
              </w:tc>
              <w:tc>
                <w:tcPr>
                  <w:tcW w:w="1054" w:type="pct"/>
                  <w:tcBorders>
                    <w:top w:val="single" w:color="auto" w:sz="4" w:space="0"/>
                    <w:left w:val="single" w:color="auto" w:sz="4" w:space="0"/>
                    <w:bottom w:val="single" w:color="auto" w:sz="4" w:space="0"/>
                    <w:right w:val="single" w:color="auto" w:sz="4" w:space="0"/>
                  </w:tcBorders>
                  <w:vAlign w:val="center"/>
                </w:tcPr>
                <w:p>
                  <w:pPr>
                    <w:pStyle w:val="52"/>
                    <w:jc w:val="both"/>
                  </w:pPr>
                  <w:r>
                    <w:t>项目不属于农业面源污染。</w:t>
                  </w:r>
                </w:p>
              </w:tc>
              <w:tc>
                <w:tcPr>
                  <w:tcW w:w="387"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350" w:type="pct"/>
                  <w:vMerge w:val="continue"/>
                  <w:tcBorders>
                    <w:top w:val="nil"/>
                    <w:left w:val="single" w:color="auto" w:sz="4" w:space="0"/>
                    <w:bottom w:val="single" w:color="auto" w:sz="4" w:space="0"/>
                    <w:right w:val="single" w:color="auto" w:sz="4" w:space="0"/>
                  </w:tcBorders>
                  <w:vAlign w:val="center"/>
                </w:tcPr>
                <w:p>
                  <w:pPr>
                    <w:pStyle w:val="52"/>
                  </w:pPr>
                </w:p>
              </w:tc>
              <w:tc>
                <w:tcPr>
                  <w:tcW w:w="397" w:type="pct"/>
                  <w:vMerge w:val="continue"/>
                  <w:tcBorders>
                    <w:top w:val="nil"/>
                    <w:left w:val="single" w:color="auto" w:sz="4" w:space="0"/>
                    <w:bottom w:val="single" w:color="auto" w:sz="4" w:space="0"/>
                    <w:right w:val="single" w:color="auto" w:sz="4" w:space="0"/>
                  </w:tcBorders>
                  <w:vAlign w:val="center"/>
                </w:tcPr>
                <w:p>
                  <w:pPr>
                    <w:pStyle w:val="52"/>
                  </w:pPr>
                </w:p>
              </w:tc>
              <w:tc>
                <w:tcPr>
                  <w:tcW w:w="2812" w:type="pct"/>
                  <w:tcBorders>
                    <w:top w:val="single" w:color="auto" w:sz="4" w:space="0"/>
                    <w:left w:val="single" w:color="auto" w:sz="4" w:space="0"/>
                    <w:bottom w:val="single" w:color="auto" w:sz="4" w:space="0"/>
                    <w:right w:val="single" w:color="auto" w:sz="4" w:space="0"/>
                  </w:tcBorders>
                  <w:vAlign w:val="center"/>
                </w:tcPr>
                <w:p>
                  <w:pPr>
                    <w:pStyle w:val="52"/>
                    <w:jc w:val="both"/>
                  </w:pPr>
                  <w:r>
                    <w:t>第七条：严格落实畜禽养殖规划，取缔或搬迁流小安溪流域禁养区畜禽养殖场。</w:t>
                  </w:r>
                </w:p>
              </w:tc>
              <w:tc>
                <w:tcPr>
                  <w:tcW w:w="1054" w:type="pct"/>
                  <w:tcBorders>
                    <w:top w:val="single" w:color="auto" w:sz="4" w:space="0"/>
                    <w:left w:val="single" w:color="auto" w:sz="4" w:space="0"/>
                    <w:bottom w:val="single" w:color="auto" w:sz="4" w:space="0"/>
                    <w:right w:val="single" w:color="auto" w:sz="4" w:space="0"/>
                  </w:tcBorders>
                  <w:vAlign w:val="center"/>
                </w:tcPr>
                <w:p>
                  <w:pPr>
                    <w:pStyle w:val="52"/>
                    <w:jc w:val="both"/>
                  </w:pPr>
                  <w:r>
                    <w:t>拟建项目不涉及。</w:t>
                  </w:r>
                </w:p>
              </w:tc>
              <w:tc>
                <w:tcPr>
                  <w:tcW w:w="387"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350" w:type="pct"/>
                  <w:vMerge w:val="continue"/>
                  <w:tcBorders>
                    <w:top w:val="nil"/>
                    <w:left w:val="single" w:color="auto" w:sz="4" w:space="0"/>
                    <w:bottom w:val="single" w:color="auto" w:sz="4" w:space="0"/>
                    <w:right w:val="single" w:color="auto" w:sz="4" w:space="0"/>
                  </w:tcBorders>
                  <w:vAlign w:val="center"/>
                </w:tcPr>
                <w:p>
                  <w:pPr>
                    <w:pStyle w:val="52"/>
                  </w:pPr>
                </w:p>
              </w:tc>
              <w:tc>
                <w:tcPr>
                  <w:tcW w:w="397" w:type="pct"/>
                  <w:tcBorders>
                    <w:top w:val="single" w:color="auto" w:sz="4" w:space="0"/>
                    <w:left w:val="single" w:color="auto" w:sz="4" w:space="0"/>
                    <w:bottom w:val="single" w:color="auto" w:sz="4" w:space="0"/>
                    <w:right w:val="single" w:color="auto" w:sz="4" w:space="0"/>
                  </w:tcBorders>
                  <w:vAlign w:val="center"/>
                </w:tcPr>
                <w:p>
                  <w:pPr>
                    <w:pStyle w:val="52"/>
                  </w:pPr>
                  <w:r>
                    <w:t>环境风险防控</w:t>
                  </w:r>
                </w:p>
              </w:tc>
              <w:tc>
                <w:tcPr>
                  <w:tcW w:w="2812" w:type="pct"/>
                  <w:tcBorders>
                    <w:top w:val="single" w:color="auto" w:sz="4" w:space="0"/>
                    <w:left w:val="single" w:color="auto" w:sz="4" w:space="0"/>
                    <w:bottom w:val="single" w:color="auto" w:sz="4" w:space="0"/>
                    <w:right w:val="single" w:color="auto" w:sz="4" w:space="0"/>
                  </w:tcBorders>
                  <w:vAlign w:val="center"/>
                </w:tcPr>
                <w:p>
                  <w:pPr>
                    <w:pStyle w:val="52"/>
                    <w:jc w:val="both"/>
                  </w:pPr>
                  <w:r>
                    <w:t>第八条：生产、存储危险化学品及产生大量废水的企业，应配套有效措施，防止因渗漏污染地下水、土壤，以及因事故废水直排污染地表水体。</w:t>
                  </w:r>
                </w:p>
              </w:tc>
              <w:tc>
                <w:tcPr>
                  <w:tcW w:w="1054" w:type="pct"/>
                  <w:tcBorders>
                    <w:top w:val="single" w:color="auto" w:sz="4" w:space="0"/>
                    <w:left w:val="single" w:color="auto" w:sz="4" w:space="0"/>
                    <w:bottom w:val="single" w:color="auto" w:sz="4" w:space="0"/>
                    <w:right w:val="single" w:color="auto" w:sz="4" w:space="0"/>
                  </w:tcBorders>
                  <w:vAlign w:val="center"/>
                </w:tcPr>
                <w:p>
                  <w:pPr>
                    <w:pStyle w:val="52"/>
                    <w:jc w:val="both"/>
                  </w:pPr>
                  <w:r>
                    <w:t>项目存储少量的危险物质，采取相应的风险防范措施后，环境风险可控。</w:t>
                  </w:r>
                </w:p>
              </w:tc>
              <w:tc>
                <w:tcPr>
                  <w:tcW w:w="387"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350" w:type="pct"/>
                  <w:vMerge w:val="continue"/>
                  <w:tcBorders>
                    <w:top w:val="nil"/>
                    <w:left w:val="single" w:color="auto" w:sz="4" w:space="0"/>
                    <w:bottom w:val="single" w:color="auto" w:sz="4" w:space="0"/>
                    <w:right w:val="single" w:color="auto" w:sz="4" w:space="0"/>
                  </w:tcBorders>
                  <w:vAlign w:val="center"/>
                </w:tcPr>
                <w:p>
                  <w:pPr>
                    <w:pStyle w:val="52"/>
                  </w:pPr>
                </w:p>
              </w:tc>
              <w:tc>
                <w:tcPr>
                  <w:tcW w:w="397" w:type="pct"/>
                  <w:tcBorders>
                    <w:top w:val="single" w:color="auto" w:sz="4" w:space="0"/>
                    <w:left w:val="single" w:color="auto" w:sz="4" w:space="0"/>
                    <w:bottom w:val="single" w:color="auto" w:sz="4" w:space="0"/>
                    <w:right w:val="single" w:color="auto" w:sz="4" w:space="0"/>
                  </w:tcBorders>
                  <w:vAlign w:val="center"/>
                </w:tcPr>
                <w:p>
                  <w:pPr>
                    <w:pStyle w:val="52"/>
                  </w:pPr>
                  <w:r>
                    <w:t>资源开发利用效率</w:t>
                  </w:r>
                </w:p>
              </w:tc>
              <w:tc>
                <w:tcPr>
                  <w:tcW w:w="2812" w:type="pct"/>
                  <w:tcBorders>
                    <w:top w:val="single" w:color="auto" w:sz="4" w:space="0"/>
                    <w:left w:val="single" w:color="auto" w:sz="4" w:space="0"/>
                    <w:bottom w:val="single" w:color="auto" w:sz="4" w:space="0"/>
                    <w:right w:val="single" w:color="auto" w:sz="4" w:space="0"/>
                  </w:tcBorders>
                  <w:vAlign w:val="center"/>
                </w:tcPr>
                <w:p>
                  <w:pPr>
                    <w:pStyle w:val="52"/>
                    <w:jc w:val="both"/>
                  </w:pPr>
                  <w:r>
                    <w:t>第九条：推行节水措施和中水回用提高水资源回用率，鼓励工业企业提高中水回用率。</w:t>
                  </w:r>
                </w:p>
              </w:tc>
              <w:tc>
                <w:tcPr>
                  <w:tcW w:w="1054" w:type="pct"/>
                  <w:tcBorders>
                    <w:top w:val="single" w:color="auto" w:sz="4" w:space="0"/>
                    <w:left w:val="single" w:color="auto" w:sz="4" w:space="0"/>
                    <w:bottom w:val="single" w:color="auto" w:sz="4" w:space="0"/>
                    <w:right w:val="single" w:color="auto" w:sz="4" w:space="0"/>
                  </w:tcBorders>
                  <w:vAlign w:val="center"/>
                </w:tcPr>
                <w:p>
                  <w:pPr>
                    <w:pStyle w:val="52"/>
                    <w:jc w:val="both"/>
                  </w:pPr>
                  <w:r>
                    <w:t>项目的水耗及能耗能够达到《重庆市工业项目环境准入规定》要求。</w:t>
                  </w:r>
                </w:p>
              </w:tc>
              <w:tc>
                <w:tcPr>
                  <w:tcW w:w="387"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4" w:hRule="atLeast"/>
              </w:trPr>
              <w:tc>
                <w:tcPr>
                  <w:tcW w:w="350" w:type="pct"/>
                  <w:vMerge w:val="restart"/>
                  <w:tcBorders>
                    <w:top w:val="nil"/>
                    <w:left w:val="single" w:color="auto" w:sz="4" w:space="0"/>
                    <w:bottom w:val="single" w:color="auto" w:sz="4" w:space="0"/>
                    <w:right w:val="single" w:color="auto" w:sz="4" w:space="0"/>
                  </w:tcBorders>
                  <w:vAlign w:val="center"/>
                </w:tcPr>
                <w:p>
                  <w:pPr>
                    <w:pStyle w:val="52"/>
                  </w:pPr>
                  <w:r>
                    <w:t>单元管控要求</w:t>
                  </w:r>
                </w:p>
              </w:tc>
              <w:tc>
                <w:tcPr>
                  <w:tcW w:w="397" w:type="pct"/>
                  <w:tcBorders>
                    <w:top w:val="single" w:color="auto" w:sz="4" w:space="0"/>
                    <w:left w:val="single" w:color="auto" w:sz="4" w:space="0"/>
                    <w:bottom w:val="single" w:color="auto" w:sz="4" w:space="0"/>
                    <w:right w:val="single" w:color="auto" w:sz="4" w:space="0"/>
                  </w:tcBorders>
                  <w:vAlign w:val="center"/>
                </w:tcPr>
                <w:p>
                  <w:pPr>
                    <w:pStyle w:val="52"/>
                  </w:pPr>
                  <w:r>
                    <w:t>空间布局约束</w:t>
                  </w:r>
                </w:p>
              </w:tc>
              <w:tc>
                <w:tcPr>
                  <w:tcW w:w="2812" w:type="pct"/>
                  <w:tcBorders>
                    <w:top w:val="single" w:color="auto" w:sz="4" w:space="0"/>
                    <w:left w:val="single" w:color="auto" w:sz="4" w:space="0"/>
                    <w:bottom w:val="single" w:color="auto" w:sz="4" w:space="0"/>
                    <w:right w:val="single" w:color="auto" w:sz="4" w:space="0"/>
                  </w:tcBorders>
                  <w:vAlign w:val="center"/>
                </w:tcPr>
                <w:p>
                  <w:pPr>
                    <w:pStyle w:val="52"/>
                    <w:jc w:val="both"/>
                  </w:pPr>
                  <w:r>
                    <w:rPr>
                      <w:rFonts w:hint="eastAsia"/>
                    </w:rPr>
                    <w:t>限制引入高耗水、高排水项目。引导现有企业和后续入驻企业向工业园区或者小企业创业基地聚集。旧县小企业创业基地开发建设时避让旧县小安溪自来水厂水源地保护区。</w:t>
                  </w:r>
                </w:p>
              </w:tc>
              <w:tc>
                <w:tcPr>
                  <w:tcW w:w="1054" w:type="pct"/>
                  <w:tcBorders>
                    <w:top w:val="single" w:color="auto" w:sz="4" w:space="0"/>
                    <w:left w:val="single" w:color="auto" w:sz="4" w:space="0"/>
                    <w:bottom w:val="single" w:color="auto" w:sz="4" w:space="0"/>
                    <w:right w:val="single" w:color="auto" w:sz="4" w:space="0"/>
                  </w:tcBorders>
                  <w:vAlign w:val="center"/>
                </w:tcPr>
                <w:p>
                  <w:pPr>
                    <w:pStyle w:val="52"/>
                    <w:jc w:val="both"/>
                  </w:pPr>
                  <w:r>
                    <w:rPr>
                      <w:rFonts w:hint="eastAsia"/>
                    </w:rPr>
                    <w:t>拟建项目不属于高耗水、高排水项目；本项目位于重庆市铜梁区龙山大道20号，不涉及旧县小安溪自来水厂水源地保护区。</w:t>
                  </w:r>
                </w:p>
              </w:tc>
              <w:tc>
                <w:tcPr>
                  <w:tcW w:w="387"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50" w:type="pct"/>
                  <w:vMerge w:val="continue"/>
                  <w:tcBorders>
                    <w:top w:val="nil"/>
                    <w:left w:val="single" w:color="auto" w:sz="4" w:space="0"/>
                    <w:bottom w:val="single" w:color="auto" w:sz="4" w:space="0"/>
                    <w:right w:val="single" w:color="auto" w:sz="4" w:space="0"/>
                  </w:tcBorders>
                  <w:vAlign w:val="center"/>
                </w:tcPr>
                <w:p>
                  <w:pPr>
                    <w:pStyle w:val="52"/>
                  </w:pPr>
                </w:p>
              </w:tc>
              <w:tc>
                <w:tcPr>
                  <w:tcW w:w="397" w:type="pct"/>
                  <w:tcBorders>
                    <w:top w:val="single" w:color="auto" w:sz="4" w:space="0"/>
                    <w:left w:val="single" w:color="auto" w:sz="4" w:space="0"/>
                    <w:bottom w:val="single" w:color="auto" w:sz="4" w:space="0"/>
                    <w:right w:val="single" w:color="auto" w:sz="4" w:space="0"/>
                  </w:tcBorders>
                  <w:vAlign w:val="center"/>
                </w:tcPr>
                <w:p>
                  <w:pPr>
                    <w:pStyle w:val="52"/>
                  </w:pPr>
                  <w:r>
                    <w:t>污染物排放管控</w:t>
                  </w:r>
                </w:p>
              </w:tc>
              <w:tc>
                <w:tcPr>
                  <w:tcW w:w="2812" w:type="pct"/>
                  <w:tcBorders>
                    <w:top w:val="single" w:color="auto" w:sz="4" w:space="0"/>
                    <w:left w:val="single" w:color="auto" w:sz="4" w:space="0"/>
                    <w:bottom w:val="single" w:color="auto" w:sz="4" w:space="0"/>
                    <w:right w:val="single" w:color="auto" w:sz="4" w:space="0"/>
                  </w:tcBorders>
                  <w:vAlign w:val="center"/>
                </w:tcPr>
                <w:p>
                  <w:pPr>
                    <w:pStyle w:val="52"/>
                    <w:jc w:val="both"/>
                  </w:pPr>
                  <w:r>
                    <w:rPr>
                      <w:rFonts w:hint="eastAsia"/>
                    </w:rPr>
                    <w:t>对不能满足总量控制和水环境质量目标要求的工业企业进行综合治理，对不能稳定达标排放、未完成限期治理任务的排污企业实施停产治理；加强对重点污染企业的监控。加强农业面源治理。加快推广使用低毒、低残留农药，推进化肥农药使用减量化。持续推进企业大气污染防治，加强涉及挥发性有机物排放企业的VOCs的治理，新建涉及喷涂的建设项目鼓励使用环保涂料。鼓励烧结砖瓦窑开展错峰生产。加快推进大庙组团污水处理厂建设，完善区域配套管网。城市建成区生活污水集中处理率达到95%；镇街生活污水集中处理率达到85%。启动小安溪流域适养区畜禽养殖场（户）环境污染整治，建立示范项目，引导畜禽养殖场（户）规范化养殖。</w:t>
                  </w:r>
                </w:p>
              </w:tc>
              <w:tc>
                <w:tcPr>
                  <w:tcW w:w="1054" w:type="pct"/>
                  <w:tcBorders>
                    <w:top w:val="single" w:color="auto" w:sz="4" w:space="0"/>
                    <w:left w:val="single" w:color="auto" w:sz="4" w:space="0"/>
                    <w:bottom w:val="single" w:color="auto" w:sz="4" w:space="0"/>
                    <w:right w:val="single" w:color="auto" w:sz="4" w:space="0"/>
                  </w:tcBorders>
                  <w:vAlign w:val="center"/>
                </w:tcPr>
                <w:p>
                  <w:pPr>
                    <w:pStyle w:val="52"/>
                    <w:jc w:val="both"/>
                  </w:pPr>
                  <w:r>
                    <w:rPr>
                      <w:rFonts w:hint="eastAsia"/>
                    </w:rPr>
                    <w:t>本项目采取有效污染治理措施，能够稳定达标排放；不涉及农业面源污染，不属于烧结砖瓦窑项目；本项目不涉及喷涂。</w:t>
                  </w:r>
                </w:p>
              </w:tc>
              <w:tc>
                <w:tcPr>
                  <w:tcW w:w="387"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350" w:type="pct"/>
                  <w:vMerge w:val="continue"/>
                  <w:tcBorders>
                    <w:top w:val="nil"/>
                    <w:left w:val="single" w:color="auto" w:sz="4" w:space="0"/>
                    <w:bottom w:val="single" w:color="auto" w:sz="4" w:space="0"/>
                    <w:right w:val="single" w:color="auto" w:sz="4" w:space="0"/>
                  </w:tcBorders>
                  <w:vAlign w:val="center"/>
                </w:tcPr>
                <w:p>
                  <w:pPr>
                    <w:pStyle w:val="52"/>
                  </w:pPr>
                </w:p>
              </w:tc>
              <w:tc>
                <w:tcPr>
                  <w:tcW w:w="397" w:type="pct"/>
                  <w:tcBorders>
                    <w:top w:val="single" w:color="auto" w:sz="4" w:space="0"/>
                    <w:left w:val="single" w:color="auto" w:sz="4" w:space="0"/>
                    <w:bottom w:val="single" w:color="auto" w:sz="4" w:space="0"/>
                    <w:right w:val="single" w:color="auto" w:sz="4" w:space="0"/>
                  </w:tcBorders>
                  <w:vAlign w:val="center"/>
                </w:tcPr>
                <w:p>
                  <w:pPr>
                    <w:pStyle w:val="52"/>
                  </w:pPr>
                  <w:r>
                    <w:t>环境风险防控</w:t>
                  </w:r>
                </w:p>
              </w:tc>
              <w:tc>
                <w:tcPr>
                  <w:tcW w:w="2812" w:type="pct"/>
                  <w:tcBorders>
                    <w:top w:val="single" w:color="auto" w:sz="4" w:space="0"/>
                    <w:left w:val="single" w:color="auto" w:sz="4" w:space="0"/>
                    <w:bottom w:val="single" w:color="auto" w:sz="4" w:space="0"/>
                    <w:right w:val="single" w:color="auto" w:sz="4" w:space="0"/>
                  </w:tcBorders>
                  <w:vAlign w:val="center"/>
                </w:tcPr>
                <w:p>
                  <w:pPr>
                    <w:pStyle w:val="52"/>
                    <w:jc w:val="both"/>
                  </w:pPr>
                  <w:r>
                    <w:rPr>
                      <w:rFonts w:hint="eastAsia"/>
                    </w:rPr>
                    <w:t>建设环境应急物资储备库，企业环境应急装备和储备物资应纳入储备体系。小企业基地应开展环境影响评价工作，并建立环境风险防控体系。生产、存储危险化学品及产生大量废水的企业，应配套有效措施，防止因渗漏污染地下水、土壤，以及因事故废水直排污染地表水体。</w:t>
                  </w:r>
                </w:p>
              </w:tc>
              <w:tc>
                <w:tcPr>
                  <w:tcW w:w="1054" w:type="pct"/>
                  <w:tcBorders>
                    <w:top w:val="single" w:color="auto" w:sz="4" w:space="0"/>
                    <w:left w:val="single" w:color="auto" w:sz="4" w:space="0"/>
                    <w:bottom w:val="single" w:color="auto" w:sz="4" w:space="0"/>
                    <w:right w:val="single" w:color="auto" w:sz="4" w:space="0"/>
                  </w:tcBorders>
                  <w:vAlign w:val="center"/>
                </w:tcPr>
                <w:p>
                  <w:pPr>
                    <w:pStyle w:val="52"/>
                    <w:jc w:val="both"/>
                  </w:pPr>
                  <w:r>
                    <w:t>拟建项目不存在重大风险源</w:t>
                  </w:r>
                  <w:r>
                    <w:rPr>
                      <w:rFonts w:hint="eastAsia"/>
                    </w:rPr>
                    <w:t>，不属于较大及以上环境风险企业</w:t>
                  </w:r>
                  <w:r>
                    <w:t>，车间进行分区防</w:t>
                  </w:r>
                  <w:r>
                    <w:rPr>
                      <w:rFonts w:hint="eastAsia"/>
                    </w:rPr>
                    <w:t>渗</w:t>
                  </w:r>
                  <w:r>
                    <w:t>处理</w:t>
                  </w:r>
                  <w:r>
                    <w:rPr>
                      <w:rFonts w:hint="eastAsia"/>
                    </w:rPr>
                    <w:t>防止因渗漏污染地下水及土壤</w:t>
                  </w:r>
                  <w:r>
                    <w:t>。</w:t>
                  </w:r>
                </w:p>
              </w:tc>
              <w:tc>
                <w:tcPr>
                  <w:tcW w:w="387"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350" w:type="pct"/>
                  <w:vMerge w:val="continue"/>
                  <w:tcBorders>
                    <w:top w:val="nil"/>
                    <w:left w:val="single" w:color="auto" w:sz="4" w:space="0"/>
                    <w:bottom w:val="single" w:color="auto" w:sz="4" w:space="0"/>
                    <w:right w:val="single" w:color="auto" w:sz="4" w:space="0"/>
                  </w:tcBorders>
                  <w:vAlign w:val="center"/>
                </w:tcPr>
                <w:p>
                  <w:pPr>
                    <w:pStyle w:val="52"/>
                  </w:pPr>
                </w:p>
              </w:tc>
              <w:tc>
                <w:tcPr>
                  <w:tcW w:w="397" w:type="pct"/>
                  <w:tcBorders>
                    <w:top w:val="single" w:color="auto" w:sz="4" w:space="0"/>
                    <w:left w:val="single" w:color="auto" w:sz="4" w:space="0"/>
                    <w:bottom w:val="single" w:color="auto" w:sz="4" w:space="0"/>
                    <w:right w:val="single" w:color="auto" w:sz="4" w:space="0"/>
                  </w:tcBorders>
                  <w:vAlign w:val="center"/>
                </w:tcPr>
                <w:p>
                  <w:pPr>
                    <w:pStyle w:val="52"/>
                  </w:pPr>
                  <w:r>
                    <w:t>资源开发利用效率</w:t>
                  </w:r>
                </w:p>
              </w:tc>
              <w:tc>
                <w:tcPr>
                  <w:tcW w:w="2812" w:type="pct"/>
                  <w:tcBorders>
                    <w:top w:val="single" w:color="auto" w:sz="4" w:space="0"/>
                    <w:left w:val="single" w:color="auto" w:sz="4" w:space="0"/>
                    <w:bottom w:val="single" w:color="auto" w:sz="4" w:space="0"/>
                    <w:right w:val="single" w:color="auto" w:sz="4" w:space="0"/>
                  </w:tcBorders>
                  <w:vAlign w:val="center"/>
                </w:tcPr>
                <w:p>
                  <w:pPr>
                    <w:pStyle w:val="52"/>
                    <w:jc w:val="both"/>
                  </w:pPr>
                  <w:r>
                    <w:rPr>
                      <w:rFonts w:hint="eastAsia"/>
                    </w:rPr>
                    <w:t>推行节水措施和中水回用提高水资源回用率。鼓励工业企业实施中水回用，推进造纸、化工等重点行业工业水循环利用。</w:t>
                  </w:r>
                </w:p>
              </w:tc>
              <w:tc>
                <w:tcPr>
                  <w:tcW w:w="1054" w:type="pct"/>
                  <w:tcBorders>
                    <w:top w:val="single" w:color="auto" w:sz="4" w:space="0"/>
                    <w:left w:val="single" w:color="auto" w:sz="4" w:space="0"/>
                    <w:bottom w:val="single" w:color="auto" w:sz="4" w:space="0"/>
                    <w:right w:val="single" w:color="auto" w:sz="4" w:space="0"/>
                  </w:tcBorders>
                  <w:vAlign w:val="center"/>
                </w:tcPr>
                <w:p>
                  <w:pPr>
                    <w:pStyle w:val="52"/>
                    <w:jc w:val="both"/>
                  </w:pPr>
                  <w:r>
                    <w:t>拟建项目无生产用水</w:t>
                  </w:r>
                  <w:r>
                    <w:rPr>
                      <w:rFonts w:hint="eastAsia"/>
                    </w:rPr>
                    <w:t>，不涉及中水回用</w:t>
                  </w:r>
                  <w:r>
                    <w:t>。</w:t>
                  </w:r>
                </w:p>
              </w:tc>
              <w:tc>
                <w:tcPr>
                  <w:tcW w:w="387"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bl>
          <w:p>
            <w:pPr>
              <w:pStyle w:val="82"/>
            </w:pPr>
            <w:r>
              <w:rPr>
                <w:rFonts w:hint="eastAsia"/>
              </w:rPr>
              <w:t>综上所述，拟建项目不受“生态保护红线、环境质量底线、资源利用上线和环境准入负面清单”约束，与“三线一单”不冲突。</w:t>
            </w:r>
          </w:p>
        </w:tc>
      </w:tr>
    </w:tbl>
    <w:p>
      <w:pPr>
        <w:spacing w:line="360" w:lineRule="auto"/>
        <w:outlineLvl w:val="0"/>
        <w:rPr>
          <w:rFonts w:eastAsia="黑体"/>
          <w:sz w:val="30"/>
        </w:rPr>
        <w:sectPr>
          <w:footerReference r:id="rId11" w:type="default"/>
          <w:pgSz w:w="16838" w:h="11906" w:orient="landscape"/>
          <w:pgMar w:top="1531" w:right="1701" w:bottom="1531" w:left="1701" w:header="851" w:footer="1077" w:gutter="0"/>
          <w:cols w:space="720" w:num="1"/>
          <w:docGrid w:linePitch="312" w:charSpace="0"/>
        </w:sectPr>
      </w:pPr>
    </w:p>
    <w:tbl>
      <w:tblPr>
        <w:tblStyle w:val="2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67"/>
        <w:gridCol w:w="859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56" w:hRule="atLeast"/>
          <w:jc w:val="center"/>
        </w:trPr>
        <w:tc>
          <w:tcPr>
            <w:tcW w:w="258" w:type="pct"/>
            <w:vAlign w:val="center"/>
          </w:tcPr>
          <w:p>
            <w:pPr>
              <w:autoSpaceDE w:val="0"/>
              <w:autoSpaceDN w:val="0"/>
              <w:adjustRightInd w:val="0"/>
              <w:snapToGrid w:val="0"/>
              <w:jc w:val="center"/>
              <w:rPr>
                <w:kern w:val="0"/>
                <w:sz w:val="24"/>
              </w:rPr>
            </w:pPr>
            <w:r>
              <w:rPr>
                <w:kern w:val="0"/>
                <w:sz w:val="24"/>
              </w:rPr>
              <w:t>其他符合性分析</w:t>
            </w:r>
          </w:p>
        </w:tc>
        <w:tc>
          <w:tcPr>
            <w:tcW w:w="4742" w:type="pct"/>
            <w:vAlign w:val="center"/>
          </w:tcPr>
          <w:p>
            <w:pPr>
              <w:pStyle w:val="82"/>
              <w:ind w:firstLine="482"/>
              <w:rPr>
                <w:b/>
                <w:bCs/>
                <w:szCs w:val="26"/>
              </w:rPr>
            </w:pPr>
            <w:r>
              <w:rPr>
                <w:rFonts w:hint="eastAsia"/>
                <w:b/>
                <w:bCs/>
              </w:rPr>
              <w:t>2、</w:t>
            </w:r>
            <w:r>
              <w:rPr>
                <w:b/>
                <w:bCs/>
                <w:szCs w:val="26"/>
              </w:rPr>
              <w:t>与其他相关生态环境保护法律法规政策、生态环境保护规划的符合性分析</w:t>
            </w:r>
          </w:p>
          <w:p>
            <w:pPr>
              <w:pStyle w:val="82"/>
              <w:ind w:firstLine="482"/>
              <w:rPr>
                <w:b/>
              </w:rPr>
            </w:pPr>
            <w:r>
              <w:rPr>
                <w:rFonts w:hint="eastAsia"/>
                <w:b/>
                <w:bCs/>
              </w:rPr>
              <w:t>（1）</w:t>
            </w:r>
            <w:r>
              <w:rPr>
                <w:b/>
              </w:rPr>
              <w:t>与相关产业政策符合性分析</w:t>
            </w:r>
          </w:p>
          <w:p>
            <w:pPr>
              <w:pStyle w:val="83"/>
              <w:ind w:firstLine="422"/>
            </w:pPr>
            <w:r>
              <w:t>表</w:t>
            </w:r>
            <w:r>
              <w:rPr>
                <w:rFonts w:hint="eastAsia"/>
              </w:rPr>
              <w:t>1.</w:t>
            </w:r>
            <w:r>
              <w:t>6  项目与相关产业政策符合性分析表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5"/>
              <w:gridCol w:w="1605"/>
              <w:gridCol w:w="3748"/>
              <w:gridCol w:w="1724"/>
              <w:gridCol w:w="7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38" w:type="pct"/>
                  <w:vAlign w:val="center"/>
                </w:tcPr>
                <w:p>
                  <w:pPr>
                    <w:adjustRightInd w:val="0"/>
                    <w:snapToGrid w:val="0"/>
                    <w:spacing w:line="320" w:lineRule="exact"/>
                    <w:ind w:left="-105" w:leftChars="-50" w:right="-105" w:rightChars="-50"/>
                    <w:jc w:val="center"/>
                    <w:rPr>
                      <w:b/>
                      <w:bCs/>
                    </w:rPr>
                  </w:pPr>
                  <w:r>
                    <w:rPr>
                      <w:b/>
                      <w:bCs/>
                    </w:rPr>
                    <w:t>序号</w:t>
                  </w:r>
                </w:p>
              </w:tc>
              <w:tc>
                <w:tcPr>
                  <w:tcW w:w="959" w:type="pct"/>
                  <w:vAlign w:val="center"/>
                </w:tcPr>
                <w:p>
                  <w:pPr>
                    <w:adjustRightInd w:val="0"/>
                    <w:snapToGrid w:val="0"/>
                    <w:spacing w:line="320" w:lineRule="exact"/>
                    <w:jc w:val="center"/>
                    <w:rPr>
                      <w:b/>
                      <w:bCs/>
                    </w:rPr>
                  </w:pPr>
                  <w:r>
                    <w:rPr>
                      <w:b/>
                      <w:bCs/>
                    </w:rPr>
                    <w:t>文件名称</w:t>
                  </w:r>
                </w:p>
              </w:tc>
              <w:tc>
                <w:tcPr>
                  <w:tcW w:w="2240" w:type="pct"/>
                  <w:vAlign w:val="center"/>
                </w:tcPr>
                <w:p>
                  <w:pPr>
                    <w:adjustRightInd w:val="0"/>
                    <w:snapToGrid w:val="0"/>
                    <w:spacing w:line="320" w:lineRule="exact"/>
                    <w:jc w:val="center"/>
                    <w:rPr>
                      <w:b/>
                      <w:bCs/>
                    </w:rPr>
                  </w:pPr>
                  <w:r>
                    <w:rPr>
                      <w:b/>
                      <w:bCs/>
                    </w:rPr>
                    <w:t>主要内容（摘录）</w:t>
                  </w:r>
                </w:p>
              </w:tc>
              <w:tc>
                <w:tcPr>
                  <w:tcW w:w="1030" w:type="pct"/>
                  <w:vAlign w:val="center"/>
                </w:tcPr>
                <w:p>
                  <w:pPr>
                    <w:adjustRightInd w:val="0"/>
                    <w:snapToGrid w:val="0"/>
                    <w:spacing w:line="320" w:lineRule="exact"/>
                    <w:jc w:val="center"/>
                    <w:rPr>
                      <w:b/>
                      <w:bCs/>
                    </w:rPr>
                  </w:pPr>
                  <w:r>
                    <w:rPr>
                      <w:b/>
                      <w:bCs/>
                    </w:rPr>
                    <w:t>项目情况</w:t>
                  </w:r>
                </w:p>
              </w:tc>
              <w:tc>
                <w:tcPr>
                  <w:tcW w:w="433" w:type="pct"/>
                  <w:vAlign w:val="center"/>
                </w:tcPr>
                <w:p>
                  <w:pPr>
                    <w:adjustRightInd w:val="0"/>
                    <w:snapToGrid w:val="0"/>
                    <w:spacing w:line="320" w:lineRule="exact"/>
                    <w:ind w:left="-105" w:leftChars="-50" w:right="-105" w:rightChars="-50"/>
                    <w:jc w:val="center"/>
                    <w:rPr>
                      <w:b/>
                      <w:bCs/>
                    </w:rPr>
                  </w:pPr>
                  <w:r>
                    <w:rPr>
                      <w:b/>
                      <w:bCs/>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38" w:type="pct"/>
                  <w:vMerge w:val="restart"/>
                  <w:vAlign w:val="center"/>
                </w:tcPr>
                <w:p>
                  <w:pPr>
                    <w:adjustRightInd w:val="0"/>
                    <w:snapToGrid w:val="0"/>
                    <w:spacing w:line="320" w:lineRule="exact"/>
                    <w:jc w:val="center"/>
                  </w:pPr>
                  <w:r>
                    <w:t>1</w:t>
                  </w:r>
                </w:p>
              </w:tc>
              <w:tc>
                <w:tcPr>
                  <w:tcW w:w="959" w:type="pct"/>
                  <w:vMerge w:val="restart"/>
                  <w:vAlign w:val="center"/>
                </w:tcPr>
                <w:p>
                  <w:pPr>
                    <w:adjustRightInd w:val="0"/>
                    <w:snapToGrid w:val="0"/>
                    <w:spacing w:line="320" w:lineRule="exact"/>
                    <w:jc w:val="center"/>
                  </w:pPr>
                  <w:r>
                    <w:t>《产业结构调整指导目录》（2019年本）</w:t>
                  </w:r>
                </w:p>
              </w:tc>
              <w:tc>
                <w:tcPr>
                  <w:tcW w:w="2240" w:type="pct"/>
                  <w:vAlign w:val="center"/>
                </w:tcPr>
                <w:p>
                  <w:pPr>
                    <w:adjustRightInd w:val="0"/>
                    <w:snapToGrid w:val="0"/>
                    <w:spacing w:line="320" w:lineRule="exact"/>
                  </w:pPr>
                  <w:r>
                    <w:t>第一类 鼓励类：/</w:t>
                  </w:r>
                </w:p>
              </w:tc>
              <w:tc>
                <w:tcPr>
                  <w:tcW w:w="1030" w:type="pct"/>
                  <w:vMerge w:val="restart"/>
                  <w:vAlign w:val="center"/>
                </w:tcPr>
                <w:p>
                  <w:pPr>
                    <w:adjustRightInd w:val="0"/>
                    <w:snapToGrid w:val="0"/>
                    <w:spacing w:line="320" w:lineRule="exact"/>
                  </w:pPr>
                  <w:r>
                    <w:t>项目属于</w:t>
                  </w:r>
                  <w:r>
                    <w:rPr>
                      <w:rFonts w:hint="eastAsia"/>
                    </w:rPr>
                    <w:t>其他塑料制品制造</w:t>
                  </w:r>
                  <w:r>
                    <w:t>，不属于鼓励类、限制类、淘汰类，视为允许类。</w:t>
                  </w:r>
                  <w:r>
                    <w:rPr>
                      <w:rFonts w:hint="eastAsia"/>
                    </w:rPr>
                    <w:t>且项目</w:t>
                  </w:r>
                  <w:r>
                    <w:t>已取得备案证</w:t>
                  </w:r>
                  <w:r>
                    <w:rPr>
                      <w:rFonts w:hint="eastAsia"/>
                    </w:rPr>
                    <w:t>，符合要求。</w:t>
                  </w:r>
                </w:p>
              </w:tc>
              <w:tc>
                <w:tcPr>
                  <w:tcW w:w="433" w:type="pct"/>
                  <w:vMerge w:val="restart"/>
                  <w:vAlign w:val="center"/>
                </w:tcPr>
                <w:p>
                  <w:pPr>
                    <w:adjustRightInd w:val="0"/>
                    <w:snapToGrid w:val="0"/>
                    <w:spacing w:line="320" w:lineRule="exact"/>
                    <w:jc w:val="center"/>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38" w:type="pct"/>
                  <w:vMerge w:val="continue"/>
                  <w:vAlign w:val="center"/>
                </w:tcPr>
                <w:p>
                  <w:pPr>
                    <w:adjustRightInd w:val="0"/>
                    <w:snapToGrid w:val="0"/>
                    <w:spacing w:line="320" w:lineRule="exact"/>
                    <w:jc w:val="center"/>
                  </w:pPr>
                </w:p>
              </w:tc>
              <w:tc>
                <w:tcPr>
                  <w:tcW w:w="959" w:type="pct"/>
                  <w:vMerge w:val="continue"/>
                  <w:vAlign w:val="center"/>
                </w:tcPr>
                <w:p>
                  <w:pPr>
                    <w:adjustRightInd w:val="0"/>
                    <w:snapToGrid w:val="0"/>
                    <w:spacing w:line="320" w:lineRule="exact"/>
                    <w:jc w:val="center"/>
                  </w:pPr>
                </w:p>
              </w:tc>
              <w:tc>
                <w:tcPr>
                  <w:tcW w:w="2240" w:type="pct"/>
                  <w:vAlign w:val="center"/>
                </w:tcPr>
                <w:p>
                  <w:pPr>
                    <w:adjustRightInd w:val="0"/>
                    <w:snapToGrid w:val="0"/>
                    <w:spacing w:line="320" w:lineRule="exact"/>
                  </w:pPr>
                  <w:r>
                    <w:t>限制类：/</w:t>
                  </w:r>
                </w:p>
              </w:tc>
              <w:tc>
                <w:tcPr>
                  <w:tcW w:w="1030" w:type="pct"/>
                  <w:vMerge w:val="continue"/>
                  <w:vAlign w:val="center"/>
                </w:tcPr>
                <w:p>
                  <w:pPr>
                    <w:adjustRightInd w:val="0"/>
                    <w:snapToGrid w:val="0"/>
                    <w:spacing w:line="320" w:lineRule="exact"/>
                  </w:pPr>
                </w:p>
              </w:tc>
              <w:tc>
                <w:tcPr>
                  <w:tcW w:w="433" w:type="pct"/>
                  <w:vMerge w:val="continue"/>
                  <w:vAlign w:val="center"/>
                </w:tcPr>
                <w:p>
                  <w:pPr>
                    <w:adjustRightInd w:val="0"/>
                    <w:snapToGrid w:val="0"/>
                    <w:spacing w:line="320" w:lineRule="exact"/>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38" w:type="pct"/>
                  <w:vMerge w:val="continue"/>
                  <w:vAlign w:val="center"/>
                </w:tcPr>
                <w:p>
                  <w:pPr>
                    <w:adjustRightInd w:val="0"/>
                    <w:snapToGrid w:val="0"/>
                    <w:spacing w:line="320" w:lineRule="exact"/>
                    <w:jc w:val="center"/>
                  </w:pPr>
                </w:p>
              </w:tc>
              <w:tc>
                <w:tcPr>
                  <w:tcW w:w="959" w:type="pct"/>
                  <w:vMerge w:val="continue"/>
                  <w:vAlign w:val="center"/>
                </w:tcPr>
                <w:p>
                  <w:pPr>
                    <w:adjustRightInd w:val="0"/>
                    <w:snapToGrid w:val="0"/>
                    <w:spacing w:line="320" w:lineRule="exact"/>
                    <w:jc w:val="center"/>
                  </w:pPr>
                </w:p>
              </w:tc>
              <w:tc>
                <w:tcPr>
                  <w:tcW w:w="2240" w:type="pct"/>
                  <w:vAlign w:val="center"/>
                </w:tcPr>
                <w:p>
                  <w:pPr>
                    <w:adjustRightInd w:val="0"/>
                    <w:snapToGrid w:val="0"/>
                    <w:spacing w:line="320" w:lineRule="exact"/>
                  </w:pPr>
                  <w:r>
                    <w:t>淘汰类：/</w:t>
                  </w:r>
                </w:p>
              </w:tc>
              <w:tc>
                <w:tcPr>
                  <w:tcW w:w="1030" w:type="pct"/>
                  <w:vMerge w:val="continue"/>
                  <w:vAlign w:val="center"/>
                </w:tcPr>
                <w:p>
                  <w:pPr>
                    <w:adjustRightInd w:val="0"/>
                    <w:snapToGrid w:val="0"/>
                    <w:spacing w:line="320" w:lineRule="exact"/>
                  </w:pPr>
                </w:p>
              </w:tc>
              <w:tc>
                <w:tcPr>
                  <w:tcW w:w="433" w:type="pct"/>
                  <w:vMerge w:val="continue"/>
                  <w:vAlign w:val="center"/>
                </w:tcPr>
                <w:p>
                  <w:pPr>
                    <w:adjustRightInd w:val="0"/>
                    <w:snapToGrid w:val="0"/>
                    <w:spacing w:line="320" w:lineRule="exact"/>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38" w:type="pct"/>
                  <w:vAlign w:val="center"/>
                </w:tcPr>
                <w:p>
                  <w:pPr>
                    <w:adjustRightInd w:val="0"/>
                    <w:snapToGrid w:val="0"/>
                    <w:spacing w:line="320" w:lineRule="exact"/>
                    <w:jc w:val="center"/>
                  </w:pPr>
                  <w:r>
                    <w:t>2</w:t>
                  </w:r>
                </w:p>
              </w:tc>
              <w:tc>
                <w:tcPr>
                  <w:tcW w:w="959" w:type="pct"/>
                  <w:vAlign w:val="center"/>
                </w:tcPr>
                <w:p>
                  <w:pPr>
                    <w:adjustRightInd w:val="0"/>
                    <w:snapToGrid w:val="0"/>
                    <w:spacing w:line="320" w:lineRule="exact"/>
                    <w:jc w:val="center"/>
                  </w:pPr>
                  <w:r>
                    <w:t>《重庆市发展和改革委员会重庆市经济和信息化委员会关于严格工业布局和准入的通知》（渝发改工）[2018]781号</w:t>
                  </w:r>
                </w:p>
              </w:tc>
              <w:tc>
                <w:tcPr>
                  <w:tcW w:w="2240" w:type="pct"/>
                  <w:vAlign w:val="center"/>
                </w:tcPr>
                <w:p>
                  <w:pPr>
                    <w:pStyle w:val="56"/>
                    <w:spacing w:line="320" w:lineRule="exact"/>
                    <w:jc w:val="both"/>
                    <w:rPr>
                      <w:sz w:val="21"/>
                      <w:szCs w:val="21"/>
                    </w:rPr>
                  </w:pPr>
                  <w:r>
                    <w:rPr>
                      <w:sz w:val="21"/>
                      <w:szCs w:val="21"/>
                    </w:rPr>
                    <w:t>1.优化空间布局对在长江干流及主要支流岸线1公里范围内新建重化工、纺织、造纸等存在污染风险的工业项目；</w:t>
                  </w:r>
                </w:p>
                <w:p>
                  <w:pPr>
                    <w:pStyle w:val="56"/>
                    <w:spacing w:line="320" w:lineRule="exact"/>
                    <w:jc w:val="both"/>
                    <w:rPr>
                      <w:sz w:val="21"/>
                      <w:szCs w:val="21"/>
                    </w:rPr>
                  </w:pPr>
                  <w:r>
                    <w:rPr>
                      <w:sz w:val="21"/>
                      <w:szCs w:val="21"/>
                    </w:rPr>
                    <w:t>2.新建项目入园新建有污染物排放的工业项目，除在安全生产或者产业布局等方面有特殊要求外，应当进入工业园区（工业集聚区，下同）；</w:t>
                  </w:r>
                </w:p>
                <w:p>
                  <w:pPr>
                    <w:adjustRightInd w:val="0"/>
                    <w:snapToGrid w:val="0"/>
                    <w:spacing w:line="320" w:lineRule="exact"/>
                  </w:pPr>
                  <w:r>
                    <w:t>3.严格产业准入严格控制过剩产能和“两高一资”项目，严格限制造纸、印染、煤电、传统化工、传统燃油汽车、涉及重金属以及有毒有害和持久性污染物排放的项目。新建或扩建上述项目，必须符合国家及我市产业政策和布局，依法办理</w:t>
                  </w:r>
                  <w:r>
                    <w:rPr>
                      <w:rFonts w:hint="eastAsia"/>
                      <w:lang w:eastAsia="zh-CN"/>
                    </w:rPr>
                    <w:t>环境</w:t>
                  </w:r>
                  <w:r>
                    <w:t>保护、安全生产、资源（能源）节约等有关手续。</w:t>
                  </w:r>
                </w:p>
              </w:tc>
              <w:tc>
                <w:tcPr>
                  <w:tcW w:w="1030" w:type="pct"/>
                  <w:vAlign w:val="center"/>
                </w:tcPr>
                <w:p>
                  <w:pPr>
                    <w:adjustRightInd w:val="0"/>
                    <w:snapToGrid w:val="0"/>
                    <w:spacing w:line="320" w:lineRule="exact"/>
                  </w:pPr>
                  <w:r>
                    <w:t>项目位于铜梁高新区</w:t>
                  </w:r>
                  <w:r>
                    <w:rPr>
                      <w:rFonts w:hint="eastAsia"/>
                    </w:rPr>
                    <w:t>蒲吕</w:t>
                  </w:r>
                  <w:r>
                    <w:t>片区，不在长江干流及主要支流岸线1公里范围内，主要进行</w:t>
                  </w:r>
                  <w:r>
                    <w:rPr>
                      <w:rFonts w:hint="eastAsia"/>
                    </w:rPr>
                    <w:t>其他塑料制品制造</w:t>
                  </w:r>
                  <w:r>
                    <w:t>，不属于过剩产能和“两高一资”项目，</w:t>
                  </w:r>
                  <w:r>
                    <w:rPr>
                      <w:rFonts w:hint="eastAsia"/>
                    </w:rPr>
                    <w:t>不属于造纸、印染、煤电、传统化工、传统燃油汽车、涉及重金属以及有毒有害和持久性污染物排放的项目。</w:t>
                  </w:r>
                </w:p>
              </w:tc>
              <w:tc>
                <w:tcPr>
                  <w:tcW w:w="433" w:type="pct"/>
                  <w:vAlign w:val="center"/>
                </w:tcPr>
                <w:p>
                  <w:pPr>
                    <w:adjustRightInd w:val="0"/>
                    <w:snapToGrid w:val="0"/>
                    <w:spacing w:line="320" w:lineRule="exact"/>
                    <w:jc w:val="center"/>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38" w:type="pct"/>
                  <w:vAlign w:val="center"/>
                </w:tcPr>
                <w:p>
                  <w:pPr>
                    <w:adjustRightInd w:val="0"/>
                    <w:snapToGrid w:val="0"/>
                    <w:spacing w:line="320" w:lineRule="exact"/>
                    <w:jc w:val="center"/>
                  </w:pPr>
                  <w:r>
                    <w:t>3</w:t>
                  </w:r>
                </w:p>
              </w:tc>
              <w:tc>
                <w:tcPr>
                  <w:tcW w:w="959" w:type="pct"/>
                  <w:vAlign w:val="center"/>
                </w:tcPr>
                <w:p>
                  <w:pPr>
                    <w:adjustRightInd w:val="0"/>
                    <w:snapToGrid w:val="0"/>
                    <w:spacing w:line="320" w:lineRule="exact"/>
                    <w:jc w:val="center"/>
                  </w:pPr>
                  <w:r>
                    <w:t>《</w:t>
                  </w:r>
                  <w:r>
                    <w:rPr>
                      <w:rFonts w:hint="eastAsia"/>
                    </w:rPr>
                    <w:t>重庆市发展和改革委员会关于印发重庆市产业投资准入工作手册的通知</w:t>
                  </w:r>
                  <w:r>
                    <w:t>》（</w:t>
                  </w:r>
                  <w:r>
                    <w:rPr>
                      <w:rFonts w:hint="eastAsia"/>
                    </w:rPr>
                    <w:t>渝发改投资〔2022〕1436号</w:t>
                  </w:r>
                  <w:r>
                    <w:t>）</w:t>
                  </w:r>
                </w:p>
              </w:tc>
              <w:tc>
                <w:tcPr>
                  <w:tcW w:w="2240" w:type="pct"/>
                  <w:vAlign w:val="center"/>
                </w:tcPr>
                <w:p>
                  <w:pPr>
                    <w:pStyle w:val="56"/>
                    <w:spacing w:line="320" w:lineRule="exact"/>
                    <w:jc w:val="both"/>
                    <w:rPr>
                      <w:b/>
                      <w:sz w:val="21"/>
                      <w:szCs w:val="21"/>
                    </w:rPr>
                  </w:pPr>
                  <w:r>
                    <w:rPr>
                      <w:b/>
                      <w:sz w:val="21"/>
                      <w:szCs w:val="21"/>
                    </w:rPr>
                    <w:t>全市范围内不予准入的产业：</w:t>
                  </w:r>
                </w:p>
                <w:p>
                  <w:pPr>
                    <w:pStyle w:val="56"/>
                    <w:spacing w:line="320" w:lineRule="exact"/>
                    <w:jc w:val="both"/>
                    <w:rPr>
                      <w:sz w:val="21"/>
                      <w:szCs w:val="21"/>
                    </w:rPr>
                  </w:pPr>
                  <w:r>
                    <w:rPr>
                      <w:rFonts w:hint="eastAsia"/>
                      <w:sz w:val="21"/>
                      <w:szCs w:val="21"/>
                    </w:rPr>
                    <w:t>1．国家产业结构调整指导目录中的淘汰类项目；</w:t>
                  </w:r>
                </w:p>
                <w:p>
                  <w:pPr>
                    <w:pStyle w:val="56"/>
                    <w:spacing w:line="320" w:lineRule="exact"/>
                    <w:jc w:val="both"/>
                    <w:rPr>
                      <w:sz w:val="21"/>
                      <w:szCs w:val="21"/>
                    </w:rPr>
                  </w:pPr>
                  <w:r>
                    <w:rPr>
                      <w:rFonts w:hint="eastAsia"/>
                      <w:sz w:val="21"/>
                      <w:szCs w:val="21"/>
                    </w:rPr>
                    <w:t>2．天然林商业性采伐；</w:t>
                  </w:r>
                </w:p>
                <w:p>
                  <w:pPr>
                    <w:pStyle w:val="56"/>
                    <w:spacing w:line="320" w:lineRule="exact"/>
                    <w:jc w:val="both"/>
                    <w:rPr>
                      <w:sz w:val="21"/>
                      <w:szCs w:val="21"/>
                    </w:rPr>
                  </w:pPr>
                  <w:r>
                    <w:rPr>
                      <w:rFonts w:hint="eastAsia"/>
                      <w:sz w:val="21"/>
                      <w:szCs w:val="21"/>
                    </w:rPr>
                    <w:t>3．法律法规和相关政策明令不予准入的其他项目。</w:t>
                  </w:r>
                </w:p>
                <w:p>
                  <w:pPr>
                    <w:pStyle w:val="56"/>
                    <w:spacing w:line="320" w:lineRule="exact"/>
                    <w:jc w:val="both"/>
                    <w:rPr>
                      <w:b/>
                      <w:sz w:val="21"/>
                      <w:szCs w:val="21"/>
                    </w:rPr>
                  </w:pPr>
                  <w:r>
                    <w:rPr>
                      <w:b/>
                      <w:sz w:val="21"/>
                      <w:szCs w:val="21"/>
                    </w:rPr>
                    <w:t>重点区域范围内不予准入的产业：</w:t>
                  </w:r>
                </w:p>
                <w:p>
                  <w:pPr>
                    <w:pStyle w:val="56"/>
                    <w:spacing w:line="320" w:lineRule="exact"/>
                    <w:jc w:val="both"/>
                    <w:rPr>
                      <w:sz w:val="21"/>
                      <w:szCs w:val="21"/>
                    </w:rPr>
                  </w:pPr>
                  <w:r>
                    <w:rPr>
                      <w:rFonts w:hint="eastAsia"/>
                      <w:sz w:val="21"/>
                      <w:szCs w:val="21"/>
                    </w:rPr>
                    <w:t>1．外环绕城高速公路以内长江、嘉陵江水域采砂。</w:t>
                  </w:r>
                </w:p>
                <w:p>
                  <w:pPr>
                    <w:pStyle w:val="56"/>
                    <w:spacing w:line="320" w:lineRule="exact"/>
                    <w:jc w:val="both"/>
                    <w:rPr>
                      <w:sz w:val="21"/>
                      <w:szCs w:val="21"/>
                    </w:rPr>
                  </w:pPr>
                  <w:r>
                    <w:rPr>
                      <w:rFonts w:hint="eastAsia"/>
                      <w:sz w:val="21"/>
                      <w:szCs w:val="21"/>
                    </w:rPr>
                    <w:t>2．二十五度以上陡坡地开垦种植农作物。</w:t>
                  </w:r>
                </w:p>
                <w:p>
                  <w:pPr>
                    <w:pStyle w:val="56"/>
                    <w:spacing w:line="320" w:lineRule="exact"/>
                    <w:jc w:val="both"/>
                    <w:rPr>
                      <w:sz w:val="21"/>
                      <w:szCs w:val="21"/>
                    </w:rPr>
                  </w:pPr>
                  <w:r>
                    <w:rPr>
                      <w:rFonts w:hint="eastAsia"/>
                      <w:sz w:val="21"/>
                      <w:szCs w:val="21"/>
                    </w:rPr>
                    <w:t>3．在自然保护区核心区、缓冲区的岸线和河段范围内投资建设旅游和生产经营项目。</w:t>
                  </w:r>
                </w:p>
                <w:p>
                  <w:pPr>
                    <w:pStyle w:val="56"/>
                    <w:spacing w:line="320" w:lineRule="exact"/>
                    <w:jc w:val="both"/>
                    <w:rPr>
                      <w:sz w:val="21"/>
                      <w:szCs w:val="21"/>
                    </w:rPr>
                  </w:pPr>
                  <w:r>
                    <w:rPr>
                      <w:rFonts w:hint="eastAsia"/>
                      <w:sz w:val="21"/>
                      <w:szCs w:val="21"/>
                    </w:rPr>
                    <w:t>4．饮用水水源一级保护区的岸线和河段范围内新建、改建、扩建与供水设施和保护水源无关的项目，以及网箱养殖、畜禽养殖、放养畜禽、旅游等可能污染饮用水水体的投资建设项目。在饮用水水源二级保护区的岸线和河段范围内新建、改建、扩建排放污染物的投资建设项目。</w:t>
                  </w:r>
                </w:p>
                <w:p>
                  <w:pPr>
                    <w:pStyle w:val="56"/>
                    <w:spacing w:line="320" w:lineRule="exact"/>
                    <w:jc w:val="both"/>
                    <w:rPr>
                      <w:sz w:val="21"/>
                      <w:szCs w:val="21"/>
                    </w:rPr>
                  </w:pPr>
                  <w:r>
                    <w:rPr>
                      <w:rFonts w:hint="eastAsia"/>
                      <w:sz w:val="21"/>
                      <w:szCs w:val="21"/>
                    </w:rPr>
                    <w:t>5．长江干流岸线3公里范围内和重要支流岸线1公里范围内新建、改建、扩建尾矿库、冶炼渣库和磷石膏库（以提升安全、生态环境保护水平为目</w:t>
                  </w:r>
                  <w:bookmarkStart w:id="15" w:name="_GoBack"/>
                  <w:bookmarkEnd w:id="15"/>
                  <w:r>
                    <w:rPr>
                      <w:rFonts w:hint="eastAsia"/>
                      <w:sz w:val="21"/>
                      <w:szCs w:val="21"/>
                    </w:rPr>
                    <w:t>的的改建除外）。</w:t>
                  </w:r>
                </w:p>
                <w:p>
                  <w:pPr>
                    <w:pStyle w:val="56"/>
                    <w:spacing w:line="320" w:lineRule="exact"/>
                    <w:jc w:val="both"/>
                    <w:rPr>
                      <w:sz w:val="21"/>
                      <w:szCs w:val="21"/>
                    </w:rPr>
                  </w:pPr>
                  <w:r>
                    <w:rPr>
                      <w:rFonts w:hint="eastAsia"/>
                      <w:sz w:val="21"/>
                      <w:szCs w:val="21"/>
                    </w:rPr>
                    <w:t>6．在风景名胜区核心景区的岸线和河段范围内投资建设与风景名胜资源保护无关的项目。</w:t>
                  </w:r>
                </w:p>
                <w:p>
                  <w:pPr>
                    <w:pStyle w:val="56"/>
                    <w:spacing w:line="320" w:lineRule="exact"/>
                    <w:jc w:val="both"/>
                    <w:rPr>
                      <w:sz w:val="21"/>
                      <w:szCs w:val="21"/>
                    </w:rPr>
                  </w:pPr>
                  <w:r>
                    <w:rPr>
                      <w:rFonts w:hint="eastAsia"/>
                      <w:sz w:val="21"/>
                      <w:szCs w:val="21"/>
                    </w:rPr>
                    <w:t>7．在国家湿地公园的岸线和河段范围内挖沙、采矿，以及任何不符合主体功能定位的投资建设项目。</w:t>
                  </w:r>
                </w:p>
                <w:p>
                  <w:pPr>
                    <w:pStyle w:val="56"/>
                    <w:spacing w:line="320" w:lineRule="exact"/>
                    <w:jc w:val="both"/>
                    <w:rPr>
                      <w:sz w:val="21"/>
                      <w:szCs w:val="21"/>
                    </w:rPr>
                  </w:pPr>
                  <w:r>
                    <w:rPr>
                      <w:rFonts w:hint="eastAsia"/>
                      <w:sz w:val="21"/>
                      <w:szCs w:val="21"/>
                    </w:rPr>
                    <w:t>8．在《长江岸线保护和开发利用总体规划》划定的岸线保护区和保留区内投资建设除事关公共安全及公众利益的防洪护岸、河道治理、供水、生态环境保护、航道整治、国家重要基础设施以外的项目。</w:t>
                  </w:r>
                </w:p>
                <w:p>
                  <w:pPr>
                    <w:pStyle w:val="56"/>
                    <w:spacing w:line="320" w:lineRule="exact"/>
                    <w:jc w:val="both"/>
                    <w:rPr>
                      <w:sz w:val="21"/>
                      <w:szCs w:val="21"/>
                    </w:rPr>
                  </w:pPr>
                  <w:r>
                    <w:rPr>
                      <w:rFonts w:hint="eastAsia"/>
                      <w:sz w:val="21"/>
                      <w:szCs w:val="21"/>
                    </w:rPr>
                    <w:t>9．在《全国重要江河湖泊水功能区划》划定的河段及湖泊保护区、保留区内投资建设不利于水资源及自然生态保护的项目。</w:t>
                  </w:r>
                </w:p>
                <w:p>
                  <w:pPr>
                    <w:pStyle w:val="56"/>
                    <w:spacing w:line="320" w:lineRule="exact"/>
                    <w:jc w:val="both"/>
                    <w:rPr>
                      <w:sz w:val="21"/>
                      <w:szCs w:val="21"/>
                    </w:rPr>
                  </w:pPr>
                  <w:r>
                    <w:rPr>
                      <w:b/>
                      <w:sz w:val="21"/>
                      <w:szCs w:val="21"/>
                    </w:rPr>
                    <w:t>限制准入类：</w:t>
                  </w:r>
                </w:p>
                <w:p>
                  <w:pPr>
                    <w:pStyle w:val="56"/>
                    <w:spacing w:line="320" w:lineRule="exact"/>
                    <w:jc w:val="both"/>
                    <w:rPr>
                      <w:b/>
                      <w:sz w:val="21"/>
                      <w:szCs w:val="21"/>
                    </w:rPr>
                  </w:pPr>
                  <w:r>
                    <w:rPr>
                      <w:rFonts w:hint="eastAsia"/>
                      <w:b/>
                      <w:sz w:val="21"/>
                      <w:szCs w:val="21"/>
                    </w:rPr>
                    <w:t>（一）全市范围内限制准入的产业</w:t>
                  </w:r>
                </w:p>
                <w:p>
                  <w:pPr>
                    <w:pStyle w:val="56"/>
                    <w:spacing w:line="320" w:lineRule="exact"/>
                    <w:jc w:val="both"/>
                    <w:rPr>
                      <w:sz w:val="21"/>
                      <w:szCs w:val="21"/>
                    </w:rPr>
                  </w:pPr>
                  <w:r>
                    <w:rPr>
                      <w:rFonts w:hint="eastAsia"/>
                      <w:sz w:val="21"/>
                      <w:szCs w:val="21"/>
                    </w:rPr>
                    <w:t>1．新建、扩建不符合国家产能置换要求的严重过剩产能行业的项目。新建、扩建不符合要求的高耗能高排放项目。</w:t>
                  </w:r>
                </w:p>
                <w:p>
                  <w:pPr>
                    <w:pStyle w:val="56"/>
                    <w:spacing w:line="320" w:lineRule="exact"/>
                    <w:jc w:val="both"/>
                    <w:rPr>
                      <w:sz w:val="21"/>
                      <w:szCs w:val="21"/>
                    </w:rPr>
                  </w:pPr>
                  <w:r>
                    <w:rPr>
                      <w:rFonts w:hint="eastAsia"/>
                      <w:sz w:val="21"/>
                      <w:szCs w:val="21"/>
                    </w:rPr>
                    <w:t>2．新建、扩建不符合国家石化、现代煤化工等产业布局规划的项目。</w:t>
                  </w:r>
                </w:p>
                <w:p>
                  <w:pPr>
                    <w:pStyle w:val="56"/>
                    <w:spacing w:line="320" w:lineRule="exact"/>
                    <w:jc w:val="both"/>
                    <w:rPr>
                      <w:sz w:val="21"/>
                      <w:szCs w:val="21"/>
                    </w:rPr>
                  </w:pPr>
                  <w:r>
                    <w:rPr>
                      <w:rFonts w:hint="eastAsia"/>
                      <w:sz w:val="21"/>
                      <w:szCs w:val="21"/>
                    </w:rPr>
                    <w:t>3．在合规园区外新建、扩建钢铁、石化、化工、焦化、建材、有色、制浆造纸等高污染项目。</w:t>
                  </w:r>
                </w:p>
                <w:p>
                  <w:pPr>
                    <w:pStyle w:val="56"/>
                    <w:spacing w:line="320" w:lineRule="exact"/>
                    <w:jc w:val="both"/>
                    <w:rPr>
                      <w:sz w:val="21"/>
                      <w:szCs w:val="21"/>
                    </w:rPr>
                  </w:pPr>
                  <w:r>
                    <w:rPr>
                      <w:rFonts w:hint="eastAsia"/>
                      <w:sz w:val="21"/>
                      <w:szCs w:val="21"/>
                    </w:rPr>
                    <w:t>4．《汽车产业投资管理规定》（国家发展和改革委员会令第22号）明确禁止建设的汽车投资项目。</w:t>
                  </w:r>
                </w:p>
                <w:p>
                  <w:pPr>
                    <w:pStyle w:val="56"/>
                    <w:spacing w:line="320" w:lineRule="exact"/>
                    <w:jc w:val="both"/>
                    <w:rPr>
                      <w:b/>
                      <w:sz w:val="21"/>
                      <w:szCs w:val="21"/>
                    </w:rPr>
                  </w:pPr>
                  <w:r>
                    <w:rPr>
                      <w:rFonts w:hint="eastAsia"/>
                      <w:b/>
                      <w:sz w:val="21"/>
                      <w:szCs w:val="21"/>
                    </w:rPr>
                    <w:t>（二）重点区域范围内限制准入的产业</w:t>
                  </w:r>
                </w:p>
                <w:p>
                  <w:pPr>
                    <w:pStyle w:val="56"/>
                    <w:spacing w:line="320" w:lineRule="exact"/>
                    <w:jc w:val="both"/>
                    <w:rPr>
                      <w:sz w:val="21"/>
                      <w:szCs w:val="21"/>
                    </w:rPr>
                  </w:pPr>
                  <w:r>
                    <w:rPr>
                      <w:rFonts w:hint="eastAsia"/>
                      <w:sz w:val="21"/>
                      <w:szCs w:val="21"/>
                    </w:rPr>
                    <w:t>1．长江干支流、重要湖泊岸线1公里范围内新建、扩建化工园区和化工项目，长江、嘉陵江、乌江岸线1公里范围内布局新建纸浆制造、印染等存在环境风险的项目。</w:t>
                  </w:r>
                </w:p>
                <w:p>
                  <w:pPr>
                    <w:pStyle w:val="56"/>
                    <w:spacing w:line="320" w:lineRule="exact"/>
                    <w:jc w:val="both"/>
                    <w:rPr>
                      <w:sz w:val="21"/>
                      <w:szCs w:val="21"/>
                    </w:rPr>
                  </w:pPr>
                  <w:r>
                    <w:rPr>
                      <w:rFonts w:hint="eastAsia"/>
                      <w:sz w:val="21"/>
                      <w:szCs w:val="21"/>
                    </w:rPr>
                    <w:t>2．在水产种质资源保护区的岸线和河段范围内新建围湖造田等投资建设项目。</w:t>
                  </w:r>
                </w:p>
              </w:tc>
              <w:tc>
                <w:tcPr>
                  <w:tcW w:w="1030" w:type="pct"/>
                  <w:vAlign w:val="center"/>
                </w:tcPr>
                <w:p>
                  <w:pPr>
                    <w:wordWrap w:val="0"/>
                    <w:adjustRightInd w:val="0"/>
                    <w:snapToGrid w:val="0"/>
                    <w:spacing w:line="320" w:lineRule="exact"/>
                  </w:pPr>
                  <w:r>
                    <w:t>项目不属于产业结构调整指导目录中的禁止类、淘汰类项目，符合生态建设和环境保护规划区域布局规定；不在</w:t>
                  </w:r>
                  <w:r>
                    <w:rPr>
                      <w:rFonts w:hint="eastAsia"/>
                    </w:rPr>
                    <w:t>左列</w:t>
                  </w:r>
                  <w:r>
                    <w:rPr>
                      <w:bCs/>
                    </w:rPr>
                    <w:t>全市范围内不予准入</w:t>
                  </w:r>
                  <w:r>
                    <w:rPr>
                      <w:rFonts w:hint="eastAsia"/>
                      <w:bCs/>
                    </w:rPr>
                    <w:t>、</w:t>
                  </w:r>
                  <w:r>
                    <w:rPr>
                      <w:bCs/>
                    </w:rPr>
                    <w:t>重点区域范围内不予准入的产业</w:t>
                  </w:r>
                  <w:r>
                    <w:rPr>
                      <w:rFonts w:hint="eastAsia"/>
                      <w:bCs/>
                    </w:rPr>
                    <w:t>、</w:t>
                  </w:r>
                  <w:r>
                    <w:rPr>
                      <w:bCs/>
                    </w:rPr>
                    <w:t>限制准入类</w:t>
                  </w:r>
                  <w:r>
                    <w:rPr>
                      <w:rFonts w:hint="eastAsia"/>
                      <w:bCs/>
                    </w:rPr>
                    <w:t>范围内。</w:t>
                  </w:r>
                  <w:r>
                    <w:t>不在饮用水水源保护区、自然保护区、自然文化遗产地、湿地公园、森林公园、风景名胜区、地质公园等区域内，不排放重金属、剧毒物质和持久性有机污染物</w:t>
                  </w:r>
                  <w:r>
                    <w:rPr>
                      <w:rFonts w:hint="eastAsia"/>
                    </w:rPr>
                    <w:t>。</w:t>
                  </w:r>
                  <w:r>
                    <w:rPr>
                      <w:rFonts w:hint="eastAsia"/>
                      <w:bCs/>
                    </w:rPr>
                    <w:t>项目使用</w:t>
                  </w:r>
                  <w:r>
                    <w:rPr>
                      <w:rFonts w:hint="eastAsia"/>
                    </w:rPr>
                    <w:t>原辅材料均为新料</w:t>
                  </w:r>
                  <w:r>
                    <w:t>，</w:t>
                  </w:r>
                  <w:r>
                    <w:rPr>
                      <w:rFonts w:hint="eastAsia"/>
                    </w:rPr>
                    <w:t>各工序</w:t>
                  </w:r>
                  <w:r>
                    <w:t>产生的挥发性有机物经得到有效的处理达标后排放</w:t>
                  </w:r>
                  <w:r>
                    <w:rPr>
                      <w:rFonts w:hint="eastAsia"/>
                    </w:rPr>
                    <w:t>，不属于大气污染严重项目，项目不使用煤、重油等高污染燃料。</w:t>
                  </w:r>
                </w:p>
              </w:tc>
              <w:tc>
                <w:tcPr>
                  <w:tcW w:w="433" w:type="pct"/>
                  <w:vAlign w:val="center"/>
                </w:tcPr>
                <w:p>
                  <w:pPr>
                    <w:adjustRightInd w:val="0"/>
                    <w:snapToGrid w:val="0"/>
                    <w:spacing w:line="320" w:lineRule="exact"/>
                    <w:jc w:val="center"/>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38" w:type="pct"/>
                  <w:vAlign w:val="center"/>
                </w:tcPr>
                <w:p>
                  <w:pPr>
                    <w:adjustRightInd w:val="0"/>
                    <w:snapToGrid w:val="0"/>
                    <w:spacing w:line="320" w:lineRule="exact"/>
                    <w:jc w:val="center"/>
                  </w:pPr>
                  <w:r>
                    <w:t>4</w:t>
                  </w:r>
                </w:p>
              </w:tc>
              <w:tc>
                <w:tcPr>
                  <w:tcW w:w="959" w:type="pct"/>
                  <w:vAlign w:val="center"/>
                </w:tcPr>
                <w:p>
                  <w:pPr>
                    <w:adjustRightInd w:val="0"/>
                    <w:snapToGrid w:val="0"/>
                    <w:spacing w:line="320" w:lineRule="exact"/>
                    <w:jc w:val="center"/>
                  </w:pPr>
                  <w:r>
                    <w:t>《重庆市经济和信息化委员会关于进一步调整产业结构优化产业布局加快产业转型升级高质量发展的实施意见》（渝经信发〔2018〕114号）</w:t>
                  </w:r>
                </w:p>
              </w:tc>
              <w:tc>
                <w:tcPr>
                  <w:tcW w:w="2240" w:type="pct"/>
                  <w:vAlign w:val="center"/>
                </w:tcPr>
                <w:p>
                  <w:pPr>
                    <w:pStyle w:val="56"/>
                    <w:spacing w:line="320" w:lineRule="exact"/>
                    <w:jc w:val="both"/>
                    <w:rPr>
                      <w:sz w:val="21"/>
                      <w:szCs w:val="21"/>
                    </w:rPr>
                  </w:pPr>
                  <w:r>
                    <w:rPr>
                      <w:sz w:val="21"/>
                      <w:szCs w:val="21"/>
                    </w:rPr>
                    <w:t>优先发展智能产业。渝西片区要主动加强与主城片区的联动协作，以配套加工、应用发展、数据服务为主导，以龙头企业、创新型企业为牵引，围绕产业基础和特色优势，建设一批特色产业集群，打造区域性的特色智能产业发展平台。</w:t>
                  </w:r>
                </w:p>
                <w:p>
                  <w:pPr>
                    <w:pStyle w:val="56"/>
                    <w:spacing w:line="320" w:lineRule="exact"/>
                    <w:jc w:val="both"/>
                    <w:rPr>
                      <w:b/>
                      <w:kern w:val="0"/>
                      <w:sz w:val="21"/>
                      <w:szCs w:val="21"/>
                    </w:rPr>
                  </w:pPr>
                  <w:r>
                    <w:rPr>
                      <w:sz w:val="21"/>
                      <w:szCs w:val="21"/>
                    </w:rPr>
                    <w:t>加强产业准入管控。加强规划源头管控，严格项目准入。坚决禁止在长江干流及主要支流岸线1公里范围内新建重化工、纺织、造纸等存在污染风险的工业项目</w:t>
                  </w:r>
                  <w:r>
                    <w:rPr>
                      <w:rFonts w:hint="eastAsia"/>
                      <w:sz w:val="21"/>
                      <w:szCs w:val="21"/>
                    </w:rPr>
                    <w:t>。</w:t>
                  </w:r>
                </w:p>
              </w:tc>
              <w:tc>
                <w:tcPr>
                  <w:tcW w:w="1030" w:type="pct"/>
                  <w:vAlign w:val="center"/>
                </w:tcPr>
                <w:p>
                  <w:pPr>
                    <w:adjustRightInd w:val="0"/>
                    <w:snapToGrid w:val="0"/>
                    <w:spacing w:line="320" w:lineRule="exact"/>
                  </w:pPr>
                  <w:r>
                    <w:t>拟建项目位于铜梁高新区</w:t>
                  </w:r>
                  <w:r>
                    <w:rPr>
                      <w:rFonts w:hint="eastAsia"/>
                    </w:rPr>
                    <w:t>蒲吕</w:t>
                  </w:r>
                  <w:r>
                    <w:t>片区内，属于</w:t>
                  </w:r>
                  <w:r>
                    <w:rPr>
                      <w:rFonts w:hint="eastAsia"/>
                    </w:rPr>
                    <w:t>其他塑料制品制造</w:t>
                  </w:r>
                  <w:r>
                    <w:t>行业，不在长江干流及主要支流岸线1公里范围内，符合</w:t>
                  </w:r>
                  <w:r>
                    <w:rPr>
                      <w:rFonts w:hint="eastAsia"/>
                    </w:rPr>
                    <w:t>渝西片区</w:t>
                  </w:r>
                  <w:r>
                    <w:t>产业结构、产业布局</w:t>
                  </w:r>
                  <w:r>
                    <w:rPr>
                      <w:rFonts w:hint="eastAsia"/>
                    </w:rPr>
                    <w:t>。</w:t>
                  </w:r>
                </w:p>
              </w:tc>
              <w:tc>
                <w:tcPr>
                  <w:tcW w:w="433" w:type="pct"/>
                  <w:vAlign w:val="center"/>
                </w:tcPr>
                <w:p>
                  <w:pPr>
                    <w:adjustRightInd w:val="0"/>
                    <w:snapToGrid w:val="0"/>
                    <w:spacing w:line="320" w:lineRule="exact"/>
                    <w:jc w:val="center"/>
                  </w:pPr>
                  <w:r>
                    <w:rPr>
                      <w:rFonts w:hint="eastAsia"/>
                    </w:rPr>
                    <w:t>符合</w:t>
                  </w:r>
                </w:p>
              </w:tc>
            </w:tr>
          </w:tbl>
          <w:p>
            <w:pPr>
              <w:pStyle w:val="82"/>
              <w:ind w:firstLine="482"/>
              <w:rPr>
                <w:b/>
                <w:bCs/>
              </w:rPr>
            </w:pPr>
            <w:r>
              <w:rPr>
                <w:rFonts w:hint="eastAsia"/>
                <w:b/>
                <w:bCs/>
              </w:rPr>
              <w:t>（2）与《重庆市工业项目环境准入规定（修订）》符合性分析</w:t>
            </w:r>
          </w:p>
          <w:p>
            <w:pPr>
              <w:pStyle w:val="82"/>
            </w:pPr>
            <w:r>
              <w:rPr>
                <w:rFonts w:hint="eastAsia"/>
              </w:rPr>
              <w:t>根据（渝办发〔2012〕142号）《重庆市工业项目环境准入规定》（修订），为合理利用资源促进全市产业结构调整，要求工业项目建设必须贯彻执行对照准入条件分析见表1-</w:t>
            </w:r>
            <w:r>
              <w:t>7</w:t>
            </w:r>
            <w:r>
              <w:rPr>
                <w:rFonts w:hint="eastAsia"/>
              </w:rPr>
              <w:t>。</w:t>
            </w:r>
          </w:p>
          <w:p>
            <w:pPr>
              <w:pStyle w:val="83"/>
            </w:pPr>
            <w:r>
              <w:rPr>
                <w:rFonts w:hint="eastAsia"/>
              </w:rPr>
              <w:t>表1</w:t>
            </w:r>
            <w:r>
              <w:t>-7</w:t>
            </w:r>
            <w:r>
              <w:rPr>
                <w:rFonts w:hint="eastAsia"/>
              </w:rPr>
              <w:t xml:space="preserve">  重庆市工业项目环境准入规定符合性分析一览表</w:t>
            </w:r>
          </w:p>
          <w:tbl>
            <w:tblPr>
              <w:tblStyle w:val="24"/>
              <w:tblW w:w="5000" w:type="pct"/>
              <w:jc w:val="cente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autofit"/>
              <w:tblCellMar>
                <w:top w:w="0" w:type="dxa"/>
                <w:left w:w="108" w:type="dxa"/>
                <w:bottom w:w="0" w:type="dxa"/>
                <w:right w:w="108" w:type="dxa"/>
              </w:tblCellMar>
            </w:tblPr>
            <w:tblGrid>
              <w:gridCol w:w="642"/>
              <w:gridCol w:w="4391"/>
              <w:gridCol w:w="2440"/>
              <w:gridCol w:w="894"/>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00" w:hRule="atLeast"/>
                <w:jc w:val="center"/>
              </w:trPr>
              <w:tc>
                <w:tcPr>
                  <w:tcW w:w="384" w:type="pct"/>
                  <w:shd w:val="clear" w:color="auto" w:fill="auto"/>
                  <w:vAlign w:val="center"/>
                </w:tcPr>
                <w:p>
                  <w:pPr>
                    <w:spacing w:line="320" w:lineRule="exact"/>
                    <w:ind w:left="-105" w:leftChars="-50" w:right="-105" w:rightChars="-50"/>
                    <w:jc w:val="center"/>
                    <w:rPr>
                      <w:b/>
                    </w:rPr>
                  </w:pPr>
                  <w:r>
                    <w:rPr>
                      <w:b/>
                    </w:rPr>
                    <w:t>序号</w:t>
                  </w:r>
                </w:p>
              </w:tc>
              <w:tc>
                <w:tcPr>
                  <w:tcW w:w="2624" w:type="pct"/>
                  <w:shd w:val="clear" w:color="auto" w:fill="auto"/>
                  <w:vAlign w:val="center"/>
                </w:tcPr>
                <w:p>
                  <w:pPr>
                    <w:spacing w:line="320" w:lineRule="exact"/>
                    <w:jc w:val="center"/>
                    <w:rPr>
                      <w:b/>
                    </w:rPr>
                  </w:pPr>
                  <w:r>
                    <w:rPr>
                      <w:b/>
                    </w:rPr>
                    <w:t>准入规定</w:t>
                  </w:r>
                </w:p>
              </w:tc>
              <w:tc>
                <w:tcPr>
                  <w:tcW w:w="1458" w:type="pct"/>
                  <w:shd w:val="clear" w:color="auto" w:fill="auto"/>
                  <w:vAlign w:val="center"/>
                </w:tcPr>
                <w:p>
                  <w:pPr>
                    <w:spacing w:line="320" w:lineRule="exact"/>
                    <w:jc w:val="center"/>
                    <w:rPr>
                      <w:b/>
                    </w:rPr>
                  </w:pPr>
                  <w:r>
                    <w:rPr>
                      <w:b/>
                    </w:rPr>
                    <w:t>拟建项目</w:t>
                  </w:r>
                </w:p>
              </w:tc>
              <w:tc>
                <w:tcPr>
                  <w:tcW w:w="534" w:type="pct"/>
                  <w:shd w:val="clear" w:color="auto" w:fill="auto"/>
                  <w:vAlign w:val="center"/>
                </w:tcPr>
                <w:p>
                  <w:pPr>
                    <w:spacing w:line="320" w:lineRule="exact"/>
                    <w:jc w:val="center"/>
                    <w:rPr>
                      <w:b/>
                    </w:rPr>
                  </w:pPr>
                  <w:r>
                    <w:rPr>
                      <w:b/>
                    </w:rPr>
                    <w:t>符合性</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384" w:type="pct"/>
                  <w:shd w:val="clear" w:color="auto" w:fill="auto"/>
                  <w:vAlign w:val="center"/>
                </w:tcPr>
                <w:p>
                  <w:pPr>
                    <w:spacing w:line="320" w:lineRule="exact"/>
                    <w:jc w:val="center"/>
                    <w:rPr>
                      <w:bCs/>
                    </w:rPr>
                  </w:pPr>
                  <w:r>
                    <w:rPr>
                      <w:bCs/>
                    </w:rPr>
                    <w:t>1</w:t>
                  </w:r>
                </w:p>
              </w:tc>
              <w:tc>
                <w:tcPr>
                  <w:tcW w:w="2624" w:type="pct"/>
                  <w:shd w:val="clear" w:color="auto" w:fill="auto"/>
                  <w:vAlign w:val="center"/>
                </w:tcPr>
                <w:p>
                  <w:pPr>
                    <w:spacing w:line="320" w:lineRule="exact"/>
                    <w:rPr>
                      <w:bCs/>
                    </w:rPr>
                  </w:pPr>
                  <w:r>
                    <w:rPr>
                      <w:bCs/>
                    </w:rPr>
                    <w:t>工业项目应符合产业政策，不得采用国家和本市淘汰的或禁止使用的工艺、技术和设备，不得建设生产工艺或污染防治技术不成熟的项目</w:t>
                  </w:r>
                </w:p>
              </w:tc>
              <w:tc>
                <w:tcPr>
                  <w:tcW w:w="1458" w:type="pct"/>
                  <w:shd w:val="clear" w:color="auto" w:fill="auto"/>
                  <w:vAlign w:val="center"/>
                </w:tcPr>
                <w:p>
                  <w:pPr>
                    <w:spacing w:line="320" w:lineRule="exact"/>
                    <w:rPr>
                      <w:bCs/>
                    </w:rPr>
                  </w:pPr>
                  <w:r>
                    <w:rPr>
                      <w:bCs/>
                    </w:rPr>
                    <w:t>符合产业政策有关规定，为允许类建设项目</w:t>
                  </w:r>
                  <w:r>
                    <w:rPr>
                      <w:rFonts w:hint="eastAsia"/>
                      <w:bCs/>
                    </w:rPr>
                    <w:t>。</w:t>
                  </w:r>
                </w:p>
              </w:tc>
              <w:tc>
                <w:tcPr>
                  <w:tcW w:w="534" w:type="pct"/>
                  <w:shd w:val="clear" w:color="auto" w:fill="auto"/>
                  <w:vAlign w:val="center"/>
                </w:tcPr>
                <w:p>
                  <w:pPr>
                    <w:spacing w:line="320" w:lineRule="exact"/>
                    <w:jc w:val="center"/>
                    <w:rPr>
                      <w:bCs/>
                    </w:rPr>
                  </w:pPr>
                  <w:r>
                    <w:rPr>
                      <w:bCs/>
                    </w:rPr>
                    <w:t>符合</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384" w:type="pct"/>
                  <w:shd w:val="clear" w:color="auto" w:fill="auto"/>
                  <w:vAlign w:val="center"/>
                </w:tcPr>
                <w:p>
                  <w:pPr>
                    <w:spacing w:line="320" w:lineRule="exact"/>
                    <w:jc w:val="center"/>
                    <w:rPr>
                      <w:bCs/>
                    </w:rPr>
                  </w:pPr>
                  <w:r>
                    <w:rPr>
                      <w:bCs/>
                    </w:rPr>
                    <w:t>2</w:t>
                  </w:r>
                </w:p>
              </w:tc>
              <w:tc>
                <w:tcPr>
                  <w:tcW w:w="2624" w:type="pct"/>
                  <w:shd w:val="clear" w:color="auto" w:fill="auto"/>
                  <w:vAlign w:val="center"/>
                </w:tcPr>
                <w:p>
                  <w:pPr>
                    <w:spacing w:line="320" w:lineRule="exact"/>
                    <w:rPr>
                      <w:bCs/>
                    </w:rPr>
                  </w:pPr>
                  <w:r>
                    <w:rPr>
                      <w:bCs/>
                    </w:rPr>
                    <w:t>本市新建和改造的工业项目清洁生产水平不得低于国家清洁生产标准的国内基本水平。其中，“一小时经济圈”和国家级开发区内的，应达到国内先进水平</w:t>
                  </w:r>
                </w:p>
              </w:tc>
              <w:tc>
                <w:tcPr>
                  <w:tcW w:w="1458" w:type="pct"/>
                  <w:shd w:val="clear" w:color="auto" w:fill="auto"/>
                  <w:vAlign w:val="center"/>
                </w:tcPr>
                <w:p>
                  <w:pPr>
                    <w:spacing w:line="320" w:lineRule="exact"/>
                    <w:rPr>
                      <w:bCs/>
                    </w:rPr>
                  </w:pPr>
                  <w:r>
                    <w:rPr>
                      <w:bCs/>
                    </w:rPr>
                    <w:t>生产原料及生产工艺简单，所使用原料及设备等均符合清洁生产相关要求</w:t>
                  </w:r>
                  <w:r>
                    <w:rPr>
                      <w:rFonts w:hint="eastAsia"/>
                      <w:bCs/>
                    </w:rPr>
                    <w:t>。</w:t>
                  </w:r>
                </w:p>
              </w:tc>
              <w:tc>
                <w:tcPr>
                  <w:tcW w:w="534" w:type="pct"/>
                  <w:shd w:val="clear" w:color="auto" w:fill="auto"/>
                  <w:vAlign w:val="center"/>
                </w:tcPr>
                <w:p>
                  <w:pPr>
                    <w:spacing w:line="320" w:lineRule="exact"/>
                    <w:jc w:val="center"/>
                    <w:rPr>
                      <w:bCs/>
                    </w:rPr>
                  </w:pPr>
                  <w:r>
                    <w:rPr>
                      <w:bCs/>
                    </w:rPr>
                    <w:t>符合</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650" w:hRule="atLeast"/>
                <w:jc w:val="center"/>
              </w:trPr>
              <w:tc>
                <w:tcPr>
                  <w:tcW w:w="384" w:type="pct"/>
                  <w:shd w:val="clear" w:color="auto" w:fill="auto"/>
                  <w:vAlign w:val="center"/>
                </w:tcPr>
                <w:p>
                  <w:pPr>
                    <w:spacing w:line="320" w:lineRule="exact"/>
                    <w:jc w:val="center"/>
                  </w:pPr>
                  <w:r>
                    <w:t>3</w:t>
                  </w:r>
                </w:p>
              </w:tc>
              <w:tc>
                <w:tcPr>
                  <w:tcW w:w="2624" w:type="pct"/>
                  <w:shd w:val="clear" w:color="auto" w:fill="auto"/>
                  <w:vAlign w:val="center"/>
                </w:tcPr>
                <w:p>
                  <w:pPr>
                    <w:spacing w:line="320" w:lineRule="exact"/>
                    <w:rPr>
                      <w:bCs/>
                    </w:rPr>
                  </w:pPr>
                  <w:r>
                    <w:rPr>
                      <w:bCs/>
                    </w:rPr>
                    <w:t>工业项目选址应符合产业发展规划、城乡总体规划、土地利用规划等规划。新建有污染物排放的工业项目应进入工业园区或工业集中区</w:t>
                  </w:r>
                </w:p>
              </w:tc>
              <w:tc>
                <w:tcPr>
                  <w:tcW w:w="1458" w:type="pct"/>
                  <w:shd w:val="clear" w:color="auto" w:fill="auto"/>
                  <w:vAlign w:val="center"/>
                </w:tcPr>
                <w:p>
                  <w:pPr>
                    <w:spacing w:line="320" w:lineRule="exact"/>
                    <w:rPr>
                      <w:bCs/>
                    </w:rPr>
                  </w:pPr>
                  <w:r>
                    <w:rPr>
                      <w:bCs/>
                    </w:rPr>
                    <w:t>项目位于</w:t>
                  </w:r>
                  <w:r>
                    <w:t>铜梁高新区</w:t>
                  </w:r>
                  <w:r>
                    <w:rPr>
                      <w:rFonts w:hint="eastAsia"/>
                    </w:rPr>
                    <w:t>蒲吕</w:t>
                  </w:r>
                  <w:r>
                    <w:t>片区</w:t>
                  </w:r>
                  <w:r>
                    <w:rPr>
                      <w:bCs/>
                    </w:rPr>
                    <w:t>，用地性质为工业用地，符合相关规划要求</w:t>
                  </w:r>
                  <w:r>
                    <w:rPr>
                      <w:rFonts w:hint="eastAsia"/>
                      <w:bCs/>
                    </w:rPr>
                    <w:t>。</w:t>
                  </w:r>
                </w:p>
              </w:tc>
              <w:tc>
                <w:tcPr>
                  <w:tcW w:w="534" w:type="pct"/>
                  <w:shd w:val="clear" w:color="auto" w:fill="auto"/>
                  <w:vAlign w:val="center"/>
                </w:tcPr>
                <w:p>
                  <w:pPr>
                    <w:spacing w:line="320" w:lineRule="exact"/>
                    <w:jc w:val="center"/>
                    <w:rPr>
                      <w:bCs/>
                    </w:rPr>
                  </w:pPr>
                  <w:r>
                    <w:rPr>
                      <w:bCs/>
                    </w:rPr>
                    <w:t>符合</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384" w:type="pct"/>
                  <w:shd w:val="clear" w:color="auto" w:fill="auto"/>
                  <w:vAlign w:val="center"/>
                </w:tcPr>
                <w:p>
                  <w:pPr>
                    <w:spacing w:line="320" w:lineRule="exact"/>
                    <w:jc w:val="center"/>
                  </w:pPr>
                  <w:r>
                    <w:t>4</w:t>
                  </w:r>
                </w:p>
              </w:tc>
              <w:tc>
                <w:tcPr>
                  <w:tcW w:w="2624" w:type="pct"/>
                  <w:shd w:val="clear" w:color="auto" w:fill="auto"/>
                  <w:vAlign w:val="center"/>
                </w:tcPr>
                <w:p>
                  <w:pPr>
                    <w:spacing w:line="320" w:lineRule="exact"/>
                  </w:pPr>
                  <w:r>
                    <w:t>在长江、嘉陵江主城区江段及其上游沿江河地区严格限制建设可能对饮用水源带来安全隐患的化工、造纸、印染及排放有毒有害物质和重金属的工业项目</w:t>
                  </w:r>
                </w:p>
              </w:tc>
              <w:tc>
                <w:tcPr>
                  <w:tcW w:w="1458" w:type="pct"/>
                  <w:shd w:val="clear" w:color="auto" w:fill="auto"/>
                  <w:vAlign w:val="center"/>
                </w:tcPr>
                <w:p>
                  <w:pPr>
                    <w:spacing w:line="320" w:lineRule="exact"/>
                  </w:pPr>
                  <w:r>
                    <w:t>项目不涉及化工、造纸、印染及排放有毒有害物质和重金属的工业项目</w:t>
                  </w:r>
                  <w:r>
                    <w:rPr>
                      <w:rFonts w:hint="eastAsia"/>
                    </w:rPr>
                    <w:t>。</w:t>
                  </w:r>
                </w:p>
              </w:tc>
              <w:tc>
                <w:tcPr>
                  <w:tcW w:w="534" w:type="pct"/>
                  <w:shd w:val="clear" w:color="auto" w:fill="auto"/>
                  <w:vAlign w:val="center"/>
                </w:tcPr>
                <w:p>
                  <w:pPr>
                    <w:spacing w:line="320" w:lineRule="exact"/>
                    <w:jc w:val="center"/>
                  </w:pPr>
                  <w:r>
                    <w:t>符合</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384" w:type="pct"/>
                  <w:shd w:val="clear" w:color="auto" w:fill="auto"/>
                  <w:vAlign w:val="center"/>
                </w:tcPr>
                <w:p>
                  <w:pPr>
                    <w:spacing w:line="320" w:lineRule="exact"/>
                    <w:jc w:val="center"/>
                  </w:pPr>
                  <w:r>
                    <w:t>5</w:t>
                  </w:r>
                </w:p>
              </w:tc>
              <w:tc>
                <w:tcPr>
                  <w:tcW w:w="2624" w:type="pct"/>
                  <w:shd w:val="clear" w:color="auto" w:fill="auto"/>
                  <w:vAlign w:val="center"/>
                </w:tcPr>
                <w:p>
                  <w:pPr>
                    <w:spacing w:line="320" w:lineRule="exact"/>
                  </w:pPr>
                  <w:r>
                    <w:t>在主城区禁止新建、改建、扩建以煤、重油为燃料的工业项目；在合川区、江津区、长寿区、璧山县等地区严格限制新建、扩建可能对主城区大气产生影响的燃用煤、重油等高污染燃料的工业项目</w:t>
                  </w:r>
                </w:p>
              </w:tc>
              <w:tc>
                <w:tcPr>
                  <w:tcW w:w="1458" w:type="pct"/>
                  <w:shd w:val="clear" w:color="auto" w:fill="auto"/>
                  <w:vAlign w:val="center"/>
                </w:tcPr>
                <w:p>
                  <w:pPr>
                    <w:spacing w:line="320" w:lineRule="exact"/>
                    <w:rPr>
                      <w:spacing w:val="-2"/>
                    </w:rPr>
                  </w:pPr>
                  <w:r>
                    <w:rPr>
                      <w:spacing w:val="-2"/>
                    </w:rPr>
                    <w:t>拟建项目位于铜梁区，不为用</w:t>
                  </w:r>
                  <w:r>
                    <w:t>煤、重油的工业项目，</w:t>
                  </w:r>
                  <w:r>
                    <w:rPr>
                      <w:spacing w:val="-2"/>
                    </w:rPr>
                    <w:t>采用电作为清洁生产能源</w:t>
                  </w:r>
                  <w:r>
                    <w:rPr>
                      <w:rFonts w:hint="eastAsia"/>
                      <w:spacing w:val="-2"/>
                    </w:rPr>
                    <w:t>。</w:t>
                  </w:r>
                </w:p>
              </w:tc>
              <w:tc>
                <w:tcPr>
                  <w:tcW w:w="534" w:type="pct"/>
                  <w:shd w:val="clear" w:color="auto" w:fill="auto"/>
                  <w:vAlign w:val="center"/>
                </w:tcPr>
                <w:p>
                  <w:pPr>
                    <w:spacing w:line="320" w:lineRule="exact"/>
                    <w:jc w:val="center"/>
                  </w:pPr>
                  <w:r>
                    <w:t>符合</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384" w:type="pct"/>
                  <w:shd w:val="clear" w:color="auto" w:fill="auto"/>
                  <w:vAlign w:val="center"/>
                </w:tcPr>
                <w:p>
                  <w:pPr>
                    <w:spacing w:line="320" w:lineRule="exact"/>
                    <w:jc w:val="center"/>
                  </w:pPr>
                  <w:r>
                    <w:t>6</w:t>
                  </w:r>
                </w:p>
              </w:tc>
              <w:tc>
                <w:tcPr>
                  <w:tcW w:w="2624" w:type="pct"/>
                  <w:shd w:val="clear" w:color="auto" w:fill="auto"/>
                  <w:vAlign w:val="center"/>
                </w:tcPr>
                <w:p>
                  <w:pPr>
                    <w:spacing w:line="320" w:lineRule="exact"/>
                  </w:pPr>
                  <w:r>
                    <w:rPr>
                      <w:spacing w:val="-6"/>
                    </w:rPr>
                    <w:t>工业项目选址区域应有相应的环境容量，新增主要污染物排放量的工业项目必须取得排污指标，不得影响污染物总量减排计划的完成。未按要求完成污染物总量削减任务的企业、流域和区域，不得建设新增相应污染物排放量的工业项目</w:t>
                  </w:r>
                </w:p>
              </w:tc>
              <w:tc>
                <w:tcPr>
                  <w:tcW w:w="1458" w:type="pct"/>
                  <w:shd w:val="clear" w:color="auto" w:fill="auto"/>
                  <w:vAlign w:val="center"/>
                </w:tcPr>
                <w:p>
                  <w:pPr>
                    <w:spacing w:line="320" w:lineRule="exact"/>
                    <w:rPr>
                      <w:spacing w:val="-2"/>
                    </w:rPr>
                  </w:pPr>
                  <w:r>
                    <w:rPr>
                      <w:spacing w:val="-2"/>
                    </w:rPr>
                    <w:t>建设单位污染物排放总量包括在工业园区的总量指标内</w:t>
                  </w:r>
                  <w:r>
                    <w:rPr>
                      <w:rFonts w:hint="eastAsia"/>
                      <w:spacing w:val="-2"/>
                    </w:rPr>
                    <w:t>。</w:t>
                  </w:r>
                </w:p>
              </w:tc>
              <w:tc>
                <w:tcPr>
                  <w:tcW w:w="534" w:type="pct"/>
                  <w:shd w:val="clear" w:color="auto" w:fill="auto"/>
                  <w:vAlign w:val="center"/>
                </w:tcPr>
                <w:p>
                  <w:pPr>
                    <w:spacing w:line="320" w:lineRule="exact"/>
                    <w:jc w:val="center"/>
                  </w:pPr>
                  <w:r>
                    <w:t>符合</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384" w:type="pct"/>
                  <w:shd w:val="clear" w:color="auto" w:fill="auto"/>
                  <w:vAlign w:val="center"/>
                </w:tcPr>
                <w:p>
                  <w:pPr>
                    <w:spacing w:line="320" w:lineRule="exact"/>
                    <w:jc w:val="center"/>
                  </w:pPr>
                  <w:r>
                    <w:t>7</w:t>
                  </w:r>
                </w:p>
              </w:tc>
              <w:tc>
                <w:tcPr>
                  <w:tcW w:w="2624" w:type="pct"/>
                  <w:shd w:val="clear" w:color="auto" w:fill="auto"/>
                  <w:vAlign w:val="center"/>
                </w:tcPr>
                <w:p>
                  <w:pPr>
                    <w:spacing w:line="320" w:lineRule="exact"/>
                  </w:pPr>
                  <w:r>
                    <w:t>新建、改建、扩建工业项目所在地大气、水环境主要污染物现状浓度占标准值90%~100%的，项目所在地应按该项目新增污染物排放量的1.5倍削减现有污染物排放量</w:t>
                  </w:r>
                </w:p>
              </w:tc>
              <w:tc>
                <w:tcPr>
                  <w:tcW w:w="1458" w:type="pct"/>
                  <w:shd w:val="clear" w:color="auto" w:fill="auto"/>
                  <w:vAlign w:val="center"/>
                </w:tcPr>
                <w:p>
                  <w:pPr>
                    <w:spacing w:line="320" w:lineRule="exact"/>
                    <w:rPr>
                      <w:spacing w:val="-2"/>
                    </w:rPr>
                  </w:pPr>
                  <w:r>
                    <w:rPr>
                      <w:rFonts w:hint="eastAsia"/>
                      <w:spacing w:val="-2"/>
                    </w:rPr>
                    <w:t>铜梁区大气环境属于达标区，排放的地表水、大气污染物排放纳入规划环评内。</w:t>
                  </w:r>
                </w:p>
              </w:tc>
              <w:tc>
                <w:tcPr>
                  <w:tcW w:w="534" w:type="pct"/>
                  <w:shd w:val="clear" w:color="auto" w:fill="auto"/>
                  <w:vAlign w:val="center"/>
                </w:tcPr>
                <w:p>
                  <w:pPr>
                    <w:spacing w:line="320" w:lineRule="exact"/>
                    <w:jc w:val="center"/>
                    <w:rPr>
                      <w:spacing w:val="-2"/>
                    </w:rPr>
                  </w:pPr>
                  <w:r>
                    <w:rPr>
                      <w:spacing w:val="-2"/>
                    </w:rPr>
                    <w:t>符合</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384" w:type="pct"/>
                  <w:shd w:val="clear" w:color="auto" w:fill="auto"/>
                  <w:vAlign w:val="center"/>
                </w:tcPr>
                <w:p>
                  <w:pPr>
                    <w:spacing w:line="320" w:lineRule="exact"/>
                    <w:jc w:val="center"/>
                  </w:pPr>
                  <w:r>
                    <w:t>8</w:t>
                  </w:r>
                </w:p>
              </w:tc>
              <w:tc>
                <w:tcPr>
                  <w:tcW w:w="2624" w:type="pct"/>
                  <w:shd w:val="clear" w:color="auto" w:fill="auto"/>
                  <w:vAlign w:val="center"/>
                </w:tcPr>
                <w:p>
                  <w:pPr>
                    <w:spacing w:line="320" w:lineRule="exact"/>
                  </w:pPr>
                  <w:r>
                    <w:t>新增重金属排放量的工业项目应落实污染物排放指标来源，确保国家重金属重点防控区域重金属排放总量按计划削减，其余区域的重金属排放总量不增加。优先保障市级重点项目的重金属污染物排放指标</w:t>
                  </w:r>
                </w:p>
              </w:tc>
              <w:tc>
                <w:tcPr>
                  <w:tcW w:w="1458" w:type="pct"/>
                  <w:shd w:val="clear" w:color="auto" w:fill="auto"/>
                  <w:vAlign w:val="center"/>
                </w:tcPr>
                <w:p>
                  <w:pPr>
                    <w:spacing w:line="320" w:lineRule="exact"/>
                  </w:pPr>
                  <w:r>
                    <w:t>项目不涉及重金属排放</w:t>
                  </w:r>
                </w:p>
              </w:tc>
              <w:tc>
                <w:tcPr>
                  <w:tcW w:w="534" w:type="pct"/>
                  <w:shd w:val="clear" w:color="auto" w:fill="auto"/>
                  <w:vAlign w:val="center"/>
                </w:tcPr>
                <w:p>
                  <w:pPr>
                    <w:spacing w:line="320" w:lineRule="exact"/>
                    <w:jc w:val="center"/>
                  </w:pPr>
                  <w:r>
                    <w:t>符合</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384" w:type="pct"/>
                  <w:shd w:val="clear" w:color="auto" w:fill="auto"/>
                  <w:vAlign w:val="center"/>
                </w:tcPr>
                <w:p>
                  <w:pPr>
                    <w:spacing w:line="320" w:lineRule="exact"/>
                    <w:jc w:val="center"/>
                  </w:pPr>
                  <w:r>
                    <w:t>9</w:t>
                  </w:r>
                </w:p>
              </w:tc>
              <w:tc>
                <w:tcPr>
                  <w:tcW w:w="2624" w:type="pct"/>
                  <w:shd w:val="clear" w:color="auto" w:fill="auto"/>
                  <w:vAlign w:val="center"/>
                </w:tcPr>
                <w:p>
                  <w:pPr>
                    <w:spacing w:line="320" w:lineRule="exact"/>
                  </w:pPr>
                  <w:r>
                    <w:t>禁止建设存在重大环境安全隐患的工业项目</w:t>
                  </w:r>
                </w:p>
              </w:tc>
              <w:tc>
                <w:tcPr>
                  <w:tcW w:w="1458" w:type="pct"/>
                  <w:shd w:val="clear" w:color="auto" w:fill="auto"/>
                  <w:vAlign w:val="center"/>
                </w:tcPr>
                <w:p>
                  <w:pPr>
                    <w:spacing w:line="320" w:lineRule="exact"/>
                  </w:pPr>
                  <w:r>
                    <w:t>项目不</w:t>
                  </w:r>
                  <w:r>
                    <w:rPr>
                      <w:rFonts w:hint="eastAsia"/>
                    </w:rPr>
                    <w:t>属于</w:t>
                  </w:r>
                  <w:r>
                    <w:t>存在重大环境安全隐患的工业项目</w:t>
                  </w:r>
                </w:p>
              </w:tc>
              <w:tc>
                <w:tcPr>
                  <w:tcW w:w="534" w:type="pct"/>
                  <w:shd w:val="clear" w:color="auto" w:fill="auto"/>
                  <w:vAlign w:val="center"/>
                </w:tcPr>
                <w:p>
                  <w:pPr>
                    <w:spacing w:line="320" w:lineRule="exact"/>
                    <w:jc w:val="center"/>
                  </w:pPr>
                  <w:r>
                    <w:t>符合</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384" w:type="pct"/>
                  <w:shd w:val="clear" w:color="auto" w:fill="auto"/>
                  <w:vAlign w:val="center"/>
                </w:tcPr>
                <w:p>
                  <w:pPr>
                    <w:spacing w:line="320" w:lineRule="exact"/>
                    <w:jc w:val="center"/>
                  </w:pPr>
                  <w:r>
                    <w:t>10</w:t>
                  </w:r>
                </w:p>
              </w:tc>
              <w:tc>
                <w:tcPr>
                  <w:tcW w:w="2624" w:type="pct"/>
                  <w:shd w:val="clear" w:color="auto" w:fill="auto"/>
                  <w:vAlign w:val="center"/>
                </w:tcPr>
                <w:p>
                  <w:pPr>
                    <w:spacing w:line="320" w:lineRule="exact"/>
                  </w:pPr>
                  <w:r>
                    <w:t>工业项目排放污染物必须达到国家和地方规定的污染物排放标准，资源环境绩效水平应达到本规定要求</w:t>
                  </w:r>
                </w:p>
              </w:tc>
              <w:tc>
                <w:tcPr>
                  <w:tcW w:w="1458" w:type="pct"/>
                  <w:shd w:val="clear" w:color="auto" w:fill="auto"/>
                  <w:vAlign w:val="center"/>
                </w:tcPr>
                <w:p>
                  <w:pPr>
                    <w:spacing w:line="320" w:lineRule="exact"/>
                  </w:pPr>
                  <w:r>
                    <w:t>外排污染物达标排放</w:t>
                  </w:r>
                </w:p>
              </w:tc>
              <w:tc>
                <w:tcPr>
                  <w:tcW w:w="534" w:type="pct"/>
                  <w:shd w:val="clear" w:color="auto" w:fill="auto"/>
                  <w:vAlign w:val="center"/>
                </w:tcPr>
                <w:p>
                  <w:pPr>
                    <w:spacing w:line="320" w:lineRule="exact"/>
                    <w:jc w:val="center"/>
                  </w:pPr>
                  <w:r>
                    <w:t>符合</w:t>
                  </w:r>
                </w:p>
              </w:tc>
            </w:tr>
          </w:tbl>
          <w:p>
            <w:pPr>
              <w:pStyle w:val="82"/>
            </w:pPr>
            <w:r>
              <w:rPr>
                <w:rFonts w:hint="eastAsia"/>
              </w:rPr>
              <w:t>由上表可知，项目的建设符合《重庆市工业项目环境准入规定》（修订）中相关要求。</w:t>
            </w:r>
          </w:p>
          <w:p>
            <w:pPr>
              <w:pStyle w:val="82"/>
              <w:ind w:firstLine="482"/>
              <w:rPr>
                <w:b/>
                <w:bCs/>
              </w:rPr>
            </w:pPr>
            <w:r>
              <w:rPr>
                <w:b/>
                <w:bCs/>
              </w:rPr>
              <w:t>（3）与《长江经济带发展负面清单指南（试行，2022年版）》（长江办〔2022〕7号）的符合性</w:t>
            </w:r>
            <w:r>
              <w:rPr>
                <w:rFonts w:hint="eastAsia"/>
                <w:b/>
                <w:bCs/>
              </w:rPr>
              <w:t>分析</w:t>
            </w:r>
          </w:p>
          <w:p>
            <w:pPr>
              <w:pStyle w:val="83"/>
            </w:pPr>
            <w:r>
              <w:t>表</w:t>
            </w:r>
            <w:r>
              <w:rPr>
                <w:rFonts w:hint="eastAsia"/>
              </w:rPr>
              <w:t>1</w:t>
            </w:r>
            <w:r>
              <w:t>-8  项目与《长江经济带发展负面清单指南（试行，2022年版）》符合性分析表</w:t>
            </w:r>
          </w:p>
          <w:tbl>
            <w:tblPr>
              <w:tblStyle w:val="24"/>
              <w:tblW w:w="5000" w:type="pct"/>
              <w:jc w:val="center"/>
              <w:tblLayout w:type="autofit"/>
              <w:tblCellMar>
                <w:top w:w="0" w:type="dxa"/>
                <w:left w:w="108" w:type="dxa"/>
                <w:bottom w:w="0" w:type="dxa"/>
                <w:right w:w="108" w:type="dxa"/>
              </w:tblCellMar>
            </w:tblPr>
            <w:tblGrid>
              <w:gridCol w:w="532"/>
              <w:gridCol w:w="4939"/>
              <w:gridCol w:w="2217"/>
              <w:gridCol w:w="689"/>
            </w:tblGrid>
            <w:tr>
              <w:tblPrEx>
                <w:tblCellMar>
                  <w:top w:w="0" w:type="dxa"/>
                  <w:left w:w="108" w:type="dxa"/>
                  <w:bottom w:w="0" w:type="dxa"/>
                  <w:right w:w="108" w:type="dxa"/>
                </w:tblCellMar>
              </w:tblPrEx>
              <w:trPr>
                <w:trHeight w:val="567" w:hRule="atLeast"/>
                <w:jc w:val="center"/>
              </w:trPr>
              <w:tc>
                <w:tcPr>
                  <w:tcW w:w="318" w:type="pct"/>
                  <w:tcBorders>
                    <w:top w:val="single" w:color="auto" w:sz="4" w:space="0"/>
                    <w:left w:val="single" w:color="auto" w:sz="4" w:space="0"/>
                    <w:bottom w:val="single" w:color="auto" w:sz="4" w:space="0"/>
                    <w:right w:val="single" w:color="auto" w:sz="4" w:space="0"/>
                  </w:tcBorders>
                  <w:vAlign w:val="center"/>
                </w:tcPr>
                <w:p>
                  <w:pPr>
                    <w:pStyle w:val="52"/>
                  </w:pPr>
                  <w:r>
                    <w:t>序号</w:t>
                  </w:r>
                </w:p>
              </w:tc>
              <w:tc>
                <w:tcPr>
                  <w:tcW w:w="2948" w:type="pct"/>
                  <w:tcBorders>
                    <w:top w:val="single" w:color="auto" w:sz="4" w:space="0"/>
                    <w:left w:val="nil"/>
                    <w:bottom w:val="single" w:color="auto" w:sz="4" w:space="0"/>
                    <w:right w:val="single" w:color="auto" w:sz="4" w:space="0"/>
                  </w:tcBorders>
                  <w:vAlign w:val="center"/>
                </w:tcPr>
                <w:p>
                  <w:pPr>
                    <w:pStyle w:val="52"/>
                  </w:pPr>
                  <w:r>
                    <w:t>环境准入条件</w:t>
                  </w:r>
                </w:p>
              </w:tc>
              <w:tc>
                <w:tcPr>
                  <w:tcW w:w="1323" w:type="pct"/>
                  <w:tcBorders>
                    <w:top w:val="single" w:color="auto" w:sz="4" w:space="0"/>
                    <w:left w:val="nil"/>
                    <w:bottom w:val="single" w:color="auto" w:sz="4" w:space="0"/>
                    <w:right w:val="single" w:color="auto" w:sz="4" w:space="0"/>
                  </w:tcBorders>
                  <w:vAlign w:val="center"/>
                </w:tcPr>
                <w:p>
                  <w:pPr>
                    <w:pStyle w:val="52"/>
                  </w:pPr>
                  <w:r>
                    <w:t>项目的准入条件符合性分析</w:t>
                  </w:r>
                </w:p>
              </w:tc>
              <w:tc>
                <w:tcPr>
                  <w:tcW w:w="411" w:type="pct"/>
                  <w:tcBorders>
                    <w:top w:val="single" w:color="auto" w:sz="4" w:space="0"/>
                    <w:left w:val="nil"/>
                    <w:bottom w:val="single" w:color="auto" w:sz="4" w:space="0"/>
                    <w:right w:val="single" w:color="auto" w:sz="4" w:space="0"/>
                  </w:tcBorders>
                  <w:vAlign w:val="center"/>
                </w:tcPr>
                <w:p>
                  <w:pPr>
                    <w:pStyle w:val="52"/>
                  </w:pPr>
                  <w:r>
                    <w:t>结论</w:t>
                  </w:r>
                </w:p>
              </w:tc>
            </w:tr>
            <w:tr>
              <w:tblPrEx>
                <w:tblCellMar>
                  <w:top w:w="0" w:type="dxa"/>
                  <w:left w:w="108" w:type="dxa"/>
                  <w:bottom w:w="0" w:type="dxa"/>
                  <w:right w:w="108" w:type="dxa"/>
                </w:tblCellMar>
              </w:tblPrEx>
              <w:trPr>
                <w:trHeight w:val="567" w:hRule="atLeast"/>
                <w:jc w:val="center"/>
              </w:trPr>
              <w:tc>
                <w:tcPr>
                  <w:tcW w:w="318" w:type="pct"/>
                  <w:tcBorders>
                    <w:top w:val="nil"/>
                    <w:left w:val="single" w:color="auto" w:sz="4" w:space="0"/>
                    <w:bottom w:val="single" w:color="auto" w:sz="4" w:space="0"/>
                    <w:right w:val="single" w:color="auto" w:sz="4" w:space="0"/>
                  </w:tcBorders>
                  <w:vAlign w:val="center"/>
                </w:tcPr>
                <w:p>
                  <w:pPr>
                    <w:pStyle w:val="52"/>
                  </w:pPr>
                  <w:r>
                    <w:t>1</w:t>
                  </w:r>
                </w:p>
              </w:tc>
              <w:tc>
                <w:tcPr>
                  <w:tcW w:w="2948" w:type="pct"/>
                  <w:tcBorders>
                    <w:top w:val="nil"/>
                    <w:left w:val="nil"/>
                    <w:bottom w:val="single" w:color="auto" w:sz="4" w:space="0"/>
                    <w:right w:val="single" w:color="auto" w:sz="4" w:space="0"/>
                  </w:tcBorders>
                  <w:vAlign w:val="center"/>
                </w:tcPr>
                <w:p>
                  <w:pPr>
                    <w:pStyle w:val="52"/>
                  </w:pPr>
                  <w:r>
                    <w:t>禁止建设不符合全国和省级港口布局规划以及港口总体规划的码头项目，禁止建设不符合《长江干线过江通道布局规划》的过长江通道项目</w:t>
                  </w:r>
                </w:p>
              </w:tc>
              <w:tc>
                <w:tcPr>
                  <w:tcW w:w="1323" w:type="pct"/>
                  <w:tcBorders>
                    <w:top w:val="nil"/>
                    <w:left w:val="nil"/>
                    <w:bottom w:val="single" w:color="auto" w:sz="4" w:space="0"/>
                    <w:right w:val="single" w:color="auto" w:sz="4" w:space="0"/>
                  </w:tcBorders>
                  <w:vAlign w:val="center"/>
                </w:tcPr>
                <w:p>
                  <w:pPr>
                    <w:pStyle w:val="52"/>
                  </w:pPr>
                  <w:r>
                    <w:rPr>
                      <w:rFonts w:hint="eastAsia"/>
                    </w:rPr>
                    <w:t>拟建项目不</w:t>
                  </w:r>
                  <w:r>
                    <w:t>属于码头及过江项目</w:t>
                  </w:r>
                  <w:r>
                    <w:rPr>
                      <w:rFonts w:hint="eastAsia"/>
                    </w:rPr>
                    <w:t>。</w:t>
                  </w:r>
                </w:p>
              </w:tc>
              <w:tc>
                <w:tcPr>
                  <w:tcW w:w="411" w:type="pct"/>
                  <w:tcBorders>
                    <w:top w:val="nil"/>
                    <w:left w:val="nil"/>
                    <w:bottom w:val="single" w:color="auto" w:sz="4" w:space="0"/>
                    <w:right w:val="single" w:color="auto" w:sz="4" w:space="0"/>
                  </w:tcBorders>
                  <w:vAlign w:val="center"/>
                </w:tcPr>
                <w:p>
                  <w:pPr>
                    <w:pStyle w:val="52"/>
                  </w:pPr>
                  <w:r>
                    <w:t>满足要求</w:t>
                  </w:r>
                </w:p>
              </w:tc>
            </w:tr>
            <w:tr>
              <w:tblPrEx>
                <w:tblCellMar>
                  <w:top w:w="0" w:type="dxa"/>
                  <w:left w:w="108" w:type="dxa"/>
                  <w:bottom w:w="0" w:type="dxa"/>
                  <w:right w:w="108" w:type="dxa"/>
                </w:tblCellMar>
              </w:tblPrEx>
              <w:trPr>
                <w:trHeight w:val="567" w:hRule="atLeast"/>
                <w:jc w:val="center"/>
              </w:trPr>
              <w:tc>
                <w:tcPr>
                  <w:tcW w:w="318" w:type="pct"/>
                  <w:tcBorders>
                    <w:top w:val="nil"/>
                    <w:left w:val="single" w:color="auto" w:sz="4" w:space="0"/>
                    <w:bottom w:val="single" w:color="auto" w:sz="4" w:space="0"/>
                    <w:right w:val="single" w:color="auto" w:sz="4" w:space="0"/>
                  </w:tcBorders>
                  <w:vAlign w:val="center"/>
                </w:tcPr>
                <w:p>
                  <w:pPr>
                    <w:pStyle w:val="52"/>
                  </w:pPr>
                  <w:r>
                    <w:t>2</w:t>
                  </w:r>
                </w:p>
              </w:tc>
              <w:tc>
                <w:tcPr>
                  <w:tcW w:w="2948" w:type="pct"/>
                  <w:tcBorders>
                    <w:top w:val="nil"/>
                    <w:left w:val="nil"/>
                    <w:bottom w:val="single" w:color="auto" w:sz="4" w:space="0"/>
                    <w:right w:val="single" w:color="auto" w:sz="4" w:space="0"/>
                  </w:tcBorders>
                  <w:vAlign w:val="center"/>
                </w:tcPr>
                <w:p>
                  <w:pPr>
                    <w:pStyle w:val="52"/>
                  </w:pPr>
                  <w:r>
                    <w:t>禁止在自然保护区核心区、缓冲区的岸线和河段范围内投资建设旅游和生产经营项目。禁止在风景名胜区核心景区的岸线和河段范围内投资建设与风景名胜资源保护无关的项目</w:t>
                  </w:r>
                </w:p>
              </w:tc>
              <w:tc>
                <w:tcPr>
                  <w:tcW w:w="1323" w:type="pct"/>
                  <w:tcBorders>
                    <w:top w:val="nil"/>
                    <w:left w:val="nil"/>
                    <w:bottom w:val="single" w:color="auto" w:sz="4" w:space="0"/>
                    <w:right w:val="single" w:color="auto" w:sz="4" w:space="0"/>
                  </w:tcBorders>
                  <w:vAlign w:val="center"/>
                </w:tcPr>
                <w:p>
                  <w:pPr>
                    <w:pStyle w:val="52"/>
                  </w:pPr>
                  <w:r>
                    <w:rPr>
                      <w:rFonts w:hint="eastAsia"/>
                    </w:rPr>
                    <w:t>拟建项目</w:t>
                  </w:r>
                  <w:r>
                    <w:t>未在自然保护区、风景名胜区内</w:t>
                  </w:r>
                  <w:r>
                    <w:rPr>
                      <w:rFonts w:hint="eastAsia"/>
                    </w:rPr>
                    <w:t>。</w:t>
                  </w:r>
                </w:p>
              </w:tc>
              <w:tc>
                <w:tcPr>
                  <w:tcW w:w="411" w:type="pct"/>
                  <w:tcBorders>
                    <w:top w:val="nil"/>
                    <w:left w:val="nil"/>
                    <w:bottom w:val="single" w:color="auto" w:sz="4" w:space="0"/>
                    <w:right w:val="single" w:color="auto" w:sz="4" w:space="0"/>
                  </w:tcBorders>
                  <w:vAlign w:val="center"/>
                </w:tcPr>
                <w:p>
                  <w:pPr>
                    <w:pStyle w:val="52"/>
                  </w:pPr>
                  <w:r>
                    <w:t>满足要求</w:t>
                  </w:r>
                </w:p>
              </w:tc>
            </w:tr>
            <w:tr>
              <w:tblPrEx>
                <w:tblCellMar>
                  <w:top w:w="0" w:type="dxa"/>
                  <w:left w:w="108" w:type="dxa"/>
                  <w:bottom w:w="0" w:type="dxa"/>
                  <w:right w:w="108" w:type="dxa"/>
                </w:tblCellMar>
              </w:tblPrEx>
              <w:trPr>
                <w:trHeight w:val="567" w:hRule="atLeast"/>
                <w:jc w:val="center"/>
              </w:trPr>
              <w:tc>
                <w:tcPr>
                  <w:tcW w:w="318" w:type="pct"/>
                  <w:tcBorders>
                    <w:top w:val="nil"/>
                    <w:left w:val="single" w:color="auto" w:sz="4" w:space="0"/>
                    <w:bottom w:val="single" w:color="auto" w:sz="4" w:space="0"/>
                    <w:right w:val="single" w:color="auto" w:sz="4" w:space="0"/>
                  </w:tcBorders>
                  <w:vAlign w:val="center"/>
                </w:tcPr>
                <w:p>
                  <w:pPr>
                    <w:pStyle w:val="52"/>
                  </w:pPr>
                  <w:r>
                    <w:t>3</w:t>
                  </w:r>
                </w:p>
              </w:tc>
              <w:tc>
                <w:tcPr>
                  <w:tcW w:w="2948" w:type="pct"/>
                  <w:tcBorders>
                    <w:top w:val="nil"/>
                    <w:left w:val="nil"/>
                    <w:bottom w:val="single" w:color="auto" w:sz="4" w:space="0"/>
                    <w:right w:val="single" w:color="auto" w:sz="4" w:space="0"/>
                  </w:tcBorders>
                  <w:vAlign w:val="center"/>
                </w:tcPr>
                <w:p>
                  <w:pPr>
                    <w:pStyle w:val="52"/>
                  </w:pPr>
                  <w:r>
                    <w:t>禁止在饮用水水源一级保护区的岸线和河段范围内新建、改建、扩建与供水设施和保护水源无关的项目，以及网箱养殖、</w:t>
                  </w:r>
                  <w:r>
                    <w:rPr>
                      <w:rFonts w:hint="eastAsia"/>
                    </w:rPr>
                    <w:t>畜禽养殖、</w:t>
                  </w:r>
                  <w:r>
                    <w:t>旅游等可能污染饮用水水体的投资建设项目。禁止在饮用水水源二级保护区的岸线和河段范围内新建、改建、扩建排放污染物的投资建设项目</w:t>
                  </w:r>
                </w:p>
              </w:tc>
              <w:tc>
                <w:tcPr>
                  <w:tcW w:w="1323" w:type="pct"/>
                  <w:tcBorders>
                    <w:top w:val="nil"/>
                    <w:left w:val="nil"/>
                    <w:bottom w:val="single" w:color="auto" w:sz="4" w:space="0"/>
                    <w:right w:val="single" w:color="auto" w:sz="4" w:space="0"/>
                  </w:tcBorders>
                  <w:vAlign w:val="center"/>
                </w:tcPr>
                <w:p>
                  <w:pPr>
                    <w:pStyle w:val="52"/>
                  </w:pPr>
                  <w:r>
                    <w:rPr>
                      <w:rFonts w:hint="eastAsia"/>
                    </w:rPr>
                    <w:t>拟建项目</w:t>
                  </w:r>
                  <w:r>
                    <w:t>选址为工业用地，未在饮用水水源一级保护区</w:t>
                  </w:r>
                  <w:r>
                    <w:rPr>
                      <w:rFonts w:hint="eastAsia"/>
                    </w:rPr>
                    <w:t>及</w:t>
                  </w:r>
                  <w:r>
                    <w:t>饮用水水源二级保护区的岸线和河段范围内</w:t>
                  </w:r>
                  <w:r>
                    <w:rPr>
                      <w:rFonts w:hint="eastAsia"/>
                    </w:rPr>
                    <w:t>。</w:t>
                  </w:r>
                </w:p>
              </w:tc>
              <w:tc>
                <w:tcPr>
                  <w:tcW w:w="411" w:type="pct"/>
                  <w:tcBorders>
                    <w:top w:val="nil"/>
                    <w:left w:val="nil"/>
                    <w:bottom w:val="single" w:color="auto" w:sz="4" w:space="0"/>
                    <w:right w:val="single" w:color="auto" w:sz="4" w:space="0"/>
                  </w:tcBorders>
                  <w:vAlign w:val="center"/>
                </w:tcPr>
                <w:p>
                  <w:pPr>
                    <w:pStyle w:val="52"/>
                  </w:pPr>
                  <w:r>
                    <w:t>满足要求</w:t>
                  </w:r>
                </w:p>
              </w:tc>
            </w:tr>
            <w:tr>
              <w:tblPrEx>
                <w:tblCellMar>
                  <w:top w:w="0" w:type="dxa"/>
                  <w:left w:w="108" w:type="dxa"/>
                  <w:bottom w:w="0" w:type="dxa"/>
                  <w:right w:w="108" w:type="dxa"/>
                </w:tblCellMar>
              </w:tblPrEx>
              <w:trPr>
                <w:trHeight w:val="567" w:hRule="atLeast"/>
                <w:jc w:val="center"/>
              </w:trPr>
              <w:tc>
                <w:tcPr>
                  <w:tcW w:w="318" w:type="pct"/>
                  <w:tcBorders>
                    <w:top w:val="nil"/>
                    <w:left w:val="single" w:color="auto" w:sz="4" w:space="0"/>
                    <w:bottom w:val="single" w:color="auto" w:sz="4" w:space="0"/>
                    <w:right w:val="single" w:color="auto" w:sz="4" w:space="0"/>
                  </w:tcBorders>
                  <w:vAlign w:val="center"/>
                </w:tcPr>
                <w:p>
                  <w:pPr>
                    <w:pStyle w:val="52"/>
                  </w:pPr>
                  <w:r>
                    <w:t>4</w:t>
                  </w:r>
                </w:p>
              </w:tc>
              <w:tc>
                <w:tcPr>
                  <w:tcW w:w="2948" w:type="pct"/>
                  <w:tcBorders>
                    <w:top w:val="nil"/>
                    <w:left w:val="nil"/>
                    <w:bottom w:val="single" w:color="auto" w:sz="4" w:space="0"/>
                    <w:right w:val="single" w:color="auto" w:sz="4" w:space="0"/>
                  </w:tcBorders>
                  <w:vAlign w:val="center"/>
                </w:tcPr>
                <w:p>
                  <w:pPr>
                    <w:pStyle w:val="52"/>
                  </w:pPr>
                  <w:r>
                    <w:t>禁止在水产种质资源保护区的岸线和河段范围内新建排污口，以及围湖造田、围海造地或围填海等投资建设项目。禁止在国家湿地公园的岸线和河段范围内挖砂、采矿，以及任何不符合主体功能定位的投资建设项目</w:t>
                  </w:r>
                </w:p>
              </w:tc>
              <w:tc>
                <w:tcPr>
                  <w:tcW w:w="1323" w:type="pct"/>
                  <w:tcBorders>
                    <w:top w:val="nil"/>
                    <w:left w:val="nil"/>
                    <w:bottom w:val="single" w:color="auto" w:sz="4" w:space="0"/>
                    <w:right w:val="single" w:color="auto" w:sz="4" w:space="0"/>
                  </w:tcBorders>
                  <w:vAlign w:val="center"/>
                </w:tcPr>
                <w:p>
                  <w:pPr>
                    <w:pStyle w:val="52"/>
                  </w:pPr>
                  <w:r>
                    <w:rPr>
                      <w:rFonts w:hint="eastAsia"/>
                    </w:rPr>
                    <w:t>拟建项目属于其他塑料制品制造，不属于</w:t>
                  </w:r>
                  <w:r>
                    <w:t>排污口</w:t>
                  </w:r>
                  <w:r>
                    <w:rPr>
                      <w:rFonts w:hint="eastAsia"/>
                    </w:rPr>
                    <w:t>项目</w:t>
                  </w:r>
                  <w:r>
                    <w:t>，不属于造地项目及挖砂、采矿项目</w:t>
                  </w:r>
                  <w:r>
                    <w:rPr>
                      <w:rFonts w:hint="eastAsia"/>
                    </w:rPr>
                    <w:t>。</w:t>
                  </w:r>
                </w:p>
              </w:tc>
              <w:tc>
                <w:tcPr>
                  <w:tcW w:w="411" w:type="pct"/>
                  <w:tcBorders>
                    <w:top w:val="nil"/>
                    <w:left w:val="nil"/>
                    <w:bottom w:val="single" w:color="auto" w:sz="4" w:space="0"/>
                    <w:right w:val="single" w:color="auto" w:sz="4" w:space="0"/>
                  </w:tcBorders>
                  <w:vAlign w:val="center"/>
                </w:tcPr>
                <w:p>
                  <w:pPr>
                    <w:pStyle w:val="52"/>
                  </w:pPr>
                  <w:r>
                    <w:t>满足要求</w:t>
                  </w:r>
                </w:p>
              </w:tc>
            </w:tr>
            <w:tr>
              <w:tblPrEx>
                <w:tblCellMar>
                  <w:top w:w="0" w:type="dxa"/>
                  <w:left w:w="108" w:type="dxa"/>
                  <w:bottom w:w="0" w:type="dxa"/>
                  <w:right w:w="108" w:type="dxa"/>
                </w:tblCellMar>
              </w:tblPrEx>
              <w:trPr>
                <w:trHeight w:val="567" w:hRule="atLeast"/>
                <w:jc w:val="center"/>
              </w:trPr>
              <w:tc>
                <w:tcPr>
                  <w:tcW w:w="318" w:type="pct"/>
                  <w:tcBorders>
                    <w:top w:val="nil"/>
                    <w:left w:val="single" w:color="auto" w:sz="4" w:space="0"/>
                    <w:bottom w:val="single" w:color="auto" w:sz="4" w:space="0"/>
                    <w:right w:val="single" w:color="auto" w:sz="4" w:space="0"/>
                  </w:tcBorders>
                  <w:vAlign w:val="center"/>
                </w:tcPr>
                <w:p>
                  <w:pPr>
                    <w:pStyle w:val="52"/>
                  </w:pPr>
                  <w:r>
                    <w:t>5</w:t>
                  </w:r>
                </w:p>
              </w:tc>
              <w:tc>
                <w:tcPr>
                  <w:tcW w:w="2948" w:type="pct"/>
                  <w:tcBorders>
                    <w:top w:val="nil"/>
                    <w:left w:val="nil"/>
                    <w:bottom w:val="single" w:color="auto" w:sz="4" w:space="0"/>
                    <w:right w:val="single" w:color="auto" w:sz="4" w:space="0"/>
                  </w:tcBorders>
                  <w:vAlign w:val="center"/>
                </w:tcPr>
                <w:p>
                  <w:pPr>
                    <w:pStyle w:val="52"/>
                  </w:pPr>
                  <w:r>
                    <w:rPr>
                      <w:rFonts w:hint="eastAsia"/>
                    </w:rPr>
                    <w:t>禁止违法利用、占用长江流域河湖岸线。</w:t>
                  </w:r>
                  <w:r>
                    <w:t>禁止在《长江岸线保护和开发利用总体规划》划定的岸线保护区</w:t>
                  </w:r>
                  <w:r>
                    <w:rPr>
                      <w:rFonts w:hint="eastAsia"/>
                    </w:rPr>
                    <w:t>和保留区</w:t>
                  </w:r>
                  <w:r>
                    <w:t>内投资建设除</w:t>
                  </w:r>
                  <w:r>
                    <w:rPr>
                      <w:rFonts w:hint="eastAsia"/>
                    </w:rPr>
                    <w:t>事关公共安全及公众利益的防洪护岸、河道治理、供水、生态环境保护、航道整治、国家重要基础设施以外的项目</w:t>
                  </w:r>
                  <w:r>
                    <w:t>。禁止在《全国重要江河湖泊水功能区划》划定的河段</w:t>
                  </w:r>
                  <w:r>
                    <w:rPr>
                      <w:rFonts w:hint="eastAsia"/>
                    </w:rPr>
                    <w:t>及湖泊</w:t>
                  </w:r>
                  <w:r>
                    <w:t>保护区、保留区内投资建设不利于水资源及自然生态保护的项目</w:t>
                  </w:r>
                </w:p>
              </w:tc>
              <w:tc>
                <w:tcPr>
                  <w:tcW w:w="1323" w:type="pct"/>
                  <w:tcBorders>
                    <w:top w:val="nil"/>
                    <w:left w:val="nil"/>
                    <w:bottom w:val="single" w:color="auto" w:sz="4" w:space="0"/>
                    <w:right w:val="single" w:color="auto" w:sz="4" w:space="0"/>
                  </w:tcBorders>
                  <w:vAlign w:val="center"/>
                </w:tcPr>
                <w:p>
                  <w:pPr>
                    <w:pStyle w:val="52"/>
                  </w:pPr>
                  <w:r>
                    <w:rPr>
                      <w:rFonts w:hint="eastAsia"/>
                    </w:rPr>
                    <w:t>拟建项目位于重庆市铜梁区龙山大道2</w:t>
                  </w:r>
                  <w:r>
                    <w:t>0</w:t>
                  </w:r>
                  <w:r>
                    <w:rPr>
                      <w:rFonts w:hint="eastAsia"/>
                    </w:rPr>
                    <w:t>号</w:t>
                  </w:r>
                  <w:r>
                    <w:t>，未在禁止区域内。</w:t>
                  </w:r>
                </w:p>
              </w:tc>
              <w:tc>
                <w:tcPr>
                  <w:tcW w:w="411" w:type="pct"/>
                  <w:tcBorders>
                    <w:top w:val="nil"/>
                    <w:left w:val="nil"/>
                    <w:bottom w:val="single" w:color="auto" w:sz="4" w:space="0"/>
                    <w:right w:val="single" w:color="auto" w:sz="4" w:space="0"/>
                  </w:tcBorders>
                  <w:vAlign w:val="center"/>
                </w:tcPr>
                <w:p>
                  <w:pPr>
                    <w:pStyle w:val="52"/>
                  </w:pPr>
                  <w:r>
                    <w:t>满足要求</w:t>
                  </w:r>
                </w:p>
              </w:tc>
            </w:tr>
            <w:tr>
              <w:tblPrEx>
                <w:tblCellMar>
                  <w:top w:w="0" w:type="dxa"/>
                  <w:left w:w="108" w:type="dxa"/>
                  <w:bottom w:w="0" w:type="dxa"/>
                  <w:right w:w="108" w:type="dxa"/>
                </w:tblCellMar>
              </w:tblPrEx>
              <w:trPr>
                <w:trHeight w:val="567" w:hRule="atLeast"/>
                <w:jc w:val="center"/>
              </w:trPr>
              <w:tc>
                <w:tcPr>
                  <w:tcW w:w="318" w:type="pct"/>
                  <w:tcBorders>
                    <w:top w:val="single" w:color="auto" w:sz="4" w:space="0"/>
                    <w:left w:val="single" w:color="auto" w:sz="4" w:space="0"/>
                    <w:bottom w:val="single" w:color="auto" w:sz="4" w:space="0"/>
                    <w:right w:val="single" w:color="auto" w:sz="4" w:space="0"/>
                  </w:tcBorders>
                  <w:vAlign w:val="center"/>
                </w:tcPr>
                <w:p>
                  <w:pPr>
                    <w:pStyle w:val="52"/>
                  </w:pPr>
                  <w:r>
                    <w:t>6</w:t>
                  </w:r>
                </w:p>
              </w:tc>
              <w:tc>
                <w:tcPr>
                  <w:tcW w:w="2948" w:type="pct"/>
                  <w:tcBorders>
                    <w:top w:val="single" w:color="auto" w:sz="4" w:space="0"/>
                    <w:left w:val="nil"/>
                    <w:bottom w:val="single" w:color="auto" w:sz="4" w:space="0"/>
                    <w:right w:val="single" w:color="auto" w:sz="4" w:space="0"/>
                  </w:tcBorders>
                  <w:vAlign w:val="center"/>
                </w:tcPr>
                <w:p>
                  <w:pPr>
                    <w:pStyle w:val="52"/>
                  </w:pPr>
                  <w:r>
                    <w:rPr>
                      <w:rFonts w:hint="eastAsia"/>
                    </w:rPr>
                    <w:t>禁止未经许可在长江干支流及湖泊新设、改设或扩大排污口</w:t>
                  </w:r>
                </w:p>
              </w:tc>
              <w:tc>
                <w:tcPr>
                  <w:tcW w:w="1323" w:type="pct"/>
                  <w:tcBorders>
                    <w:top w:val="single" w:color="auto" w:sz="4" w:space="0"/>
                    <w:left w:val="nil"/>
                    <w:bottom w:val="single" w:color="auto" w:sz="4" w:space="0"/>
                    <w:right w:val="single" w:color="auto" w:sz="4" w:space="0"/>
                  </w:tcBorders>
                  <w:vAlign w:val="center"/>
                </w:tcPr>
                <w:p>
                  <w:pPr>
                    <w:pStyle w:val="52"/>
                  </w:pPr>
                  <w:r>
                    <w:rPr>
                      <w:rFonts w:hint="eastAsia"/>
                    </w:rPr>
                    <w:t>拟建项目不属于排污口项目。</w:t>
                  </w:r>
                </w:p>
              </w:tc>
              <w:tc>
                <w:tcPr>
                  <w:tcW w:w="411" w:type="pct"/>
                  <w:tcBorders>
                    <w:top w:val="single" w:color="auto" w:sz="4" w:space="0"/>
                    <w:left w:val="nil"/>
                    <w:bottom w:val="single" w:color="auto" w:sz="4" w:space="0"/>
                    <w:right w:val="single" w:color="auto" w:sz="4" w:space="0"/>
                  </w:tcBorders>
                  <w:vAlign w:val="center"/>
                </w:tcPr>
                <w:p>
                  <w:pPr>
                    <w:pStyle w:val="52"/>
                  </w:pPr>
                  <w:r>
                    <w:t>满足要求</w:t>
                  </w:r>
                </w:p>
              </w:tc>
            </w:tr>
            <w:tr>
              <w:tblPrEx>
                <w:tblCellMar>
                  <w:top w:w="0" w:type="dxa"/>
                  <w:left w:w="108" w:type="dxa"/>
                  <w:bottom w:w="0" w:type="dxa"/>
                  <w:right w:w="108" w:type="dxa"/>
                </w:tblCellMar>
              </w:tblPrEx>
              <w:trPr>
                <w:trHeight w:val="567" w:hRule="atLeast"/>
                <w:jc w:val="center"/>
              </w:trPr>
              <w:tc>
                <w:tcPr>
                  <w:tcW w:w="318"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7</w:t>
                  </w:r>
                </w:p>
              </w:tc>
              <w:tc>
                <w:tcPr>
                  <w:tcW w:w="2948" w:type="pct"/>
                  <w:tcBorders>
                    <w:top w:val="single" w:color="auto" w:sz="4" w:space="0"/>
                    <w:left w:val="nil"/>
                    <w:bottom w:val="single" w:color="auto" w:sz="4" w:space="0"/>
                    <w:right w:val="single" w:color="auto" w:sz="4" w:space="0"/>
                  </w:tcBorders>
                  <w:vAlign w:val="center"/>
                </w:tcPr>
                <w:p>
                  <w:pPr>
                    <w:pStyle w:val="52"/>
                  </w:pPr>
                  <w:r>
                    <w:rPr>
                      <w:rFonts w:hint="eastAsia"/>
                    </w:rPr>
                    <w:t>禁止“一江一口两湖七河”河332个水生生物保护区开展生产性捕捞</w:t>
                  </w:r>
                </w:p>
              </w:tc>
              <w:tc>
                <w:tcPr>
                  <w:tcW w:w="1323" w:type="pct"/>
                  <w:tcBorders>
                    <w:top w:val="single" w:color="auto" w:sz="4" w:space="0"/>
                    <w:left w:val="nil"/>
                    <w:bottom w:val="single" w:color="auto" w:sz="4" w:space="0"/>
                    <w:right w:val="single" w:color="auto" w:sz="4" w:space="0"/>
                  </w:tcBorders>
                  <w:vAlign w:val="center"/>
                </w:tcPr>
                <w:p>
                  <w:pPr>
                    <w:pStyle w:val="52"/>
                  </w:pPr>
                  <w:r>
                    <w:rPr>
                      <w:rFonts w:hint="eastAsia"/>
                    </w:rPr>
                    <w:t>拟建项目不开展生产性捕捞。</w:t>
                  </w:r>
                </w:p>
              </w:tc>
              <w:tc>
                <w:tcPr>
                  <w:tcW w:w="411" w:type="pct"/>
                  <w:tcBorders>
                    <w:top w:val="single" w:color="auto" w:sz="4" w:space="0"/>
                    <w:left w:val="nil"/>
                    <w:bottom w:val="single" w:color="auto" w:sz="4" w:space="0"/>
                    <w:right w:val="single" w:color="auto" w:sz="4" w:space="0"/>
                  </w:tcBorders>
                  <w:vAlign w:val="center"/>
                </w:tcPr>
                <w:p>
                  <w:pPr>
                    <w:pStyle w:val="52"/>
                  </w:pPr>
                  <w:r>
                    <w:t>满足要求</w:t>
                  </w:r>
                </w:p>
              </w:tc>
            </w:tr>
            <w:tr>
              <w:tblPrEx>
                <w:tblCellMar>
                  <w:top w:w="0" w:type="dxa"/>
                  <w:left w:w="108" w:type="dxa"/>
                  <w:bottom w:w="0" w:type="dxa"/>
                  <w:right w:w="108" w:type="dxa"/>
                </w:tblCellMar>
              </w:tblPrEx>
              <w:trPr>
                <w:trHeight w:val="567" w:hRule="atLeast"/>
                <w:jc w:val="center"/>
              </w:trPr>
              <w:tc>
                <w:tcPr>
                  <w:tcW w:w="318"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8</w:t>
                  </w:r>
                </w:p>
              </w:tc>
              <w:tc>
                <w:tcPr>
                  <w:tcW w:w="2948" w:type="pct"/>
                  <w:tcBorders>
                    <w:top w:val="single" w:color="auto" w:sz="4" w:space="0"/>
                    <w:left w:val="nil"/>
                    <w:bottom w:val="single" w:color="auto" w:sz="4" w:space="0"/>
                    <w:right w:val="single" w:color="auto" w:sz="4" w:space="0"/>
                  </w:tcBorders>
                  <w:vAlign w:val="center"/>
                </w:tcPr>
                <w:p>
                  <w:pPr>
                    <w:pStyle w:val="52"/>
                  </w:pPr>
                  <w:r>
                    <w:t>禁止在长江干支流</w:t>
                  </w:r>
                  <w:r>
                    <w:rPr>
                      <w:rFonts w:hint="eastAsia"/>
                    </w:rPr>
                    <w:t>重要湖泊岸线一</w:t>
                  </w:r>
                  <w:r>
                    <w:t>公里范围内新建、扩建化工园区和化工项目。</w:t>
                  </w:r>
                  <w:r>
                    <w:rPr>
                      <w:rFonts w:hint="eastAsia"/>
                    </w:rPr>
                    <w:t>禁止在长江干流岸线三公里范围内和重要支流岸线一公里范围内新建、改建、扩建尾矿库、冶炼渣库和磷石膏库，以提升安全、生态环境保护水平为目的改建除外</w:t>
                  </w:r>
                </w:p>
              </w:tc>
              <w:tc>
                <w:tcPr>
                  <w:tcW w:w="1323" w:type="pct"/>
                  <w:tcBorders>
                    <w:top w:val="single" w:color="auto" w:sz="4" w:space="0"/>
                    <w:left w:val="nil"/>
                    <w:bottom w:val="single" w:color="auto" w:sz="4" w:space="0"/>
                    <w:right w:val="single" w:color="auto" w:sz="4" w:space="0"/>
                  </w:tcBorders>
                  <w:vAlign w:val="center"/>
                </w:tcPr>
                <w:p>
                  <w:pPr>
                    <w:pStyle w:val="52"/>
                  </w:pPr>
                  <w:r>
                    <w:rPr>
                      <w:rFonts w:hint="eastAsia"/>
                    </w:rPr>
                    <w:t>拟建项目不在</w:t>
                  </w:r>
                  <w:r>
                    <w:t>长江干支流</w:t>
                  </w:r>
                  <w:r>
                    <w:rPr>
                      <w:rFonts w:hint="eastAsia"/>
                    </w:rPr>
                    <w:t>重要湖泊岸线一</w:t>
                  </w:r>
                  <w:r>
                    <w:t>公里</w:t>
                  </w:r>
                  <w:r>
                    <w:rPr>
                      <w:rFonts w:hint="eastAsia"/>
                    </w:rPr>
                    <w:t>，不在干流岸线三公里范围和重要支流岸线一公里内。</w:t>
                  </w:r>
                </w:p>
              </w:tc>
              <w:tc>
                <w:tcPr>
                  <w:tcW w:w="411" w:type="pct"/>
                  <w:tcBorders>
                    <w:top w:val="single" w:color="auto" w:sz="4" w:space="0"/>
                    <w:left w:val="nil"/>
                    <w:bottom w:val="single" w:color="auto" w:sz="4" w:space="0"/>
                    <w:right w:val="single" w:color="auto" w:sz="4" w:space="0"/>
                  </w:tcBorders>
                  <w:vAlign w:val="center"/>
                </w:tcPr>
                <w:p>
                  <w:pPr>
                    <w:pStyle w:val="52"/>
                  </w:pPr>
                  <w:r>
                    <w:t>满足要求</w:t>
                  </w:r>
                </w:p>
              </w:tc>
            </w:tr>
            <w:tr>
              <w:tblPrEx>
                <w:tblCellMar>
                  <w:top w:w="0" w:type="dxa"/>
                  <w:left w:w="108" w:type="dxa"/>
                  <w:bottom w:w="0" w:type="dxa"/>
                  <w:right w:w="108" w:type="dxa"/>
                </w:tblCellMar>
              </w:tblPrEx>
              <w:trPr>
                <w:trHeight w:val="567" w:hRule="atLeast"/>
                <w:jc w:val="center"/>
              </w:trPr>
              <w:tc>
                <w:tcPr>
                  <w:tcW w:w="318"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9</w:t>
                  </w:r>
                </w:p>
              </w:tc>
              <w:tc>
                <w:tcPr>
                  <w:tcW w:w="2948" w:type="pct"/>
                  <w:tcBorders>
                    <w:top w:val="single" w:color="auto" w:sz="4" w:space="0"/>
                    <w:left w:val="nil"/>
                    <w:bottom w:val="single" w:color="auto" w:sz="4" w:space="0"/>
                    <w:right w:val="single" w:color="auto" w:sz="4" w:space="0"/>
                  </w:tcBorders>
                  <w:vAlign w:val="center"/>
                </w:tcPr>
                <w:p>
                  <w:pPr>
                    <w:pStyle w:val="52"/>
                  </w:pPr>
                  <w:r>
                    <w:t>禁止在合规园区外新建、扩建钢铁、石化、化工、焦化、建材、有色</w:t>
                  </w:r>
                  <w:r>
                    <w:rPr>
                      <w:rFonts w:hint="eastAsia"/>
                    </w:rPr>
                    <w:t>、造纸制浆</w:t>
                  </w:r>
                  <w:r>
                    <w:t>等高污染项目</w:t>
                  </w:r>
                </w:p>
              </w:tc>
              <w:tc>
                <w:tcPr>
                  <w:tcW w:w="1323" w:type="pct"/>
                  <w:tcBorders>
                    <w:top w:val="single" w:color="auto" w:sz="4" w:space="0"/>
                    <w:left w:val="nil"/>
                    <w:bottom w:val="single" w:color="auto" w:sz="4" w:space="0"/>
                    <w:right w:val="single" w:color="auto" w:sz="4" w:space="0"/>
                  </w:tcBorders>
                  <w:vAlign w:val="center"/>
                </w:tcPr>
                <w:p>
                  <w:pPr>
                    <w:pStyle w:val="52"/>
                  </w:pPr>
                  <w:r>
                    <w:rPr>
                      <w:rFonts w:hint="eastAsia"/>
                    </w:rPr>
                    <w:t>拟建项目位于铜梁高新区蒲吕片区，不属于</w:t>
                  </w:r>
                  <w:r>
                    <w:t>钢铁、石化、化工、焦化、建材、有色</w:t>
                  </w:r>
                  <w:r>
                    <w:rPr>
                      <w:rFonts w:hint="eastAsia"/>
                    </w:rPr>
                    <w:t>、造纸制浆项目。</w:t>
                  </w:r>
                </w:p>
              </w:tc>
              <w:tc>
                <w:tcPr>
                  <w:tcW w:w="411" w:type="pct"/>
                  <w:tcBorders>
                    <w:top w:val="single" w:color="auto" w:sz="4" w:space="0"/>
                    <w:left w:val="nil"/>
                    <w:bottom w:val="single" w:color="auto" w:sz="4" w:space="0"/>
                    <w:right w:val="single" w:color="auto" w:sz="4" w:space="0"/>
                  </w:tcBorders>
                  <w:vAlign w:val="center"/>
                </w:tcPr>
                <w:p>
                  <w:pPr>
                    <w:pStyle w:val="52"/>
                  </w:pPr>
                  <w:r>
                    <w:t>满足要求</w:t>
                  </w:r>
                </w:p>
              </w:tc>
            </w:tr>
            <w:tr>
              <w:tblPrEx>
                <w:tblCellMar>
                  <w:top w:w="0" w:type="dxa"/>
                  <w:left w:w="108" w:type="dxa"/>
                  <w:bottom w:w="0" w:type="dxa"/>
                  <w:right w:w="108" w:type="dxa"/>
                </w:tblCellMar>
              </w:tblPrEx>
              <w:trPr>
                <w:trHeight w:val="567" w:hRule="atLeast"/>
                <w:jc w:val="center"/>
              </w:trPr>
              <w:tc>
                <w:tcPr>
                  <w:tcW w:w="318"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10</w:t>
                  </w:r>
                </w:p>
              </w:tc>
              <w:tc>
                <w:tcPr>
                  <w:tcW w:w="2948" w:type="pct"/>
                  <w:tcBorders>
                    <w:top w:val="single" w:color="auto" w:sz="4" w:space="0"/>
                    <w:left w:val="nil"/>
                    <w:bottom w:val="single" w:color="auto" w:sz="4" w:space="0"/>
                    <w:right w:val="single" w:color="auto" w:sz="4" w:space="0"/>
                  </w:tcBorders>
                  <w:vAlign w:val="center"/>
                </w:tcPr>
                <w:p>
                  <w:pPr>
                    <w:pStyle w:val="52"/>
                  </w:pPr>
                  <w:r>
                    <w:rPr>
                      <w:rFonts w:hint="eastAsia"/>
                    </w:rPr>
                    <w:t>禁止新建、扩建不符合国家石化、现代煤化工等产业规划布局的项目</w:t>
                  </w:r>
                </w:p>
              </w:tc>
              <w:tc>
                <w:tcPr>
                  <w:tcW w:w="1323" w:type="pct"/>
                  <w:tcBorders>
                    <w:top w:val="single" w:color="auto" w:sz="4" w:space="0"/>
                    <w:left w:val="nil"/>
                    <w:bottom w:val="single" w:color="auto" w:sz="4" w:space="0"/>
                    <w:right w:val="single" w:color="auto" w:sz="4" w:space="0"/>
                  </w:tcBorders>
                  <w:vAlign w:val="center"/>
                </w:tcPr>
                <w:p>
                  <w:pPr>
                    <w:pStyle w:val="52"/>
                  </w:pPr>
                  <w:r>
                    <w:rPr>
                      <w:rFonts w:hint="eastAsia"/>
                    </w:rPr>
                    <w:t>拟建项目不属于石化、现代煤化工项目。</w:t>
                  </w:r>
                </w:p>
              </w:tc>
              <w:tc>
                <w:tcPr>
                  <w:tcW w:w="411" w:type="pct"/>
                  <w:tcBorders>
                    <w:top w:val="single" w:color="auto" w:sz="4" w:space="0"/>
                    <w:left w:val="nil"/>
                    <w:bottom w:val="single" w:color="auto" w:sz="4" w:space="0"/>
                    <w:right w:val="single" w:color="auto" w:sz="4" w:space="0"/>
                  </w:tcBorders>
                  <w:vAlign w:val="center"/>
                </w:tcPr>
                <w:p>
                  <w:pPr>
                    <w:pStyle w:val="52"/>
                  </w:pPr>
                  <w:r>
                    <w:t>满足要求</w:t>
                  </w:r>
                </w:p>
              </w:tc>
            </w:tr>
            <w:tr>
              <w:tblPrEx>
                <w:tblCellMar>
                  <w:top w:w="0" w:type="dxa"/>
                  <w:left w:w="108" w:type="dxa"/>
                  <w:bottom w:w="0" w:type="dxa"/>
                  <w:right w:w="108" w:type="dxa"/>
                </w:tblCellMar>
              </w:tblPrEx>
              <w:trPr>
                <w:trHeight w:val="567" w:hRule="atLeast"/>
                <w:jc w:val="center"/>
              </w:trPr>
              <w:tc>
                <w:tcPr>
                  <w:tcW w:w="318"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11</w:t>
                  </w:r>
                </w:p>
              </w:tc>
              <w:tc>
                <w:tcPr>
                  <w:tcW w:w="2948" w:type="pct"/>
                  <w:tcBorders>
                    <w:top w:val="single" w:color="auto" w:sz="4" w:space="0"/>
                    <w:left w:val="nil"/>
                    <w:bottom w:val="single" w:color="auto" w:sz="4" w:space="0"/>
                    <w:right w:val="single" w:color="auto" w:sz="4" w:space="0"/>
                  </w:tcBorders>
                  <w:vAlign w:val="center"/>
                </w:tcPr>
                <w:p>
                  <w:pPr>
                    <w:pStyle w:val="52"/>
                  </w:pPr>
                  <w:r>
                    <w:t>禁止新建、扩建法律法规和相关政策</w:t>
                  </w:r>
                  <w:r>
                    <w:rPr>
                      <w:rFonts w:hint="eastAsia"/>
                    </w:rPr>
                    <w:t>明令禁止的</w:t>
                  </w:r>
                  <w:r>
                    <w:t>落后产能项目</w:t>
                  </w:r>
                  <w:r>
                    <w:rPr>
                      <w:rFonts w:hint="eastAsia"/>
                    </w:rPr>
                    <w:t>。</w:t>
                  </w:r>
                  <w:r>
                    <w:t>禁止新建、扩建不符合国家产能置换要求的严重过剩产能行业的项目</w:t>
                  </w:r>
                  <w:r>
                    <w:rPr>
                      <w:rFonts w:hint="eastAsia"/>
                    </w:rPr>
                    <w:t>。禁止新建、扩建不符合要求的高耗能高排放项目</w:t>
                  </w:r>
                </w:p>
              </w:tc>
              <w:tc>
                <w:tcPr>
                  <w:tcW w:w="1323" w:type="pct"/>
                  <w:tcBorders>
                    <w:top w:val="single" w:color="auto" w:sz="4" w:space="0"/>
                    <w:left w:val="nil"/>
                    <w:bottom w:val="single" w:color="auto" w:sz="4" w:space="0"/>
                    <w:right w:val="single" w:color="auto" w:sz="4" w:space="0"/>
                  </w:tcBorders>
                  <w:vAlign w:val="center"/>
                </w:tcPr>
                <w:p>
                  <w:pPr>
                    <w:pStyle w:val="52"/>
                  </w:pPr>
                  <w:r>
                    <w:rPr>
                      <w:rFonts w:hint="eastAsia"/>
                    </w:rPr>
                    <w:t>拟建项目</w:t>
                  </w:r>
                  <w:r>
                    <w:t>符合《产业结构调整指导目录》，不属于落后产能项目</w:t>
                  </w:r>
                  <w:r>
                    <w:rPr>
                      <w:rFonts w:hint="eastAsia"/>
                    </w:rPr>
                    <w:t>。拟建项目不属于</w:t>
                  </w:r>
                  <w:r>
                    <w:t>严重过剩产能行业的项目</w:t>
                  </w:r>
                  <w:r>
                    <w:rPr>
                      <w:rFonts w:hint="eastAsia"/>
                    </w:rPr>
                    <w:t>、不属于高耗能高排放项目。</w:t>
                  </w:r>
                </w:p>
              </w:tc>
              <w:tc>
                <w:tcPr>
                  <w:tcW w:w="411" w:type="pct"/>
                  <w:tcBorders>
                    <w:top w:val="single" w:color="auto" w:sz="4" w:space="0"/>
                    <w:left w:val="nil"/>
                    <w:bottom w:val="single" w:color="auto" w:sz="4" w:space="0"/>
                    <w:right w:val="single" w:color="auto" w:sz="4" w:space="0"/>
                  </w:tcBorders>
                  <w:vAlign w:val="center"/>
                </w:tcPr>
                <w:p>
                  <w:pPr>
                    <w:pStyle w:val="52"/>
                  </w:pPr>
                  <w:r>
                    <w:t>满足要求</w:t>
                  </w:r>
                </w:p>
              </w:tc>
            </w:tr>
          </w:tbl>
          <w:p>
            <w:pPr>
              <w:pStyle w:val="82"/>
              <w:ind w:firstLine="482"/>
              <w:rPr>
                <w:b/>
                <w:bCs/>
              </w:rPr>
            </w:pPr>
            <w:r>
              <w:rPr>
                <w:rFonts w:hint="eastAsia"/>
                <w:b/>
                <w:bCs/>
              </w:rPr>
              <w:t>（4）与</w:t>
            </w:r>
            <w:r>
              <w:rPr>
                <w:b/>
                <w:bCs/>
              </w:rPr>
              <w:t>《四川省、重庆市长江经济带发展负面清单实施细则（试行，2022年版）》（川长江办[2022]17号）的符合性</w:t>
            </w:r>
            <w:r>
              <w:rPr>
                <w:rFonts w:hint="eastAsia"/>
                <w:b/>
                <w:bCs/>
              </w:rPr>
              <w:t>分析</w:t>
            </w:r>
          </w:p>
          <w:p>
            <w:pPr>
              <w:pStyle w:val="83"/>
            </w:pPr>
            <w:r>
              <w:t>表</w:t>
            </w:r>
            <w:r>
              <w:rPr>
                <w:rFonts w:hint="eastAsia"/>
              </w:rPr>
              <w:t>1</w:t>
            </w:r>
            <w:r>
              <w:t>-9  项目与《四川省、重庆市长江经济带发展负面清单实施细则（试行，2022年版）》符合性分析表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4"/>
              <w:gridCol w:w="3858"/>
              <w:gridCol w:w="2898"/>
              <w:gridCol w:w="9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序号</w:t>
                  </w:r>
                </w:p>
              </w:tc>
              <w:tc>
                <w:tcPr>
                  <w:tcW w:w="3857" w:type="dxa"/>
                  <w:tcBorders>
                    <w:top w:val="single" w:color="auto" w:sz="4" w:space="0"/>
                    <w:left w:val="single" w:color="auto" w:sz="4" w:space="0"/>
                    <w:bottom w:val="single" w:color="auto" w:sz="4" w:space="0"/>
                    <w:right w:val="single" w:color="auto" w:sz="4" w:space="0"/>
                  </w:tcBorders>
                  <w:vAlign w:val="center"/>
                </w:tcPr>
                <w:p>
                  <w:pPr>
                    <w:pStyle w:val="52"/>
                  </w:pPr>
                  <w:r>
                    <w:t>文件要求</w:t>
                  </w:r>
                </w:p>
              </w:tc>
              <w:tc>
                <w:tcPr>
                  <w:tcW w:w="2897" w:type="dxa"/>
                  <w:tcBorders>
                    <w:top w:val="single" w:color="auto" w:sz="4" w:space="0"/>
                    <w:left w:val="single" w:color="auto" w:sz="4" w:space="0"/>
                    <w:bottom w:val="single" w:color="auto" w:sz="4" w:space="0"/>
                    <w:right w:val="single" w:color="auto" w:sz="4" w:space="0"/>
                  </w:tcBorders>
                  <w:vAlign w:val="center"/>
                </w:tcPr>
                <w:p>
                  <w:pPr>
                    <w:pStyle w:val="52"/>
                  </w:pPr>
                  <w:r>
                    <w:t>本项目情况</w:t>
                  </w:r>
                </w:p>
              </w:tc>
              <w:tc>
                <w:tcPr>
                  <w:tcW w:w="946" w:type="dxa"/>
                  <w:tcBorders>
                    <w:top w:val="single" w:color="auto" w:sz="4" w:space="0"/>
                    <w:left w:val="single" w:color="auto" w:sz="4" w:space="0"/>
                    <w:bottom w:val="single" w:color="auto" w:sz="4" w:space="0"/>
                    <w:right w:val="single" w:color="auto" w:sz="4" w:space="0"/>
                  </w:tcBorders>
                  <w:vAlign w:val="center"/>
                </w:tcPr>
                <w:p>
                  <w:pPr>
                    <w:pStyle w:val="52"/>
                  </w:pPr>
                  <w: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1</w:t>
                  </w:r>
                </w:p>
              </w:tc>
              <w:tc>
                <w:tcPr>
                  <w:tcW w:w="385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 xml:space="preserve">第五条 </w:t>
                  </w:r>
                  <w:r>
                    <w:t>禁止新建、改建和扩建不符合</w:t>
                  </w:r>
                  <w:r>
                    <w:rPr>
                      <w:rFonts w:hint="eastAsia"/>
                    </w:rPr>
                    <w:t>《全国内河航道与港口布局规划》等全国港口规划，</w:t>
                  </w:r>
                  <w:r>
                    <w:t>以及《四川省内河水运发展规划》《泸州</w:t>
                  </w:r>
                  <w:r>
                    <w:rPr>
                      <w:rFonts w:hint="eastAsia"/>
                    </w:rPr>
                    <w:t>-</w:t>
                  </w:r>
                  <w:r>
                    <w:t>宜宾</w:t>
                  </w:r>
                  <w:r>
                    <w:rPr>
                      <w:rFonts w:hint="eastAsia"/>
                    </w:rPr>
                    <w:t>-</w:t>
                  </w:r>
                  <w:r>
                    <w:t>乐山港口群布局规划》《重庆港总体规划</w:t>
                  </w:r>
                  <w:r>
                    <w:rPr>
                      <w:rFonts w:hint="eastAsia"/>
                    </w:rPr>
                    <w:t>（</w:t>
                  </w:r>
                  <w:r>
                    <w:t>203</w:t>
                  </w:r>
                  <w:r>
                    <w:rPr>
                      <w:rFonts w:hint="eastAsia"/>
                    </w:rPr>
                    <w:t>5</w:t>
                  </w:r>
                  <w:r>
                    <w:t>年）》等省级港口布局规划及市级港口总体规划的码头项目</w:t>
                  </w:r>
                  <w:r>
                    <w:rPr>
                      <w:rFonts w:hint="eastAsia"/>
                    </w:rPr>
                    <w:t>。</w:t>
                  </w:r>
                </w:p>
              </w:tc>
              <w:tc>
                <w:tcPr>
                  <w:tcW w:w="289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拟建项目属于其他塑料制品</w:t>
                  </w:r>
                  <w:r>
                    <w:t>制造</w:t>
                  </w:r>
                  <w:r>
                    <w:rPr>
                      <w:rFonts w:hint="eastAsia"/>
                    </w:rPr>
                    <w:t>，不属于</w:t>
                  </w:r>
                  <w:r>
                    <w:t>码头项目</w:t>
                  </w:r>
                  <w:r>
                    <w:rPr>
                      <w:rFonts w:hint="eastAsia"/>
                    </w:rPr>
                    <w:t>。</w:t>
                  </w:r>
                </w:p>
              </w:tc>
              <w:tc>
                <w:tcPr>
                  <w:tcW w:w="946"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2</w:t>
                  </w:r>
                </w:p>
              </w:tc>
              <w:tc>
                <w:tcPr>
                  <w:tcW w:w="385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 xml:space="preserve">第六条 </w:t>
                  </w:r>
                  <w:r>
                    <w:t>禁止新建、改建和扩建不符合《长江于线过江通道布局规划2020</w:t>
                  </w:r>
                  <w:r>
                    <w:rPr>
                      <w:rFonts w:hint="eastAsia"/>
                    </w:rPr>
                    <w:t>-</w:t>
                  </w:r>
                  <w:r>
                    <w:t>2035年）》的过长江通道项目（含桥梁、隧道），国家发展改革委同意过长江通道线位调整的除外</w:t>
                  </w:r>
                  <w:r>
                    <w:rPr>
                      <w:rFonts w:hint="eastAsia"/>
                    </w:rPr>
                    <w:t>。</w:t>
                  </w:r>
                </w:p>
              </w:tc>
              <w:tc>
                <w:tcPr>
                  <w:tcW w:w="289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拟建项目属于其他塑料制品</w:t>
                  </w:r>
                  <w:r>
                    <w:t>制造</w:t>
                  </w:r>
                  <w:r>
                    <w:rPr>
                      <w:rFonts w:hint="eastAsia"/>
                    </w:rPr>
                    <w:t>，不属于</w:t>
                  </w:r>
                  <w:r>
                    <w:t>过长江通道项目（含桥梁、隧道）</w:t>
                  </w:r>
                  <w:r>
                    <w:rPr>
                      <w:rFonts w:hint="eastAsia"/>
                    </w:rPr>
                    <w:t>。</w:t>
                  </w:r>
                </w:p>
              </w:tc>
              <w:tc>
                <w:tcPr>
                  <w:tcW w:w="946"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3</w:t>
                  </w:r>
                </w:p>
              </w:tc>
              <w:tc>
                <w:tcPr>
                  <w:tcW w:w="385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 xml:space="preserve">第七条 </w:t>
                  </w:r>
                  <w:r>
                    <w:t>禁止在自然保护区核心区、缓冲区的岸线和河段范围内投资建设旅游和生产经营项目</w:t>
                  </w:r>
                  <w:r>
                    <w:rPr>
                      <w:rFonts w:hint="eastAsia"/>
                    </w:rPr>
                    <w:t>。</w:t>
                  </w:r>
                  <w:r>
                    <w:t>自然保护区的内部未分区的，依照本实施细则核心区和缓冲区的规定管控</w:t>
                  </w:r>
                  <w:r>
                    <w:rPr>
                      <w:rFonts w:hint="eastAsia"/>
                    </w:rPr>
                    <w:t>。</w:t>
                  </w:r>
                </w:p>
              </w:tc>
              <w:tc>
                <w:tcPr>
                  <w:tcW w:w="289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拟建项目属于其他塑料制品</w:t>
                  </w:r>
                  <w:r>
                    <w:t>制造</w:t>
                  </w:r>
                  <w:r>
                    <w:rPr>
                      <w:rFonts w:hint="eastAsia"/>
                    </w:rPr>
                    <w:t>，不属于</w:t>
                  </w:r>
                  <w:r>
                    <w:t>投资建设旅游和生产经营项目</w:t>
                  </w:r>
                  <w:r>
                    <w:rPr>
                      <w:rFonts w:hint="eastAsia"/>
                    </w:rPr>
                    <w:t>，未在</w:t>
                  </w:r>
                  <w:r>
                    <w:t>自然保护区核心区、缓冲区的岸线和河段范围内</w:t>
                  </w:r>
                  <w:r>
                    <w:rPr>
                      <w:rFonts w:hint="eastAsia"/>
                    </w:rPr>
                    <w:t>。</w:t>
                  </w:r>
                </w:p>
              </w:tc>
              <w:tc>
                <w:tcPr>
                  <w:tcW w:w="946"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4</w:t>
                  </w:r>
                </w:p>
              </w:tc>
              <w:tc>
                <w:tcPr>
                  <w:tcW w:w="385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第八条 禁止</w:t>
                  </w:r>
                  <w:r>
                    <w:t>违反风景名胜区规划，在风景名胜区内设立各类开发区</w:t>
                  </w:r>
                  <w:r>
                    <w:rPr>
                      <w:rFonts w:hint="eastAsia"/>
                    </w:rPr>
                    <w:t>。禁止</w:t>
                  </w:r>
                  <w:r>
                    <w:t>在风景名胜区核心景区的岸线和河段范围内建设宾馆招待所</w:t>
                  </w:r>
                  <w:r>
                    <w:rPr>
                      <w:rFonts w:hint="eastAsia"/>
                    </w:rPr>
                    <w:t>、培</w:t>
                  </w:r>
                  <w:r>
                    <w:t>训中心、疗养院以及与风景名胜资源保护无关的项目</w:t>
                  </w:r>
                </w:p>
              </w:tc>
              <w:tc>
                <w:tcPr>
                  <w:tcW w:w="289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拟建项目位于重庆市铜梁区龙山大道2</w:t>
                  </w:r>
                  <w:r>
                    <w:t>0</w:t>
                  </w:r>
                  <w:r>
                    <w:rPr>
                      <w:rFonts w:hint="eastAsia"/>
                    </w:rPr>
                    <w:t>号，未在</w:t>
                  </w:r>
                  <w:r>
                    <w:t>风景名胜区内</w:t>
                  </w:r>
                  <w:r>
                    <w:rPr>
                      <w:rFonts w:hint="eastAsia"/>
                    </w:rPr>
                    <w:t>。</w:t>
                  </w:r>
                </w:p>
              </w:tc>
              <w:tc>
                <w:tcPr>
                  <w:tcW w:w="946"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5</w:t>
                  </w:r>
                </w:p>
              </w:tc>
              <w:tc>
                <w:tcPr>
                  <w:tcW w:w="385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 xml:space="preserve">第九条 </w:t>
                  </w:r>
                  <w:r>
                    <w:t>禁止在饮用水水源准保护区的岸线和河段范围内新建</w:t>
                  </w:r>
                  <w:r>
                    <w:rPr>
                      <w:rFonts w:hint="eastAsia"/>
                    </w:rPr>
                    <w:t>、</w:t>
                  </w:r>
                  <w:r>
                    <w:t>扩建对水体污染严重的建设项目</w:t>
                  </w:r>
                  <w:r>
                    <w:rPr>
                      <w:rFonts w:hint="eastAsia"/>
                    </w:rPr>
                    <w:t>，禁止</w:t>
                  </w:r>
                  <w:r>
                    <w:t>改建增加排污量的建设项目</w:t>
                  </w:r>
                </w:p>
              </w:tc>
              <w:tc>
                <w:tcPr>
                  <w:tcW w:w="289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拟建项目未在</w:t>
                  </w:r>
                  <w:r>
                    <w:t>饮用水水源准保护区的岸线和河段范围内</w:t>
                  </w:r>
                  <w:r>
                    <w:rPr>
                      <w:rFonts w:hint="eastAsia"/>
                    </w:rPr>
                    <w:t>。</w:t>
                  </w:r>
                </w:p>
              </w:tc>
              <w:tc>
                <w:tcPr>
                  <w:tcW w:w="946"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6</w:t>
                  </w:r>
                </w:p>
              </w:tc>
              <w:tc>
                <w:tcPr>
                  <w:tcW w:w="385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 xml:space="preserve">第十条 </w:t>
                  </w:r>
                  <w:r>
                    <w:t>饮用水水源二级保护区的岸线和河段范围内</w:t>
                  </w:r>
                  <w:r>
                    <w:rPr>
                      <w:rFonts w:hint="eastAsia"/>
                    </w:rPr>
                    <w:t>，应</w:t>
                  </w:r>
                  <w:r>
                    <w:t>除遵守准保护区规定外</w:t>
                  </w:r>
                  <w:r>
                    <w:rPr>
                      <w:rFonts w:hint="eastAsia"/>
                    </w:rPr>
                    <w:t>，</w:t>
                  </w:r>
                  <w:r>
                    <w:t>禁止新建、改建、扩建排放污染物的投资建设项目</w:t>
                  </w:r>
                  <w:r>
                    <w:rPr>
                      <w:rFonts w:hint="eastAsia"/>
                    </w:rPr>
                    <w:t>；</w:t>
                  </w:r>
                  <w:r>
                    <w:t>禁止从事</w:t>
                  </w:r>
                  <w:r>
                    <w:rPr>
                      <w:rFonts w:hint="eastAsia"/>
                    </w:rPr>
                    <w:t>采石（砂）、</w:t>
                  </w:r>
                  <w:r>
                    <w:t>对水体有污染的水产养殖等活动</w:t>
                  </w:r>
                </w:p>
              </w:tc>
              <w:tc>
                <w:tcPr>
                  <w:tcW w:w="289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拟建项目未在</w:t>
                  </w:r>
                  <w:r>
                    <w:t>饮用水水源二级保护区的岸线和河段范围内</w:t>
                  </w:r>
                  <w:r>
                    <w:rPr>
                      <w:rFonts w:hint="eastAsia"/>
                    </w:rPr>
                    <w:t>。</w:t>
                  </w:r>
                </w:p>
              </w:tc>
              <w:tc>
                <w:tcPr>
                  <w:tcW w:w="946"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7</w:t>
                  </w:r>
                </w:p>
              </w:tc>
              <w:tc>
                <w:tcPr>
                  <w:tcW w:w="385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 xml:space="preserve">第十一条 </w:t>
                  </w:r>
                  <w:r>
                    <w:t>饮用水水源一级保护区的岸线和河段范围内，除</w:t>
                  </w:r>
                  <w:r>
                    <w:rPr>
                      <w:rFonts w:hint="eastAsia"/>
                    </w:rPr>
                    <w:t>应</w:t>
                  </w:r>
                  <w:r>
                    <w:t>遵守二级保护区规定外</w:t>
                  </w:r>
                  <w:r>
                    <w:rPr>
                      <w:rFonts w:hint="eastAsia"/>
                    </w:rPr>
                    <w:t>，</w:t>
                  </w:r>
                  <w:r>
                    <w:t>禁止新建、改建、扩建与供</w:t>
                  </w:r>
                  <w:r>
                    <w:rPr>
                      <w:rFonts w:hint="eastAsia"/>
                    </w:rPr>
                    <w:t>（取）</w:t>
                  </w:r>
                  <w:r>
                    <w:t>水设施和保护水源无关的项目，以及网箱养殖、畜禽养殖、旅游等可能污染饮用水水体的投资建设项目</w:t>
                  </w:r>
                </w:p>
              </w:tc>
              <w:tc>
                <w:tcPr>
                  <w:tcW w:w="289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拟建项目未在饮用水</w:t>
                  </w:r>
                  <w:r>
                    <w:t>水源一级保护区的岸线和河段范围内</w:t>
                  </w:r>
                  <w:r>
                    <w:rPr>
                      <w:rFonts w:hint="eastAsia"/>
                    </w:rPr>
                    <w:t>。</w:t>
                  </w:r>
                </w:p>
              </w:tc>
              <w:tc>
                <w:tcPr>
                  <w:tcW w:w="946"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8</w:t>
                  </w:r>
                </w:p>
              </w:tc>
              <w:tc>
                <w:tcPr>
                  <w:tcW w:w="385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 xml:space="preserve">第十二条 </w:t>
                  </w:r>
                  <w:r>
                    <w:t>禁止在水产</w:t>
                  </w:r>
                  <w:r>
                    <w:rPr>
                      <w:rFonts w:hint="eastAsia"/>
                    </w:rPr>
                    <w:t>种质</w:t>
                  </w:r>
                  <w:r>
                    <w:t>资源保护区岸线和河段范围内新建围湖造田、围湖造地或挖沙采石等投资建设项目</w:t>
                  </w:r>
                </w:p>
              </w:tc>
              <w:tc>
                <w:tcPr>
                  <w:tcW w:w="289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拟建项目未在</w:t>
                  </w:r>
                  <w:r>
                    <w:t>水产种质资源保护区岸线和河段范围内</w:t>
                  </w:r>
                  <w:r>
                    <w:rPr>
                      <w:rFonts w:hint="eastAsia"/>
                    </w:rPr>
                    <w:t>，拟建项目属于其他塑料制品制造业，不属于</w:t>
                  </w:r>
                  <w:r>
                    <w:t>围湖造田、围湖造地或挖沙采石等投资建设项目</w:t>
                  </w:r>
                  <w:r>
                    <w:rPr>
                      <w:rFonts w:hint="eastAsia"/>
                    </w:rPr>
                    <w:t>。</w:t>
                  </w:r>
                </w:p>
              </w:tc>
              <w:tc>
                <w:tcPr>
                  <w:tcW w:w="946"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9</w:t>
                  </w:r>
                </w:p>
              </w:tc>
              <w:tc>
                <w:tcPr>
                  <w:tcW w:w="385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 xml:space="preserve">第十三条 </w:t>
                  </w:r>
                  <w:r>
                    <w:t>禁止在国家湿地公园的岸线和河段范围内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沺游通道</w:t>
                  </w:r>
                </w:p>
              </w:tc>
              <w:tc>
                <w:tcPr>
                  <w:tcW w:w="289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拟建项目未在</w:t>
                  </w:r>
                  <w:r>
                    <w:t>国家湿地公园的岸线和河段范围内</w:t>
                  </w:r>
                  <w:r>
                    <w:rPr>
                      <w:rFonts w:hint="eastAsia"/>
                    </w:rPr>
                    <w:t>，不属于</w:t>
                  </w:r>
                  <w:r>
                    <w:t>从事房地产、度假村、高尔夫球场、风力发电、光伏发电等任何不符合主体功能定位的建设项目和开发活动</w:t>
                  </w:r>
                  <w:r>
                    <w:rPr>
                      <w:rFonts w:hint="eastAsia"/>
                    </w:rPr>
                    <w:t>。</w:t>
                  </w:r>
                </w:p>
              </w:tc>
              <w:tc>
                <w:tcPr>
                  <w:tcW w:w="946"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10</w:t>
                  </w:r>
                </w:p>
              </w:tc>
              <w:tc>
                <w:tcPr>
                  <w:tcW w:w="385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 xml:space="preserve">第十四条 </w:t>
                  </w:r>
                  <w:r>
                    <w:t>禁止违法利用、占用长江流域河湖岸线</w:t>
                  </w:r>
                  <w:r>
                    <w:rPr>
                      <w:rFonts w:hint="eastAsia"/>
                    </w:rPr>
                    <w:t>。</w:t>
                  </w:r>
                  <w:r>
                    <w:t>禁止在《长江岸线保护和开发利用总体规划》划定的岸线保护区和岸线保留区内投资建设除事关公共安全及公众利益的防洪护岸、河道治理、供水、生态环境保护、航道整治、国家重要基础设施以外的项目</w:t>
                  </w:r>
                </w:p>
              </w:tc>
              <w:tc>
                <w:tcPr>
                  <w:tcW w:w="289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拟建项目已进行备案，备案号为</w:t>
                  </w:r>
                  <w:r>
                    <w:t>2304-500151-04-01-829893</w:t>
                  </w:r>
                  <w:r>
                    <w:rPr>
                      <w:rFonts w:hint="eastAsia"/>
                    </w:rPr>
                    <w:t>，拟建项目属于其他塑料制品制造业。</w:t>
                  </w:r>
                </w:p>
              </w:tc>
              <w:tc>
                <w:tcPr>
                  <w:tcW w:w="946"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11</w:t>
                  </w:r>
                </w:p>
              </w:tc>
              <w:tc>
                <w:tcPr>
                  <w:tcW w:w="385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 xml:space="preserve">第十五条 </w:t>
                  </w:r>
                  <w:r>
                    <w:t>禁止在《全国重要江河湖泊水功能区划》划定的河段及湖泊保护区、保留区内投资建设不利于水资源及自然生态保护的项目</w:t>
                  </w:r>
                </w:p>
              </w:tc>
              <w:tc>
                <w:tcPr>
                  <w:tcW w:w="289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拟建项目位于重庆市铜梁区龙山大道2</w:t>
                  </w:r>
                  <w:r>
                    <w:t>0</w:t>
                  </w:r>
                  <w:r>
                    <w:rPr>
                      <w:rFonts w:hint="eastAsia"/>
                    </w:rPr>
                    <w:t>号，不在</w:t>
                  </w:r>
                  <w:r>
                    <w:t>《全国重要江河湖泊水功能区划》划定的河段及湖泊保护区、保留区</w:t>
                  </w:r>
                  <w:r>
                    <w:rPr>
                      <w:rFonts w:hint="eastAsia"/>
                    </w:rPr>
                    <w:t>。</w:t>
                  </w:r>
                </w:p>
              </w:tc>
              <w:tc>
                <w:tcPr>
                  <w:tcW w:w="946"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12</w:t>
                  </w:r>
                </w:p>
              </w:tc>
              <w:tc>
                <w:tcPr>
                  <w:tcW w:w="385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 xml:space="preserve">第十六条 </w:t>
                  </w:r>
                  <w:r>
                    <w:t>禁止在长江流域江河、湖泊新设、改设或者扩大排污口</w:t>
                  </w:r>
                  <w:r>
                    <w:rPr>
                      <w:rFonts w:hint="eastAsia"/>
                    </w:rPr>
                    <w:t>，</w:t>
                  </w:r>
                  <w:r>
                    <w:t>经有管辖权的生态环境主管部门或者长江流域生态环境监督管理机构同意的除外</w:t>
                  </w:r>
                </w:p>
              </w:tc>
              <w:tc>
                <w:tcPr>
                  <w:tcW w:w="289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拟建项目属于其他塑料制品制造业，不属于</w:t>
                  </w:r>
                  <w:r>
                    <w:t>长江流域江河、湖泊新设、改设或者扩大排污口</w:t>
                  </w:r>
                  <w:r>
                    <w:rPr>
                      <w:rFonts w:hint="eastAsia"/>
                    </w:rPr>
                    <w:t>。</w:t>
                  </w:r>
                </w:p>
              </w:tc>
              <w:tc>
                <w:tcPr>
                  <w:tcW w:w="946"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13</w:t>
                  </w:r>
                </w:p>
              </w:tc>
              <w:tc>
                <w:tcPr>
                  <w:tcW w:w="385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 xml:space="preserve">第十七条 </w:t>
                  </w:r>
                  <w:r>
                    <w:t>禁止在</w:t>
                  </w:r>
                  <w:r>
                    <w:rPr>
                      <w:rFonts w:hint="eastAsia"/>
                    </w:rPr>
                    <w:t>长江干流</w:t>
                  </w:r>
                  <w:r>
                    <w:t>、大渡河、</w:t>
                  </w:r>
                  <w:r>
                    <w:rPr>
                      <w:rFonts w:hint="eastAsia"/>
                    </w:rPr>
                    <w:t>岷</w:t>
                  </w:r>
                  <w:r>
                    <w:t>江、赤水河、</w:t>
                  </w:r>
                  <w:r>
                    <w:rPr>
                      <w:rFonts w:hint="eastAsia"/>
                    </w:rPr>
                    <w:t>沱</w:t>
                  </w:r>
                  <w:r>
                    <w:t>江、嘉陵江、乌江、汉江和51个（四川省45个、重庆市</w:t>
                  </w:r>
                  <w:r>
                    <w:rPr>
                      <w:rFonts w:hint="eastAsia"/>
                    </w:rPr>
                    <w:t>6</w:t>
                  </w:r>
                  <w:r>
                    <w:t>个）水生生物保护区开展生产性捕捞</w:t>
                  </w:r>
                </w:p>
              </w:tc>
              <w:tc>
                <w:tcPr>
                  <w:tcW w:w="289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拟建项目属于其他塑料制品制造，不属于</w:t>
                  </w:r>
                  <w:r>
                    <w:t>水生生物保护区开展生产性捕捞</w:t>
                  </w:r>
                  <w:r>
                    <w:rPr>
                      <w:rFonts w:hint="eastAsia"/>
                    </w:rPr>
                    <w:t>。</w:t>
                  </w:r>
                </w:p>
              </w:tc>
              <w:tc>
                <w:tcPr>
                  <w:tcW w:w="946"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14</w:t>
                  </w:r>
                </w:p>
              </w:tc>
              <w:tc>
                <w:tcPr>
                  <w:tcW w:w="385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 xml:space="preserve">第十八条 </w:t>
                  </w:r>
                  <w:r>
                    <w:t>禁止在长江</w:t>
                  </w:r>
                  <w:r>
                    <w:rPr>
                      <w:rFonts w:hint="eastAsia"/>
                    </w:rPr>
                    <w:t>干</w:t>
                  </w:r>
                  <w:r>
                    <w:t>支流、重要湖泊岸线一公里范围内新建、扩建化工园区和化工项目</w:t>
                  </w:r>
                </w:p>
              </w:tc>
              <w:tc>
                <w:tcPr>
                  <w:tcW w:w="289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拟建项目属于其他塑料制品制造，不属于</w:t>
                  </w:r>
                  <w:r>
                    <w:t>新建、扩建化工园区和化工项目</w:t>
                  </w:r>
                  <w:r>
                    <w:rPr>
                      <w:rFonts w:hint="eastAsia"/>
                    </w:rPr>
                    <w:t>。</w:t>
                  </w:r>
                </w:p>
              </w:tc>
              <w:tc>
                <w:tcPr>
                  <w:tcW w:w="946"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15</w:t>
                  </w:r>
                </w:p>
              </w:tc>
              <w:tc>
                <w:tcPr>
                  <w:tcW w:w="385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 xml:space="preserve">第十九条 </w:t>
                  </w:r>
                  <w:r>
                    <w:t>禁止在</w:t>
                  </w:r>
                  <w:r>
                    <w:rPr>
                      <w:rFonts w:hint="eastAsia"/>
                    </w:rPr>
                    <w:t>长江干流</w:t>
                  </w:r>
                  <w:r>
                    <w:t>岸线</w:t>
                  </w:r>
                  <w:r>
                    <w:rPr>
                      <w:rFonts w:hint="eastAsia"/>
                    </w:rPr>
                    <w:t>三</w:t>
                  </w:r>
                  <w:r>
                    <w:t>公里范围内和重要支流岸线一公里范围内新建、改建扩建尾矿库、冶炼渣库、磷石膏库，以提升安全、生态环境保护水平为目的的改建除外</w:t>
                  </w:r>
                </w:p>
              </w:tc>
              <w:tc>
                <w:tcPr>
                  <w:tcW w:w="289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拟建项目属于其他塑料制品制造，不属于</w:t>
                  </w:r>
                  <w:r>
                    <w:t>新建、改建扩建尾矿库、冶炼渣库、磷石膏库</w:t>
                  </w:r>
                  <w:r>
                    <w:rPr>
                      <w:rFonts w:hint="eastAsia"/>
                    </w:rPr>
                    <w:t>。</w:t>
                  </w:r>
                </w:p>
              </w:tc>
              <w:tc>
                <w:tcPr>
                  <w:tcW w:w="946"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16</w:t>
                  </w:r>
                </w:p>
              </w:tc>
              <w:tc>
                <w:tcPr>
                  <w:tcW w:w="385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 xml:space="preserve">第二十条 </w:t>
                  </w:r>
                  <w:r>
                    <w:t>禁止在生态保护</w:t>
                  </w:r>
                  <w:r>
                    <w:rPr>
                      <w:rFonts w:hint="eastAsia"/>
                      <w:lang w:val="en-US" w:eastAsia="zh-CN"/>
                    </w:rPr>
                    <w:t>红</w:t>
                  </w:r>
                  <w:r>
                    <w:t>线区域、永久基本农田集中区域和其他需要特别保护的区域内选址建设尾矿库、冶炼渣库、磷石膏库</w:t>
                  </w:r>
                </w:p>
              </w:tc>
              <w:tc>
                <w:tcPr>
                  <w:tcW w:w="289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拟建项目属于其他塑料制品制造，不属于</w:t>
                  </w:r>
                  <w:r>
                    <w:t>建设尾矿库、冶炼渣库、磷石膏库</w:t>
                  </w:r>
                  <w:r>
                    <w:rPr>
                      <w:rFonts w:hint="eastAsia"/>
                    </w:rPr>
                    <w:t>。</w:t>
                  </w:r>
                </w:p>
              </w:tc>
              <w:tc>
                <w:tcPr>
                  <w:tcW w:w="946"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17</w:t>
                  </w:r>
                </w:p>
              </w:tc>
              <w:tc>
                <w:tcPr>
                  <w:tcW w:w="385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 xml:space="preserve">第二十一条 </w:t>
                  </w:r>
                  <w:r>
                    <w:t>禁止在合规园区外新建、扩建钢铁、石化、化工、焦化、建材、有色、制浆造纸等高污染项目</w:t>
                  </w:r>
                </w:p>
              </w:tc>
              <w:tc>
                <w:tcPr>
                  <w:tcW w:w="289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拟建项目属于其他塑料制品制造，不属于</w:t>
                  </w:r>
                  <w:r>
                    <w:t>新建、扩建钢铁、石化、化工、焦化、建材、有色、制浆造纸等高污染项目</w:t>
                  </w:r>
                  <w:r>
                    <w:rPr>
                      <w:rFonts w:hint="eastAsia"/>
                    </w:rPr>
                    <w:t>。</w:t>
                  </w:r>
                </w:p>
              </w:tc>
              <w:tc>
                <w:tcPr>
                  <w:tcW w:w="946"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18</w:t>
                  </w:r>
                </w:p>
              </w:tc>
              <w:tc>
                <w:tcPr>
                  <w:tcW w:w="385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 xml:space="preserve">第二十二条 </w:t>
                  </w:r>
                  <w:r>
                    <w:t>禁止新建、扩建不符合国家石化、现代煤化工等产业布局规划的项目</w:t>
                  </w:r>
                </w:p>
                <w:p>
                  <w:pPr>
                    <w:pStyle w:val="52"/>
                  </w:pPr>
                  <w:r>
                    <w:t>严格控制新增炼油产能，未列入《石化产业规划布局方案（修订版）》的新增炼油产能一律不得建设</w:t>
                  </w:r>
                  <w:r>
                    <w:rPr>
                      <w:rFonts w:hint="eastAsia"/>
                    </w:rPr>
                    <w:t>。</w:t>
                  </w:r>
                </w:p>
                <w:p>
                  <w:pPr>
                    <w:pStyle w:val="52"/>
                  </w:pPr>
                  <w:r>
                    <w:t>新建煤制烯经、煤制芳经项目必须列入《现代煤化工产业创新发展布局方案》，必须符合《现代煤化工建设项目环境准入条件（试行）》要求</w:t>
                  </w:r>
                  <w:r>
                    <w:rPr>
                      <w:rFonts w:hint="eastAsia"/>
                    </w:rPr>
                    <w:t>。</w:t>
                  </w:r>
                </w:p>
              </w:tc>
              <w:tc>
                <w:tcPr>
                  <w:tcW w:w="289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拟建项目属于其他塑料制品制造，不属于</w:t>
                  </w:r>
                  <w:r>
                    <w:t>新建、扩建石化、现代煤化工</w:t>
                  </w:r>
                  <w:r>
                    <w:rPr>
                      <w:rFonts w:hint="eastAsia"/>
                    </w:rPr>
                    <w:t>项目。</w:t>
                  </w:r>
                </w:p>
              </w:tc>
              <w:tc>
                <w:tcPr>
                  <w:tcW w:w="946"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19</w:t>
                  </w:r>
                </w:p>
              </w:tc>
              <w:tc>
                <w:tcPr>
                  <w:tcW w:w="385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 xml:space="preserve">第二十三条 </w:t>
                  </w:r>
                  <w:r>
                    <w:t>禁止新建、扩建法律法规和相关政策明令禁止的落后产能项目</w:t>
                  </w:r>
                  <w:r>
                    <w:rPr>
                      <w:rFonts w:hint="eastAsia"/>
                    </w:rPr>
                    <w:t>。</w:t>
                  </w:r>
                  <w:r>
                    <w:t>对《产业结构调整指导目录》中淘汰类项目，禁止投资</w:t>
                  </w:r>
                  <w:r>
                    <w:rPr>
                      <w:rFonts w:hint="eastAsia"/>
                    </w:rPr>
                    <w:t>；</w:t>
                  </w:r>
                  <w:r>
                    <w:t>限制类的新建项目，禁止投资，对属于限制类的现有生产能力，允许企业在一定期限内采取措施改造升级</w:t>
                  </w:r>
                </w:p>
              </w:tc>
              <w:tc>
                <w:tcPr>
                  <w:tcW w:w="289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拟建项目属于其他塑料制品制造，不属于</w:t>
                  </w:r>
                  <w:r>
                    <w:t>《产业结构调整指导目录》中淘汰类项目</w:t>
                  </w:r>
                  <w:r>
                    <w:rPr>
                      <w:rFonts w:hint="eastAsia"/>
                    </w:rPr>
                    <w:t>、</w:t>
                  </w:r>
                  <w:r>
                    <w:t>限制类</w:t>
                  </w:r>
                  <w:r>
                    <w:rPr>
                      <w:rFonts w:hint="eastAsia"/>
                    </w:rPr>
                    <w:t>项目。</w:t>
                  </w:r>
                </w:p>
              </w:tc>
              <w:tc>
                <w:tcPr>
                  <w:tcW w:w="946"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20</w:t>
                  </w:r>
                </w:p>
              </w:tc>
              <w:tc>
                <w:tcPr>
                  <w:tcW w:w="385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 xml:space="preserve">第二十四条 </w:t>
                  </w:r>
                  <w:r>
                    <w:t>禁止新建、扩建不符合国家产能置换要求的严重过剩产能行业的项目</w:t>
                  </w:r>
                  <w:r>
                    <w:rPr>
                      <w:rFonts w:hint="eastAsia"/>
                    </w:rPr>
                    <w:t>。</w:t>
                  </w:r>
                  <w:r>
                    <w:t>对于不符合国家产能置换要求的严重过剩产能行业，不得以其他任何名义任何方式备案新增产能项目</w:t>
                  </w:r>
                </w:p>
              </w:tc>
              <w:tc>
                <w:tcPr>
                  <w:tcW w:w="289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拟建项目属于其他塑料制品制造，不属于</w:t>
                  </w:r>
                  <w:r>
                    <w:t>新建、扩建不符合国家产能置换要求的严重过剩产能行业的项目</w:t>
                  </w:r>
                  <w:r>
                    <w:rPr>
                      <w:rFonts w:hint="eastAsia"/>
                    </w:rPr>
                    <w:t>。</w:t>
                  </w:r>
                </w:p>
              </w:tc>
              <w:tc>
                <w:tcPr>
                  <w:tcW w:w="946"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21</w:t>
                  </w:r>
                </w:p>
              </w:tc>
              <w:tc>
                <w:tcPr>
                  <w:tcW w:w="385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第二十五条 禁止</w:t>
                  </w:r>
                  <w:r>
                    <w:t>建设以</w:t>
                  </w:r>
                  <w:r>
                    <w:rPr>
                      <w:rFonts w:hint="eastAsia"/>
                    </w:rPr>
                    <w:t>下</w:t>
                  </w:r>
                  <w:r>
                    <w:t>燃油汽车投资项目（不在中</w:t>
                  </w:r>
                  <w:r>
                    <w:rPr>
                      <w:rFonts w:hint="eastAsia"/>
                    </w:rPr>
                    <w:t>国</w:t>
                  </w:r>
                  <w:r>
                    <w:t>境内销售产品的投资项目除外</w:t>
                  </w:r>
                  <w:r>
                    <w:rPr>
                      <w:rFonts w:hint="eastAsia"/>
                    </w:rPr>
                    <w:t>）：</w:t>
                  </w:r>
                  <w:r>
                    <w:t>新建独立燃油汽车企业</w:t>
                  </w:r>
                  <w:r>
                    <w:rPr>
                      <w:rFonts w:hint="eastAsia"/>
                    </w:rPr>
                    <w:t>、</w:t>
                  </w:r>
                  <w:r>
                    <w:t>现有汽车企业跨乘用车、商用车类别建设燃油汽车生产能力</w:t>
                  </w:r>
                  <w:r>
                    <w:rPr>
                      <w:rFonts w:hint="eastAsia"/>
                    </w:rPr>
                    <w:t>；</w:t>
                  </w:r>
                  <w:r>
                    <w:t>外省现有燃油汽车企业整体搬迁至本省</w:t>
                  </w:r>
                  <w:r>
                    <w:rPr>
                      <w:rFonts w:hint="eastAsia"/>
                    </w:rPr>
                    <w:t>（</w:t>
                  </w:r>
                  <w:r>
                    <w:t>列入国家级区域发展规划或不改变企业股权结构的项目除外）</w:t>
                  </w:r>
                  <w:r>
                    <w:rPr>
                      <w:rFonts w:hint="eastAsia"/>
                    </w:rPr>
                    <w:t>；</w:t>
                  </w:r>
                </w:p>
                <w:p>
                  <w:pPr>
                    <w:pStyle w:val="52"/>
                  </w:pPr>
                  <w:r>
                    <w:t>对行业管理部门特别公示的燃油汽车企业进行投资（企业原有股东投资或将该企业转为非独立法人的投资项目除外）</w:t>
                  </w:r>
                </w:p>
              </w:tc>
              <w:tc>
                <w:tcPr>
                  <w:tcW w:w="289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拟建项目属于其他塑料制品制造，不属于</w:t>
                  </w:r>
                  <w:r>
                    <w:t>以燃油汽车投资</w:t>
                  </w:r>
                  <w:r>
                    <w:rPr>
                      <w:rFonts w:hint="eastAsia"/>
                    </w:rPr>
                    <w:t>的</w:t>
                  </w:r>
                  <w:r>
                    <w:t>项目</w:t>
                  </w:r>
                  <w:r>
                    <w:rPr>
                      <w:rFonts w:hint="eastAsia"/>
                    </w:rPr>
                    <w:t>。</w:t>
                  </w:r>
                </w:p>
              </w:tc>
              <w:tc>
                <w:tcPr>
                  <w:tcW w:w="946"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22</w:t>
                  </w:r>
                </w:p>
              </w:tc>
              <w:tc>
                <w:tcPr>
                  <w:tcW w:w="385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 xml:space="preserve">第二十六条 </w:t>
                  </w:r>
                  <w:r>
                    <w:t>禁止新建</w:t>
                  </w:r>
                  <w:r>
                    <w:rPr>
                      <w:rFonts w:hint="eastAsia"/>
                    </w:rPr>
                    <w:t>、</w:t>
                  </w:r>
                  <w:r>
                    <w:t>扩建不符合要求的高耗能、高排放、低水平项目</w:t>
                  </w:r>
                </w:p>
              </w:tc>
              <w:tc>
                <w:tcPr>
                  <w:tcW w:w="289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拟建项目不属于</w:t>
                  </w:r>
                  <w:r>
                    <w:t>高耗能、高排放、低水平项目</w:t>
                  </w:r>
                </w:p>
              </w:tc>
              <w:tc>
                <w:tcPr>
                  <w:tcW w:w="946"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符合</w:t>
                  </w:r>
                </w:p>
              </w:tc>
            </w:tr>
          </w:tbl>
          <w:p>
            <w:pPr>
              <w:pStyle w:val="52"/>
            </w:pPr>
          </w:p>
          <w:p>
            <w:pPr>
              <w:pStyle w:val="82"/>
              <w:ind w:firstLine="482"/>
              <w:rPr>
                <w:b/>
                <w:bCs/>
              </w:rPr>
            </w:pPr>
            <w:r>
              <w:rPr>
                <w:rFonts w:hint="eastAsia"/>
                <w:b/>
                <w:bCs/>
              </w:rPr>
              <w:t>（</w:t>
            </w:r>
            <w:r>
              <w:rPr>
                <w:b/>
                <w:bCs/>
              </w:rPr>
              <w:t>5</w:t>
            </w:r>
            <w:r>
              <w:rPr>
                <w:rFonts w:hint="eastAsia"/>
                <w:b/>
                <w:bCs/>
              </w:rPr>
              <w:t>）与《重庆市生态环境保护“十四五”规划（2021—2025年）》的符合性分析</w:t>
            </w:r>
          </w:p>
          <w:p>
            <w:pPr>
              <w:pStyle w:val="82"/>
            </w:pPr>
            <w:r>
              <w:rPr>
                <w:rFonts w:hint="eastAsia"/>
              </w:rPr>
              <w:t>规划指出：</w:t>
            </w:r>
            <w:r>
              <w:rPr>
                <w:rFonts w:hint="eastAsia"/>
                <w:b/>
                <w:bCs/>
              </w:rPr>
              <w:t>①落实生态环境准入规定。</w:t>
            </w:r>
            <w:r>
              <w:rPr>
                <w:rFonts w:hint="eastAsia"/>
              </w:rPr>
              <w:t>落实《中华人民共和国长江保护法》等法律法规和产业结构调整指导目录、环境保护综合名录、长江经济带发展负面清单、重庆市产业投资准入等规定，坚决管控高耗能、高排放项目。落实生态保护红线、环境质量底线、资源利用上线、生态环境准入清单硬约束，实施生态环境分区管控。进一步发挥规划环境影响评价的引领作用，加强规划环评、区域环评与项目环评联动。除在安全生产或者产业布局等方面有特殊要求外，禁止在工业园区外新建工业项目。禁止在工业园区外扩建钢铁、焦化、建材、有色等高污染项目，禁止新建、扩建不符合国家石化、现代煤化工等产业布局规划的项目。</w:t>
            </w:r>
          </w:p>
          <w:p>
            <w:pPr>
              <w:pStyle w:val="82"/>
              <w:ind w:firstLine="482"/>
            </w:pPr>
            <w:r>
              <w:rPr>
                <w:rFonts w:hint="eastAsia"/>
                <w:b/>
                <w:bCs/>
              </w:rPr>
              <w:t>②提升大气环境质量。</w:t>
            </w:r>
            <w:r>
              <w:rPr>
                <w:rFonts w:hint="eastAsia"/>
              </w:rPr>
              <w:t>以挥发性有机物治理和工业炉窑整治为重点深化工业废气污染控制。完成钢铁行业大气污染物超低排放改造。推进实施水泥行业产能等量或减量替代，推动工业炉窑深度治理和升级改造、垃圾焚烧发电厂氮氧化物深度治理。加大化工园区及制药、造纸、化工、燃煤锅炉等集中整治力度。加强火电、水泥、砖瓦、陶瓷、建材加工等行业废气无组织排放监管。严格落实VOCs（挥发性有机物）含量限值标准，大力推进低（无）VOCs 原辅材料替代，将生产和使用高VOCs含量产品的企业列入强制性清洁生产审核名单。以工业涂装、包装印刷、家具制造、电子、石化、化工、油品储运销等行业为重点，强化VOCs无组织排放管控。</w:t>
            </w:r>
          </w:p>
          <w:p>
            <w:pPr>
              <w:pStyle w:val="82"/>
            </w:pPr>
            <w:r>
              <w:rPr>
                <w:rFonts w:hint="eastAsia"/>
              </w:rPr>
              <w:t>拟建项目位于重庆市铜梁高新区蒲吕片区内，项目属于其他塑料制品制造，拟建项目不属于高耗能、高排放项目，符合相关规划。产生的废气经处理后可实现达标排放，因此，拟建项目符合《重庆市生态环境保护“十四五”规划（2021—2025年）》中相关要求。</w:t>
            </w:r>
          </w:p>
          <w:p>
            <w:pPr>
              <w:pStyle w:val="82"/>
              <w:ind w:firstLine="482"/>
              <w:rPr>
                <w:b/>
                <w:bCs/>
              </w:rPr>
            </w:pPr>
            <w:r>
              <w:rPr>
                <w:b/>
                <w:bCs/>
              </w:rPr>
              <w:t>（6）</w:t>
            </w:r>
            <w:r>
              <w:rPr>
                <w:rFonts w:hint="eastAsia"/>
                <w:b/>
                <w:bCs/>
              </w:rPr>
              <w:t>与《重庆市铜梁区生态环境保护“十四五”规划和二〇三五年远景目标》</w:t>
            </w:r>
            <w:r>
              <w:rPr>
                <w:b/>
                <w:bCs/>
              </w:rPr>
              <w:t>的符合性分析</w:t>
            </w:r>
          </w:p>
          <w:p>
            <w:pPr>
              <w:pStyle w:val="82"/>
            </w:pPr>
            <w:r>
              <w:t>2021</w:t>
            </w:r>
            <w:r>
              <w:rPr>
                <w:rFonts w:hint="eastAsia"/>
              </w:rPr>
              <w:t>年</w:t>
            </w:r>
            <w:r>
              <w:t>11</w:t>
            </w:r>
            <w:r>
              <w:rPr>
                <w:rFonts w:hint="eastAsia"/>
              </w:rPr>
              <w:t>月</w:t>
            </w:r>
            <w:r>
              <w:t>29</w:t>
            </w:r>
            <w:r>
              <w:rPr>
                <w:rFonts w:hint="eastAsia"/>
              </w:rPr>
              <w:t>日，重庆市铜梁区人民政府正式印发《重庆市铜梁区生态环境保护</w:t>
            </w:r>
            <w:r>
              <w:t>“</w:t>
            </w:r>
            <w:r>
              <w:rPr>
                <w:rFonts w:hint="eastAsia"/>
              </w:rPr>
              <w:t>十四五</w:t>
            </w:r>
            <w:r>
              <w:t>”</w:t>
            </w:r>
            <w:r>
              <w:rPr>
                <w:rFonts w:hint="eastAsia"/>
              </w:rPr>
              <w:t>规划和二〇三五年远景目标》（铜府发〔2021〕6号），</w:t>
            </w:r>
            <w:r>
              <w:t>项目与</w:t>
            </w:r>
            <w:r>
              <w:rPr>
                <w:rFonts w:hint="eastAsia"/>
              </w:rPr>
              <w:t>该规划</w:t>
            </w:r>
            <w:r>
              <w:t>的符合性见下表</w:t>
            </w:r>
            <w:r>
              <w:rPr>
                <w:rFonts w:hint="eastAsia"/>
              </w:rPr>
              <w:t>。</w:t>
            </w:r>
          </w:p>
          <w:p>
            <w:pPr>
              <w:pStyle w:val="83"/>
            </w:pPr>
            <w:r>
              <w:t>表</w:t>
            </w:r>
            <w:r>
              <w:rPr>
                <w:rFonts w:hint="eastAsia"/>
              </w:rPr>
              <w:t>1</w:t>
            </w:r>
            <w:r>
              <w:t>-10  与</w:t>
            </w:r>
            <w:r>
              <w:rPr>
                <w:rFonts w:hint="eastAsia"/>
              </w:rPr>
              <w:t>“铜府发〔2021〕6号”</w:t>
            </w:r>
            <w:r>
              <w:t>的符合性分析</w:t>
            </w:r>
          </w:p>
          <w:tbl>
            <w:tblPr>
              <w:tblStyle w:val="24"/>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337"/>
              <w:gridCol w:w="3366"/>
              <w:gridCol w:w="2892"/>
              <w:gridCol w:w="777"/>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799" w:type="pct"/>
                  <w:tcBorders>
                    <w:top w:val="single" w:color="auto" w:sz="2" w:space="0"/>
                    <w:left w:val="single" w:color="auto" w:sz="2" w:space="0"/>
                    <w:bottom w:val="single" w:color="auto" w:sz="2" w:space="0"/>
                    <w:right w:val="single" w:color="auto" w:sz="2" w:space="0"/>
                  </w:tcBorders>
                  <w:vAlign w:val="center"/>
                </w:tcPr>
                <w:p>
                  <w:pPr>
                    <w:pStyle w:val="52"/>
                    <w:rPr>
                      <w:b/>
                      <w:bCs/>
                    </w:rPr>
                  </w:pPr>
                  <w:r>
                    <w:rPr>
                      <w:b/>
                      <w:bCs/>
                    </w:rPr>
                    <w:t>文件</w:t>
                  </w:r>
                </w:p>
              </w:tc>
              <w:tc>
                <w:tcPr>
                  <w:tcW w:w="2010" w:type="pct"/>
                  <w:tcBorders>
                    <w:top w:val="single" w:color="auto" w:sz="2" w:space="0"/>
                    <w:left w:val="single" w:color="auto" w:sz="2" w:space="0"/>
                    <w:bottom w:val="single" w:color="auto" w:sz="2" w:space="0"/>
                    <w:right w:val="single" w:color="auto" w:sz="2" w:space="0"/>
                  </w:tcBorders>
                  <w:vAlign w:val="center"/>
                </w:tcPr>
                <w:p>
                  <w:pPr>
                    <w:pStyle w:val="52"/>
                    <w:rPr>
                      <w:b/>
                      <w:bCs/>
                    </w:rPr>
                  </w:pPr>
                  <w:r>
                    <w:rPr>
                      <w:b/>
                      <w:bCs/>
                    </w:rPr>
                    <w:t>相关要求</w:t>
                  </w:r>
                  <w:r>
                    <w:rPr>
                      <w:rFonts w:hint="eastAsia"/>
                      <w:b/>
                      <w:bCs/>
                    </w:rPr>
                    <w:t>（节选）</w:t>
                  </w:r>
                </w:p>
              </w:tc>
              <w:tc>
                <w:tcPr>
                  <w:tcW w:w="1727" w:type="pct"/>
                  <w:tcBorders>
                    <w:top w:val="single" w:color="auto" w:sz="2" w:space="0"/>
                    <w:left w:val="single" w:color="auto" w:sz="2" w:space="0"/>
                    <w:bottom w:val="single" w:color="auto" w:sz="2" w:space="0"/>
                    <w:right w:val="single" w:color="auto" w:sz="2" w:space="0"/>
                  </w:tcBorders>
                  <w:vAlign w:val="center"/>
                </w:tcPr>
                <w:p>
                  <w:pPr>
                    <w:pStyle w:val="52"/>
                    <w:rPr>
                      <w:b/>
                      <w:bCs/>
                    </w:rPr>
                  </w:pPr>
                  <w:r>
                    <w:rPr>
                      <w:b/>
                      <w:bCs/>
                    </w:rPr>
                    <w:t>项目情况</w:t>
                  </w:r>
                </w:p>
              </w:tc>
              <w:tc>
                <w:tcPr>
                  <w:tcW w:w="465" w:type="pct"/>
                  <w:tcBorders>
                    <w:top w:val="single" w:color="auto" w:sz="2" w:space="0"/>
                    <w:left w:val="single" w:color="auto" w:sz="2" w:space="0"/>
                    <w:bottom w:val="single" w:color="auto" w:sz="2" w:space="0"/>
                    <w:right w:val="single" w:color="auto" w:sz="2" w:space="0"/>
                  </w:tcBorders>
                  <w:vAlign w:val="center"/>
                </w:tcPr>
                <w:p>
                  <w:pPr>
                    <w:pStyle w:val="52"/>
                    <w:rPr>
                      <w:b/>
                      <w:bCs/>
                    </w:rPr>
                  </w:pPr>
                  <w:r>
                    <w:rPr>
                      <w:b/>
                      <w:bCs/>
                    </w:rPr>
                    <w:t>符合性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799" w:type="pct"/>
                  <w:tcBorders>
                    <w:top w:val="single" w:color="auto" w:sz="2" w:space="0"/>
                    <w:left w:val="single" w:color="auto" w:sz="2" w:space="0"/>
                    <w:bottom w:val="single" w:color="auto" w:sz="2" w:space="0"/>
                    <w:right w:val="single" w:color="auto" w:sz="2" w:space="0"/>
                  </w:tcBorders>
                  <w:vAlign w:val="center"/>
                </w:tcPr>
                <w:p>
                  <w:pPr>
                    <w:pStyle w:val="52"/>
                  </w:pPr>
                  <w:r>
                    <w:rPr>
                      <w:rFonts w:hint="eastAsia"/>
                    </w:rPr>
                    <w:t>《重庆市铜梁区生态环境保护</w:t>
                  </w:r>
                  <w:r>
                    <w:t>“</w:t>
                  </w:r>
                  <w:r>
                    <w:rPr>
                      <w:rFonts w:hint="eastAsia"/>
                    </w:rPr>
                    <w:t>十四五</w:t>
                  </w:r>
                  <w:r>
                    <w:t>”</w:t>
                  </w:r>
                  <w:r>
                    <w:rPr>
                      <w:rFonts w:hint="eastAsia"/>
                    </w:rPr>
                    <w:t>规划和二〇三五年远景目标》</w:t>
                  </w:r>
                </w:p>
              </w:tc>
              <w:tc>
                <w:tcPr>
                  <w:tcW w:w="2010" w:type="pct"/>
                  <w:tcBorders>
                    <w:top w:val="single" w:color="auto" w:sz="2" w:space="0"/>
                    <w:left w:val="single" w:color="auto" w:sz="2" w:space="0"/>
                    <w:bottom w:val="single" w:color="auto" w:sz="2" w:space="0"/>
                    <w:right w:val="single" w:color="auto" w:sz="2" w:space="0"/>
                  </w:tcBorders>
                  <w:vAlign w:val="center"/>
                </w:tcPr>
                <w:p>
                  <w:pPr>
                    <w:pStyle w:val="52"/>
                    <w:jc w:val="both"/>
                    <w:rPr>
                      <w:b/>
                    </w:rPr>
                  </w:pPr>
                  <w:r>
                    <w:rPr>
                      <w:rFonts w:hint="eastAsia"/>
                      <w:b/>
                    </w:rPr>
                    <w:t>“十四五”重点任务：</w:t>
                  </w:r>
                </w:p>
                <w:p>
                  <w:pPr>
                    <w:pStyle w:val="52"/>
                    <w:jc w:val="both"/>
                    <w:rPr>
                      <w:b/>
                    </w:rPr>
                  </w:pPr>
                  <w:r>
                    <w:rPr>
                      <w:rFonts w:hint="eastAsia"/>
                      <w:b/>
                    </w:rPr>
                    <w:t>1、深化绿色创新驱动：</w:t>
                  </w:r>
                </w:p>
                <w:p>
                  <w:pPr>
                    <w:pStyle w:val="52"/>
                    <w:jc w:val="both"/>
                  </w:pPr>
                  <w:r>
                    <w:rPr>
                      <w:rFonts w:hint="eastAsia"/>
                    </w:rPr>
                    <w:t>进一步转变发展方式，突出电子信息、装备制造、大健康等主导产业，加快推动产业结构提质行动，推动质量、效率、动力变革。积极培育新一代信息技术、生物技术、新能源、新材料、高端装备、新能源汽车等战略性新兴产业，助力制造业高质量发展。</w:t>
                  </w:r>
                </w:p>
                <w:p>
                  <w:pPr>
                    <w:pStyle w:val="52"/>
                    <w:jc w:val="both"/>
                  </w:pPr>
                  <w:r>
                    <w:rPr>
                      <w:rFonts w:hint="eastAsia"/>
                      <w:b/>
                    </w:rPr>
                    <w:t>2、利用综合标准淘汰落后产能：</w:t>
                  </w:r>
                  <w:r>
                    <w:rPr>
                      <w:rFonts w:hint="eastAsia"/>
                    </w:rPr>
                    <w:t>发展清洁能源，科学控制能源消费总量，调整优化能源消费结构，抑制高耗能产业增长，淘汰落后产能，提高能源综合利用效率。深化“腾笼换鸟”，加快城市建成区、小安溪等重点流域重污染企业搬迁改造。继续开展专项行动集中整治散乱污企业。</w:t>
                  </w:r>
                </w:p>
                <w:p>
                  <w:pPr>
                    <w:pStyle w:val="52"/>
                    <w:jc w:val="both"/>
                  </w:pPr>
                  <w:r>
                    <w:rPr>
                      <w:rFonts w:hint="eastAsia"/>
                      <w:b/>
                    </w:rPr>
                    <w:t>3、实施清洁生产：</w:t>
                  </w:r>
                  <w:r>
                    <w:rPr>
                      <w:rFonts w:hint="eastAsia"/>
                    </w:rPr>
                    <w:t>进一步实施清洁生产改造和污染治理技术升级，强化清洁生产审核及评估。鼓励其他企业开展自愿性清洁生产审核，用更少的排放创造更多的经济效益推进企业清洁生产评估帮扶工作，建设绿色工厂、绿色园区，构建绿色制造体系。</w:t>
                  </w:r>
                </w:p>
                <w:p>
                  <w:pPr>
                    <w:pStyle w:val="52"/>
                    <w:jc w:val="both"/>
                  </w:pPr>
                  <w:r>
                    <w:rPr>
                      <w:rFonts w:hint="eastAsia"/>
                      <w:b/>
                    </w:rPr>
                    <w:t>4、提高存量企业资源环境绩效：</w:t>
                  </w:r>
                  <w:r>
                    <w:rPr>
                      <w:rFonts w:hint="eastAsia"/>
                    </w:rPr>
                    <w:t>全覆盖推进企业循环化改造，实现能源梯级利用、土地集约利用等，促进企业循环式生产、园区循环式发展、产业循环式组合，推动产业转型提质升级。引进培育一批具备整体设计能力的智能装备系统集成企业，推动智能装备产品研发、系统集成创新与产业化。开展制造业绿色革命，加大现有企业污染防治和治理、节能减排技术改造力度，集中力量突破高端装备、系统软件、关键材料等重点领域的关键核心技术。</w:t>
                  </w:r>
                </w:p>
              </w:tc>
              <w:tc>
                <w:tcPr>
                  <w:tcW w:w="1727" w:type="pct"/>
                  <w:tcBorders>
                    <w:top w:val="single" w:color="auto" w:sz="2" w:space="0"/>
                    <w:left w:val="single" w:color="auto" w:sz="2" w:space="0"/>
                    <w:bottom w:val="single" w:color="auto" w:sz="2" w:space="0"/>
                    <w:right w:val="single" w:color="auto" w:sz="2" w:space="0"/>
                  </w:tcBorders>
                  <w:vAlign w:val="center"/>
                </w:tcPr>
                <w:p>
                  <w:pPr>
                    <w:pStyle w:val="52"/>
                    <w:jc w:val="both"/>
                  </w:pPr>
                  <w:r>
                    <w:rPr>
                      <w:rFonts w:hint="eastAsia"/>
                    </w:rPr>
                    <w:t>1、</w:t>
                  </w:r>
                  <w:r>
                    <w:t>拟建项目属</w:t>
                  </w:r>
                  <w:r>
                    <w:rPr>
                      <w:rFonts w:hint="eastAsia"/>
                    </w:rPr>
                    <w:t>其他塑料制品</w:t>
                  </w:r>
                  <w:r>
                    <w:t>生产企业，</w:t>
                  </w:r>
                  <w:r>
                    <w:rPr>
                      <w:rFonts w:hint="eastAsia"/>
                    </w:rPr>
                    <w:t>位于</w:t>
                  </w:r>
                  <w:r>
                    <w:t>重庆市铜梁高新区</w:t>
                  </w:r>
                  <w:r>
                    <w:rPr>
                      <w:rFonts w:hint="eastAsia"/>
                    </w:rPr>
                    <w:t>蒲吕</w:t>
                  </w:r>
                  <w:r>
                    <w:t>片区</w:t>
                  </w:r>
                  <w:r>
                    <w:rPr>
                      <w:rFonts w:hint="eastAsia"/>
                    </w:rPr>
                    <w:t>，</w:t>
                  </w:r>
                  <w:r>
                    <w:t>与园区主导产业不冲突。</w:t>
                  </w:r>
                </w:p>
                <w:p>
                  <w:pPr>
                    <w:pStyle w:val="52"/>
                    <w:jc w:val="both"/>
                  </w:pPr>
                  <w:r>
                    <w:rPr>
                      <w:rFonts w:hint="eastAsia"/>
                    </w:rPr>
                    <w:t>2、</w:t>
                  </w:r>
                  <w:r>
                    <w:rPr>
                      <w:rFonts w:hint="eastAsia"/>
                      <w:bCs/>
                    </w:rPr>
                    <w:t>拟建项目使用电能进行生产，</w:t>
                  </w:r>
                  <w:r>
                    <w:t>要进行</w:t>
                  </w:r>
                  <w:r>
                    <w:rPr>
                      <w:rFonts w:hint="eastAsia"/>
                    </w:rPr>
                    <w:t>其他塑料制品制造</w:t>
                  </w:r>
                  <w:r>
                    <w:t>生产，</w:t>
                  </w:r>
                  <w:r>
                    <w:rPr>
                      <w:rFonts w:hint="eastAsia"/>
                    </w:rPr>
                    <w:t>不属于淘汰落后产能；位于小安溪流域，但不属于重点污染企业，不属于散乱污企业。</w:t>
                  </w:r>
                </w:p>
                <w:p>
                  <w:pPr>
                    <w:pStyle w:val="52"/>
                    <w:jc w:val="both"/>
                  </w:pPr>
                  <w:r>
                    <w:rPr>
                      <w:rFonts w:hint="eastAsia"/>
                    </w:rPr>
                    <w:t>3、</w:t>
                  </w:r>
                  <w:r>
                    <w:rPr>
                      <w:bCs/>
                    </w:rPr>
                    <w:t>生产原料及生产工艺简单，所使用原料及设备等均符合清洁生产相关要求</w:t>
                  </w:r>
                  <w:r>
                    <w:rPr>
                      <w:rFonts w:hint="eastAsia"/>
                      <w:bCs/>
                    </w:rPr>
                    <w:t>。</w:t>
                  </w:r>
                </w:p>
                <w:p>
                  <w:pPr>
                    <w:pStyle w:val="52"/>
                    <w:jc w:val="both"/>
                  </w:pPr>
                  <w:r>
                    <w:rPr>
                      <w:rFonts w:hint="eastAsia"/>
                      <w:bCs/>
                    </w:rPr>
                    <w:t>4、</w:t>
                  </w:r>
                  <w:r>
                    <w:t>拟建项目属于</w:t>
                  </w:r>
                  <w:r>
                    <w:rPr>
                      <w:rFonts w:hint="eastAsia"/>
                    </w:rPr>
                    <w:t>其他塑料制品制造</w:t>
                  </w:r>
                  <w:r>
                    <w:t>企业，外排污染物达标排放</w:t>
                  </w:r>
                  <w:r>
                    <w:rPr>
                      <w:rFonts w:hint="eastAsia"/>
                    </w:rPr>
                    <w:t>。</w:t>
                  </w:r>
                </w:p>
              </w:tc>
              <w:tc>
                <w:tcPr>
                  <w:tcW w:w="465" w:type="pct"/>
                  <w:tcBorders>
                    <w:top w:val="single" w:color="auto" w:sz="2" w:space="0"/>
                    <w:left w:val="single" w:color="auto" w:sz="2" w:space="0"/>
                    <w:bottom w:val="single" w:color="auto" w:sz="2" w:space="0"/>
                    <w:right w:val="single" w:color="auto" w:sz="2" w:space="0"/>
                  </w:tcBorders>
                  <w:vAlign w:val="center"/>
                </w:tcPr>
                <w:p>
                  <w:pPr>
                    <w:pStyle w:val="52"/>
                  </w:pPr>
                  <w:r>
                    <w:t>符合</w:t>
                  </w:r>
                </w:p>
              </w:tc>
            </w:tr>
          </w:tbl>
          <w:p>
            <w:pPr>
              <w:pStyle w:val="82"/>
              <w:ind w:firstLine="482"/>
              <w:rPr>
                <w:b/>
                <w:bCs/>
              </w:rPr>
            </w:pPr>
            <w:r>
              <w:rPr>
                <w:rFonts w:hint="eastAsia"/>
                <w:b/>
                <w:bCs/>
              </w:rPr>
              <w:t>3、与大气污染防治相关法律法规政策的符合性分析</w:t>
            </w:r>
          </w:p>
          <w:p>
            <w:pPr>
              <w:pStyle w:val="82"/>
            </w:pPr>
            <w:r>
              <w:rPr>
                <w:rFonts w:hint="eastAsia"/>
              </w:rPr>
              <w:t>项目与大气污染防治相关法律法规政策的符合性见下表。</w:t>
            </w:r>
          </w:p>
          <w:p>
            <w:pPr>
              <w:pStyle w:val="83"/>
            </w:pPr>
            <w:r>
              <w:t>表</w:t>
            </w:r>
            <w:r>
              <w:rPr>
                <w:rFonts w:hint="eastAsia"/>
              </w:rPr>
              <w:t>1</w:t>
            </w:r>
            <w:r>
              <w:t>-11  与大气污染防治相关法律法规的符合性分析</w:t>
            </w:r>
          </w:p>
          <w:tbl>
            <w:tblPr>
              <w:tblStyle w:val="24"/>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663"/>
              <w:gridCol w:w="3718"/>
              <w:gridCol w:w="2212"/>
              <w:gridCol w:w="7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5"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rPr>
                      <w:b/>
                      <w:bCs/>
                      <w:kern w:val="2"/>
                    </w:rPr>
                  </w:pPr>
                  <w:r>
                    <w:rPr>
                      <w:b/>
                      <w:bCs/>
                      <w:kern w:val="2"/>
                    </w:rPr>
                    <w:t>文件</w:t>
                  </w:r>
                </w:p>
              </w:tc>
              <w:tc>
                <w:tcPr>
                  <w:tcW w:w="2230"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rPr>
                      <w:b/>
                      <w:bCs/>
                      <w:kern w:val="2"/>
                    </w:rPr>
                  </w:pPr>
                  <w:r>
                    <w:rPr>
                      <w:b/>
                      <w:bCs/>
                      <w:kern w:val="2"/>
                    </w:rPr>
                    <w:t>相关要求</w:t>
                  </w:r>
                </w:p>
              </w:tc>
              <w:tc>
                <w:tcPr>
                  <w:tcW w:w="1329"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rPr>
                      <w:b/>
                      <w:bCs/>
                      <w:kern w:val="2"/>
                    </w:rPr>
                  </w:pPr>
                  <w:r>
                    <w:rPr>
                      <w:b/>
                      <w:bCs/>
                      <w:kern w:val="2"/>
                    </w:rPr>
                    <w:t>项目情况</w:t>
                  </w:r>
                </w:p>
              </w:tc>
              <w:tc>
                <w:tcPr>
                  <w:tcW w:w="466"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ind w:left="-105" w:leftChars="-50" w:right="-105" w:rightChars="-50"/>
                    <w:rPr>
                      <w:b/>
                      <w:bCs/>
                      <w:kern w:val="2"/>
                    </w:rPr>
                  </w:pPr>
                  <w:r>
                    <w:rPr>
                      <w:b/>
                      <w:bCs/>
                      <w:kern w:val="2"/>
                    </w:rPr>
                    <w:t>符合性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5" w:type="pct"/>
                  <w:vMerge w:val="restart"/>
                  <w:tcBorders>
                    <w:top w:val="single" w:color="auto" w:sz="6" w:space="0"/>
                    <w:left w:val="single" w:color="auto" w:sz="6" w:space="0"/>
                    <w:bottom w:val="single" w:color="auto" w:sz="6" w:space="0"/>
                    <w:right w:val="single" w:color="auto" w:sz="6" w:space="0"/>
                  </w:tcBorders>
                  <w:vAlign w:val="center"/>
                </w:tcPr>
                <w:p>
                  <w:pPr>
                    <w:pStyle w:val="52"/>
                    <w:spacing w:line="320" w:lineRule="exact"/>
                    <w:rPr>
                      <w:kern w:val="2"/>
                    </w:rPr>
                  </w:pPr>
                  <w:r>
                    <w:rPr>
                      <w:kern w:val="2"/>
                    </w:rPr>
                    <w:t>《中华人民共和国大气污染防治法》</w:t>
                  </w:r>
                </w:p>
              </w:tc>
              <w:tc>
                <w:tcPr>
                  <w:tcW w:w="2230"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rPr>
                      <w:kern w:val="2"/>
                    </w:rPr>
                  </w:pPr>
                  <w:r>
                    <w:rPr>
                      <w:kern w:val="2"/>
                    </w:rPr>
                    <w:t>产生含挥发性有机物废气的生产和服务活动，应当在密团空间或者设备中进行，并按规定安装、使用污染防治措施；无法密闭的，应当采取措施减少废气排放。</w:t>
                  </w:r>
                </w:p>
              </w:tc>
              <w:tc>
                <w:tcPr>
                  <w:tcW w:w="1329"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rPr>
                      <w:kern w:val="2"/>
                    </w:rPr>
                  </w:pPr>
                  <w:r>
                    <w:rPr>
                      <w:rFonts w:hint="eastAsia"/>
                      <w:bCs/>
                    </w:rPr>
                    <w:t>项目涉及VOCs排放的相关工序及设备均位于密闭厂房内且设置了严格的收集和处理设施</w:t>
                  </w:r>
                  <w:r>
                    <w:rPr>
                      <w:rFonts w:hint="eastAsia"/>
                    </w:rPr>
                    <w:t>，</w:t>
                  </w:r>
                  <w:r>
                    <w:rPr>
                      <w:rFonts w:hint="eastAsia"/>
                      <w:kern w:val="2"/>
                    </w:rPr>
                    <w:t>产生的有机废气经集气罩及管道负压收集处理达标后排放。</w:t>
                  </w:r>
                </w:p>
              </w:tc>
              <w:tc>
                <w:tcPr>
                  <w:tcW w:w="466"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rPr>
                      <w:kern w:val="2"/>
                    </w:rPr>
                  </w:pPr>
                  <w:r>
                    <w:rPr>
                      <w:kern w:val="2"/>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5" w:type="pct"/>
                  <w:vMerge w:val="continue"/>
                  <w:tcBorders>
                    <w:top w:val="single" w:color="auto" w:sz="6" w:space="0"/>
                    <w:left w:val="single" w:color="auto" w:sz="6" w:space="0"/>
                    <w:bottom w:val="single" w:color="auto" w:sz="6" w:space="0"/>
                    <w:right w:val="single" w:color="auto" w:sz="6" w:space="0"/>
                  </w:tcBorders>
                  <w:vAlign w:val="center"/>
                </w:tcPr>
                <w:p>
                  <w:pPr>
                    <w:spacing w:line="320" w:lineRule="exact"/>
                  </w:pPr>
                </w:p>
              </w:tc>
              <w:tc>
                <w:tcPr>
                  <w:tcW w:w="2230"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rPr>
                      <w:kern w:val="2"/>
                    </w:rPr>
                  </w:pPr>
                  <w:r>
                    <w:rPr>
                      <w:kern w:val="2"/>
                    </w:rPr>
                    <w:t>石油、化工以及其他生产和使用有机溶剂的企业，应当采取措施对管道、设备进行日常维护维修，减少物料泄漏，对泄漏的物料应当及时收集处理。</w:t>
                  </w:r>
                </w:p>
              </w:tc>
              <w:tc>
                <w:tcPr>
                  <w:tcW w:w="1329"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rPr>
                      <w:kern w:val="2"/>
                    </w:rPr>
                  </w:pPr>
                  <w:r>
                    <w:rPr>
                      <w:rFonts w:hint="eastAsia"/>
                      <w:kern w:val="2"/>
                    </w:rPr>
                    <w:t>项目生产不使用有机溶剂</w:t>
                  </w:r>
                  <w:r>
                    <w:rPr>
                      <w:rFonts w:hint="eastAsia"/>
                    </w:rPr>
                    <w:t>。</w:t>
                  </w:r>
                </w:p>
              </w:tc>
              <w:tc>
                <w:tcPr>
                  <w:tcW w:w="466"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rPr>
                      <w:kern w:val="2"/>
                    </w:rPr>
                  </w:pPr>
                  <w:r>
                    <w:rPr>
                      <w:kern w:val="2"/>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5"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rPr>
                      <w:kern w:val="2"/>
                    </w:rPr>
                  </w:pPr>
                  <w:r>
                    <w:t>《重庆市大气污染防治条例》（2021年5月27日修正）</w:t>
                  </w:r>
                </w:p>
              </w:tc>
              <w:tc>
                <w:tcPr>
                  <w:tcW w:w="2230"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rPr>
                      <w:kern w:val="2"/>
                    </w:rPr>
                  </w:pPr>
                  <w:r>
                    <w:t>“有机化工、制药、电子设备制造、包装印刷、家具制造及其他产生含挥发性有机物废气的生产和服务活动，应当在密闭空间或者设备中进行，并按照规定安装、使用污染防治设施，保持正常运行；无法密闭的，应当采取措施减少废气排放”及第六项：“其他向大气排放粉尘、恶臭气体，以及含重金属、持久性有机污染物等有毒有害气体的工业企业，应当按照规定配套安装净化装置或者采取其他措施减少污染物排放”。</w:t>
                  </w:r>
                </w:p>
              </w:tc>
              <w:tc>
                <w:tcPr>
                  <w:tcW w:w="1329"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rPr>
                      <w:kern w:val="2"/>
                    </w:rPr>
                  </w:pPr>
                  <w:r>
                    <w:rPr>
                      <w:rFonts w:hint="eastAsia"/>
                      <w:bCs/>
                    </w:rPr>
                    <w:t>项目涉及VOCs排放的相关工序及设备均位于密闭厂房内且设置了严格的收集和处理设施</w:t>
                  </w:r>
                  <w:r>
                    <w:rPr>
                      <w:rFonts w:hint="eastAsia"/>
                    </w:rPr>
                    <w:t>，</w:t>
                  </w:r>
                  <w:r>
                    <w:rPr>
                      <w:rFonts w:hint="eastAsia"/>
                      <w:kern w:val="2"/>
                    </w:rPr>
                    <w:t>产生的有机废气经集气罩及管道负压收集，通过UV光催化+三级活性炭处理达标后排放。</w:t>
                  </w:r>
                </w:p>
              </w:tc>
              <w:tc>
                <w:tcPr>
                  <w:tcW w:w="466"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rPr>
                      <w:kern w:val="2"/>
                    </w:rPr>
                  </w:pPr>
                  <w:r>
                    <w:rPr>
                      <w:kern w:val="2"/>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03" w:hRule="atLeast"/>
                <w:jc w:val="center"/>
              </w:trPr>
              <w:tc>
                <w:tcPr>
                  <w:tcW w:w="975" w:type="pct"/>
                  <w:vMerge w:val="restart"/>
                  <w:tcBorders>
                    <w:top w:val="single" w:color="auto" w:sz="6" w:space="0"/>
                    <w:left w:val="single" w:color="auto" w:sz="6" w:space="0"/>
                    <w:right w:val="single" w:color="auto" w:sz="6" w:space="0"/>
                  </w:tcBorders>
                  <w:vAlign w:val="center"/>
                </w:tcPr>
                <w:p>
                  <w:pPr>
                    <w:spacing w:line="320" w:lineRule="exact"/>
                    <w:jc w:val="center"/>
                  </w:pPr>
                  <w:r>
                    <w:t>《挥发性有机物无组织排放控制标准》(GB37822-2019)</w:t>
                  </w:r>
                </w:p>
              </w:tc>
              <w:tc>
                <w:tcPr>
                  <w:tcW w:w="2230" w:type="pct"/>
                  <w:tcBorders>
                    <w:top w:val="single" w:color="auto" w:sz="6" w:space="0"/>
                    <w:left w:val="single" w:color="auto" w:sz="6" w:space="0"/>
                    <w:bottom w:val="single" w:color="auto" w:sz="6" w:space="0"/>
                    <w:right w:val="single" w:color="auto" w:sz="6" w:space="0"/>
                  </w:tcBorders>
                  <w:vAlign w:val="center"/>
                </w:tcPr>
                <w:p>
                  <w:pPr>
                    <w:pStyle w:val="93"/>
                    <w:spacing w:line="320" w:lineRule="exact"/>
                    <w:jc w:val="left"/>
                    <w:rPr>
                      <w:sz w:val="21"/>
                    </w:rPr>
                  </w:pPr>
                  <w:r>
                    <w:rPr>
                      <w:sz w:val="21"/>
                    </w:rPr>
                    <w:t>物料应储存于密闭的容器、包装袋、储罐、储库、料仓中；盛装VOCs物料的容器或保证应存放于室内或存放于设置有雨棚、遮阳和防渗设施的专用场地。</w:t>
                  </w:r>
                </w:p>
              </w:tc>
              <w:tc>
                <w:tcPr>
                  <w:tcW w:w="1329" w:type="pct"/>
                  <w:tcBorders>
                    <w:top w:val="single" w:color="auto" w:sz="6" w:space="0"/>
                    <w:left w:val="single" w:color="auto" w:sz="6" w:space="0"/>
                    <w:bottom w:val="single" w:color="auto" w:sz="6" w:space="0"/>
                    <w:right w:val="single" w:color="auto" w:sz="6" w:space="0"/>
                  </w:tcBorders>
                  <w:vAlign w:val="center"/>
                </w:tcPr>
                <w:p>
                  <w:pPr>
                    <w:pStyle w:val="93"/>
                    <w:spacing w:line="320" w:lineRule="exact"/>
                    <w:jc w:val="left"/>
                    <w:rPr>
                      <w:sz w:val="21"/>
                    </w:rPr>
                  </w:pPr>
                  <w:r>
                    <w:rPr>
                      <w:sz w:val="21"/>
                    </w:rPr>
                    <w:t>项目</w:t>
                  </w:r>
                  <w:r>
                    <w:rPr>
                      <w:rFonts w:hint="eastAsia"/>
                      <w:sz w:val="21"/>
                    </w:rPr>
                    <w:t>不涉及。</w:t>
                  </w:r>
                </w:p>
              </w:tc>
              <w:tc>
                <w:tcPr>
                  <w:tcW w:w="466" w:type="pct"/>
                  <w:tcBorders>
                    <w:top w:val="single" w:color="auto" w:sz="6" w:space="0"/>
                    <w:left w:val="single" w:color="auto" w:sz="6" w:space="0"/>
                    <w:bottom w:val="single" w:color="auto" w:sz="6" w:space="0"/>
                    <w:right w:val="single" w:color="auto" w:sz="6" w:space="0"/>
                  </w:tcBorders>
                  <w:vAlign w:val="center"/>
                </w:tcPr>
                <w:p>
                  <w:pPr>
                    <w:pStyle w:val="93"/>
                    <w:spacing w:line="320" w:lineRule="exact"/>
                    <w:rPr>
                      <w:sz w:val="21"/>
                    </w:rPr>
                  </w:pPr>
                  <w:r>
                    <w:rPr>
                      <w:sz w:val="21"/>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03" w:hRule="atLeast"/>
                <w:jc w:val="center"/>
              </w:trPr>
              <w:tc>
                <w:tcPr>
                  <w:tcW w:w="975" w:type="pct"/>
                  <w:vMerge w:val="continue"/>
                  <w:tcBorders>
                    <w:top w:val="single" w:color="auto" w:sz="6" w:space="0"/>
                    <w:left w:val="single" w:color="auto" w:sz="6" w:space="0"/>
                    <w:right w:val="single" w:color="auto" w:sz="6" w:space="0"/>
                  </w:tcBorders>
                  <w:vAlign w:val="center"/>
                </w:tcPr>
                <w:p>
                  <w:pPr>
                    <w:spacing w:line="320" w:lineRule="exact"/>
                    <w:jc w:val="center"/>
                  </w:pPr>
                </w:p>
              </w:tc>
              <w:tc>
                <w:tcPr>
                  <w:tcW w:w="2230" w:type="pct"/>
                  <w:tcBorders>
                    <w:top w:val="single" w:color="auto" w:sz="6" w:space="0"/>
                    <w:left w:val="single" w:color="auto" w:sz="6" w:space="0"/>
                    <w:bottom w:val="single" w:color="auto" w:sz="6" w:space="0"/>
                    <w:right w:val="single" w:color="auto" w:sz="6" w:space="0"/>
                  </w:tcBorders>
                  <w:vAlign w:val="center"/>
                </w:tcPr>
                <w:p>
                  <w:pPr>
                    <w:pStyle w:val="93"/>
                    <w:spacing w:line="320" w:lineRule="exact"/>
                    <w:jc w:val="left"/>
                    <w:rPr>
                      <w:kern w:val="2"/>
                      <w:sz w:val="21"/>
                    </w:rPr>
                  </w:pPr>
                  <w:r>
                    <w:rPr>
                      <w:sz w:val="21"/>
                    </w:rPr>
                    <w:t>VOCs物料应储存于密闭的容器、包装袋、储罐、料仓中；承装物料的容器或包装袋应存放于室内，在非取用状态时应加盖、封口，保持密闭</w:t>
                  </w:r>
                  <w:r>
                    <w:rPr>
                      <w:kern w:val="2"/>
                      <w:sz w:val="21"/>
                    </w:rPr>
                    <w:t>。</w:t>
                  </w:r>
                  <w:r>
                    <w:rPr>
                      <w:sz w:val="21"/>
                    </w:rPr>
                    <w:t>采用非管道输送方式转移液态VOCs物料时，应采用密闭容器；VOCs物料卸（出、放）料过程应密闭，卸料废气应排至VOCs废气收集处理系统</w:t>
                  </w:r>
                  <w:r>
                    <w:rPr>
                      <w:kern w:val="2"/>
                      <w:sz w:val="21"/>
                    </w:rPr>
                    <w:t>。</w:t>
                  </w:r>
                </w:p>
              </w:tc>
              <w:tc>
                <w:tcPr>
                  <w:tcW w:w="1329" w:type="pct"/>
                  <w:tcBorders>
                    <w:top w:val="single" w:color="auto" w:sz="6" w:space="0"/>
                    <w:left w:val="single" w:color="auto" w:sz="6" w:space="0"/>
                    <w:bottom w:val="single" w:color="auto" w:sz="6" w:space="0"/>
                    <w:right w:val="single" w:color="auto" w:sz="6" w:space="0"/>
                  </w:tcBorders>
                  <w:vAlign w:val="center"/>
                </w:tcPr>
                <w:p>
                  <w:pPr>
                    <w:pStyle w:val="93"/>
                    <w:spacing w:line="320" w:lineRule="exact"/>
                    <w:jc w:val="left"/>
                    <w:rPr>
                      <w:kern w:val="2"/>
                      <w:sz w:val="21"/>
                    </w:rPr>
                  </w:pPr>
                  <w:r>
                    <w:rPr>
                      <w:sz w:val="21"/>
                    </w:rPr>
                    <w:t>项目</w:t>
                  </w:r>
                  <w:r>
                    <w:rPr>
                      <w:rFonts w:hint="eastAsia"/>
                      <w:sz w:val="21"/>
                    </w:rPr>
                    <w:t>不涉及。</w:t>
                  </w:r>
                </w:p>
              </w:tc>
              <w:tc>
                <w:tcPr>
                  <w:tcW w:w="466"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rPr>
                      <w:kern w:val="2"/>
                    </w:rPr>
                  </w:pPr>
                  <w:r>
                    <w:rPr>
                      <w:kern w:val="2"/>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81" w:hRule="atLeast"/>
                <w:jc w:val="center"/>
              </w:trPr>
              <w:tc>
                <w:tcPr>
                  <w:tcW w:w="975" w:type="pct"/>
                  <w:vMerge w:val="continue"/>
                  <w:tcBorders>
                    <w:top w:val="single" w:color="auto" w:sz="6" w:space="0"/>
                    <w:left w:val="single" w:color="auto" w:sz="6" w:space="0"/>
                    <w:right w:val="single" w:color="auto" w:sz="6" w:space="0"/>
                  </w:tcBorders>
                  <w:vAlign w:val="center"/>
                </w:tcPr>
                <w:p>
                  <w:pPr>
                    <w:spacing w:line="320" w:lineRule="exact"/>
                    <w:jc w:val="center"/>
                  </w:pPr>
                </w:p>
              </w:tc>
              <w:tc>
                <w:tcPr>
                  <w:tcW w:w="2230" w:type="pct"/>
                  <w:tcBorders>
                    <w:top w:val="single" w:color="auto" w:sz="6" w:space="0"/>
                    <w:left w:val="single" w:color="auto" w:sz="6" w:space="0"/>
                    <w:bottom w:val="single" w:color="auto" w:sz="6" w:space="0"/>
                    <w:right w:val="single" w:color="auto" w:sz="6" w:space="0"/>
                  </w:tcBorders>
                  <w:vAlign w:val="center"/>
                </w:tcPr>
                <w:p>
                  <w:pPr>
                    <w:pStyle w:val="93"/>
                    <w:spacing w:line="320" w:lineRule="exact"/>
                    <w:jc w:val="left"/>
                    <w:rPr>
                      <w:sz w:val="21"/>
                    </w:rPr>
                  </w:pPr>
                  <w:r>
                    <w:rPr>
                      <w:sz w:val="21"/>
                    </w:rPr>
                    <w:t>VOCs废气收集处理系统应与生产设备同步运行。VOCs废气收集处理系统发生故障或检修时，对应的生产工艺设备停止运行，待检修完毕后同步投入使用；生产工艺设备不能停止运行或不能及时停止运行的，应设置废气应急处理设施或采取其他替代措施。</w:t>
                  </w:r>
                </w:p>
              </w:tc>
              <w:tc>
                <w:tcPr>
                  <w:tcW w:w="1329" w:type="pct"/>
                  <w:tcBorders>
                    <w:top w:val="single" w:color="auto" w:sz="6" w:space="0"/>
                    <w:left w:val="single" w:color="auto" w:sz="6" w:space="0"/>
                    <w:bottom w:val="single" w:color="auto" w:sz="6" w:space="0"/>
                    <w:right w:val="single" w:color="auto" w:sz="6" w:space="0"/>
                  </w:tcBorders>
                  <w:vAlign w:val="center"/>
                </w:tcPr>
                <w:p>
                  <w:pPr>
                    <w:pStyle w:val="93"/>
                    <w:spacing w:line="320" w:lineRule="exact"/>
                    <w:jc w:val="left"/>
                    <w:rPr>
                      <w:sz w:val="21"/>
                    </w:rPr>
                  </w:pPr>
                  <w:r>
                    <w:rPr>
                      <w:sz w:val="21"/>
                    </w:rPr>
                    <w:t>项目废气收集处理系统与生产设备同步运行</w:t>
                  </w:r>
                  <w:r>
                    <w:rPr>
                      <w:rFonts w:hint="eastAsia"/>
                      <w:sz w:val="21"/>
                    </w:rPr>
                    <w:t>，有机废气经过管道负压收集处理后达标排放。</w:t>
                  </w:r>
                  <w:r>
                    <w:rPr>
                      <w:sz w:val="21"/>
                    </w:rPr>
                    <w:t>设备故障情况下可立即停止生产。</w:t>
                  </w:r>
                </w:p>
              </w:tc>
              <w:tc>
                <w:tcPr>
                  <w:tcW w:w="466"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rPr>
                      <w:kern w:val="2"/>
                    </w:rPr>
                  </w:pPr>
                  <w:r>
                    <w:rPr>
                      <w:kern w:val="2"/>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39" w:hRule="atLeast"/>
                <w:jc w:val="center"/>
              </w:trPr>
              <w:tc>
                <w:tcPr>
                  <w:tcW w:w="975" w:type="pct"/>
                  <w:vMerge w:val="continue"/>
                  <w:tcBorders>
                    <w:top w:val="single" w:color="auto" w:sz="6" w:space="0"/>
                    <w:left w:val="single" w:color="auto" w:sz="6" w:space="0"/>
                    <w:right w:val="single" w:color="auto" w:sz="6" w:space="0"/>
                  </w:tcBorders>
                  <w:vAlign w:val="center"/>
                </w:tcPr>
                <w:p>
                  <w:pPr>
                    <w:spacing w:line="320" w:lineRule="exact"/>
                    <w:jc w:val="center"/>
                  </w:pPr>
                </w:p>
              </w:tc>
              <w:tc>
                <w:tcPr>
                  <w:tcW w:w="2230"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left"/>
                  </w:pPr>
                  <w:r>
                    <w:rPr>
                      <w:rFonts w:hint="eastAsia"/>
                    </w:rPr>
                    <w:t>工艺过程产生的含</w:t>
                  </w:r>
                  <w:r>
                    <w:t>VOCs</w:t>
                  </w:r>
                  <w:r>
                    <w:rPr>
                      <w:rFonts w:hint="eastAsia"/>
                    </w:rPr>
                    <w:t>废料</w:t>
                  </w:r>
                  <w:r>
                    <w:t>(</w:t>
                  </w:r>
                  <w:r>
                    <w:rPr>
                      <w:rFonts w:hint="eastAsia"/>
                    </w:rPr>
                    <w:t>渣、液</w:t>
                  </w:r>
                  <w:r>
                    <w:t>)</w:t>
                  </w:r>
                  <w:r>
                    <w:rPr>
                      <w:rFonts w:hint="eastAsia"/>
                    </w:rPr>
                    <w:t>应按照第</w:t>
                  </w:r>
                  <w:r>
                    <w:t>5</w:t>
                  </w:r>
                  <w:r>
                    <w:rPr>
                      <w:rFonts w:hint="eastAsia"/>
                    </w:rPr>
                    <w:t>章、第</w:t>
                  </w:r>
                  <w:r>
                    <w:t>6</w:t>
                  </w:r>
                  <w:r>
                    <w:rPr>
                      <w:rFonts w:hint="eastAsia"/>
                    </w:rPr>
                    <w:t>章的要求进行储存、转移和输送。盛装过</w:t>
                  </w:r>
                  <w:r>
                    <w:t>VOCs</w:t>
                  </w:r>
                  <w:r>
                    <w:rPr>
                      <w:rFonts w:hint="eastAsia"/>
                    </w:rPr>
                    <w:t>物料的废包装容器应加盖密闭。</w:t>
                  </w:r>
                </w:p>
              </w:tc>
              <w:tc>
                <w:tcPr>
                  <w:tcW w:w="1329"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rPr>
                      <w:kern w:val="2"/>
                    </w:rPr>
                  </w:pPr>
                  <w:r>
                    <w:rPr>
                      <w:rFonts w:hint="eastAsia"/>
                      <w:kern w:val="2"/>
                    </w:rPr>
                    <w:t>项目不涉及。</w:t>
                  </w:r>
                </w:p>
              </w:tc>
              <w:tc>
                <w:tcPr>
                  <w:tcW w:w="466"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rPr>
                      <w:kern w:val="2"/>
                    </w:rPr>
                  </w:pPr>
                  <w:r>
                    <w:rPr>
                      <w:kern w:val="2"/>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28" w:hRule="atLeast"/>
                <w:jc w:val="center"/>
              </w:trPr>
              <w:tc>
                <w:tcPr>
                  <w:tcW w:w="975" w:type="pct"/>
                  <w:vMerge w:val="continue"/>
                  <w:tcBorders>
                    <w:top w:val="single" w:color="auto" w:sz="6" w:space="0"/>
                    <w:left w:val="single" w:color="auto" w:sz="6" w:space="0"/>
                    <w:right w:val="single" w:color="auto" w:sz="6" w:space="0"/>
                  </w:tcBorders>
                  <w:vAlign w:val="center"/>
                </w:tcPr>
                <w:p>
                  <w:pPr>
                    <w:spacing w:line="320" w:lineRule="exact"/>
                    <w:jc w:val="center"/>
                  </w:pPr>
                </w:p>
              </w:tc>
              <w:tc>
                <w:tcPr>
                  <w:tcW w:w="2230"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left"/>
                  </w:pPr>
                  <w:r>
                    <w:rPr>
                      <w:rFonts w:hint="eastAsia"/>
                    </w:rPr>
                    <w:t>废气收集系统的输送管道应密闭。废气收集系统应在负压下运行。</w:t>
                  </w:r>
                </w:p>
              </w:tc>
              <w:tc>
                <w:tcPr>
                  <w:tcW w:w="1329"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rPr>
                      <w:kern w:val="2"/>
                    </w:rPr>
                  </w:pPr>
                  <w:r>
                    <w:rPr>
                      <w:rFonts w:hint="eastAsia"/>
                      <w:kern w:val="2"/>
                    </w:rPr>
                    <w:t>项目有机废气收集系统的输送管道为密闭。废气收集系统在负压下运行。</w:t>
                  </w:r>
                </w:p>
              </w:tc>
              <w:tc>
                <w:tcPr>
                  <w:tcW w:w="466"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rPr>
                      <w:kern w:val="2"/>
                    </w:rPr>
                  </w:pPr>
                  <w:r>
                    <w:rPr>
                      <w:kern w:val="2"/>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5" w:type="pct"/>
                  <w:vMerge w:val="restart"/>
                  <w:tcBorders>
                    <w:top w:val="single" w:color="auto" w:sz="6" w:space="0"/>
                    <w:left w:val="single" w:color="auto" w:sz="6" w:space="0"/>
                    <w:right w:val="single" w:color="auto" w:sz="6" w:space="0"/>
                  </w:tcBorders>
                  <w:vAlign w:val="center"/>
                </w:tcPr>
                <w:p>
                  <w:pPr>
                    <w:pStyle w:val="52"/>
                    <w:spacing w:line="320" w:lineRule="exact"/>
                    <w:rPr>
                      <w:kern w:val="2"/>
                    </w:rPr>
                  </w:pPr>
                  <w:r>
                    <w:rPr>
                      <w:kern w:val="2"/>
                    </w:rPr>
                    <w:t>《2020年挥发性有机物治理攻坚方案》（环大气〔2020〕33号）</w:t>
                  </w:r>
                </w:p>
              </w:tc>
              <w:tc>
                <w:tcPr>
                  <w:tcW w:w="2230" w:type="pct"/>
                  <w:tcBorders>
                    <w:top w:val="single" w:color="auto" w:sz="6" w:space="0"/>
                    <w:left w:val="single" w:color="auto" w:sz="6" w:space="0"/>
                    <w:bottom w:val="single" w:color="auto" w:sz="6" w:space="0"/>
                    <w:right w:val="single" w:color="auto" w:sz="6" w:space="0"/>
                  </w:tcBorders>
                  <w:vAlign w:val="center"/>
                </w:tcPr>
                <w:p>
                  <w:pPr>
                    <w:pStyle w:val="51"/>
                    <w:adjustRightInd w:val="0"/>
                    <w:snapToGrid w:val="0"/>
                    <w:spacing w:line="320" w:lineRule="exact"/>
                    <w:ind w:firstLine="0" w:firstLineChars="0"/>
                    <w:rPr>
                      <w:sz w:val="21"/>
                    </w:rPr>
                  </w:pPr>
                  <w:r>
                    <w:rPr>
                      <w:b/>
                      <w:bCs/>
                      <w:sz w:val="21"/>
                    </w:rPr>
                    <w:t>大力推进源头替代，有效减少VOCs产生：</w:t>
                  </w:r>
                  <w:r>
                    <w:rPr>
                      <w:sz w:val="21"/>
                    </w:rPr>
                    <w:t>企业应建立原辅材料台账，记录VOCs原辅材料名称、成分、VOCs含量、采购量、使用量、库存量、回收方式、回收量等信息，并保存相关证明材料。采用符合国家有关低VOCs含量产品规定的涂料、油墨、胶粘剂等，排放浓度稳定达标且排放速率满足相关规定的，相应生产工序可不要求建设末端治理设施。</w:t>
                  </w:r>
                </w:p>
              </w:tc>
              <w:tc>
                <w:tcPr>
                  <w:tcW w:w="1329" w:type="pct"/>
                  <w:tcBorders>
                    <w:top w:val="single" w:color="auto" w:sz="6" w:space="0"/>
                    <w:left w:val="single" w:color="auto" w:sz="6" w:space="0"/>
                    <w:right w:val="single" w:color="auto" w:sz="6" w:space="0"/>
                  </w:tcBorders>
                  <w:vAlign w:val="center"/>
                </w:tcPr>
                <w:p>
                  <w:pPr>
                    <w:pStyle w:val="51"/>
                    <w:adjustRightInd w:val="0"/>
                    <w:snapToGrid w:val="0"/>
                    <w:spacing w:line="320" w:lineRule="exact"/>
                    <w:ind w:firstLine="0" w:firstLineChars="0"/>
                    <w:rPr>
                      <w:sz w:val="21"/>
                    </w:rPr>
                  </w:pPr>
                  <w:r>
                    <w:rPr>
                      <w:rFonts w:hint="eastAsia"/>
                      <w:sz w:val="21"/>
                    </w:rPr>
                    <w:t>拟建项目不涉及。</w:t>
                  </w:r>
                </w:p>
              </w:tc>
              <w:tc>
                <w:tcPr>
                  <w:tcW w:w="466"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rPr>
                      <w:kern w:val="2"/>
                    </w:rPr>
                  </w:pPr>
                  <w:r>
                    <w:rPr>
                      <w:kern w:val="2"/>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5" w:type="pct"/>
                  <w:vMerge w:val="continue"/>
                  <w:tcBorders>
                    <w:left w:val="single" w:color="auto" w:sz="6" w:space="0"/>
                    <w:right w:val="single" w:color="auto" w:sz="6" w:space="0"/>
                  </w:tcBorders>
                  <w:vAlign w:val="center"/>
                </w:tcPr>
                <w:p>
                  <w:pPr>
                    <w:spacing w:line="320" w:lineRule="exact"/>
                  </w:pPr>
                </w:p>
              </w:tc>
              <w:tc>
                <w:tcPr>
                  <w:tcW w:w="2230" w:type="pct"/>
                  <w:tcBorders>
                    <w:top w:val="single" w:color="auto" w:sz="6" w:space="0"/>
                    <w:left w:val="single" w:color="auto" w:sz="6" w:space="0"/>
                    <w:bottom w:val="single" w:color="auto" w:sz="6" w:space="0"/>
                    <w:right w:val="single" w:color="auto" w:sz="6" w:space="0"/>
                  </w:tcBorders>
                  <w:vAlign w:val="center"/>
                </w:tcPr>
                <w:p>
                  <w:pPr>
                    <w:pStyle w:val="51"/>
                    <w:adjustRightInd w:val="0"/>
                    <w:snapToGrid w:val="0"/>
                    <w:spacing w:line="320" w:lineRule="exact"/>
                    <w:ind w:firstLine="0" w:firstLineChars="0"/>
                    <w:rPr>
                      <w:sz w:val="21"/>
                    </w:rPr>
                  </w:pPr>
                  <w:r>
                    <w:rPr>
                      <w:b/>
                      <w:bCs/>
                      <w:sz w:val="21"/>
                    </w:rPr>
                    <w:t>全面落实标准要求，强化无组织排放控制：</w:t>
                  </w:r>
                  <w:r>
                    <w:rPr>
                      <w:sz w:val="21"/>
                    </w:rPr>
                    <w:t>企业在无组织排放排查整治过程中，在保证安全的前提下，加强含VOCs物料全方位、全链条、全环节密闭管理。储存环节应采用密闭容器、包装袋，高效密封储罐，封闭式储库、料仓等。装卸、转移和输送环节应采用密闭管道或密闭容器、罐车等。生产和使用环节应采用密闭设备，或在密闭空间中操作并有效收集废气，或进行局部气体收集；非取用状态时容器应密闭。处置环节应将盛装过VOCs物料的包装容器、含VOCs废料（渣、液）、废吸附剂等通过加盖、封装等方式密闭，妥善存放，不得随意丢弃。</w:t>
                  </w:r>
                </w:p>
              </w:tc>
              <w:tc>
                <w:tcPr>
                  <w:tcW w:w="1329" w:type="pct"/>
                  <w:tcBorders>
                    <w:left w:val="single" w:color="auto" w:sz="6" w:space="0"/>
                    <w:right w:val="single" w:color="auto" w:sz="6" w:space="0"/>
                  </w:tcBorders>
                  <w:vAlign w:val="center"/>
                </w:tcPr>
                <w:p>
                  <w:pPr>
                    <w:pStyle w:val="51"/>
                    <w:adjustRightInd w:val="0"/>
                    <w:snapToGrid w:val="0"/>
                    <w:spacing w:line="320" w:lineRule="exact"/>
                    <w:ind w:firstLine="0" w:firstLineChars="0"/>
                    <w:rPr>
                      <w:sz w:val="21"/>
                    </w:rPr>
                  </w:pPr>
                  <w:r>
                    <w:rPr>
                      <w:sz w:val="21"/>
                    </w:rPr>
                    <w:t>拟建项目</w:t>
                  </w:r>
                  <w:r>
                    <w:rPr>
                      <w:rFonts w:hint="eastAsia"/>
                      <w:sz w:val="21"/>
                    </w:rPr>
                    <w:t>不涉及含VOCs物料。涉及有机废气排放的工序及设备均设置有集气罩进行负压收集。</w:t>
                  </w:r>
                  <w:r>
                    <w:rPr>
                      <w:sz w:val="21"/>
                    </w:rPr>
                    <w:t>危险废物交有资质单位收运处置。</w:t>
                  </w:r>
                </w:p>
              </w:tc>
              <w:tc>
                <w:tcPr>
                  <w:tcW w:w="466"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rPr>
                      <w:kern w:val="2"/>
                    </w:rPr>
                  </w:pPr>
                  <w:r>
                    <w:rPr>
                      <w:kern w:val="2"/>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5" w:type="pct"/>
                  <w:vMerge w:val="continue"/>
                  <w:tcBorders>
                    <w:left w:val="single" w:color="auto" w:sz="6" w:space="0"/>
                    <w:right w:val="single" w:color="auto" w:sz="6" w:space="0"/>
                  </w:tcBorders>
                  <w:vAlign w:val="center"/>
                </w:tcPr>
                <w:p>
                  <w:pPr>
                    <w:spacing w:line="320" w:lineRule="exact"/>
                  </w:pPr>
                </w:p>
              </w:tc>
              <w:tc>
                <w:tcPr>
                  <w:tcW w:w="2230" w:type="pct"/>
                  <w:tcBorders>
                    <w:top w:val="single" w:color="auto" w:sz="6" w:space="0"/>
                    <w:left w:val="single" w:color="auto" w:sz="6" w:space="0"/>
                    <w:bottom w:val="single" w:color="auto" w:sz="6" w:space="0"/>
                    <w:right w:val="single" w:color="auto" w:sz="6" w:space="0"/>
                  </w:tcBorders>
                  <w:vAlign w:val="center"/>
                </w:tcPr>
                <w:p>
                  <w:pPr>
                    <w:pStyle w:val="51"/>
                    <w:adjustRightInd w:val="0"/>
                    <w:snapToGrid w:val="0"/>
                    <w:spacing w:line="320" w:lineRule="exact"/>
                    <w:ind w:firstLine="0" w:firstLineChars="0"/>
                    <w:rPr>
                      <w:sz w:val="21"/>
                    </w:rPr>
                  </w:pPr>
                  <w:r>
                    <w:rPr>
                      <w:b/>
                      <w:bCs/>
                      <w:sz w:val="21"/>
                    </w:rPr>
                    <w:t>聚焦治污设施“三率”，提升综合治理效率：</w:t>
                  </w:r>
                  <w:r>
                    <w:rPr>
                      <w:sz w:val="21"/>
                    </w:rPr>
                    <w:t>将无组织排放转变为有组织排放进行控制，优先采用密闭设备、在密闭空间中操作或采用全密闭集气罩收集方式；对于采用局部集气罩的，应根据废气排放特点合理选择收集点位，距集气罩开口面最远处的VOCs无组织排放位置，控制风速不低于0.3</w:t>
                  </w:r>
                  <w:r>
                    <w:rPr>
                      <w:rFonts w:hint="eastAsia"/>
                      <w:sz w:val="21"/>
                    </w:rPr>
                    <w:t>m</w:t>
                  </w:r>
                  <w:r>
                    <w:rPr>
                      <w:sz w:val="21"/>
                    </w:rPr>
                    <w:t>/</w:t>
                  </w:r>
                  <w:r>
                    <w:rPr>
                      <w:rFonts w:hint="eastAsia"/>
                      <w:sz w:val="21"/>
                    </w:rPr>
                    <w:t>s</w:t>
                  </w:r>
                  <w:r>
                    <w:rPr>
                      <w:sz w:val="21"/>
                    </w:rPr>
                    <w:t>，达不到要求的通过更换大功率风机、增设烟道风机、增加垂帘等方式及时改造；加强生产车间密闭管理，在符合安全生产、职业卫生相关规定前提下，采用自动卷帘门、密闭性好的塑钢门窗等，在非必要时保持关闭。按照与生产设备“同启同停”的原则提升治理设施运行率。根据处理工艺要求，在处理设施达到正常运行条件后方可启动生产设备，在生产设备停止、残留VOCs废气收集处理完毕后，方可停运处理设施。VOCs废气处理系统发生故障或检修时，对应生产工艺设备应停止运行，待检修完毕后同步投入使用；因安全等因素生产工艺设备不能停止或不能及时停止运行的，应设置废气应急处理设施或采取其他替代措施。</w:t>
                  </w:r>
                </w:p>
              </w:tc>
              <w:tc>
                <w:tcPr>
                  <w:tcW w:w="1329" w:type="pct"/>
                  <w:tcBorders>
                    <w:left w:val="single" w:color="auto" w:sz="6" w:space="0"/>
                    <w:right w:val="single" w:color="auto" w:sz="6" w:space="0"/>
                  </w:tcBorders>
                  <w:vAlign w:val="center"/>
                </w:tcPr>
                <w:p>
                  <w:pPr>
                    <w:pStyle w:val="51"/>
                    <w:adjustRightInd w:val="0"/>
                    <w:snapToGrid w:val="0"/>
                    <w:spacing w:line="320" w:lineRule="exact"/>
                    <w:ind w:firstLine="0" w:firstLineChars="0"/>
                    <w:rPr>
                      <w:sz w:val="21"/>
                    </w:rPr>
                  </w:pPr>
                  <w:r>
                    <w:rPr>
                      <w:sz w:val="21"/>
                    </w:rPr>
                    <w:t>拟建项目</w:t>
                  </w:r>
                  <w:r>
                    <w:rPr>
                      <w:rFonts w:hint="eastAsia"/>
                      <w:sz w:val="21"/>
                    </w:rPr>
                    <w:t>有机废气采用集气罩进行收集，控制风速0</w:t>
                  </w:r>
                  <w:r>
                    <w:rPr>
                      <w:sz w:val="21"/>
                    </w:rPr>
                    <w:t>.5</w:t>
                  </w:r>
                  <w:r>
                    <w:rPr>
                      <w:rFonts w:hint="eastAsia"/>
                      <w:sz w:val="21"/>
                    </w:rPr>
                    <w:t>m</w:t>
                  </w:r>
                  <w:r>
                    <w:rPr>
                      <w:sz w:val="21"/>
                    </w:rPr>
                    <w:t>/</w:t>
                  </w:r>
                  <w:r>
                    <w:rPr>
                      <w:rFonts w:hint="eastAsia"/>
                      <w:sz w:val="21"/>
                    </w:rPr>
                    <w:t>s；</w:t>
                  </w:r>
                  <w:r>
                    <w:rPr>
                      <w:sz w:val="21"/>
                    </w:rPr>
                    <w:t>废气治理设备与生产设备</w:t>
                  </w:r>
                  <w:r>
                    <w:rPr>
                      <w:rFonts w:hint="eastAsia"/>
                      <w:sz w:val="21"/>
                    </w:rPr>
                    <w:t>遵循</w:t>
                  </w:r>
                  <w:r>
                    <w:rPr>
                      <w:sz w:val="21"/>
                    </w:rPr>
                    <w:t>“同启同停”的原则，并定期维护保养。</w:t>
                  </w:r>
                </w:p>
              </w:tc>
              <w:tc>
                <w:tcPr>
                  <w:tcW w:w="466"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pPr>
                  <w:r>
                    <w:rPr>
                      <w:kern w:val="2"/>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5" w:type="pct"/>
                  <w:vMerge w:val="restart"/>
                  <w:tcBorders>
                    <w:left w:val="single" w:color="auto" w:sz="6" w:space="0"/>
                    <w:right w:val="single" w:color="auto" w:sz="6" w:space="0"/>
                  </w:tcBorders>
                  <w:vAlign w:val="center"/>
                </w:tcPr>
                <w:p>
                  <w:pPr>
                    <w:pStyle w:val="52"/>
                    <w:spacing w:line="320" w:lineRule="exact"/>
                  </w:pPr>
                  <w:r>
                    <w:rPr>
                      <w:rFonts w:hint="eastAsia"/>
                    </w:rPr>
                    <w:t>《</w:t>
                  </w:r>
                  <w:r>
                    <w:rPr>
                      <w:rFonts w:hint="eastAsia"/>
                      <w:kern w:val="2"/>
                    </w:rPr>
                    <w:t>挥发性有机物</w:t>
                  </w:r>
                  <w:r>
                    <w:rPr>
                      <w:rFonts w:hint="eastAsia"/>
                    </w:rPr>
                    <w:t>（</w:t>
                  </w:r>
                  <w:r>
                    <w:t>VOCs</w:t>
                  </w:r>
                  <w:r>
                    <w:rPr>
                      <w:rFonts w:hint="eastAsia"/>
                    </w:rPr>
                    <w:t>）污染防治技术政策》</w:t>
                  </w:r>
                </w:p>
              </w:tc>
              <w:tc>
                <w:tcPr>
                  <w:tcW w:w="2230" w:type="pct"/>
                  <w:tcBorders>
                    <w:top w:val="single" w:color="auto" w:sz="6" w:space="0"/>
                    <w:left w:val="single" w:color="auto" w:sz="6" w:space="0"/>
                    <w:bottom w:val="single" w:color="auto" w:sz="6" w:space="0"/>
                    <w:right w:val="single" w:color="auto" w:sz="6" w:space="0"/>
                  </w:tcBorders>
                  <w:vAlign w:val="center"/>
                </w:tcPr>
                <w:p>
                  <w:pPr>
                    <w:pStyle w:val="63"/>
                    <w:spacing w:line="320" w:lineRule="exact"/>
                  </w:pPr>
                  <w:r>
                    <w:rPr>
                      <w:b/>
                    </w:rPr>
                    <w:t>源头和过程控制</w:t>
                  </w:r>
                  <w:r>
                    <w:rPr>
                      <w:rFonts w:hint="eastAsia"/>
                      <w:b/>
                    </w:rPr>
                    <w:t>：</w:t>
                  </w:r>
                  <w:r>
                    <w:t>（十）在涂装、印刷、粘合、工业清洗等含VOCs产品的使用过程中的VOCs污染防治技术措施包括：</w:t>
                  </w:r>
                </w:p>
                <w:p>
                  <w:pPr>
                    <w:pStyle w:val="63"/>
                    <w:spacing w:line="320" w:lineRule="exact"/>
                  </w:pPr>
                  <w:r>
                    <w:t>1.鼓励使用通过环境标志产品认证的环保型涂料、油墨、胶粘剂和清洗剂；</w:t>
                  </w:r>
                </w:p>
                <w:p>
                  <w:pPr>
                    <w:pStyle w:val="63"/>
                    <w:spacing w:line="320" w:lineRule="exact"/>
                  </w:pPr>
                  <w:r>
                    <w:t>2.根据涂装工艺的不同，鼓励使用水性涂料、高固份涂料、粉末涂料、紫外光固化（UV）涂料等环保型涂料；推广采用静电喷涂、淋涂、辊涂、浸涂等效率较高的涂装工艺；应尽量避免无VOCs净化、回收措施的露天喷涂作业；</w:t>
                  </w:r>
                </w:p>
                <w:p>
                  <w:pPr>
                    <w:pStyle w:val="63"/>
                    <w:spacing w:line="320" w:lineRule="exact"/>
                  </w:pPr>
                  <w:r>
                    <w:t>3.在印刷工艺中推广使用水性油墨，印铁制罐行业鼓励使用紫外光固化（UV）油墨，书刊印刷行业鼓励使用预涂膜技术；</w:t>
                  </w:r>
                </w:p>
                <w:p>
                  <w:pPr>
                    <w:pStyle w:val="63"/>
                    <w:spacing w:line="320" w:lineRule="exact"/>
                  </w:pPr>
                  <w:r>
                    <w:t>4.鼓励在人造板、制鞋、皮革制品、包装材料等粘合过程中使用水基型、热熔型等环保型胶粘剂，在复合膜的生产中推广无溶剂复合及共挤出复合技术；</w:t>
                  </w:r>
                </w:p>
                <w:p>
                  <w:pPr>
                    <w:pStyle w:val="63"/>
                    <w:spacing w:line="320" w:lineRule="exact"/>
                  </w:pPr>
                  <w:r>
                    <w:t>5.淘汰以三氟三氯乙烷、甲基氯仿和四氯化碳为清洗剂或溶剂的生产工艺。清洗过程中产生的废溶剂宜密闭收集，有回收价值的废溶剂经处理后回用，其他废溶剂应妥善处置；</w:t>
                  </w:r>
                </w:p>
                <w:p>
                  <w:pPr>
                    <w:pStyle w:val="63"/>
                    <w:spacing w:line="320" w:lineRule="exact"/>
                  </w:pPr>
                  <w:r>
                    <w:t>6.含VOCs产品的使用过程中，应采取废气收集措施，提高废气收集效率，减少废气的无组织排放与逸散，并对收集后的废气进行回收或处理后达标排放。</w:t>
                  </w:r>
                </w:p>
              </w:tc>
              <w:tc>
                <w:tcPr>
                  <w:tcW w:w="1329" w:type="pct"/>
                  <w:tcBorders>
                    <w:left w:val="single" w:color="auto" w:sz="6" w:space="0"/>
                    <w:right w:val="single" w:color="auto" w:sz="6" w:space="0"/>
                  </w:tcBorders>
                  <w:vAlign w:val="center"/>
                </w:tcPr>
                <w:p>
                  <w:pPr>
                    <w:pStyle w:val="63"/>
                    <w:spacing w:line="320" w:lineRule="exact"/>
                  </w:pPr>
                  <w:r>
                    <w:t>1.拟建</w:t>
                  </w:r>
                  <w:r>
                    <w:rPr>
                      <w:rFonts w:hint="eastAsia"/>
                    </w:rPr>
                    <w:t>项目不涉及</w:t>
                  </w:r>
                  <w:r>
                    <w:t>；</w:t>
                  </w:r>
                </w:p>
                <w:p>
                  <w:pPr>
                    <w:pStyle w:val="63"/>
                    <w:spacing w:line="320" w:lineRule="exact"/>
                  </w:pPr>
                  <w:r>
                    <w:t>2.拟建</w:t>
                  </w:r>
                  <w:r>
                    <w:rPr>
                      <w:rFonts w:hint="eastAsia"/>
                    </w:rPr>
                    <w:t>项目不涉及</w:t>
                  </w:r>
                  <w:r>
                    <w:t>；</w:t>
                  </w:r>
                </w:p>
                <w:p>
                  <w:pPr>
                    <w:pStyle w:val="63"/>
                    <w:spacing w:line="320" w:lineRule="exact"/>
                  </w:pPr>
                  <w:r>
                    <w:t>3.拟建项目不涉及；</w:t>
                  </w:r>
                </w:p>
                <w:p>
                  <w:pPr>
                    <w:pStyle w:val="63"/>
                    <w:spacing w:line="320" w:lineRule="exact"/>
                  </w:pPr>
                  <w:r>
                    <w:t>4.拟建</w:t>
                  </w:r>
                  <w:r>
                    <w:rPr>
                      <w:rFonts w:hint="eastAsia"/>
                    </w:rPr>
                    <w:t>项目不涉及</w:t>
                  </w:r>
                  <w:r>
                    <w:t>；</w:t>
                  </w:r>
                </w:p>
                <w:p>
                  <w:pPr>
                    <w:pStyle w:val="63"/>
                    <w:spacing w:line="320" w:lineRule="exact"/>
                  </w:pPr>
                  <w:r>
                    <w:t>5.拟建项目</w:t>
                  </w:r>
                  <w:r>
                    <w:rPr>
                      <w:rFonts w:hint="eastAsia"/>
                    </w:rPr>
                    <w:t>不涉及</w:t>
                  </w:r>
                  <w:r>
                    <w:t>；</w:t>
                  </w:r>
                </w:p>
                <w:p>
                  <w:pPr>
                    <w:pStyle w:val="63"/>
                    <w:spacing w:line="320" w:lineRule="exact"/>
                  </w:pPr>
                  <w:r>
                    <w:t>6.</w:t>
                  </w:r>
                  <w:r>
                    <w:rPr>
                      <w:rFonts w:hint="eastAsia"/>
                    </w:rPr>
                    <w:t>拟建项目</w:t>
                  </w:r>
                  <w:r>
                    <w:t>采取了废气收集措施，并对收集后的废气进行处理后达标排放。</w:t>
                  </w:r>
                </w:p>
              </w:tc>
              <w:tc>
                <w:tcPr>
                  <w:tcW w:w="46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5" w:type="pct"/>
                  <w:vMerge w:val="continue"/>
                  <w:tcBorders>
                    <w:left w:val="single" w:color="auto" w:sz="6" w:space="0"/>
                    <w:right w:val="single" w:color="auto" w:sz="6" w:space="0"/>
                  </w:tcBorders>
                  <w:vAlign w:val="center"/>
                </w:tcPr>
                <w:p>
                  <w:pPr>
                    <w:spacing w:line="320" w:lineRule="exact"/>
                  </w:pPr>
                </w:p>
              </w:tc>
              <w:tc>
                <w:tcPr>
                  <w:tcW w:w="2230" w:type="pct"/>
                  <w:tcBorders>
                    <w:top w:val="single" w:color="auto" w:sz="6" w:space="0"/>
                    <w:left w:val="single" w:color="auto" w:sz="6" w:space="0"/>
                    <w:bottom w:val="single" w:color="auto" w:sz="6" w:space="0"/>
                    <w:right w:val="single" w:color="auto" w:sz="6" w:space="0"/>
                  </w:tcBorders>
                  <w:vAlign w:val="center"/>
                </w:tcPr>
                <w:p>
                  <w:pPr>
                    <w:pStyle w:val="63"/>
                    <w:spacing w:line="320" w:lineRule="exact"/>
                  </w:pPr>
                  <w:r>
                    <w:rPr>
                      <w:b/>
                    </w:rPr>
                    <w:t>末端治理与综合利用</w:t>
                  </w:r>
                  <w:r>
                    <w:rPr>
                      <w:rFonts w:hint="eastAsia"/>
                      <w:b/>
                    </w:rPr>
                    <w:t>：</w:t>
                  </w:r>
                  <w:r>
                    <w:t>（十五）对于含低浓度VOCs的废气，有回收价值时可采用吸附技术、吸收技术对有机溶剂回收后达标排放；不宜回收时，可采用吸附浓缩燃烧技术、生物技术、吸收技术、等离子体技术或紫外光高级氧化技术等净化后达标排放。</w:t>
                  </w:r>
                </w:p>
              </w:tc>
              <w:tc>
                <w:tcPr>
                  <w:tcW w:w="1329" w:type="pct"/>
                  <w:tcBorders>
                    <w:left w:val="single" w:color="auto" w:sz="6" w:space="0"/>
                    <w:right w:val="single" w:color="auto" w:sz="6" w:space="0"/>
                  </w:tcBorders>
                  <w:vAlign w:val="center"/>
                </w:tcPr>
                <w:p>
                  <w:pPr>
                    <w:pStyle w:val="63"/>
                    <w:spacing w:line="320" w:lineRule="exact"/>
                  </w:pPr>
                  <w:r>
                    <w:rPr>
                      <w:rFonts w:hint="eastAsia"/>
                    </w:rPr>
                    <w:t>拟建项目涉及有机废气排放的工序均由集气罩及管道负压收集后通过处理净化后排放，可满足达标排放的要求</w:t>
                  </w:r>
                  <w:r>
                    <w:t>。</w:t>
                  </w:r>
                </w:p>
              </w:tc>
              <w:tc>
                <w:tcPr>
                  <w:tcW w:w="46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5" w:type="pct"/>
                  <w:vMerge w:val="continue"/>
                  <w:tcBorders>
                    <w:left w:val="single" w:color="auto" w:sz="6" w:space="0"/>
                    <w:right w:val="single" w:color="auto" w:sz="6" w:space="0"/>
                  </w:tcBorders>
                  <w:vAlign w:val="center"/>
                </w:tcPr>
                <w:p>
                  <w:pPr>
                    <w:spacing w:line="320" w:lineRule="exact"/>
                  </w:pPr>
                </w:p>
              </w:tc>
              <w:tc>
                <w:tcPr>
                  <w:tcW w:w="2230" w:type="pct"/>
                  <w:tcBorders>
                    <w:top w:val="single" w:color="auto" w:sz="6" w:space="0"/>
                    <w:left w:val="single" w:color="auto" w:sz="6" w:space="0"/>
                    <w:bottom w:val="single" w:color="auto" w:sz="6" w:space="0"/>
                    <w:right w:val="single" w:color="auto" w:sz="6" w:space="0"/>
                  </w:tcBorders>
                  <w:vAlign w:val="center"/>
                </w:tcPr>
                <w:p>
                  <w:pPr>
                    <w:pStyle w:val="63"/>
                    <w:spacing w:line="320" w:lineRule="exact"/>
                  </w:pPr>
                  <w:r>
                    <w:t>（十六）含有有机卤素成分VOCs的废气，宜采用非焚烧技术处理。</w:t>
                  </w:r>
                </w:p>
              </w:tc>
              <w:tc>
                <w:tcPr>
                  <w:tcW w:w="1329" w:type="pct"/>
                  <w:tcBorders>
                    <w:left w:val="single" w:color="auto" w:sz="6" w:space="0"/>
                    <w:right w:val="single" w:color="auto" w:sz="6" w:space="0"/>
                  </w:tcBorders>
                  <w:vAlign w:val="center"/>
                </w:tcPr>
                <w:p>
                  <w:pPr>
                    <w:pStyle w:val="63"/>
                    <w:spacing w:line="320" w:lineRule="exact"/>
                  </w:pPr>
                  <w:r>
                    <w:t>根据原辅材料成分分析，拟建项目废气中不含有机卤素成分。</w:t>
                  </w:r>
                </w:p>
              </w:tc>
              <w:tc>
                <w:tcPr>
                  <w:tcW w:w="46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5" w:type="pct"/>
                  <w:vMerge w:val="continue"/>
                  <w:tcBorders>
                    <w:left w:val="single" w:color="auto" w:sz="6" w:space="0"/>
                    <w:right w:val="single" w:color="auto" w:sz="6" w:space="0"/>
                  </w:tcBorders>
                  <w:vAlign w:val="center"/>
                </w:tcPr>
                <w:p>
                  <w:pPr>
                    <w:spacing w:line="320" w:lineRule="exact"/>
                  </w:pPr>
                </w:p>
              </w:tc>
              <w:tc>
                <w:tcPr>
                  <w:tcW w:w="2230" w:type="pct"/>
                  <w:tcBorders>
                    <w:top w:val="single" w:color="auto" w:sz="6" w:space="0"/>
                    <w:left w:val="single" w:color="auto" w:sz="6" w:space="0"/>
                    <w:bottom w:val="single" w:color="auto" w:sz="6" w:space="0"/>
                    <w:right w:val="single" w:color="auto" w:sz="6" w:space="0"/>
                  </w:tcBorders>
                  <w:vAlign w:val="center"/>
                </w:tcPr>
                <w:p>
                  <w:pPr>
                    <w:pStyle w:val="63"/>
                    <w:spacing w:line="320" w:lineRule="exact"/>
                  </w:pPr>
                  <w:r>
                    <w:t>（十七）恶臭气体污染源可采用生物技术、等离子体技术、吸附技术、吸收技术、紫外光高级氧化技术或组合技术等进行净化。净化后的恶臭气体除满足达标排放的要求外，还应采取高空排放等措施，避免产生扰民问题。</w:t>
                  </w:r>
                </w:p>
              </w:tc>
              <w:tc>
                <w:tcPr>
                  <w:tcW w:w="1329" w:type="pct"/>
                  <w:tcBorders>
                    <w:left w:val="single" w:color="auto" w:sz="6" w:space="0"/>
                    <w:right w:val="single" w:color="auto" w:sz="6" w:space="0"/>
                  </w:tcBorders>
                  <w:vAlign w:val="center"/>
                </w:tcPr>
                <w:p>
                  <w:pPr>
                    <w:pStyle w:val="63"/>
                    <w:spacing w:line="320" w:lineRule="exact"/>
                  </w:pPr>
                  <w:r>
                    <w:rPr>
                      <w:rFonts w:hint="eastAsia"/>
                    </w:rPr>
                    <w:t>拟建项目废气均通过处理净化后排放，可满足达标排放的要求</w:t>
                  </w:r>
                  <w:r>
                    <w:t>。</w:t>
                  </w:r>
                </w:p>
              </w:tc>
              <w:tc>
                <w:tcPr>
                  <w:tcW w:w="46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5" w:type="pct"/>
                  <w:vMerge w:val="continue"/>
                  <w:tcBorders>
                    <w:left w:val="single" w:color="auto" w:sz="6" w:space="0"/>
                    <w:right w:val="single" w:color="auto" w:sz="6" w:space="0"/>
                  </w:tcBorders>
                  <w:vAlign w:val="center"/>
                </w:tcPr>
                <w:p>
                  <w:pPr>
                    <w:spacing w:line="320" w:lineRule="exact"/>
                  </w:pPr>
                </w:p>
              </w:tc>
              <w:tc>
                <w:tcPr>
                  <w:tcW w:w="2230" w:type="pct"/>
                  <w:tcBorders>
                    <w:top w:val="single" w:color="auto" w:sz="6" w:space="0"/>
                    <w:left w:val="single" w:color="auto" w:sz="6" w:space="0"/>
                    <w:bottom w:val="single" w:color="auto" w:sz="6" w:space="0"/>
                    <w:right w:val="single" w:color="auto" w:sz="6" w:space="0"/>
                  </w:tcBorders>
                  <w:vAlign w:val="center"/>
                </w:tcPr>
                <w:p>
                  <w:pPr>
                    <w:pStyle w:val="63"/>
                    <w:spacing w:line="320" w:lineRule="exact"/>
                  </w:pPr>
                  <w:r>
                    <w:t>（十九）严格控制VOCs处理过程中产生的二次污染，对于催化燃烧和热力焚烧过程中产生的含硫、氮、氯等无机废气，以及吸附、吸收、冷凝、生物等治理过程中所产生的含有机物废水，应处理后达标排放。</w:t>
                  </w:r>
                </w:p>
              </w:tc>
              <w:tc>
                <w:tcPr>
                  <w:tcW w:w="1329" w:type="pct"/>
                  <w:tcBorders>
                    <w:left w:val="single" w:color="auto" w:sz="6" w:space="0"/>
                    <w:right w:val="single" w:color="auto" w:sz="6" w:space="0"/>
                  </w:tcBorders>
                  <w:vAlign w:val="center"/>
                </w:tcPr>
                <w:p>
                  <w:pPr>
                    <w:pStyle w:val="63"/>
                    <w:spacing w:line="320" w:lineRule="exact"/>
                  </w:pPr>
                  <w:r>
                    <w:rPr>
                      <w:rFonts w:hint="eastAsia"/>
                    </w:rPr>
                    <w:t>项目产生的有机废气经UV光催化+三级活性炭吸附处理后达标排放。</w:t>
                  </w:r>
                </w:p>
              </w:tc>
              <w:tc>
                <w:tcPr>
                  <w:tcW w:w="46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5" w:type="pct"/>
                  <w:vMerge w:val="continue"/>
                  <w:tcBorders>
                    <w:left w:val="single" w:color="auto" w:sz="6" w:space="0"/>
                    <w:right w:val="single" w:color="auto" w:sz="6" w:space="0"/>
                  </w:tcBorders>
                  <w:vAlign w:val="center"/>
                </w:tcPr>
                <w:p>
                  <w:pPr>
                    <w:spacing w:line="320" w:lineRule="exact"/>
                  </w:pPr>
                </w:p>
              </w:tc>
              <w:tc>
                <w:tcPr>
                  <w:tcW w:w="2230" w:type="pct"/>
                  <w:tcBorders>
                    <w:top w:val="single" w:color="auto" w:sz="6" w:space="0"/>
                    <w:left w:val="single" w:color="auto" w:sz="6" w:space="0"/>
                    <w:bottom w:val="single" w:color="auto" w:sz="6" w:space="0"/>
                    <w:right w:val="single" w:color="auto" w:sz="6" w:space="0"/>
                  </w:tcBorders>
                  <w:vAlign w:val="center"/>
                </w:tcPr>
                <w:p>
                  <w:pPr>
                    <w:pStyle w:val="63"/>
                    <w:spacing w:line="320" w:lineRule="exact"/>
                  </w:pPr>
                  <w:r>
                    <w:rPr>
                      <w:b/>
                    </w:rPr>
                    <w:t>运行与监测</w:t>
                  </w:r>
                  <w:r>
                    <w:rPr>
                      <w:rFonts w:hint="eastAsia"/>
                      <w:b/>
                    </w:rPr>
                    <w:t>：</w:t>
                  </w:r>
                  <w:r>
                    <w:t>（二十六）企业应建立健全VOCs治理设施的运行维护规程和台帐等日常管理制度，并根据工艺要求定期对各类设备、电气、自控仪表等进行检修维护，确保设施的稳定运行。</w:t>
                  </w:r>
                </w:p>
              </w:tc>
              <w:tc>
                <w:tcPr>
                  <w:tcW w:w="1329" w:type="pct"/>
                  <w:tcBorders>
                    <w:left w:val="single" w:color="auto" w:sz="6" w:space="0"/>
                    <w:right w:val="single" w:color="auto" w:sz="6" w:space="0"/>
                  </w:tcBorders>
                  <w:vAlign w:val="center"/>
                </w:tcPr>
                <w:p>
                  <w:pPr>
                    <w:pStyle w:val="63"/>
                    <w:spacing w:line="320" w:lineRule="exact"/>
                  </w:pPr>
                  <w:r>
                    <w:t>环评报告</w:t>
                  </w:r>
                  <w:r>
                    <w:rPr>
                      <w:rFonts w:hint="eastAsia"/>
                    </w:rPr>
                    <w:t>表</w:t>
                  </w:r>
                  <w:r>
                    <w:t>中已提出明确要求。</w:t>
                  </w:r>
                </w:p>
              </w:tc>
              <w:tc>
                <w:tcPr>
                  <w:tcW w:w="46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5" w:type="pct"/>
                  <w:vMerge w:val="restart"/>
                  <w:tcBorders>
                    <w:left w:val="single" w:color="auto" w:sz="6" w:space="0"/>
                    <w:right w:val="single" w:color="auto" w:sz="6" w:space="0"/>
                  </w:tcBorders>
                  <w:vAlign w:val="center"/>
                </w:tcPr>
                <w:p>
                  <w:pPr>
                    <w:pStyle w:val="52"/>
                    <w:spacing w:line="320" w:lineRule="exact"/>
                  </w:pPr>
                  <w:r>
                    <w:rPr>
                      <w:kern w:val="2"/>
                    </w:rPr>
                    <w:t>《重点行业挥发性有机物综合治理方案》（环大气</w:t>
                  </w:r>
                  <w:r>
                    <w:t>〔20</w:t>
                  </w:r>
                  <w:r>
                    <w:rPr>
                      <w:rFonts w:hint="eastAsia"/>
                    </w:rPr>
                    <w:t>19</w:t>
                  </w:r>
                  <w:r>
                    <w:t>〕</w:t>
                  </w:r>
                  <w:r>
                    <w:rPr>
                      <w:kern w:val="2"/>
                    </w:rPr>
                    <w:t>53号）</w:t>
                  </w:r>
                </w:p>
              </w:tc>
              <w:tc>
                <w:tcPr>
                  <w:tcW w:w="2230" w:type="pct"/>
                  <w:tcBorders>
                    <w:top w:val="single" w:color="auto" w:sz="6" w:space="0"/>
                    <w:left w:val="single" w:color="auto" w:sz="6" w:space="0"/>
                    <w:bottom w:val="single" w:color="auto" w:sz="6" w:space="0"/>
                    <w:right w:val="single" w:color="auto" w:sz="6" w:space="0"/>
                  </w:tcBorders>
                  <w:vAlign w:val="center"/>
                </w:tcPr>
                <w:p>
                  <w:pPr>
                    <w:pStyle w:val="63"/>
                    <w:spacing w:line="320" w:lineRule="exact"/>
                    <w:rPr>
                      <w:kern w:val="0"/>
                    </w:rPr>
                  </w:pPr>
                  <w:r>
                    <w:rPr>
                      <w:b/>
                      <w:bCs w:val="0"/>
                      <w:kern w:val="0"/>
                    </w:rPr>
                    <w:t>（一）大力推进源头替代。</w:t>
                  </w:r>
                  <w:r>
                    <w:rPr>
                      <w:kern w:val="0"/>
                    </w:rPr>
                    <w:t>通过使用水性、粉末、高固体分、无溶剂、辐射固化等低VOCs含量的涂料，水性、辐射固化、植物基等低VOCs含量的油墨，水基、热熔、无溶剂、辐射固化、改性、生物降解等低VOCs含量的胶粘剂，以及低VOCs含量、低反应活性的清洗剂等，替代溶剂型涂料、油墨、胶粘剂、清洗剂等，从源头减少VOCs产生。工业涂装、包装印刷等行业要加大源头替代力度。企业应大力推广使用低VOCs含量木器涂料、车辆涂料、机械设备涂料、集装箱涂料以及建筑物和构筑物防护涂料等，在技术成熟的行业，推广使用低VOCs含量油墨和胶粘剂，重点区域到2020年年底前基本完成。鼓励加快低VOCs含量涂料、油墨、胶粘剂等研发和生产。</w:t>
                  </w:r>
                </w:p>
              </w:tc>
              <w:tc>
                <w:tcPr>
                  <w:tcW w:w="1329" w:type="pct"/>
                  <w:tcBorders>
                    <w:left w:val="single" w:color="auto" w:sz="6" w:space="0"/>
                    <w:right w:val="single" w:color="auto" w:sz="6" w:space="0"/>
                  </w:tcBorders>
                  <w:vAlign w:val="center"/>
                </w:tcPr>
                <w:p>
                  <w:pPr>
                    <w:pStyle w:val="63"/>
                    <w:spacing w:line="320" w:lineRule="exact"/>
                    <w:rPr>
                      <w:kern w:val="0"/>
                    </w:rPr>
                  </w:pPr>
                  <w:r>
                    <w:rPr>
                      <w:kern w:val="0"/>
                    </w:rPr>
                    <w:t>项目</w:t>
                  </w:r>
                  <w:r>
                    <w:rPr>
                      <w:rFonts w:hint="eastAsia"/>
                      <w:kern w:val="0"/>
                    </w:rPr>
                    <w:t>不涉及含VOCs的涂料、油墨、胶粘剂等原辅料使用。</w:t>
                  </w:r>
                </w:p>
              </w:tc>
              <w:tc>
                <w:tcPr>
                  <w:tcW w:w="46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5" w:type="pct"/>
                  <w:vMerge w:val="continue"/>
                  <w:tcBorders>
                    <w:left w:val="single" w:color="auto" w:sz="6" w:space="0"/>
                    <w:right w:val="single" w:color="auto" w:sz="6" w:space="0"/>
                  </w:tcBorders>
                  <w:vAlign w:val="center"/>
                </w:tcPr>
                <w:p>
                  <w:pPr>
                    <w:spacing w:line="320" w:lineRule="exact"/>
                  </w:pPr>
                </w:p>
              </w:tc>
              <w:tc>
                <w:tcPr>
                  <w:tcW w:w="2230" w:type="pct"/>
                  <w:tcBorders>
                    <w:top w:val="single" w:color="auto" w:sz="6" w:space="0"/>
                    <w:left w:val="single" w:color="auto" w:sz="6" w:space="0"/>
                    <w:bottom w:val="single" w:color="auto" w:sz="6" w:space="0"/>
                    <w:right w:val="single" w:color="auto" w:sz="6" w:space="0"/>
                  </w:tcBorders>
                  <w:vAlign w:val="center"/>
                </w:tcPr>
                <w:p>
                  <w:pPr>
                    <w:pStyle w:val="63"/>
                    <w:spacing w:line="320" w:lineRule="exact"/>
                    <w:rPr>
                      <w:kern w:val="0"/>
                    </w:rPr>
                  </w:pPr>
                  <w:r>
                    <w:rPr>
                      <w:b/>
                      <w:bCs w:val="0"/>
                      <w:kern w:val="0"/>
                    </w:rPr>
                    <w:t>（二）全面加强无组织排放控制。</w:t>
                  </w:r>
                  <w:r>
                    <w:rPr>
                      <w:kern w:val="0"/>
                    </w:rPr>
                    <w:t>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w:t>
                  </w:r>
                </w:p>
              </w:tc>
              <w:tc>
                <w:tcPr>
                  <w:tcW w:w="1329" w:type="pct"/>
                  <w:tcBorders>
                    <w:left w:val="single" w:color="auto" w:sz="6" w:space="0"/>
                    <w:right w:val="single" w:color="auto" w:sz="6" w:space="0"/>
                  </w:tcBorders>
                  <w:vAlign w:val="center"/>
                </w:tcPr>
                <w:p>
                  <w:pPr>
                    <w:pStyle w:val="63"/>
                    <w:spacing w:line="320" w:lineRule="exact"/>
                    <w:rPr>
                      <w:kern w:val="0"/>
                    </w:rPr>
                  </w:pPr>
                  <w:r>
                    <w:t>项目对</w:t>
                  </w:r>
                  <w:r>
                    <w:rPr>
                      <w:rFonts w:hint="eastAsia"/>
                    </w:rPr>
                    <w:t>挤出、融化等工序</w:t>
                  </w:r>
                  <w:r>
                    <w:t>产生的挥发性有机物采取了有效的收集处理措施，能达标排放。</w:t>
                  </w:r>
                </w:p>
              </w:tc>
              <w:tc>
                <w:tcPr>
                  <w:tcW w:w="46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5" w:type="pct"/>
                  <w:vMerge w:val="continue"/>
                  <w:tcBorders>
                    <w:left w:val="single" w:color="auto" w:sz="6" w:space="0"/>
                    <w:right w:val="single" w:color="auto" w:sz="6" w:space="0"/>
                  </w:tcBorders>
                  <w:vAlign w:val="center"/>
                </w:tcPr>
                <w:p>
                  <w:pPr>
                    <w:spacing w:line="320" w:lineRule="exact"/>
                  </w:pPr>
                </w:p>
              </w:tc>
              <w:tc>
                <w:tcPr>
                  <w:tcW w:w="2230" w:type="pct"/>
                  <w:tcBorders>
                    <w:top w:val="single" w:color="auto" w:sz="6" w:space="0"/>
                    <w:left w:val="single" w:color="auto" w:sz="6" w:space="0"/>
                    <w:bottom w:val="single" w:color="auto" w:sz="6" w:space="0"/>
                    <w:right w:val="single" w:color="auto" w:sz="6" w:space="0"/>
                  </w:tcBorders>
                  <w:vAlign w:val="center"/>
                </w:tcPr>
                <w:p>
                  <w:pPr>
                    <w:pStyle w:val="63"/>
                    <w:spacing w:line="320" w:lineRule="exact"/>
                    <w:rPr>
                      <w:kern w:val="0"/>
                    </w:rPr>
                  </w:pPr>
                  <w:r>
                    <w:rPr>
                      <w:b/>
                      <w:bCs w:val="0"/>
                      <w:kern w:val="0"/>
                    </w:rPr>
                    <w:t>（三）推进建设适宜高效的治污设施。</w:t>
                  </w:r>
                  <w:r>
                    <w:rPr>
                      <w:kern w:val="0"/>
                    </w:rPr>
                    <w:t>企业新建治污设施或对现有治污设施实施改造，应依据排放废气的浓度、组分、风量，温度、湿度、压力，以及生产工况等，合理选择治理技术。鼓励企业采用多种技术的组合工艺，提高VOCs治理效率。低浓度、大风量废气，宜采用沸石转轮吸附、活性炭吸附、减风增浓等浓缩技术，提高VOCs浓度后净化处理；高浓度废气，优先进行溶剂回收，难以回收的，宜采用高温焚烧、催化燃烧等技术。油气（溶剂）回收宜采用冷凝+吸附、吸附+吸收、膜分离+吸附等技术。低温等离子、光催化、光氧化技术主要适用于恶臭异味等治理；生物法主要适用于低浓度VOCs废气治理和恶臭异味治理。非水溶性的VOCs废气禁止采用水或水溶液喷淋吸收处理。采用一次性活性炭吸附技术的，应定期更换活性炭，废旧活性炭应再生或处理处置。有条件的工业园区和产业集群等，推广集中喷涂、溶剂集中回收、活性炭集中再生等，加强资源共享，提高VOCs治理效率。</w:t>
                  </w:r>
                </w:p>
                <w:p>
                  <w:pPr>
                    <w:spacing w:line="320" w:lineRule="exact"/>
                    <w:rPr>
                      <w:bCs/>
                    </w:rPr>
                  </w:pPr>
                  <w:r>
                    <w:rPr>
                      <w:bCs/>
                    </w:rPr>
                    <w:t>实行重点排放源排放浓度与去除效率双重控制。车间或生产设施收集排放的废气，VOCs初始排放速率大于等于3kg/h、重点区域大于等于2kg/h的，应加大控制力度，除确保排放浓度稳定达标外，还应实行去除效率控制，去除效率不低于80%。</w:t>
                  </w:r>
                </w:p>
              </w:tc>
              <w:tc>
                <w:tcPr>
                  <w:tcW w:w="1329" w:type="pct"/>
                  <w:tcBorders>
                    <w:left w:val="single" w:color="auto" w:sz="6" w:space="0"/>
                    <w:right w:val="single" w:color="auto" w:sz="6" w:space="0"/>
                  </w:tcBorders>
                  <w:vAlign w:val="center"/>
                </w:tcPr>
                <w:p>
                  <w:pPr>
                    <w:pStyle w:val="63"/>
                    <w:spacing w:line="320" w:lineRule="exact"/>
                    <w:rPr>
                      <w:kern w:val="0"/>
                    </w:rPr>
                  </w:pPr>
                  <w:r>
                    <w:rPr>
                      <w:kern w:val="0"/>
                    </w:rPr>
                    <w:t>重庆属非重点区域，</w:t>
                  </w:r>
                  <w:r>
                    <w:t>项目对</w:t>
                  </w:r>
                  <w:r>
                    <w:rPr>
                      <w:rFonts w:hint="eastAsia"/>
                    </w:rPr>
                    <w:t>挤出、融化等工序</w:t>
                  </w:r>
                  <w:r>
                    <w:t>产生的挥发性有机物采取了有效的收集处理措施</w:t>
                  </w:r>
                  <w:r>
                    <w:rPr>
                      <w:rFonts w:hint="eastAsia"/>
                    </w:rPr>
                    <w:t>（UV光催化+三级活性炭吸附）</w:t>
                  </w:r>
                  <w:r>
                    <w:t>，能达标排放。</w:t>
                  </w:r>
                </w:p>
              </w:tc>
              <w:tc>
                <w:tcPr>
                  <w:tcW w:w="46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5" w:type="pct"/>
                  <w:vMerge w:val="continue"/>
                  <w:tcBorders>
                    <w:left w:val="single" w:color="auto" w:sz="6" w:space="0"/>
                    <w:right w:val="single" w:color="auto" w:sz="6" w:space="0"/>
                  </w:tcBorders>
                  <w:vAlign w:val="center"/>
                </w:tcPr>
                <w:p>
                  <w:pPr>
                    <w:spacing w:line="320" w:lineRule="exact"/>
                  </w:pPr>
                </w:p>
              </w:tc>
              <w:tc>
                <w:tcPr>
                  <w:tcW w:w="2230" w:type="pct"/>
                  <w:tcBorders>
                    <w:top w:val="single" w:color="auto" w:sz="6" w:space="0"/>
                    <w:left w:val="single" w:color="auto" w:sz="6" w:space="0"/>
                    <w:bottom w:val="single" w:color="auto" w:sz="6" w:space="0"/>
                    <w:right w:val="single" w:color="auto" w:sz="6" w:space="0"/>
                  </w:tcBorders>
                  <w:vAlign w:val="center"/>
                </w:tcPr>
                <w:p>
                  <w:pPr>
                    <w:pStyle w:val="63"/>
                    <w:spacing w:line="320" w:lineRule="exact"/>
                    <w:rPr>
                      <w:kern w:val="0"/>
                    </w:rPr>
                  </w:pPr>
                  <w:r>
                    <w:rPr>
                      <w:b/>
                      <w:bCs w:val="0"/>
                      <w:kern w:val="0"/>
                    </w:rPr>
                    <w:t>（四）深入实施精细化管控。</w:t>
                  </w:r>
                  <w:r>
                    <w:rPr>
                      <w:kern w:val="0"/>
                    </w:rPr>
                    <w:t>各地应围绕当地环境空气质量改善需求，根据O</w:t>
                  </w:r>
                  <w:r>
                    <w:rPr>
                      <w:kern w:val="0"/>
                      <w:vertAlign w:val="subscript"/>
                    </w:rPr>
                    <w:t>3</w:t>
                  </w:r>
                  <w:r>
                    <w:rPr>
                      <w:kern w:val="0"/>
                    </w:rPr>
                    <w:t>、PM</w:t>
                  </w:r>
                  <w:r>
                    <w:rPr>
                      <w:kern w:val="0"/>
                      <w:vertAlign w:val="subscript"/>
                    </w:rPr>
                    <w:t>2.5</w:t>
                  </w:r>
                  <w:r>
                    <w:rPr>
                      <w:kern w:val="0"/>
                    </w:rPr>
                    <w:t>来源解析，结合行业污染排放特征和VOCs物质光化学反应活性等，确定本地区VOCs控制的重点行业和重点污染物，兼顾恶臭污染物和有毒有害物质控制等，提出有效管控方案，提高VOCs治理的精准性、针对性和有效性。</w:t>
                  </w:r>
                </w:p>
              </w:tc>
              <w:tc>
                <w:tcPr>
                  <w:tcW w:w="1329" w:type="pct"/>
                  <w:tcBorders>
                    <w:left w:val="single" w:color="auto" w:sz="6" w:space="0"/>
                    <w:right w:val="single" w:color="auto" w:sz="6" w:space="0"/>
                  </w:tcBorders>
                  <w:vAlign w:val="center"/>
                </w:tcPr>
                <w:p>
                  <w:pPr>
                    <w:pStyle w:val="63"/>
                    <w:spacing w:line="320" w:lineRule="exact"/>
                    <w:rPr>
                      <w:kern w:val="0"/>
                    </w:rPr>
                  </w:pPr>
                  <w:r>
                    <w:t>项目对</w:t>
                  </w:r>
                  <w:r>
                    <w:rPr>
                      <w:rFonts w:hint="eastAsia"/>
                    </w:rPr>
                    <w:t>挤出、融化等工序</w:t>
                  </w:r>
                  <w:r>
                    <w:t>产生的挥发性有机物采取了有效的收集处理措施，能达标排放。</w:t>
                  </w:r>
                </w:p>
              </w:tc>
              <w:tc>
                <w:tcPr>
                  <w:tcW w:w="46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5" w:type="pct"/>
                  <w:vMerge w:val="continue"/>
                  <w:tcBorders>
                    <w:left w:val="single" w:color="auto" w:sz="6" w:space="0"/>
                    <w:right w:val="single" w:color="auto" w:sz="6" w:space="0"/>
                  </w:tcBorders>
                  <w:vAlign w:val="center"/>
                </w:tcPr>
                <w:p>
                  <w:pPr>
                    <w:spacing w:line="320" w:lineRule="exact"/>
                  </w:pPr>
                </w:p>
              </w:tc>
              <w:tc>
                <w:tcPr>
                  <w:tcW w:w="2230" w:type="pct"/>
                  <w:tcBorders>
                    <w:top w:val="single" w:color="auto" w:sz="6" w:space="0"/>
                    <w:left w:val="single" w:color="auto" w:sz="6" w:space="0"/>
                    <w:bottom w:val="single" w:color="auto" w:sz="6" w:space="0"/>
                    <w:right w:val="single" w:color="auto" w:sz="6" w:space="0"/>
                  </w:tcBorders>
                  <w:vAlign w:val="center"/>
                </w:tcPr>
                <w:p>
                  <w:pPr>
                    <w:pStyle w:val="63"/>
                    <w:spacing w:line="320" w:lineRule="exact"/>
                    <w:jc w:val="both"/>
                    <w:rPr>
                      <w:kern w:val="0"/>
                    </w:rPr>
                  </w:pPr>
                  <w:r>
                    <w:rPr>
                      <w:b/>
                      <w:bCs w:val="0"/>
                      <w:kern w:val="0"/>
                    </w:rPr>
                    <w:t>（五）工业涂装VOCs综合治理。</w:t>
                  </w:r>
                  <w:r>
                    <w:rPr>
                      <w:kern w:val="0"/>
                    </w:rPr>
                    <w:t>加大汽车、家具、集装箱、电子产品、工程机械等行业VOCs治理力度，重点区域应结合本地产业特征，加快实施其他行业涂装VOCs综合治理。</w:t>
                  </w:r>
                </w:p>
                <w:p>
                  <w:pPr>
                    <w:pStyle w:val="63"/>
                    <w:spacing w:line="320" w:lineRule="exact"/>
                    <w:jc w:val="both"/>
                    <w:rPr>
                      <w:kern w:val="0"/>
                    </w:rPr>
                  </w:pPr>
                  <w:r>
                    <w:rPr>
                      <w:kern w:val="0"/>
                    </w:rPr>
                    <w:t>强化源头控制，加快使用粉末、水性、高固体分、辐射固化等低VOCs含量的涂料替代溶剂型涂料。重点区域汽车制造底漆大力推广使用水性涂料，乘用车中涂、色漆大力推广使用高固体分或水性涂料，加快客车、货车等中涂、色漆改造。钢制集装箱制造在箱内、箱外、木地板涂装等工序大力推广使用水性涂料，在确保防腐蚀功能的前提下，加快推进特种集装箱采用水性涂料。木质家具制造大力推广使用水性、辐射固化、粉末等涂料和水性胶粘剂；金属家具制造大力推广使用粉末涂料；软体家具制造大力推广使用水性胶粘剂。工程机械制造大力推广使用水性、粉末和高固体分涂料。电子产品制造推广使用粉末、水性、辐射固化等涂料。</w:t>
                  </w:r>
                </w:p>
                <w:p>
                  <w:pPr>
                    <w:pStyle w:val="63"/>
                    <w:spacing w:line="320" w:lineRule="exact"/>
                    <w:jc w:val="both"/>
                    <w:rPr>
                      <w:kern w:val="0"/>
                    </w:rPr>
                  </w:pPr>
                  <w:r>
                    <w:rPr>
                      <w:kern w:val="0"/>
                    </w:rPr>
                    <w:t>加快推广紧凑式涂装工艺、先进涂装技术和设备。汽车制造整车生产推广使用“三涂一烘”“两涂一烘”或免中涂等紧凑型工艺、静电喷涂技术、自动化喷涂设备。汽车金属零配件企业鼓励采用粉末静电喷涂技术。集装箱制造一次打砂工序钢板处理采用辊涂工艺。木质家具推广使用高效的往复式喷涂箱、机械手和静电喷涂技术。板式家具采用喷涂工艺的，推广使用粉末静电喷涂技术；采用溶剂型、辐射固化涂料的，推广使用辊涂、淋涂等工艺。工程机械制造要提高室内涂装比例，鼓励采用自动喷涂、静电喷涂等技术。电子产品制造推广使用静电喷涂等技术。</w:t>
                  </w:r>
                </w:p>
                <w:p>
                  <w:pPr>
                    <w:pStyle w:val="63"/>
                    <w:spacing w:line="320" w:lineRule="exact"/>
                    <w:jc w:val="both"/>
                    <w:rPr>
                      <w:kern w:val="0"/>
                    </w:rPr>
                  </w:pPr>
                  <w:r>
                    <w:rPr>
                      <w:kern w:val="0"/>
                    </w:rPr>
                    <w:t>有效控制无组织排放。涂料、稀释剂、清洗剂等原辅材料应密闭存储，调配、使用、回收等过程应采用密闭设备或在密闭空间内操作，采用密闭管道或密闭容器等输送。除大型工件外，禁止敞开式喷涂、晾（风）干作业。除工艺限制外，原则上实行集中调配。调配、喷涂和干燥等VOCs排放工序应配备有效的废气收集系统。</w:t>
                  </w:r>
                </w:p>
                <w:p>
                  <w:pPr>
                    <w:pStyle w:val="63"/>
                    <w:spacing w:line="320" w:lineRule="exact"/>
                    <w:jc w:val="both"/>
                    <w:rPr>
                      <w:kern w:val="0"/>
                    </w:rPr>
                  </w:pPr>
                  <w:r>
                    <w:rPr>
                      <w:kern w:val="0"/>
                    </w:rPr>
                    <w:t>推进建设适宜高效的治污设施。喷涂废气应设置高效漆雾处理装置。喷涂、晾（风）干废气宜采用吸附浓缩+燃烧处理方式，小风量的可采用一次性活性炭吸附等工艺。调配、流平等废气可与喷涂、晾（风）干废气一并处理。使用溶剂型涂料的生产线，烘干废气宜采用燃烧方式单独处理，具备条件的可采用回收式热力燃烧装置。</w:t>
                  </w:r>
                </w:p>
              </w:tc>
              <w:tc>
                <w:tcPr>
                  <w:tcW w:w="1329" w:type="pct"/>
                  <w:tcBorders>
                    <w:left w:val="single" w:color="auto" w:sz="6" w:space="0"/>
                    <w:right w:val="single" w:color="auto" w:sz="6" w:space="0"/>
                  </w:tcBorders>
                  <w:vAlign w:val="center"/>
                </w:tcPr>
                <w:p>
                  <w:pPr>
                    <w:pStyle w:val="63"/>
                    <w:spacing w:line="320" w:lineRule="exact"/>
                    <w:rPr>
                      <w:kern w:val="0"/>
                    </w:rPr>
                  </w:pPr>
                  <w:r>
                    <w:rPr>
                      <w:kern w:val="0"/>
                    </w:rPr>
                    <w:t>重庆市不属于方案中的重点区域。项目</w:t>
                  </w:r>
                  <w:r>
                    <w:rPr>
                      <w:rFonts w:hint="eastAsia"/>
                      <w:kern w:val="0"/>
                    </w:rPr>
                    <w:t>不涉及含VOCs的涂料、油墨、胶粘剂等原辅料使用。生产过程产生的有机</w:t>
                  </w:r>
                  <w:r>
                    <w:rPr>
                      <w:kern w:val="0"/>
                    </w:rPr>
                    <w:t>废气采用</w:t>
                  </w:r>
                  <w:r>
                    <w:rPr>
                      <w:rFonts w:hint="eastAsia"/>
                      <w:kern w:val="0"/>
                    </w:rPr>
                    <w:t>“UV光催化+三级活性炭”</w:t>
                  </w:r>
                  <w:r>
                    <w:rPr>
                      <w:kern w:val="0"/>
                    </w:rPr>
                    <w:t>处理工艺</w:t>
                  </w:r>
                  <w:r>
                    <w:rPr>
                      <w:rFonts w:hint="eastAsia"/>
                      <w:kern w:val="0"/>
                    </w:rPr>
                    <w:t>，处理后达标排放</w:t>
                  </w:r>
                  <w:r>
                    <w:rPr>
                      <w:kern w:val="0"/>
                    </w:rPr>
                    <w:t>。</w:t>
                  </w:r>
                </w:p>
              </w:tc>
              <w:tc>
                <w:tcPr>
                  <w:tcW w:w="46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5" w:type="pct"/>
                  <w:tcBorders>
                    <w:left w:val="single" w:color="auto" w:sz="6" w:space="0"/>
                    <w:right w:val="single" w:color="auto" w:sz="6" w:space="0"/>
                  </w:tcBorders>
                  <w:vAlign w:val="center"/>
                </w:tcPr>
                <w:p>
                  <w:pPr>
                    <w:pStyle w:val="52"/>
                    <w:spacing w:line="320" w:lineRule="exact"/>
                  </w:pPr>
                  <w:r>
                    <w:t>《</w:t>
                  </w:r>
                  <w:r>
                    <w:rPr>
                      <w:rFonts w:hint="eastAsia"/>
                    </w:rPr>
                    <w:t>重庆市大气环境保护“十四五”规划（2021—2025年）</w:t>
                  </w:r>
                  <w:r>
                    <w:t>》（</w:t>
                  </w:r>
                  <w:r>
                    <w:rPr>
                      <w:rFonts w:hint="eastAsia"/>
                    </w:rPr>
                    <w:t>渝环〔</w:t>
                  </w:r>
                  <w:bookmarkStart w:id="1" w:name="gwnh"/>
                  <w:r>
                    <w:t>2022</w:t>
                  </w:r>
                  <w:bookmarkEnd w:id="1"/>
                  <w:r>
                    <w:t>〕</w:t>
                  </w:r>
                  <w:r>
                    <w:rPr>
                      <w:rFonts w:hint="eastAsia"/>
                    </w:rPr>
                    <w:t>43号</w:t>
                  </w:r>
                  <w:r>
                    <w:t>）</w:t>
                  </w:r>
                </w:p>
              </w:tc>
              <w:tc>
                <w:tcPr>
                  <w:tcW w:w="2230"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rPr>
                      <w:kern w:val="2"/>
                    </w:rPr>
                  </w:pPr>
                  <w:r>
                    <w:t>重点区域要实行VOCs排放等量或倍量削减替代，并将替代方案落实到企业排污许可证中，纳入环境执法管理。新建、改建、扩建涉VOCs排放的项目，要加强源头控制，使用低（无）VOCs含量的原辅料，加强废气收集，安装高效治理设施。新建涉VOCs排放的工业企业要入园区。</w:t>
                  </w:r>
                </w:p>
              </w:tc>
              <w:tc>
                <w:tcPr>
                  <w:tcW w:w="1329" w:type="pct"/>
                  <w:tcBorders>
                    <w:left w:val="single" w:color="auto" w:sz="6" w:space="0"/>
                    <w:right w:val="single" w:color="auto" w:sz="6" w:space="0"/>
                  </w:tcBorders>
                  <w:vAlign w:val="center"/>
                </w:tcPr>
                <w:p>
                  <w:pPr>
                    <w:pStyle w:val="52"/>
                    <w:spacing w:line="320" w:lineRule="exact"/>
                    <w:jc w:val="both"/>
                  </w:pPr>
                  <w:r>
                    <w:rPr>
                      <w:kern w:val="2"/>
                    </w:rPr>
                    <w:t>项目</w:t>
                  </w:r>
                  <w:r>
                    <w:rPr>
                      <w:bCs/>
                    </w:rPr>
                    <w:t>属于</w:t>
                  </w:r>
                  <w:r>
                    <w:rPr>
                      <w:rFonts w:hint="eastAsia"/>
                    </w:rPr>
                    <w:t>其他塑料制品制造</w:t>
                  </w:r>
                  <w:r>
                    <w:rPr>
                      <w:bCs/>
                    </w:rPr>
                    <w:t>项目，</w:t>
                  </w:r>
                  <w:r>
                    <w:rPr>
                      <w:kern w:val="2"/>
                    </w:rPr>
                    <w:t>位于</w:t>
                  </w:r>
                  <w:r>
                    <w:t>铜梁高新区</w:t>
                  </w:r>
                  <w:r>
                    <w:rPr>
                      <w:rFonts w:hint="eastAsia"/>
                    </w:rPr>
                    <w:t>蒲吕</w:t>
                  </w:r>
                  <w:r>
                    <w:t>片区</w:t>
                  </w:r>
                  <w:r>
                    <w:rPr>
                      <w:rFonts w:hint="eastAsia"/>
                      <w:kern w:val="2"/>
                    </w:rPr>
                    <w:t>，项目生产过程不涉及含VOCs原材料</w:t>
                  </w:r>
                  <w:r>
                    <w:rPr>
                      <w:rFonts w:hint="eastAsia"/>
                    </w:rPr>
                    <w:t>，</w:t>
                  </w:r>
                  <w:r>
                    <w:rPr>
                      <w:rFonts w:hint="eastAsia"/>
                      <w:kern w:val="2"/>
                    </w:rPr>
                    <w:t>产生的废气经负压收集</w:t>
                  </w:r>
                  <w:r>
                    <w:rPr>
                      <w:rFonts w:hint="eastAsia"/>
                    </w:rPr>
                    <w:t>处理</w:t>
                  </w:r>
                  <w:r>
                    <w:rPr>
                      <w:rFonts w:hint="eastAsia"/>
                      <w:kern w:val="2"/>
                    </w:rPr>
                    <w:t>达标后排放</w:t>
                  </w:r>
                  <w:r>
                    <w:rPr>
                      <w:kern w:val="2"/>
                    </w:rPr>
                    <w:t>。</w:t>
                  </w:r>
                </w:p>
              </w:tc>
              <w:tc>
                <w:tcPr>
                  <w:tcW w:w="466"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rPr>
                      <w:kern w:val="2"/>
                    </w:rPr>
                  </w:pPr>
                  <w:r>
                    <w:rPr>
                      <w:kern w:val="2"/>
                    </w:rPr>
                    <w:t>符合</w:t>
                  </w:r>
                </w:p>
              </w:tc>
            </w:tr>
          </w:tbl>
          <w:p>
            <w:pPr>
              <w:pStyle w:val="82"/>
              <w:ind w:firstLine="482"/>
              <w:rPr>
                <w:b/>
                <w:bCs/>
              </w:rPr>
            </w:pPr>
            <w:r>
              <w:rPr>
                <w:rFonts w:hint="eastAsia"/>
                <w:b/>
                <w:bCs/>
              </w:rPr>
              <w:t>4、</w:t>
            </w:r>
            <w:r>
              <w:rPr>
                <w:b/>
                <w:bCs/>
              </w:rPr>
              <w:t>与水污染防治相关法律法规政策的符合性分析</w:t>
            </w:r>
          </w:p>
          <w:p>
            <w:pPr>
              <w:pStyle w:val="83"/>
            </w:pPr>
            <w:r>
              <w:t>表</w:t>
            </w:r>
            <w:r>
              <w:rPr>
                <w:rFonts w:hint="eastAsia"/>
              </w:rPr>
              <w:t>1</w:t>
            </w:r>
            <w:r>
              <w:t>-11  与水污染防治相关法律法规的符合性分析</w:t>
            </w:r>
          </w:p>
          <w:tbl>
            <w:tblPr>
              <w:tblStyle w:val="24"/>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476"/>
              <w:gridCol w:w="4025"/>
              <w:gridCol w:w="2084"/>
              <w:gridCol w:w="77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880"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rPr>
                      <w:b/>
                      <w:bCs/>
                    </w:rPr>
                  </w:pPr>
                  <w:r>
                    <w:rPr>
                      <w:b/>
                      <w:bCs/>
                    </w:rPr>
                    <w:t>文件</w:t>
                  </w:r>
                </w:p>
              </w:tc>
              <w:tc>
                <w:tcPr>
                  <w:tcW w:w="2408"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rPr>
                      <w:b/>
                      <w:bCs/>
                    </w:rPr>
                  </w:pPr>
                  <w:r>
                    <w:rPr>
                      <w:b/>
                      <w:bCs/>
                    </w:rPr>
                    <w:t>相关要求</w:t>
                  </w:r>
                </w:p>
              </w:tc>
              <w:tc>
                <w:tcPr>
                  <w:tcW w:w="1247"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rPr>
                      <w:b/>
                      <w:bCs/>
                    </w:rPr>
                  </w:pPr>
                  <w:r>
                    <w:rPr>
                      <w:b/>
                      <w:bCs/>
                    </w:rPr>
                    <w:t>项目情况</w:t>
                  </w:r>
                </w:p>
              </w:tc>
              <w:tc>
                <w:tcPr>
                  <w:tcW w:w="465"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ind w:left="-105" w:leftChars="-50" w:right="-105" w:rightChars="-50"/>
                    <w:rPr>
                      <w:b/>
                      <w:bCs/>
                    </w:rPr>
                  </w:pPr>
                  <w:r>
                    <w:rPr>
                      <w:b/>
                      <w:bCs/>
                    </w:rPr>
                    <w:t>符合性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880"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pPr>
                  <w:r>
                    <w:t>《中华人民共和国长江保护法》</w:t>
                  </w:r>
                </w:p>
                <w:p>
                  <w:pPr>
                    <w:pStyle w:val="52"/>
                    <w:spacing w:line="320" w:lineRule="exact"/>
                  </w:pPr>
                  <w:r>
                    <w:t>(2021年3月1日起施行)</w:t>
                  </w:r>
                </w:p>
              </w:tc>
              <w:tc>
                <w:tcPr>
                  <w:tcW w:w="2408"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pPr>
                  <w:r>
                    <w:t>禁止在长江千支流岸线一公里范围内新建、扩建化工园区和化工项目。禁止在长江干流岸线三公里范围内和重要支流岸线一公里范围内新建、改建、扩建尾矿库；但是以提升安全、生态环境保护水平为目的的改建除外。</w:t>
                  </w:r>
                </w:p>
              </w:tc>
              <w:tc>
                <w:tcPr>
                  <w:tcW w:w="1247"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pPr>
                  <w:r>
                    <w:t>拟建项目位于铜梁高新区</w:t>
                  </w:r>
                  <w:r>
                    <w:rPr>
                      <w:rFonts w:hint="eastAsia"/>
                    </w:rPr>
                    <w:t>蒲吕</w:t>
                  </w:r>
                  <w:r>
                    <w:t>片区，且不属于化工项目，不涉及尾矿库。</w:t>
                  </w:r>
                </w:p>
              </w:tc>
              <w:tc>
                <w:tcPr>
                  <w:tcW w:w="465"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880"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pPr>
                  <w:r>
                    <w:t>《中华人民共和国水污染防治法》( 2017年修正)</w:t>
                  </w:r>
                </w:p>
              </w:tc>
              <w:tc>
                <w:tcPr>
                  <w:tcW w:w="2408"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pPr>
                  <w:r>
                    <w:t>排放工业废水的企业应当采取有效措施</w:t>
                  </w:r>
                  <w:r>
                    <w:rPr>
                      <w:rFonts w:hint="eastAsia"/>
                    </w:rPr>
                    <w:t>，</w:t>
                  </w:r>
                  <w:r>
                    <w:t>收集和处理产生的全部废水，防止污染环境。含有毒有害水污染物的工业废水应当分类收集和处理，不得稀释排放。向污水集中处理设施排放工业废水的，应当按照国家有关规定进行预处理，达到集中处理设施处理工艺要求后方可排放。</w:t>
                  </w:r>
                </w:p>
              </w:tc>
              <w:tc>
                <w:tcPr>
                  <w:tcW w:w="1247"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pPr>
                  <w:r>
                    <w:rPr>
                      <w:kern w:val="2"/>
                    </w:rPr>
                    <w:t>项目</w:t>
                  </w:r>
                  <w:r>
                    <w:rPr>
                      <w:rFonts w:hint="eastAsia"/>
                      <w:kern w:val="2"/>
                    </w:rPr>
                    <w:t>不产生生产废水，生活</w:t>
                  </w:r>
                  <w:r>
                    <w:rPr>
                      <w:rFonts w:hint="eastAsia"/>
                      <w:bCs/>
                    </w:rPr>
                    <w:t>污水经生化池处理达标后，进入蒲吕污水处理厂进一步处理达标排放</w:t>
                  </w:r>
                  <w:r>
                    <w:rPr>
                      <w:kern w:val="2"/>
                    </w:rPr>
                    <w:t>。</w:t>
                  </w:r>
                </w:p>
              </w:tc>
              <w:tc>
                <w:tcPr>
                  <w:tcW w:w="465"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880"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pPr>
                  <w:r>
                    <w:t>重庆市水污染防治条例（2020年10月1日起施行）</w:t>
                  </w:r>
                </w:p>
              </w:tc>
              <w:tc>
                <w:tcPr>
                  <w:tcW w:w="2408"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pPr>
                  <w:r>
                    <w:t>第十五条新建、改建、扩建直接或者间接向水体排放污染物的建设项目和其他水上设施，应当依法进行环境影响评价。</w:t>
                  </w:r>
                </w:p>
              </w:tc>
              <w:tc>
                <w:tcPr>
                  <w:tcW w:w="1247"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pPr>
                  <w:r>
                    <w:t>新建项目位于铜梁高新区</w:t>
                  </w:r>
                  <w:r>
                    <w:rPr>
                      <w:rFonts w:hint="eastAsia"/>
                    </w:rPr>
                    <w:t>蒲吕</w:t>
                  </w:r>
                  <w:r>
                    <w:t>片区内，废水可纳管处理，且已按要求进行环境影响评价。</w:t>
                  </w:r>
                </w:p>
              </w:tc>
              <w:tc>
                <w:tcPr>
                  <w:tcW w:w="465"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880" w:type="pct"/>
                  <w:vMerge w:val="restart"/>
                  <w:tcBorders>
                    <w:top w:val="single" w:color="auto" w:sz="6" w:space="0"/>
                    <w:left w:val="single" w:color="auto" w:sz="6" w:space="0"/>
                    <w:right w:val="single" w:color="auto" w:sz="6" w:space="0"/>
                  </w:tcBorders>
                  <w:vAlign w:val="center"/>
                </w:tcPr>
                <w:p>
                  <w:pPr>
                    <w:pStyle w:val="52"/>
                    <w:spacing w:line="320" w:lineRule="exact"/>
                  </w:pPr>
                  <w:r>
                    <w:t>《重庆市水生态环境保护“十四五”规划（2021—2025年）》（渝环函〔2022〕347号）</w:t>
                  </w:r>
                </w:p>
              </w:tc>
              <w:tc>
                <w:tcPr>
                  <w:tcW w:w="2408" w:type="pct"/>
                  <w:tcBorders>
                    <w:top w:val="single" w:color="auto" w:sz="6" w:space="0"/>
                    <w:left w:val="single" w:color="auto" w:sz="6" w:space="0"/>
                    <w:bottom w:val="single" w:color="auto" w:sz="6" w:space="0"/>
                    <w:right w:val="single" w:color="auto" w:sz="6" w:space="0"/>
                  </w:tcBorders>
                  <w:vAlign w:val="center"/>
                </w:tcPr>
                <w:p>
                  <w:pPr>
                    <w:pStyle w:val="22"/>
                    <w:adjustRightInd w:val="0"/>
                    <w:snapToGrid w:val="0"/>
                    <w:spacing w:after="0" w:line="320" w:lineRule="exact"/>
                    <w:ind w:left="0" w:leftChars="0" w:firstLine="0"/>
                    <w:rPr>
                      <w:lang w:val="zh-CN"/>
                    </w:rPr>
                  </w:pPr>
                  <w:r>
                    <w:rPr>
                      <w:b/>
                      <w:bCs/>
                    </w:rPr>
                    <w:t>强化生态空间管控。</w:t>
                  </w:r>
                  <w:r>
                    <w:rPr>
                      <w:bCs/>
                    </w:rPr>
                    <w:t>严格落实岸线空间管控，划定河湖岸线保护范围，制定河湖岸线保护规划，严格控制岸线开发建设，促进岸线合理高效利用。禁止在长江干支流岸线一公里范围内新建、扩建化工园区和化工项目。禁止在长江干流岸线三公里范围内和重要支流岸线一公里范围内新建、改建、扩建尾矿库；但是以提升安全、生态环境保护水平为目的的改建除外。禁止在长江流域重点生态功能区布局对生态系统有严重影响的产业。禁止市外重污染企业和项目向我市转移。除在安全或者产业布局等方面</w:t>
                  </w:r>
                  <w:r>
                    <w:rPr>
                      <w:bCs/>
                      <w:spacing w:val="-6"/>
                    </w:rPr>
                    <w:t>有特殊要求的项目外，新建有污染物排放的工业项目应当进入工业集聚区，新建化工项目应当进入全市统一布局的化工产业集聚区。</w:t>
                  </w:r>
                </w:p>
              </w:tc>
              <w:tc>
                <w:tcPr>
                  <w:tcW w:w="1247" w:type="pct"/>
                  <w:tcBorders>
                    <w:top w:val="single" w:color="auto" w:sz="6" w:space="0"/>
                    <w:left w:val="single" w:color="auto" w:sz="6" w:space="0"/>
                    <w:bottom w:val="single" w:color="auto" w:sz="6" w:space="0"/>
                    <w:right w:val="single" w:color="auto" w:sz="6" w:space="0"/>
                  </w:tcBorders>
                  <w:vAlign w:val="center"/>
                </w:tcPr>
                <w:p>
                  <w:pPr>
                    <w:pStyle w:val="22"/>
                    <w:adjustRightInd w:val="0"/>
                    <w:snapToGrid w:val="0"/>
                    <w:spacing w:after="0" w:line="320" w:lineRule="exact"/>
                    <w:ind w:left="0" w:leftChars="0" w:firstLine="0"/>
                    <w:rPr>
                      <w:lang w:val="zh-CN"/>
                    </w:rPr>
                  </w:pPr>
                  <w:r>
                    <w:rPr>
                      <w:lang w:val="zh-CN"/>
                    </w:rPr>
                    <w:t>拟建项目位于铜梁高新区</w:t>
                  </w:r>
                  <w:r>
                    <w:rPr>
                      <w:rFonts w:hint="eastAsia"/>
                      <w:lang w:val="zh-CN"/>
                    </w:rPr>
                    <w:t>蒲吕</w:t>
                  </w:r>
                  <w:r>
                    <w:rPr>
                      <w:lang w:val="zh-CN"/>
                    </w:rPr>
                    <w:t>片区</w:t>
                  </w:r>
                  <w:r>
                    <w:rPr>
                      <w:rFonts w:hint="eastAsia"/>
                      <w:lang w:val="zh-CN"/>
                    </w:rPr>
                    <w:t>，</w:t>
                  </w:r>
                  <w:r>
                    <w:rPr>
                      <w:lang w:val="zh-CN"/>
                    </w:rPr>
                    <w:t>属于</w:t>
                  </w:r>
                  <w:r>
                    <w:rPr>
                      <w:rFonts w:hint="eastAsia"/>
                      <w:lang w:val="zh-CN"/>
                    </w:rPr>
                    <w:t>其他塑料制品制造</w:t>
                  </w:r>
                  <w:r>
                    <w:rPr>
                      <w:lang w:val="zh-CN"/>
                    </w:rPr>
                    <w:t>项目，</w:t>
                  </w:r>
                  <w:r>
                    <w:rPr>
                      <w:bCs/>
                    </w:rPr>
                    <w:t>不属化工、尾矿库等存在污染风险的工业项目，不属于对生态系统有严重影响的产业。</w:t>
                  </w:r>
                </w:p>
              </w:tc>
              <w:tc>
                <w:tcPr>
                  <w:tcW w:w="465"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880" w:type="pct"/>
                  <w:vMerge w:val="continue"/>
                  <w:tcBorders>
                    <w:left w:val="single" w:color="auto" w:sz="6" w:space="0"/>
                    <w:bottom w:val="single" w:color="auto" w:sz="6" w:space="0"/>
                    <w:right w:val="single" w:color="auto" w:sz="6" w:space="0"/>
                  </w:tcBorders>
                  <w:vAlign w:val="center"/>
                </w:tcPr>
                <w:p>
                  <w:pPr>
                    <w:pStyle w:val="52"/>
                    <w:spacing w:line="320" w:lineRule="exact"/>
                  </w:pPr>
                </w:p>
              </w:tc>
              <w:tc>
                <w:tcPr>
                  <w:tcW w:w="2408" w:type="pct"/>
                  <w:tcBorders>
                    <w:top w:val="single" w:color="auto" w:sz="6" w:space="0"/>
                    <w:left w:val="single" w:color="auto" w:sz="6" w:space="0"/>
                    <w:bottom w:val="single" w:color="auto" w:sz="6" w:space="0"/>
                    <w:right w:val="single" w:color="auto" w:sz="6" w:space="0"/>
                  </w:tcBorders>
                  <w:vAlign w:val="center"/>
                </w:tcPr>
                <w:p>
                  <w:pPr>
                    <w:pStyle w:val="22"/>
                    <w:adjustRightInd w:val="0"/>
                    <w:snapToGrid w:val="0"/>
                    <w:spacing w:after="0" w:line="320" w:lineRule="exact"/>
                    <w:ind w:left="0" w:leftChars="0" w:firstLine="0"/>
                    <w:rPr>
                      <w:lang w:val="zh-CN"/>
                    </w:rPr>
                  </w:pPr>
                  <w:r>
                    <w:rPr>
                      <w:b/>
                      <w:bCs/>
                    </w:rPr>
                    <w:t>严格生态环境准入。</w:t>
                  </w:r>
                  <w:r>
                    <w:rPr>
                      <w:bCs/>
                    </w:rPr>
                    <w:t>严格落实长江经济带战略环评，建立完善生态环境分区管控体系，加快“三线一单”落地应用，严守生态保护红线、环境质量底线、资源利用上线，落实生态环境准入清单。</w:t>
                  </w:r>
                  <w:r>
                    <w:rPr>
                      <w:lang w:val="zh-CN"/>
                    </w:rPr>
                    <w:t>强化规划环评引领，明确区域产业布局、发展规模和环境准入等要求，对不符合规划环评结论和审查意见的建设项目依法不予审批，防止结构性环境问题。</w:t>
                  </w:r>
                </w:p>
              </w:tc>
              <w:tc>
                <w:tcPr>
                  <w:tcW w:w="1247" w:type="pct"/>
                  <w:tcBorders>
                    <w:top w:val="single" w:color="auto" w:sz="6" w:space="0"/>
                    <w:left w:val="single" w:color="auto" w:sz="6" w:space="0"/>
                    <w:bottom w:val="single" w:color="auto" w:sz="6" w:space="0"/>
                    <w:right w:val="single" w:color="auto" w:sz="6" w:space="0"/>
                  </w:tcBorders>
                  <w:vAlign w:val="center"/>
                </w:tcPr>
                <w:p>
                  <w:pPr>
                    <w:pStyle w:val="22"/>
                    <w:adjustRightInd w:val="0"/>
                    <w:snapToGrid w:val="0"/>
                    <w:spacing w:after="0" w:line="320" w:lineRule="exact"/>
                    <w:ind w:left="0" w:leftChars="0" w:firstLine="0"/>
                    <w:rPr>
                      <w:lang w:val="zh-CN"/>
                    </w:rPr>
                  </w:pPr>
                  <w:r>
                    <w:rPr>
                      <w:lang w:val="zh-CN"/>
                    </w:rPr>
                    <w:t>拟建项目不涉及生态保护红线，符合“三线一单”的要求；在依法合规设立的工业园区进行建设。符合园区规划环评结论和审查意见。</w:t>
                  </w:r>
                </w:p>
              </w:tc>
              <w:tc>
                <w:tcPr>
                  <w:tcW w:w="465"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pPr>
                  <w:r>
                    <w:t>符合</w:t>
                  </w:r>
                </w:p>
              </w:tc>
            </w:tr>
          </w:tbl>
          <w:p>
            <w:pPr>
              <w:pStyle w:val="82"/>
              <w:ind w:firstLine="482"/>
              <w:rPr>
                <w:b/>
                <w:bCs/>
              </w:rPr>
            </w:pPr>
            <w:r>
              <w:rPr>
                <w:rFonts w:hint="eastAsia"/>
                <w:b/>
                <w:bCs/>
              </w:rPr>
              <w:t>5、</w:t>
            </w:r>
            <w:r>
              <w:rPr>
                <w:b/>
                <w:bCs/>
              </w:rPr>
              <w:t>与</w:t>
            </w:r>
            <w:r>
              <w:rPr>
                <w:rFonts w:hint="eastAsia"/>
                <w:b/>
                <w:bCs/>
              </w:rPr>
              <w:t>噪声</w:t>
            </w:r>
            <w:r>
              <w:rPr>
                <w:b/>
                <w:bCs/>
              </w:rPr>
              <w:t>污染防治相关法律法规政策的符合性分析</w:t>
            </w:r>
          </w:p>
          <w:p>
            <w:pPr>
              <w:pStyle w:val="83"/>
            </w:pPr>
            <w:r>
              <w:t>表</w:t>
            </w:r>
            <w:r>
              <w:rPr>
                <w:rFonts w:hint="eastAsia"/>
              </w:rPr>
              <w:t>1</w:t>
            </w:r>
            <w:r>
              <w:t>-12  与</w:t>
            </w:r>
            <w:r>
              <w:rPr>
                <w:rFonts w:hint="eastAsia"/>
              </w:rPr>
              <w:t>噪声</w:t>
            </w:r>
            <w:r>
              <w:t>污染防治相关法律法规的符合性分析</w:t>
            </w:r>
          </w:p>
          <w:tbl>
            <w:tblPr>
              <w:tblStyle w:val="24"/>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916"/>
              <w:gridCol w:w="4582"/>
              <w:gridCol w:w="2106"/>
              <w:gridCol w:w="75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48" w:type="pct"/>
                  <w:tcBorders>
                    <w:top w:val="single" w:color="auto" w:sz="2" w:space="0"/>
                    <w:left w:val="single" w:color="auto" w:sz="2" w:space="0"/>
                    <w:bottom w:val="single" w:color="auto" w:sz="2" w:space="0"/>
                    <w:right w:val="single" w:color="auto" w:sz="2" w:space="0"/>
                  </w:tcBorders>
                  <w:vAlign w:val="center"/>
                </w:tcPr>
                <w:p>
                  <w:pPr>
                    <w:pStyle w:val="52"/>
                    <w:spacing w:line="320" w:lineRule="exact"/>
                    <w:rPr>
                      <w:b/>
                      <w:bCs/>
                    </w:rPr>
                  </w:pPr>
                  <w:r>
                    <w:rPr>
                      <w:b/>
                      <w:bCs/>
                    </w:rPr>
                    <w:t>文件</w:t>
                  </w:r>
                </w:p>
              </w:tc>
              <w:tc>
                <w:tcPr>
                  <w:tcW w:w="2740" w:type="pct"/>
                  <w:tcBorders>
                    <w:top w:val="single" w:color="auto" w:sz="2" w:space="0"/>
                    <w:left w:val="single" w:color="auto" w:sz="2" w:space="0"/>
                    <w:bottom w:val="single" w:color="auto" w:sz="2" w:space="0"/>
                    <w:right w:val="single" w:color="auto" w:sz="2" w:space="0"/>
                  </w:tcBorders>
                  <w:vAlign w:val="center"/>
                </w:tcPr>
                <w:p>
                  <w:pPr>
                    <w:pStyle w:val="52"/>
                    <w:spacing w:line="320" w:lineRule="exact"/>
                    <w:rPr>
                      <w:b/>
                      <w:bCs/>
                    </w:rPr>
                  </w:pPr>
                  <w:r>
                    <w:rPr>
                      <w:b/>
                      <w:bCs/>
                    </w:rPr>
                    <w:t>相关要求</w:t>
                  </w:r>
                </w:p>
              </w:tc>
              <w:tc>
                <w:tcPr>
                  <w:tcW w:w="1259" w:type="pct"/>
                  <w:tcBorders>
                    <w:top w:val="single" w:color="auto" w:sz="2" w:space="0"/>
                    <w:left w:val="single" w:color="auto" w:sz="2" w:space="0"/>
                    <w:bottom w:val="single" w:color="auto" w:sz="2" w:space="0"/>
                    <w:right w:val="single" w:color="auto" w:sz="2" w:space="0"/>
                  </w:tcBorders>
                  <w:vAlign w:val="center"/>
                </w:tcPr>
                <w:p>
                  <w:pPr>
                    <w:pStyle w:val="52"/>
                    <w:spacing w:line="320" w:lineRule="exact"/>
                    <w:rPr>
                      <w:b/>
                      <w:bCs/>
                    </w:rPr>
                  </w:pPr>
                  <w:r>
                    <w:rPr>
                      <w:b/>
                      <w:bCs/>
                    </w:rPr>
                    <w:t>项目情况</w:t>
                  </w:r>
                </w:p>
              </w:tc>
              <w:tc>
                <w:tcPr>
                  <w:tcW w:w="453" w:type="pct"/>
                  <w:tcBorders>
                    <w:top w:val="single" w:color="auto" w:sz="2" w:space="0"/>
                    <w:left w:val="single" w:color="auto" w:sz="2" w:space="0"/>
                    <w:bottom w:val="single" w:color="auto" w:sz="2" w:space="0"/>
                    <w:right w:val="single" w:color="auto" w:sz="2" w:space="0"/>
                  </w:tcBorders>
                  <w:vAlign w:val="center"/>
                </w:tcPr>
                <w:p>
                  <w:pPr>
                    <w:pStyle w:val="52"/>
                    <w:spacing w:line="320" w:lineRule="exact"/>
                    <w:ind w:left="-105" w:leftChars="-50" w:right="-105" w:rightChars="-50"/>
                    <w:rPr>
                      <w:b/>
                      <w:bCs/>
                    </w:rPr>
                  </w:pPr>
                  <w:r>
                    <w:rPr>
                      <w:b/>
                      <w:bCs/>
                    </w:rPr>
                    <w:t>符合性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48" w:type="pct"/>
                  <w:tcBorders>
                    <w:top w:val="single" w:color="auto" w:sz="2" w:space="0"/>
                    <w:left w:val="single" w:color="auto" w:sz="2" w:space="0"/>
                    <w:bottom w:val="single" w:color="auto" w:sz="2" w:space="0"/>
                    <w:right w:val="single" w:color="auto" w:sz="2" w:space="0"/>
                  </w:tcBorders>
                  <w:vAlign w:val="center"/>
                </w:tcPr>
                <w:p>
                  <w:pPr>
                    <w:pStyle w:val="52"/>
                    <w:spacing w:line="320" w:lineRule="exact"/>
                  </w:pPr>
                  <w:r>
                    <w:rPr>
                      <w:rFonts w:hint="eastAsia"/>
                    </w:rPr>
                    <w:t>《“十四五”噪声污染防治行动计划》</w:t>
                  </w:r>
                  <w:r>
                    <w:t>（202</w:t>
                  </w:r>
                  <w:r>
                    <w:rPr>
                      <w:rFonts w:hint="eastAsia"/>
                    </w:rPr>
                    <w:t>2</w:t>
                  </w:r>
                  <w:r>
                    <w:t>年</w:t>
                  </w:r>
                  <w:r>
                    <w:rPr>
                      <w:rFonts w:hint="eastAsia"/>
                    </w:rPr>
                    <w:t>01</w:t>
                  </w:r>
                  <w:r>
                    <w:t>月</w:t>
                  </w:r>
                  <w:r>
                    <w:rPr>
                      <w:rFonts w:hint="eastAsia"/>
                    </w:rPr>
                    <w:t>05</w:t>
                  </w:r>
                  <w:r>
                    <w:t>日）</w:t>
                  </w:r>
                </w:p>
              </w:tc>
              <w:tc>
                <w:tcPr>
                  <w:tcW w:w="2740" w:type="pct"/>
                  <w:tcBorders>
                    <w:top w:val="single" w:color="auto" w:sz="2" w:space="0"/>
                    <w:left w:val="single" w:color="auto" w:sz="2" w:space="0"/>
                    <w:bottom w:val="single" w:color="auto" w:sz="2" w:space="0"/>
                    <w:right w:val="single" w:color="auto" w:sz="2" w:space="0"/>
                  </w:tcBorders>
                  <w:vAlign w:val="center"/>
                </w:tcPr>
                <w:p>
                  <w:pPr>
                    <w:pStyle w:val="52"/>
                    <w:spacing w:line="320" w:lineRule="exact"/>
                    <w:jc w:val="both"/>
                    <w:rPr>
                      <w:b/>
                      <w:bCs/>
                    </w:rPr>
                  </w:pPr>
                  <w:r>
                    <w:rPr>
                      <w:rFonts w:hint="eastAsia"/>
                      <w:b/>
                      <w:bCs/>
                    </w:rPr>
                    <w:t>四、深化工业企业噪声污染防治，加强重点企业监管</w:t>
                  </w:r>
                </w:p>
                <w:p>
                  <w:pPr>
                    <w:pStyle w:val="52"/>
                    <w:spacing w:line="320" w:lineRule="exact"/>
                    <w:jc w:val="both"/>
                  </w:pPr>
                  <w:r>
                    <w:rPr>
                      <w:rFonts w:hint="eastAsia"/>
                    </w:rPr>
                    <w:t>11．树立工业噪声污染治理标杆。排放噪声的工业企业应切实采取减振降噪措施，加强厂区内固定设备、运输工具、货物装卸等噪声源管理，同时避免突发噪声扰民。鼓励企业采用先进治理技术，打造行业噪声污染治理示范典型。中央企业要主动承担社会责任，切实发挥模范带头和引领示范作用，创建一批行业标杆。</w:t>
                  </w:r>
                </w:p>
                <w:p>
                  <w:pPr>
                    <w:pStyle w:val="52"/>
                    <w:spacing w:line="320" w:lineRule="exact"/>
                    <w:jc w:val="both"/>
                  </w:pPr>
                  <w:r>
                    <w:rPr>
                      <w:rFonts w:hint="eastAsia"/>
                    </w:rPr>
                    <w:t>13．推进工业噪声实施排污许可和重点排污单位管理。发布工业噪声排污许可证申请与核发技术规范，依法核发排污许可证或进行排污登记，并加强监管；实行排污许可管理的单位依证排污，按照规定开展自行监测并向社会公开。依据《环境监管重点单位名录管理办法》，推进设区的市级以上生态环境主管部门编制本行政区域噪声重点排污单位名录，并按要求发布和更新；噪声重点排污单位应依法开展噪声自动监测，并及时与生态环境主管部门的监控设备联网。</w:t>
                  </w:r>
                </w:p>
              </w:tc>
              <w:tc>
                <w:tcPr>
                  <w:tcW w:w="1259" w:type="pct"/>
                  <w:tcBorders>
                    <w:top w:val="single" w:color="auto" w:sz="2" w:space="0"/>
                    <w:left w:val="single" w:color="auto" w:sz="2" w:space="0"/>
                    <w:bottom w:val="single" w:color="auto" w:sz="2" w:space="0"/>
                    <w:right w:val="single" w:color="auto" w:sz="2" w:space="0"/>
                  </w:tcBorders>
                  <w:vAlign w:val="center"/>
                </w:tcPr>
                <w:p>
                  <w:pPr>
                    <w:pStyle w:val="52"/>
                    <w:spacing w:line="320" w:lineRule="exact"/>
                    <w:jc w:val="both"/>
                  </w:pPr>
                  <w:r>
                    <w:rPr>
                      <w:rFonts w:hint="eastAsia"/>
                    </w:rPr>
                    <w:t>拟建项目在落实隔声、减振、消声等降噪措施后，经预测满足</w:t>
                  </w:r>
                  <w:r>
                    <w:t>《工业企业厂界环境噪声排放标准》（GB12348-2008）中3类标准要求</w:t>
                  </w:r>
                  <w:r>
                    <w:rPr>
                      <w:rFonts w:hint="eastAsia"/>
                    </w:rPr>
                    <w:t>；待</w:t>
                  </w:r>
                  <w:r>
                    <w:t>《排污许可证申请与核发技术规范</w:t>
                  </w:r>
                  <w:r>
                    <w:rPr>
                      <w:rFonts w:hint="eastAsia"/>
                    </w:rPr>
                    <w:t xml:space="preserve"> </w:t>
                  </w:r>
                  <w:r>
                    <w:t>工业噪声》</w:t>
                  </w:r>
                  <w:r>
                    <w:rPr>
                      <w:rFonts w:hint="eastAsia"/>
                    </w:rPr>
                    <w:t>正式稿发布后，拟建项目依法办理排污许可证或进行排污登记。</w:t>
                  </w:r>
                </w:p>
              </w:tc>
              <w:tc>
                <w:tcPr>
                  <w:tcW w:w="453" w:type="pct"/>
                  <w:tcBorders>
                    <w:top w:val="single" w:color="auto" w:sz="2" w:space="0"/>
                    <w:left w:val="single" w:color="auto" w:sz="2" w:space="0"/>
                    <w:bottom w:val="single" w:color="auto" w:sz="2" w:space="0"/>
                    <w:right w:val="single" w:color="auto" w:sz="2" w:space="0"/>
                  </w:tcBorders>
                  <w:vAlign w:val="center"/>
                </w:tcPr>
                <w:p>
                  <w:pPr>
                    <w:pStyle w:val="52"/>
                    <w:spacing w:line="320" w:lineRule="exact"/>
                  </w:pPr>
                  <w:r>
                    <w:t>符合</w:t>
                  </w:r>
                </w:p>
              </w:tc>
            </w:tr>
          </w:tbl>
          <w:p>
            <w:pPr>
              <w:pStyle w:val="82"/>
              <w:ind w:firstLine="482"/>
              <w:rPr>
                <w:b/>
                <w:bCs/>
              </w:rPr>
            </w:pPr>
            <w:r>
              <w:rPr>
                <w:rFonts w:hint="eastAsia"/>
                <w:b/>
                <w:bCs/>
              </w:rPr>
              <w:t>6、与固体废物污染防治相关法律法规政策的符合性分析</w:t>
            </w:r>
          </w:p>
          <w:p>
            <w:pPr>
              <w:pStyle w:val="83"/>
            </w:pPr>
            <w:r>
              <w:t>表</w:t>
            </w:r>
            <w:r>
              <w:rPr>
                <w:rFonts w:hint="eastAsia"/>
              </w:rPr>
              <w:t>1</w:t>
            </w:r>
            <w:r>
              <w:t>-13  与固体废物污染防治相关法律法规的符合性分析</w:t>
            </w:r>
          </w:p>
          <w:tbl>
            <w:tblPr>
              <w:tblStyle w:val="24"/>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916"/>
              <w:gridCol w:w="4827"/>
              <w:gridCol w:w="1840"/>
              <w:gridCol w:w="77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48"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rPr>
                      <w:b/>
                      <w:bCs/>
                    </w:rPr>
                  </w:pPr>
                  <w:r>
                    <w:rPr>
                      <w:b/>
                      <w:bCs/>
                    </w:rPr>
                    <w:t>文件</w:t>
                  </w:r>
                </w:p>
              </w:tc>
              <w:tc>
                <w:tcPr>
                  <w:tcW w:w="2886"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rPr>
                      <w:b/>
                      <w:bCs/>
                    </w:rPr>
                  </w:pPr>
                  <w:r>
                    <w:rPr>
                      <w:b/>
                      <w:bCs/>
                    </w:rPr>
                    <w:t>相关要求</w:t>
                  </w:r>
                </w:p>
              </w:tc>
              <w:tc>
                <w:tcPr>
                  <w:tcW w:w="1100"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rPr>
                      <w:b/>
                      <w:bCs/>
                    </w:rPr>
                  </w:pPr>
                  <w:r>
                    <w:rPr>
                      <w:b/>
                      <w:bCs/>
                    </w:rPr>
                    <w:t>项目情况</w:t>
                  </w:r>
                </w:p>
              </w:tc>
              <w:tc>
                <w:tcPr>
                  <w:tcW w:w="466"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ind w:left="-105" w:leftChars="-50" w:right="-105" w:rightChars="-50"/>
                    <w:rPr>
                      <w:b/>
                      <w:bCs/>
                    </w:rPr>
                  </w:pPr>
                  <w:r>
                    <w:rPr>
                      <w:b/>
                      <w:bCs/>
                    </w:rPr>
                    <w:t>符合性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48" w:type="pct"/>
                  <w:vMerge w:val="restart"/>
                  <w:tcBorders>
                    <w:top w:val="single" w:color="auto" w:sz="6" w:space="0"/>
                    <w:left w:val="single" w:color="auto" w:sz="6" w:space="0"/>
                    <w:bottom w:val="single" w:color="auto" w:sz="6" w:space="0"/>
                    <w:right w:val="single" w:color="auto" w:sz="6" w:space="0"/>
                  </w:tcBorders>
                  <w:vAlign w:val="center"/>
                </w:tcPr>
                <w:p>
                  <w:pPr>
                    <w:pStyle w:val="52"/>
                    <w:spacing w:line="320" w:lineRule="exact"/>
                  </w:pPr>
                  <w:r>
                    <w:t>《中华人民共和国固体废物</w:t>
                  </w:r>
                  <w:r>
                    <w:rPr>
                      <w:rFonts w:hint="eastAsia"/>
                      <w:lang w:eastAsia="zh-CN"/>
                    </w:rPr>
                    <w:t>污染</w:t>
                  </w:r>
                  <w:r>
                    <w:t>环境防治法》（2020年4月29日第二次修订）</w:t>
                  </w:r>
                </w:p>
              </w:tc>
              <w:tc>
                <w:tcPr>
                  <w:tcW w:w="2886"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pPr>
                  <w:r>
                    <w:t>第三十六条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禁止向生活垃圾收集设施中投放工业固体废物。</w:t>
                  </w:r>
                </w:p>
              </w:tc>
              <w:tc>
                <w:tcPr>
                  <w:tcW w:w="1100"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pPr>
                  <w:r>
                    <w:t>项目建设固体</w:t>
                  </w:r>
                  <w:r>
                    <w:rPr>
                      <w:rFonts w:hint="eastAsia"/>
                    </w:rPr>
                    <w:t>废物</w:t>
                  </w:r>
                  <w:r>
                    <w:t>暂存间，分类收</w:t>
                  </w:r>
                  <w:r>
                    <w:rPr>
                      <w:rFonts w:hint="eastAsia"/>
                    </w:rPr>
                    <w:t>集</w:t>
                  </w:r>
                  <w:r>
                    <w:t>后交相应单位处置，建成后建立工业固体废物台账，记录相关信息。</w:t>
                  </w:r>
                </w:p>
              </w:tc>
              <w:tc>
                <w:tcPr>
                  <w:tcW w:w="466"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48" w:type="pct"/>
                  <w:vMerge w:val="continue"/>
                  <w:tcBorders>
                    <w:top w:val="single" w:color="auto" w:sz="6" w:space="0"/>
                    <w:left w:val="single" w:color="auto" w:sz="6" w:space="0"/>
                    <w:bottom w:val="single" w:color="auto" w:sz="6" w:space="0"/>
                    <w:right w:val="single" w:color="auto" w:sz="6" w:space="0"/>
                  </w:tcBorders>
                  <w:vAlign w:val="center"/>
                </w:tcPr>
                <w:p>
                  <w:pPr>
                    <w:pStyle w:val="52"/>
                    <w:spacing w:line="320" w:lineRule="exact"/>
                  </w:pPr>
                </w:p>
              </w:tc>
              <w:tc>
                <w:tcPr>
                  <w:tcW w:w="2886"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pPr>
                  <w:r>
                    <w:t>第三十七条产生工业固体废物的单位委托他人运输、利用、处置工业固体废物的，应当对受托方的主体资格和技术能力进行核实、依法签订书面合同，在合同中约定污染防治要求。</w:t>
                  </w:r>
                </w:p>
              </w:tc>
              <w:tc>
                <w:tcPr>
                  <w:tcW w:w="1100"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pPr>
                  <w:r>
                    <w:t>项目危险废物委托有资质的单位清运处置，投产前签订危废处置协议。</w:t>
                  </w:r>
                </w:p>
              </w:tc>
              <w:tc>
                <w:tcPr>
                  <w:tcW w:w="466"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48" w:type="pct"/>
                  <w:vMerge w:val="continue"/>
                  <w:tcBorders>
                    <w:top w:val="single" w:color="auto" w:sz="6" w:space="0"/>
                    <w:left w:val="single" w:color="auto" w:sz="6" w:space="0"/>
                    <w:bottom w:val="single" w:color="auto" w:sz="6" w:space="0"/>
                    <w:right w:val="single" w:color="auto" w:sz="6" w:space="0"/>
                  </w:tcBorders>
                  <w:vAlign w:val="center"/>
                </w:tcPr>
                <w:p>
                  <w:pPr>
                    <w:pStyle w:val="52"/>
                    <w:spacing w:line="320" w:lineRule="exact"/>
                  </w:pPr>
                </w:p>
              </w:tc>
              <w:tc>
                <w:tcPr>
                  <w:tcW w:w="2886"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pPr>
                  <w:r>
                    <w:t>第四十条产生工业固体废物的单位应当根据经济、技术条件对工业固体废物加以利用；对暂时不利用或者不能利用的，应当按照国务院生态环境等主管部门的规定建设贮存设施、场所，安全分类存放，或者采取无害化处置措施。贮存工业固体废物应当采取符合国家环境保护标准的防护措施。建设工业固体废物贮存、处置的设施、场所，应当符合国家环境保护标准。</w:t>
                  </w:r>
                </w:p>
              </w:tc>
              <w:tc>
                <w:tcPr>
                  <w:tcW w:w="1100"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pPr>
                  <w:r>
                    <w:t>项目建设</w:t>
                  </w:r>
                  <w:r>
                    <w:rPr>
                      <w:rFonts w:hint="eastAsia"/>
                    </w:rPr>
                    <w:t>设置</w:t>
                  </w:r>
                  <w:r>
                    <w:t>固体</w:t>
                  </w:r>
                  <w:r>
                    <w:rPr>
                      <w:rFonts w:hint="eastAsia"/>
                    </w:rPr>
                    <w:t>废物</w:t>
                  </w:r>
                  <w:r>
                    <w:t>暂存间，分类</w:t>
                  </w:r>
                  <w:r>
                    <w:rPr>
                      <w:rFonts w:hint="eastAsia"/>
                    </w:rPr>
                    <w:t>暂存</w:t>
                  </w:r>
                  <w:r>
                    <w:t>后交相应单位处置，固废暂存间符合相关要求。</w:t>
                  </w:r>
                </w:p>
              </w:tc>
              <w:tc>
                <w:tcPr>
                  <w:tcW w:w="466"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48" w:type="pct"/>
                  <w:vMerge w:val="continue"/>
                  <w:tcBorders>
                    <w:top w:val="single" w:color="auto" w:sz="6" w:space="0"/>
                    <w:left w:val="single" w:color="auto" w:sz="6" w:space="0"/>
                    <w:bottom w:val="single" w:color="auto" w:sz="6" w:space="0"/>
                    <w:right w:val="single" w:color="auto" w:sz="6" w:space="0"/>
                  </w:tcBorders>
                  <w:vAlign w:val="center"/>
                </w:tcPr>
                <w:p>
                  <w:pPr>
                    <w:pStyle w:val="52"/>
                    <w:spacing w:line="320" w:lineRule="exact"/>
                  </w:pPr>
                </w:p>
              </w:tc>
              <w:tc>
                <w:tcPr>
                  <w:tcW w:w="2886"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pPr>
                  <w:r>
                    <w:t>第七十八条产生危险废物的单位，应当按照国家有关规定制定危险废物管理计划；建立危险废物管理台账，如实记录有关信息，并通过国家危险废物信息管理系统向所在地生态环境主管部门申报危险废物的种类、产生量、流向、贮存、处置等有关资料。</w:t>
                  </w:r>
                </w:p>
              </w:tc>
              <w:tc>
                <w:tcPr>
                  <w:tcW w:w="1100"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pPr>
                  <w:r>
                    <w:t>项目危险废物委托有资质的单位清运处置，投产前应签订危废处置协议。按要求建立危险废物管理台账。</w:t>
                  </w:r>
                </w:p>
              </w:tc>
              <w:tc>
                <w:tcPr>
                  <w:tcW w:w="466"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48" w:type="pct"/>
                  <w:vMerge w:val="continue"/>
                  <w:tcBorders>
                    <w:top w:val="single" w:color="auto" w:sz="6" w:space="0"/>
                    <w:left w:val="single" w:color="auto" w:sz="6" w:space="0"/>
                    <w:bottom w:val="single" w:color="auto" w:sz="6" w:space="0"/>
                    <w:right w:val="single" w:color="auto" w:sz="6" w:space="0"/>
                  </w:tcBorders>
                  <w:vAlign w:val="center"/>
                </w:tcPr>
                <w:p>
                  <w:pPr>
                    <w:pStyle w:val="52"/>
                    <w:spacing w:line="320" w:lineRule="exact"/>
                  </w:pPr>
                </w:p>
              </w:tc>
              <w:tc>
                <w:tcPr>
                  <w:tcW w:w="2886"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pPr>
                  <w:r>
                    <w:t>第七十九条产生危险废物的单位，应当按照国家有关规定和环境保护标准要求贮存、利用、处置危险废物，不得擅自倾倒、堆放。禁止将危险废物提供或者委托给无许可证的单位或者其他生产经营者从事收集、贮存、利用、处置活动。</w:t>
                  </w:r>
                </w:p>
              </w:tc>
              <w:tc>
                <w:tcPr>
                  <w:tcW w:w="1100"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jc w:val="both"/>
                  </w:pPr>
                  <w:r>
                    <w:t>项目危险废物委托有资质的单位清运处置，投产前签订危废处置协议。</w:t>
                  </w:r>
                </w:p>
              </w:tc>
              <w:tc>
                <w:tcPr>
                  <w:tcW w:w="466" w:type="pct"/>
                  <w:tcBorders>
                    <w:top w:val="single" w:color="auto" w:sz="6" w:space="0"/>
                    <w:left w:val="single" w:color="auto" w:sz="6" w:space="0"/>
                    <w:bottom w:val="single" w:color="auto" w:sz="6" w:space="0"/>
                    <w:right w:val="single" w:color="auto" w:sz="6" w:space="0"/>
                  </w:tcBorders>
                  <w:vAlign w:val="center"/>
                </w:tcPr>
                <w:p>
                  <w:pPr>
                    <w:pStyle w:val="52"/>
                    <w:spacing w:line="320" w:lineRule="exact"/>
                  </w:pPr>
                  <w:r>
                    <w:t>符合</w:t>
                  </w:r>
                </w:p>
              </w:tc>
            </w:tr>
          </w:tbl>
          <w:p>
            <w:pPr>
              <w:pStyle w:val="82"/>
            </w:pPr>
          </w:p>
        </w:tc>
      </w:tr>
    </w:tbl>
    <w:p>
      <w:pPr>
        <w:pStyle w:val="82"/>
        <w:rPr>
          <w:snapToGrid w:val="0"/>
        </w:rPr>
        <w:sectPr>
          <w:pgSz w:w="11906" w:h="16838"/>
          <w:pgMar w:top="1701" w:right="1531" w:bottom="1701" w:left="1531" w:header="851" w:footer="851" w:gutter="0"/>
          <w:cols w:space="720" w:num="1"/>
          <w:docGrid w:linePitch="312" w:charSpace="0"/>
        </w:sectPr>
      </w:pPr>
    </w:p>
    <w:p>
      <w:pPr>
        <w:pStyle w:val="20"/>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二、建设项目工程分析</w:t>
      </w: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57"/>
        <w:gridCol w:w="846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16" w:hRule="atLeast"/>
          <w:jc w:val="center"/>
        </w:trPr>
        <w:tc>
          <w:tcPr>
            <w:tcW w:w="557" w:type="dxa"/>
            <w:vAlign w:val="center"/>
          </w:tcPr>
          <w:p>
            <w:pPr>
              <w:pStyle w:val="2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建设内容</w:t>
            </w:r>
          </w:p>
        </w:tc>
        <w:tc>
          <w:tcPr>
            <w:tcW w:w="8267" w:type="dxa"/>
          </w:tcPr>
          <w:p>
            <w:pPr>
              <w:pStyle w:val="82"/>
              <w:ind w:firstLine="482"/>
              <w:rPr>
                <w:b/>
                <w:bCs/>
              </w:rPr>
            </w:pPr>
            <w:r>
              <w:rPr>
                <w:rFonts w:hint="eastAsia"/>
                <w:b/>
                <w:bCs/>
              </w:rPr>
              <w:t>1、项目由来</w:t>
            </w:r>
          </w:p>
          <w:p>
            <w:pPr>
              <w:pStyle w:val="82"/>
            </w:pPr>
            <w:r>
              <w:rPr>
                <w:rFonts w:hint="eastAsia"/>
              </w:rPr>
              <w:t>重庆聚合顺新材料有限公司拟投资</w:t>
            </w:r>
            <w:r>
              <w:t>1000</w:t>
            </w:r>
            <w:r>
              <w:rPr>
                <w:rFonts w:hint="eastAsia"/>
              </w:rPr>
              <w:t>万元于重庆市铜梁区龙山大道2</w:t>
            </w:r>
            <w:r>
              <w:t>0</w:t>
            </w:r>
            <w:r>
              <w:rPr>
                <w:rFonts w:hint="eastAsia"/>
              </w:rPr>
              <w:t>号租赁厂房进行建设“</w:t>
            </w:r>
            <w:bookmarkStart w:id="2" w:name="_Hlk140154108"/>
            <w:r>
              <w:rPr>
                <w:rFonts w:hint="eastAsia"/>
              </w:rPr>
              <w:t>重庆聚合顺新材料有限公司新建高分子材料生产项目</w:t>
            </w:r>
            <w:bookmarkEnd w:id="2"/>
            <w:r>
              <w:rPr>
                <w:rFonts w:hint="eastAsia"/>
              </w:rPr>
              <w:t>”（以下简称“拟建项目”）。项目已取得重庆市铜梁区发展和改革委员会下达的备案证（备案编码：</w:t>
            </w:r>
            <w:r>
              <w:t>2304-500151-04-01-829893</w:t>
            </w:r>
            <w:r>
              <w:rPr>
                <w:rFonts w:hint="eastAsia"/>
              </w:rPr>
              <w:t>）。备案内容：租赁厂房2600平方米，其中，车间面积2000平方米，办公面积600平方米。项目建成后，年产高分子材料</w:t>
            </w:r>
            <w:r>
              <w:t>2000</w:t>
            </w:r>
            <w:r>
              <w:rPr>
                <w:rFonts w:hint="eastAsia"/>
              </w:rPr>
              <w:t>吨，年销售收入</w:t>
            </w:r>
            <w:r>
              <w:t>2</w:t>
            </w:r>
            <w:r>
              <w:rPr>
                <w:rFonts w:hint="eastAsia"/>
              </w:rPr>
              <w:t>千万元。主要生产设备有双螺杆挤出机、切粒机等。</w:t>
            </w:r>
          </w:p>
          <w:p>
            <w:pPr>
              <w:pStyle w:val="82"/>
            </w:pPr>
            <w:r>
              <w:rPr>
                <w:rFonts w:hint="eastAsia"/>
              </w:rPr>
              <w:t>根据《中华人民共和国环境影响评价法》和《建设项目环境保护管理条例》等有关环保法律法规和条例的规定，本项目应进行环境影响评价。对照《建设项目环境影响评价分类管理名录》（2021年版），项目应属于“二十六、橡胶和塑料制品业29”中的“53</w:t>
            </w:r>
            <w:r>
              <w:t>.</w:t>
            </w:r>
            <w:r>
              <w:rPr>
                <w:rFonts w:hint="eastAsia"/>
              </w:rPr>
              <w:t>塑料制品业292</w:t>
            </w:r>
            <w:r>
              <w:t>-</w:t>
            </w:r>
            <w:r>
              <w:rPr>
                <w:rFonts w:hint="eastAsia"/>
              </w:rPr>
              <w:t>其他（年用非溶剂型低VOCs含量涂料10吨以下的除外）”类别，故本项目需编制环境影响报告表。接受重庆聚合顺新材料有限公司委托后，我单位组织有关技术人员赴现场进行勘察，在认真调查和广泛收集资料的基础上，依据环境影响评价技术导则和业主提供的项目相关资料，编制完成了《重庆聚合顺新材料有限公司新建高分子材料生产项目环境影响报告表》，并由建设单位报请环保主管部门审查。通过审批后的报告表及其批复文件将成为指导本项目建设和环境管理的重要依据。</w:t>
            </w:r>
          </w:p>
          <w:p>
            <w:pPr>
              <w:pStyle w:val="82"/>
              <w:ind w:firstLine="482"/>
              <w:rPr>
                <w:b/>
                <w:bCs/>
              </w:rPr>
            </w:pPr>
            <w:r>
              <w:rPr>
                <w:rFonts w:hint="eastAsia"/>
                <w:b/>
                <w:bCs/>
              </w:rPr>
              <w:t>2、项目基本情况</w:t>
            </w:r>
          </w:p>
          <w:p>
            <w:pPr>
              <w:pStyle w:val="82"/>
            </w:pPr>
            <w:r>
              <w:rPr>
                <w:rFonts w:hint="eastAsia"/>
              </w:rPr>
              <w:t>项目名称：重庆聚合顺新材料有限公司新建高分子材料生产项目</w:t>
            </w:r>
          </w:p>
          <w:p>
            <w:pPr>
              <w:pStyle w:val="82"/>
            </w:pPr>
            <w:r>
              <w:rPr>
                <w:rFonts w:hint="eastAsia"/>
              </w:rPr>
              <w:t>建设单位：重庆聚合顺新材料有限公司</w:t>
            </w:r>
          </w:p>
          <w:p>
            <w:pPr>
              <w:pStyle w:val="82"/>
            </w:pPr>
            <w:r>
              <w:rPr>
                <w:rFonts w:hint="eastAsia"/>
              </w:rPr>
              <w:t>项目投资：</w:t>
            </w:r>
            <w:r>
              <w:t>1</w:t>
            </w:r>
            <w:r>
              <w:rPr>
                <w:rFonts w:hint="eastAsia"/>
              </w:rPr>
              <w:t>000万元</w:t>
            </w:r>
          </w:p>
          <w:p>
            <w:pPr>
              <w:pStyle w:val="82"/>
            </w:pPr>
            <w:r>
              <w:rPr>
                <w:rFonts w:hint="eastAsia"/>
              </w:rPr>
              <w:t>建设性质：新建</w:t>
            </w:r>
          </w:p>
          <w:p>
            <w:pPr>
              <w:pStyle w:val="82"/>
            </w:pPr>
            <w:r>
              <w:rPr>
                <w:rFonts w:hint="eastAsia"/>
              </w:rPr>
              <w:t>建设地点：重庆市铜梁区龙山大道2</w:t>
            </w:r>
            <w:r>
              <w:t>0</w:t>
            </w:r>
            <w:r>
              <w:rPr>
                <w:rFonts w:hint="eastAsia"/>
              </w:rPr>
              <w:t>号（重庆市铜梁高新区蒲吕片区）</w:t>
            </w:r>
          </w:p>
          <w:p>
            <w:pPr>
              <w:pStyle w:val="82"/>
            </w:pPr>
            <w:r>
              <w:rPr>
                <w:rFonts w:hint="eastAsia"/>
              </w:rPr>
              <w:t>建设工期：</w:t>
            </w:r>
            <w:r>
              <w:t>4</w:t>
            </w:r>
            <w:r>
              <w:rPr>
                <w:rFonts w:hint="eastAsia"/>
              </w:rPr>
              <w:t>个月</w:t>
            </w:r>
          </w:p>
          <w:p>
            <w:pPr>
              <w:pStyle w:val="82"/>
            </w:pPr>
            <w:r>
              <w:rPr>
                <w:rFonts w:hint="eastAsia"/>
              </w:rPr>
              <w:t>工程概况：项目总建筑面积约</w:t>
            </w:r>
            <w:r>
              <w:t>2600</w:t>
            </w:r>
            <w:r>
              <w:rPr>
                <w:rFonts w:hint="eastAsia"/>
              </w:rPr>
              <w:t>平方米，办公区域占6</w:t>
            </w:r>
            <w:r>
              <w:t>00</w:t>
            </w:r>
            <w:r>
              <w:rPr>
                <w:rFonts w:hint="eastAsia"/>
              </w:rPr>
              <w:t>m</w:t>
            </w:r>
            <w:r>
              <w:rPr>
                <w:vertAlign w:val="superscript"/>
              </w:rPr>
              <w:t>2</w:t>
            </w:r>
            <w:r>
              <w:rPr>
                <w:rFonts w:hint="eastAsia"/>
              </w:rPr>
              <w:t>，生产区域占2</w:t>
            </w:r>
            <w:r>
              <w:t>000</w:t>
            </w:r>
            <w:r>
              <w:rPr>
                <w:rFonts w:hint="eastAsia"/>
              </w:rPr>
              <w:t>m</w:t>
            </w:r>
            <w:r>
              <w:rPr>
                <w:vertAlign w:val="superscript"/>
              </w:rPr>
              <w:t>2</w:t>
            </w:r>
            <w:r>
              <w:rPr>
                <w:rFonts w:hint="eastAsia"/>
              </w:rPr>
              <w:t>。租用重庆绅鹏商业运营管理有限公司（以下简称“绅鹏公司”）</w:t>
            </w:r>
            <w:r>
              <w:t>位于重庆市铜梁区</w:t>
            </w:r>
            <w:r>
              <w:rPr>
                <w:rFonts w:hint="eastAsia"/>
              </w:rPr>
              <w:t>龙山大道</w:t>
            </w:r>
            <w:r>
              <w:t>20号</w:t>
            </w:r>
            <w:r>
              <w:rPr>
                <w:rFonts w:hint="eastAsia"/>
              </w:rPr>
              <w:t>的</w:t>
            </w:r>
            <w:r>
              <w:t>已建</w:t>
            </w:r>
            <w:r>
              <w:rPr>
                <w:rFonts w:hint="eastAsia"/>
              </w:rPr>
              <w:t>B型</w:t>
            </w:r>
            <w:r>
              <w:t>厂房</w:t>
            </w:r>
            <w:r>
              <w:rPr>
                <w:rFonts w:hint="eastAsia"/>
              </w:rPr>
              <w:t>3栋（B</w:t>
            </w:r>
            <w:r>
              <w:t>-3</w:t>
            </w:r>
            <w:r>
              <w:rPr>
                <w:rFonts w:hint="eastAsia"/>
              </w:rPr>
              <w:t>）及配套办公楼</w:t>
            </w:r>
            <w:r>
              <w:t>进行建设</w:t>
            </w:r>
            <w:r>
              <w:rPr>
                <w:rFonts w:hint="eastAsia"/>
              </w:rPr>
              <w:t>，其中生产厂房共2层，本项目仅租用第1层，办公楼为3层，本项目仅租用第1层部分区域和第</w:t>
            </w:r>
            <w:r>
              <w:t>2</w:t>
            </w:r>
            <w:r>
              <w:rPr>
                <w:rFonts w:hint="eastAsia"/>
              </w:rPr>
              <w:t>层整层。购入双螺杆挤出机、搅拌机、切粒机等设备，建设一套功能母粒生产线。项目建成后形成年产</w:t>
            </w:r>
            <w:r>
              <w:t>2000</w:t>
            </w:r>
            <w:r>
              <w:rPr>
                <w:rFonts w:hint="eastAsia"/>
              </w:rPr>
              <w:t>吨高分子材料产能。</w:t>
            </w:r>
          </w:p>
          <w:p>
            <w:pPr>
              <w:pStyle w:val="82"/>
            </w:pPr>
            <w:r>
              <w:rPr>
                <w:rFonts w:hint="eastAsia"/>
              </w:rPr>
              <w:t>劳动定员：</w:t>
            </w:r>
            <w:r>
              <w:t>22</w:t>
            </w:r>
            <w:r>
              <w:rPr>
                <w:rFonts w:hint="eastAsia"/>
              </w:rPr>
              <w:t>人，其中管理人员</w:t>
            </w:r>
            <w:r>
              <w:t>8</w:t>
            </w:r>
            <w:r>
              <w:rPr>
                <w:rFonts w:hint="eastAsia"/>
              </w:rPr>
              <w:t>人，生产人员</w:t>
            </w:r>
            <w:r>
              <w:t>14</w:t>
            </w:r>
            <w:r>
              <w:rPr>
                <w:rFonts w:hint="eastAsia"/>
              </w:rPr>
              <w:t>人，不设食宿。</w:t>
            </w:r>
          </w:p>
          <w:p>
            <w:pPr>
              <w:pStyle w:val="82"/>
            </w:pPr>
            <w:r>
              <w:rPr>
                <w:rFonts w:hint="eastAsia"/>
              </w:rPr>
              <w:t>工作制度：年工作日为300天，实行白班</w:t>
            </w:r>
            <w:r>
              <w:t>1</w:t>
            </w:r>
            <w:r>
              <w:rPr>
                <w:rFonts w:hint="eastAsia"/>
              </w:rPr>
              <w:t>班制，</w:t>
            </w:r>
            <w:r>
              <w:t>10</w:t>
            </w:r>
            <w:r>
              <w:rPr>
                <w:rFonts w:hint="eastAsia"/>
              </w:rPr>
              <w:t>h/班。</w:t>
            </w:r>
          </w:p>
          <w:p>
            <w:pPr>
              <w:pStyle w:val="82"/>
              <w:ind w:firstLine="482"/>
              <w:rPr>
                <w:b/>
                <w:bCs/>
              </w:rPr>
            </w:pPr>
            <w:r>
              <w:rPr>
                <w:rFonts w:hint="eastAsia"/>
                <w:b/>
                <w:bCs/>
              </w:rPr>
              <w:t>3、项目产品方案</w:t>
            </w:r>
          </w:p>
          <w:p>
            <w:pPr>
              <w:pStyle w:val="83"/>
            </w:pPr>
            <w:r>
              <w:rPr>
                <w:rFonts w:hint="eastAsia"/>
              </w:rPr>
              <w:t>表2</w:t>
            </w:r>
            <w:r>
              <w:t xml:space="preserve">-1  </w:t>
            </w:r>
            <w:r>
              <w:rPr>
                <w:rFonts w:hint="eastAsia"/>
              </w:rPr>
              <w:t>产品方案一览表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0"/>
              <w:gridCol w:w="684"/>
              <w:gridCol w:w="981"/>
              <w:gridCol w:w="1379"/>
              <w:gridCol w:w="1261"/>
              <w:gridCol w:w="2037"/>
              <w:gridCol w:w="14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 w:type="pct"/>
                  <w:vAlign w:val="center"/>
                </w:tcPr>
                <w:p>
                  <w:pPr>
                    <w:pStyle w:val="93"/>
                    <w:rPr>
                      <w:b/>
                      <w:bCs/>
                      <w:sz w:val="21"/>
                    </w:rPr>
                  </w:pPr>
                  <w:r>
                    <w:rPr>
                      <w:rFonts w:hint="eastAsia"/>
                      <w:b/>
                      <w:bCs/>
                      <w:sz w:val="21"/>
                    </w:rPr>
                    <w:t>序号</w:t>
                  </w:r>
                </w:p>
              </w:tc>
              <w:tc>
                <w:tcPr>
                  <w:tcW w:w="415" w:type="pct"/>
                  <w:vAlign w:val="center"/>
                </w:tcPr>
                <w:p>
                  <w:pPr>
                    <w:pStyle w:val="93"/>
                    <w:rPr>
                      <w:b/>
                      <w:bCs/>
                      <w:sz w:val="21"/>
                    </w:rPr>
                  </w:pPr>
                  <w:r>
                    <w:rPr>
                      <w:b/>
                      <w:bCs/>
                      <w:sz w:val="21"/>
                    </w:rPr>
                    <w:t>产品名称</w:t>
                  </w:r>
                </w:p>
              </w:tc>
              <w:tc>
                <w:tcPr>
                  <w:tcW w:w="595" w:type="pct"/>
                  <w:vAlign w:val="center"/>
                </w:tcPr>
                <w:p>
                  <w:pPr>
                    <w:pStyle w:val="93"/>
                    <w:rPr>
                      <w:b/>
                      <w:bCs/>
                      <w:sz w:val="21"/>
                    </w:rPr>
                  </w:pPr>
                  <w:r>
                    <w:rPr>
                      <w:rFonts w:hint="eastAsia"/>
                      <w:b/>
                      <w:bCs/>
                      <w:sz w:val="21"/>
                    </w:rPr>
                    <w:t>年</w:t>
                  </w:r>
                  <w:r>
                    <w:rPr>
                      <w:b/>
                      <w:bCs/>
                      <w:sz w:val="21"/>
                    </w:rPr>
                    <w:t>产量</w:t>
                  </w:r>
                </w:p>
              </w:tc>
              <w:tc>
                <w:tcPr>
                  <w:tcW w:w="836" w:type="pct"/>
                  <w:vAlign w:val="center"/>
                </w:tcPr>
                <w:p>
                  <w:pPr>
                    <w:pStyle w:val="93"/>
                    <w:rPr>
                      <w:b/>
                      <w:bCs/>
                      <w:sz w:val="21"/>
                    </w:rPr>
                  </w:pPr>
                  <w:r>
                    <w:rPr>
                      <w:rFonts w:hint="eastAsia"/>
                      <w:b/>
                      <w:bCs/>
                      <w:sz w:val="21"/>
                    </w:rPr>
                    <w:t>产品</w:t>
                  </w:r>
                  <w:r>
                    <w:rPr>
                      <w:b/>
                      <w:bCs/>
                      <w:sz w:val="21"/>
                    </w:rPr>
                    <w:t>规格</w:t>
                  </w:r>
                </w:p>
                <w:p>
                  <w:pPr>
                    <w:pStyle w:val="93"/>
                    <w:rPr>
                      <w:b/>
                      <w:bCs/>
                      <w:sz w:val="21"/>
                    </w:rPr>
                  </w:pPr>
                  <w:r>
                    <w:rPr>
                      <w:rFonts w:hint="eastAsia"/>
                      <w:b/>
                      <w:bCs/>
                      <w:sz w:val="21"/>
                    </w:rPr>
                    <w:t>（mm）</w:t>
                  </w:r>
                </w:p>
              </w:tc>
              <w:tc>
                <w:tcPr>
                  <w:tcW w:w="765" w:type="pct"/>
                  <w:vAlign w:val="center"/>
                </w:tcPr>
                <w:p>
                  <w:pPr>
                    <w:pStyle w:val="93"/>
                    <w:rPr>
                      <w:b/>
                      <w:bCs/>
                    </w:rPr>
                  </w:pPr>
                  <w:r>
                    <w:rPr>
                      <w:rFonts w:hint="eastAsia"/>
                      <w:b/>
                      <w:bCs/>
                    </w:rPr>
                    <w:t>包装规格</w:t>
                  </w:r>
                </w:p>
              </w:tc>
              <w:tc>
                <w:tcPr>
                  <w:tcW w:w="1235" w:type="pct"/>
                  <w:vAlign w:val="center"/>
                </w:tcPr>
                <w:p>
                  <w:pPr>
                    <w:pStyle w:val="93"/>
                    <w:rPr>
                      <w:b/>
                      <w:bCs/>
                    </w:rPr>
                  </w:pPr>
                  <w:r>
                    <w:rPr>
                      <w:rFonts w:hint="eastAsia"/>
                      <w:b/>
                      <w:bCs/>
                    </w:rPr>
                    <w:t>产品用途/去向</w:t>
                  </w:r>
                </w:p>
              </w:tc>
              <w:tc>
                <w:tcPr>
                  <w:tcW w:w="892" w:type="pct"/>
                  <w:vAlign w:val="center"/>
                </w:tcPr>
                <w:p>
                  <w:pPr>
                    <w:pStyle w:val="93"/>
                    <w:rPr>
                      <w:b/>
                      <w:bCs/>
                      <w:sz w:val="21"/>
                    </w:rPr>
                  </w:pPr>
                  <w:r>
                    <w:rPr>
                      <w:rFonts w:hint="eastAsia"/>
                      <w:b/>
                      <w:bCs/>
                      <w:sz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261" w:type="pct"/>
                  <w:vAlign w:val="center"/>
                </w:tcPr>
                <w:p>
                  <w:pPr>
                    <w:pStyle w:val="93"/>
                    <w:rPr>
                      <w:sz w:val="21"/>
                    </w:rPr>
                  </w:pPr>
                  <w:r>
                    <w:rPr>
                      <w:rFonts w:hint="eastAsia"/>
                      <w:sz w:val="21"/>
                    </w:rPr>
                    <w:t>1</w:t>
                  </w:r>
                </w:p>
              </w:tc>
              <w:tc>
                <w:tcPr>
                  <w:tcW w:w="415" w:type="pct"/>
                  <w:vAlign w:val="center"/>
                </w:tcPr>
                <w:p>
                  <w:pPr>
                    <w:pStyle w:val="93"/>
                    <w:rPr>
                      <w:sz w:val="21"/>
                    </w:rPr>
                  </w:pPr>
                  <w:r>
                    <w:rPr>
                      <w:rFonts w:hint="eastAsia"/>
                      <w:sz w:val="21"/>
                    </w:rPr>
                    <w:t>功能母粒</w:t>
                  </w:r>
                </w:p>
              </w:tc>
              <w:tc>
                <w:tcPr>
                  <w:tcW w:w="595" w:type="pct"/>
                  <w:vAlign w:val="center"/>
                </w:tcPr>
                <w:p>
                  <w:pPr>
                    <w:pStyle w:val="93"/>
                    <w:rPr>
                      <w:sz w:val="21"/>
                    </w:rPr>
                  </w:pPr>
                  <w:r>
                    <w:rPr>
                      <w:sz w:val="21"/>
                    </w:rPr>
                    <w:t>2000</w:t>
                  </w:r>
                  <w:r>
                    <w:rPr>
                      <w:rFonts w:hint="eastAsia"/>
                      <w:sz w:val="21"/>
                    </w:rPr>
                    <w:t>吨</w:t>
                  </w:r>
                </w:p>
              </w:tc>
              <w:tc>
                <w:tcPr>
                  <w:tcW w:w="836" w:type="pct"/>
                  <w:vAlign w:val="center"/>
                </w:tcPr>
                <w:p>
                  <w:pPr>
                    <w:pStyle w:val="93"/>
                    <w:rPr>
                      <w:sz w:val="21"/>
                    </w:rPr>
                  </w:pPr>
                  <w:r>
                    <w:rPr>
                      <w:rFonts w:hint="eastAsia"/>
                      <w:sz w:val="21"/>
                    </w:rPr>
                    <w:t>粒径</w:t>
                  </w:r>
                  <w:r>
                    <w:rPr>
                      <w:sz w:val="21"/>
                    </w:rPr>
                    <w:t>5-8</w:t>
                  </w:r>
                </w:p>
              </w:tc>
              <w:tc>
                <w:tcPr>
                  <w:tcW w:w="765" w:type="pct"/>
                  <w:vAlign w:val="center"/>
                </w:tcPr>
                <w:p>
                  <w:pPr>
                    <w:pStyle w:val="93"/>
                    <w:rPr>
                      <w:sz w:val="21"/>
                    </w:rPr>
                  </w:pPr>
                  <w:r>
                    <w:rPr>
                      <w:rFonts w:hint="eastAsia"/>
                      <w:sz w:val="21"/>
                    </w:rPr>
                    <w:t>2</w:t>
                  </w:r>
                  <w:r>
                    <w:rPr>
                      <w:sz w:val="21"/>
                    </w:rPr>
                    <w:t>5</w:t>
                  </w:r>
                  <w:r>
                    <w:rPr>
                      <w:rFonts w:hint="eastAsia"/>
                      <w:sz w:val="21"/>
                    </w:rPr>
                    <w:t>kg</w:t>
                  </w:r>
                  <w:r>
                    <w:rPr>
                      <w:sz w:val="21"/>
                    </w:rPr>
                    <w:t>/</w:t>
                  </w:r>
                  <w:r>
                    <w:rPr>
                      <w:rFonts w:hint="eastAsia"/>
                      <w:sz w:val="21"/>
                    </w:rPr>
                    <w:t>袋</w:t>
                  </w:r>
                </w:p>
              </w:tc>
              <w:tc>
                <w:tcPr>
                  <w:tcW w:w="1235" w:type="pct"/>
                  <w:vAlign w:val="center"/>
                </w:tcPr>
                <w:p>
                  <w:pPr>
                    <w:pStyle w:val="93"/>
                    <w:rPr>
                      <w:sz w:val="21"/>
                    </w:rPr>
                  </w:pPr>
                  <w:r>
                    <w:rPr>
                      <w:rFonts w:hint="eastAsia"/>
                      <w:sz w:val="21"/>
                    </w:rPr>
                    <w:t>作为原料用于塑料制品的注塑生产</w:t>
                  </w:r>
                </w:p>
              </w:tc>
              <w:tc>
                <w:tcPr>
                  <w:tcW w:w="892" w:type="pct"/>
                  <w:vAlign w:val="center"/>
                </w:tcPr>
                <w:p>
                  <w:pPr>
                    <w:pStyle w:val="93"/>
                    <w:rPr>
                      <w:sz w:val="21"/>
                    </w:rPr>
                  </w:pPr>
                  <w:r>
                    <w:rPr>
                      <w:rFonts w:hint="eastAsia"/>
                      <w:sz w:val="21"/>
                    </w:rPr>
                    <w:t>全部外售</w:t>
                  </w:r>
                </w:p>
              </w:tc>
            </w:tr>
          </w:tbl>
          <w:p>
            <w:pPr>
              <w:pStyle w:val="82"/>
              <w:ind w:firstLine="482"/>
              <w:rPr>
                <w:b/>
                <w:bCs/>
              </w:rPr>
            </w:pPr>
            <w:r>
              <w:rPr>
                <w:rFonts w:hint="eastAsia"/>
                <w:b/>
                <w:bCs/>
              </w:rPr>
              <w:t>4、项目建设内容</w:t>
            </w:r>
          </w:p>
          <w:p>
            <w:pPr>
              <w:pStyle w:val="82"/>
            </w:pPr>
            <w:r>
              <w:rPr>
                <w:rFonts w:hint="eastAsia"/>
              </w:rPr>
              <w:t>拟建项目由主体工程、辅助工程、储运工程、公用工程、环保工程等组成。拟建项目系租用“绅鹏公司”已建厂房实施建设，本项目内不设食宿。本项目项目组成表见下表2-2。</w:t>
            </w:r>
          </w:p>
          <w:p>
            <w:pPr>
              <w:pStyle w:val="83"/>
            </w:pPr>
            <w:r>
              <w:rPr>
                <w:rFonts w:hint="eastAsia"/>
              </w:rPr>
              <w:t>表2-2</w:t>
            </w:r>
            <w:r>
              <w:t xml:space="preserve">  </w:t>
            </w:r>
            <w:r>
              <w:rPr>
                <w:rFonts w:hint="eastAsia"/>
              </w:rPr>
              <w:t>项目组成一览表</w:t>
            </w:r>
          </w:p>
          <w:tbl>
            <w:tblPr>
              <w:tblStyle w:val="24"/>
              <w:tblW w:w="48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0"/>
              <w:gridCol w:w="727"/>
              <w:gridCol w:w="701"/>
              <w:gridCol w:w="5267"/>
              <w:gridCol w:w="6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7" w:hRule="atLeast"/>
                <w:jc w:val="center"/>
              </w:trPr>
              <w:tc>
                <w:tcPr>
                  <w:tcW w:w="459" w:type="pct"/>
                  <w:vAlign w:val="center"/>
                </w:tcPr>
                <w:p>
                  <w:pPr>
                    <w:pStyle w:val="52"/>
                    <w:rPr>
                      <w:b/>
                      <w:bCs/>
                    </w:rPr>
                  </w:pPr>
                  <w:bookmarkStart w:id="3" w:name="_Toc18251442"/>
                  <w:bookmarkStart w:id="4" w:name="_Toc61442677"/>
                  <w:r>
                    <w:rPr>
                      <w:b/>
                      <w:bCs/>
                    </w:rPr>
                    <w:t>项目分类</w:t>
                  </w:r>
                </w:p>
              </w:tc>
              <w:tc>
                <w:tcPr>
                  <w:tcW w:w="4145" w:type="pct"/>
                  <w:gridSpan w:val="3"/>
                  <w:vAlign w:val="center"/>
                </w:tcPr>
                <w:p>
                  <w:pPr>
                    <w:pStyle w:val="52"/>
                    <w:rPr>
                      <w:b/>
                      <w:bCs/>
                    </w:rPr>
                  </w:pPr>
                  <w:r>
                    <w:rPr>
                      <w:rFonts w:hint="eastAsia"/>
                      <w:b/>
                      <w:bCs/>
                    </w:rPr>
                    <w:t>建设内容及规模</w:t>
                  </w:r>
                </w:p>
              </w:tc>
              <w:tc>
                <w:tcPr>
                  <w:tcW w:w="396" w:type="pct"/>
                  <w:vAlign w:val="center"/>
                </w:tcPr>
                <w:p>
                  <w:pPr>
                    <w:pStyle w:val="52"/>
                    <w:rPr>
                      <w:b/>
                      <w:bCs/>
                    </w:rPr>
                  </w:pPr>
                  <w:r>
                    <w:rPr>
                      <w:b/>
                      <w:bCs/>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59" w:type="pct"/>
                  <w:vAlign w:val="center"/>
                </w:tcPr>
                <w:p>
                  <w:pPr>
                    <w:pStyle w:val="52"/>
                  </w:pPr>
                  <w:r>
                    <w:rPr>
                      <w:rFonts w:hint="eastAsia"/>
                    </w:rPr>
                    <w:t>主体工程</w:t>
                  </w:r>
                </w:p>
              </w:tc>
              <w:tc>
                <w:tcPr>
                  <w:tcW w:w="884" w:type="pct"/>
                  <w:gridSpan w:val="2"/>
                  <w:vAlign w:val="center"/>
                </w:tcPr>
                <w:p>
                  <w:pPr>
                    <w:pStyle w:val="52"/>
                  </w:pPr>
                  <w:r>
                    <w:rPr>
                      <w:rFonts w:hint="eastAsia"/>
                    </w:rPr>
                    <w:t>主生产区</w:t>
                  </w:r>
                </w:p>
              </w:tc>
              <w:tc>
                <w:tcPr>
                  <w:tcW w:w="3261" w:type="pct"/>
                  <w:vAlign w:val="center"/>
                </w:tcPr>
                <w:p>
                  <w:pPr>
                    <w:pStyle w:val="52"/>
                    <w:jc w:val="both"/>
                  </w:pPr>
                  <w:r>
                    <w:rPr>
                      <w:rFonts w:hint="eastAsia"/>
                    </w:rPr>
                    <w:t>位于厂房内中部北侧，面积约1</w:t>
                  </w:r>
                  <w:r>
                    <w:t>50</w:t>
                  </w:r>
                  <w:r>
                    <w:rPr>
                      <w:rFonts w:hint="eastAsia"/>
                    </w:rPr>
                    <w:t>m</w:t>
                  </w:r>
                  <w:r>
                    <w:rPr>
                      <w:vertAlign w:val="superscript"/>
                    </w:rPr>
                    <w:t>2</w:t>
                  </w:r>
                  <w:r>
                    <w:rPr>
                      <w:rFonts w:hint="eastAsia"/>
                    </w:rPr>
                    <w:t>，主要设置有搅拌机、挤出机和切粒机，用于产品功能母粒的生产。</w:t>
                  </w:r>
                </w:p>
              </w:tc>
              <w:tc>
                <w:tcPr>
                  <w:tcW w:w="396" w:type="pct"/>
                  <w:vAlign w:val="center"/>
                </w:tcPr>
                <w:p>
                  <w:pPr>
                    <w:pStyle w:val="52"/>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59" w:type="pct"/>
                  <w:vMerge w:val="restart"/>
                  <w:vAlign w:val="center"/>
                </w:tcPr>
                <w:p>
                  <w:pPr>
                    <w:pStyle w:val="52"/>
                  </w:pPr>
                  <w:r>
                    <w:t>储运</w:t>
                  </w:r>
                </w:p>
                <w:p>
                  <w:pPr>
                    <w:pStyle w:val="52"/>
                  </w:pPr>
                  <w:r>
                    <w:t>工程</w:t>
                  </w:r>
                </w:p>
              </w:tc>
              <w:tc>
                <w:tcPr>
                  <w:tcW w:w="884" w:type="pct"/>
                  <w:gridSpan w:val="2"/>
                  <w:vAlign w:val="center"/>
                </w:tcPr>
                <w:p>
                  <w:pPr>
                    <w:pStyle w:val="52"/>
                  </w:pPr>
                  <w:r>
                    <w:rPr>
                      <w:rFonts w:hint="eastAsia"/>
                    </w:rPr>
                    <w:t>产品存放区</w:t>
                  </w:r>
                </w:p>
              </w:tc>
              <w:tc>
                <w:tcPr>
                  <w:tcW w:w="3261" w:type="pct"/>
                  <w:vAlign w:val="center"/>
                </w:tcPr>
                <w:p>
                  <w:pPr>
                    <w:pStyle w:val="52"/>
                    <w:jc w:val="both"/>
                  </w:pPr>
                  <w:r>
                    <w:rPr>
                      <w:rFonts w:hint="eastAsia"/>
                    </w:rPr>
                    <w:t>位于厂房内中部西北侧，用于成品的堆放暂存，面积约2</w:t>
                  </w:r>
                  <w:r>
                    <w:t>50</w:t>
                  </w:r>
                  <w:r>
                    <w:rPr>
                      <w:rFonts w:hint="eastAsia"/>
                    </w:rPr>
                    <w:t>m</w:t>
                  </w:r>
                  <w:r>
                    <w:rPr>
                      <w:vertAlign w:val="superscript"/>
                    </w:rPr>
                    <w:t>2</w:t>
                  </w:r>
                  <w:r>
                    <w:rPr>
                      <w:rFonts w:hint="eastAsia"/>
                    </w:rPr>
                    <w:t>。</w:t>
                  </w:r>
                </w:p>
              </w:tc>
              <w:tc>
                <w:tcPr>
                  <w:tcW w:w="396" w:type="pct"/>
                  <w:vAlign w:val="center"/>
                </w:tcPr>
                <w:p>
                  <w:pPr>
                    <w:pStyle w:val="52"/>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59" w:type="pct"/>
                  <w:vMerge w:val="continue"/>
                  <w:vAlign w:val="center"/>
                </w:tcPr>
                <w:p>
                  <w:pPr>
                    <w:pStyle w:val="52"/>
                  </w:pPr>
                </w:p>
              </w:tc>
              <w:tc>
                <w:tcPr>
                  <w:tcW w:w="884" w:type="pct"/>
                  <w:gridSpan w:val="2"/>
                  <w:vAlign w:val="center"/>
                </w:tcPr>
                <w:p>
                  <w:pPr>
                    <w:pStyle w:val="52"/>
                  </w:pPr>
                  <w:r>
                    <w:rPr>
                      <w:rFonts w:hint="eastAsia"/>
                    </w:rPr>
                    <w:t>原材料存放区</w:t>
                  </w:r>
                </w:p>
              </w:tc>
              <w:tc>
                <w:tcPr>
                  <w:tcW w:w="3261" w:type="pct"/>
                  <w:vAlign w:val="center"/>
                </w:tcPr>
                <w:p>
                  <w:pPr>
                    <w:pStyle w:val="52"/>
                    <w:jc w:val="both"/>
                  </w:pPr>
                  <w:r>
                    <w:rPr>
                      <w:rFonts w:hint="eastAsia"/>
                    </w:rPr>
                    <w:t>位于厂房内中部西南侧，用于固态原辅材料的存放，面积约</w:t>
                  </w:r>
                  <w:r>
                    <w:t>400</w:t>
                  </w:r>
                  <w:r>
                    <w:rPr>
                      <w:rFonts w:hint="eastAsia"/>
                    </w:rPr>
                    <w:t>m</w:t>
                  </w:r>
                  <w:r>
                    <w:rPr>
                      <w:vertAlign w:val="superscript"/>
                    </w:rPr>
                    <w:t>2</w:t>
                  </w:r>
                  <w:r>
                    <w:rPr>
                      <w:rFonts w:hint="eastAsia"/>
                    </w:rPr>
                    <w:t>。</w:t>
                  </w:r>
                </w:p>
              </w:tc>
              <w:tc>
                <w:tcPr>
                  <w:tcW w:w="396" w:type="pct"/>
                  <w:vAlign w:val="center"/>
                </w:tcPr>
                <w:p>
                  <w:pPr>
                    <w:pStyle w:val="52"/>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59" w:type="pct"/>
                  <w:vMerge w:val="continue"/>
                  <w:vAlign w:val="center"/>
                </w:tcPr>
                <w:p>
                  <w:pPr>
                    <w:pStyle w:val="52"/>
                  </w:pPr>
                </w:p>
              </w:tc>
              <w:tc>
                <w:tcPr>
                  <w:tcW w:w="884" w:type="pct"/>
                  <w:gridSpan w:val="2"/>
                  <w:vAlign w:val="center"/>
                </w:tcPr>
                <w:p>
                  <w:pPr>
                    <w:pStyle w:val="52"/>
                  </w:pPr>
                  <w:r>
                    <w:rPr>
                      <w:rFonts w:hint="eastAsia"/>
                    </w:rPr>
                    <w:t>包装存放间</w:t>
                  </w:r>
                </w:p>
              </w:tc>
              <w:tc>
                <w:tcPr>
                  <w:tcW w:w="3261" w:type="pct"/>
                  <w:vAlign w:val="center"/>
                </w:tcPr>
                <w:p>
                  <w:pPr>
                    <w:pStyle w:val="52"/>
                    <w:jc w:val="both"/>
                  </w:pPr>
                  <w:r>
                    <w:rPr>
                      <w:rFonts w:hint="eastAsia"/>
                    </w:rPr>
                    <w:t>位于厂房内西侧中部，面积约</w:t>
                  </w:r>
                  <w:r>
                    <w:t>30</w:t>
                  </w:r>
                  <w:r>
                    <w:rPr>
                      <w:rFonts w:hint="eastAsia"/>
                    </w:rPr>
                    <w:t>m</w:t>
                  </w:r>
                  <w:r>
                    <w:rPr>
                      <w:vertAlign w:val="superscript"/>
                    </w:rPr>
                    <w:t>2</w:t>
                  </w:r>
                  <w:r>
                    <w:rPr>
                      <w:rFonts w:hint="eastAsia"/>
                    </w:rPr>
                    <w:t>，用于存放成品所需包装袋。</w:t>
                  </w:r>
                </w:p>
              </w:tc>
              <w:tc>
                <w:tcPr>
                  <w:tcW w:w="396" w:type="pct"/>
                  <w:vAlign w:val="center"/>
                </w:tcPr>
                <w:p>
                  <w:pPr>
                    <w:pStyle w:val="52"/>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59" w:type="pct"/>
                  <w:vMerge w:val="continue"/>
                  <w:vAlign w:val="center"/>
                </w:tcPr>
                <w:p>
                  <w:pPr>
                    <w:pStyle w:val="52"/>
                  </w:pPr>
                </w:p>
              </w:tc>
              <w:tc>
                <w:tcPr>
                  <w:tcW w:w="884" w:type="pct"/>
                  <w:gridSpan w:val="2"/>
                  <w:vAlign w:val="center"/>
                </w:tcPr>
                <w:p>
                  <w:pPr>
                    <w:pStyle w:val="52"/>
                  </w:pPr>
                  <w:r>
                    <w:rPr>
                      <w:rFonts w:hint="eastAsia"/>
                    </w:rPr>
                    <w:t>油料库房</w:t>
                  </w:r>
                </w:p>
              </w:tc>
              <w:tc>
                <w:tcPr>
                  <w:tcW w:w="3261" w:type="pct"/>
                  <w:vAlign w:val="center"/>
                </w:tcPr>
                <w:p>
                  <w:pPr>
                    <w:pStyle w:val="52"/>
                    <w:jc w:val="both"/>
                  </w:pPr>
                  <w:r>
                    <w:rPr>
                      <w:rFonts w:hint="eastAsia"/>
                    </w:rPr>
                    <w:t>位于厂房内西南角，面积约8</w:t>
                  </w:r>
                  <w:r>
                    <w:t>0</w:t>
                  </w:r>
                  <w:r>
                    <w:rPr>
                      <w:rFonts w:hint="eastAsia"/>
                    </w:rPr>
                    <w:t>m</w:t>
                  </w:r>
                  <w:r>
                    <w:rPr>
                      <w:vertAlign w:val="superscript"/>
                    </w:rPr>
                    <w:t>2</w:t>
                  </w:r>
                  <w:r>
                    <w:rPr>
                      <w:rFonts w:hint="eastAsia"/>
                    </w:rPr>
                    <w:t>，用于存放液态的原辅材料。</w:t>
                  </w:r>
                </w:p>
              </w:tc>
              <w:tc>
                <w:tcPr>
                  <w:tcW w:w="396" w:type="pct"/>
                  <w:vAlign w:val="center"/>
                </w:tcPr>
                <w:p>
                  <w:pPr>
                    <w:pStyle w:val="52"/>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59" w:type="pct"/>
                  <w:vMerge w:val="restart"/>
                  <w:vAlign w:val="center"/>
                </w:tcPr>
                <w:p>
                  <w:pPr>
                    <w:pStyle w:val="52"/>
                  </w:pPr>
                  <w:r>
                    <w:t>辅助工程</w:t>
                  </w:r>
                </w:p>
              </w:tc>
              <w:tc>
                <w:tcPr>
                  <w:tcW w:w="884" w:type="pct"/>
                  <w:gridSpan w:val="2"/>
                  <w:vAlign w:val="center"/>
                </w:tcPr>
                <w:p>
                  <w:pPr>
                    <w:pStyle w:val="52"/>
                  </w:pPr>
                  <w:r>
                    <w:rPr>
                      <w:rFonts w:hint="eastAsia"/>
                    </w:rPr>
                    <w:t>办公区</w:t>
                  </w:r>
                </w:p>
              </w:tc>
              <w:tc>
                <w:tcPr>
                  <w:tcW w:w="3261" w:type="pct"/>
                  <w:vAlign w:val="center"/>
                </w:tcPr>
                <w:p>
                  <w:pPr>
                    <w:pStyle w:val="52"/>
                    <w:jc w:val="both"/>
                  </w:pPr>
                  <w:r>
                    <w:rPr>
                      <w:rFonts w:hint="eastAsia"/>
                    </w:rPr>
                    <w:t>位于厂房西南侧共3F，租赁一层部分区域和二层整层，总面积6</w:t>
                  </w:r>
                  <w:r>
                    <w:t>00</w:t>
                  </w:r>
                  <w:r>
                    <w:rPr>
                      <w:rFonts w:hint="eastAsia"/>
                    </w:rPr>
                    <w:t>m</w:t>
                  </w:r>
                  <w:r>
                    <w:rPr>
                      <w:vertAlign w:val="superscript"/>
                    </w:rPr>
                    <w:t>2</w:t>
                  </w:r>
                  <w:r>
                    <w:rPr>
                      <w:rFonts w:hint="eastAsia"/>
                    </w:rPr>
                    <w:t>，</w:t>
                  </w:r>
                  <w:r>
                    <w:t>内设办公桌椅等，用于员工办公。</w:t>
                  </w:r>
                </w:p>
              </w:tc>
              <w:tc>
                <w:tcPr>
                  <w:tcW w:w="396" w:type="pct"/>
                  <w:vAlign w:val="center"/>
                </w:tcPr>
                <w:p>
                  <w:pPr>
                    <w:pStyle w:val="52"/>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59" w:type="pct"/>
                  <w:vMerge w:val="continue"/>
                  <w:vAlign w:val="center"/>
                </w:tcPr>
                <w:p>
                  <w:pPr>
                    <w:pStyle w:val="52"/>
                  </w:pPr>
                </w:p>
              </w:tc>
              <w:tc>
                <w:tcPr>
                  <w:tcW w:w="884" w:type="pct"/>
                  <w:gridSpan w:val="2"/>
                  <w:vAlign w:val="center"/>
                </w:tcPr>
                <w:p>
                  <w:pPr>
                    <w:pStyle w:val="52"/>
                  </w:pPr>
                  <w:r>
                    <w:rPr>
                      <w:rFonts w:hint="eastAsia"/>
                    </w:rPr>
                    <w:t>备件房</w:t>
                  </w:r>
                </w:p>
              </w:tc>
              <w:tc>
                <w:tcPr>
                  <w:tcW w:w="3261" w:type="pct"/>
                  <w:vAlign w:val="center"/>
                </w:tcPr>
                <w:p>
                  <w:pPr>
                    <w:pStyle w:val="52"/>
                    <w:jc w:val="both"/>
                  </w:pPr>
                  <w:r>
                    <w:rPr>
                      <w:rFonts w:hint="eastAsia"/>
                    </w:rPr>
                    <w:t>位于厂房内西北角，面积约1</w:t>
                  </w:r>
                  <w:r>
                    <w:t>2</w:t>
                  </w:r>
                  <w:r>
                    <w:rPr>
                      <w:rFonts w:hint="eastAsia"/>
                    </w:rPr>
                    <w:t>m</w:t>
                  </w:r>
                  <w:r>
                    <w:rPr>
                      <w:vertAlign w:val="superscript"/>
                    </w:rPr>
                    <w:t>2</w:t>
                  </w:r>
                  <w:r>
                    <w:rPr>
                      <w:rFonts w:hint="eastAsia"/>
                    </w:rPr>
                    <w:t>，用于设备维护维修保养，不涉及大型机修。备件房内设置有润滑油储存区域。</w:t>
                  </w:r>
                </w:p>
              </w:tc>
              <w:tc>
                <w:tcPr>
                  <w:tcW w:w="396" w:type="pct"/>
                  <w:vAlign w:val="center"/>
                </w:tcPr>
                <w:p>
                  <w:pPr>
                    <w:pStyle w:val="52"/>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59" w:type="pct"/>
                  <w:vMerge w:val="continue"/>
                  <w:vAlign w:val="center"/>
                </w:tcPr>
                <w:p>
                  <w:pPr>
                    <w:pStyle w:val="52"/>
                  </w:pPr>
                </w:p>
              </w:tc>
              <w:tc>
                <w:tcPr>
                  <w:tcW w:w="884" w:type="pct"/>
                  <w:gridSpan w:val="2"/>
                  <w:vAlign w:val="center"/>
                </w:tcPr>
                <w:p>
                  <w:pPr>
                    <w:pStyle w:val="52"/>
                  </w:pPr>
                  <w:r>
                    <w:rPr>
                      <w:rFonts w:hint="eastAsia"/>
                    </w:rPr>
                    <w:t>卫生间</w:t>
                  </w:r>
                </w:p>
              </w:tc>
              <w:tc>
                <w:tcPr>
                  <w:tcW w:w="3261" w:type="pct"/>
                  <w:vAlign w:val="center"/>
                </w:tcPr>
                <w:p>
                  <w:pPr>
                    <w:pStyle w:val="52"/>
                    <w:jc w:val="both"/>
                  </w:pPr>
                  <w:r>
                    <w:rPr>
                      <w:rFonts w:hint="eastAsia"/>
                    </w:rPr>
                    <w:t>位于厂房内西北角，面积约8m</w:t>
                  </w:r>
                  <w:r>
                    <w:rPr>
                      <w:vertAlign w:val="superscript"/>
                    </w:rPr>
                    <w:t>2</w:t>
                  </w:r>
                  <w:r>
                    <w:rPr>
                      <w:rFonts w:hint="eastAsia"/>
                    </w:rPr>
                    <w:t>。</w:t>
                  </w:r>
                </w:p>
              </w:tc>
              <w:tc>
                <w:tcPr>
                  <w:tcW w:w="396" w:type="pct"/>
                  <w:vAlign w:val="center"/>
                </w:tcPr>
                <w:p>
                  <w:pPr>
                    <w:pStyle w:val="52"/>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459" w:type="pct"/>
                  <w:vMerge w:val="restart"/>
                  <w:vAlign w:val="center"/>
                </w:tcPr>
                <w:p>
                  <w:pPr>
                    <w:pStyle w:val="52"/>
                  </w:pPr>
                  <w:r>
                    <w:t>公用</w:t>
                  </w:r>
                </w:p>
                <w:p>
                  <w:pPr>
                    <w:pStyle w:val="52"/>
                  </w:pPr>
                  <w:r>
                    <w:t>工程</w:t>
                  </w:r>
                </w:p>
              </w:tc>
              <w:tc>
                <w:tcPr>
                  <w:tcW w:w="884" w:type="pct"/>
                  <w:gridSpan w:val="2"/>
                  <w:vAlign w:val="center"/>
                </w:tcPr>
                <w:p>
                  <w:pPr>
                    <w:pStyle w:val="52"/>
                  </w:pPr>
                  <w:r>
                    <w:t>给水</w:t>
                  </w:r>
                </w:p>
              </w:tc>
              <w:tc>
                <w:tcPr>
                  <w:tcW w:w="3261" w:type="pct"/>
                  <w:vAlign w:val="center"/>
                </w:tcPr>
                <w:p>
                  <w:pPr>
                    <w:pStyle w:val="52"/>
                    <w:jc w:val="both"/>
                  </w:pPr>
                  <w:r>
                    <w:rPr>
                      <w:rFonts w:hint="eastAsia"/>
                    </w:rPr>
                    <w:t>无生产用水，员工生活用水依托园区供水管网。</w:t>
                  </w:r>
                </w:p>
              </w:tc>
              <w:tc>
                <w:tcPr>
                  <w:tcW w:w="396" w:type="pct"/>
                  <w:vAlign w:val="center"/>
                </w:tcPr>
                <w:p>
                  <w:pPr>
                    <w:pStyle w:val="52"/>
                  </w:pPr>
                  <w: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459" w:type="pct"/>
                  <w:vMerge w:val="continue"/>
                  <w:vAlign w:val="center"/>
                </w:tcPr>
                <w:p>
                  <w:pPr>
                    <w:pStyle w:val="52"/>
                  </w:pPr>
                </w:p>
              </w:tc>
              <w:tc>
                <w:tcPr>
                  <w:tcW w:w="884" w:type="pct"/>
                  <w:gridSpan w:val="2"/>
                  <w:vAlign w:val="center"/>
                </w:tcPr>
                <w:p>
                  <w:pPr>
                    <w:pStyle w:val="52"/>
                  </w:pPr>
                  <w:r>
                    <w:t>排水</w:t>
                  </w:r>
                </w:p>
              </w:tc>
              <w:tc>
                <w:tcPr>
                  <w:tcW w:w="3261" w:type="pct"/>
                  <w:vAlign w:val="center"/>
                </w:tcPr>
                <w:p>
                  <w:pPr>
                    <w:pStyle w:val="52"/>
                    <w:jc w:val="both"/>
                  </w:pPr>
                  <w:r>
                    <w:rPr>
                      <w:rFonts w:hint="eastAsia"/>
                    </w:rPr>
                    <w:t>采用雨污分流制，无生产废水产生，员工生活污水依托“绅鹏公司”已建生化池（设计规模为1</w:t>
                  </w:r>
                  <w:r>
                    <w:t>00</w:t>
                  </w:r>
                  <w:r>
                    <w:rPr>
                      <w:rFonts w:hint="eastAsia"/>
                    </w:rPr>
                    <w:t>m</w:t>
                  </w:r>
                  <w:r>
                    <w:rPr>
                      <w:rFonts w:hint="eastAsia"/>
                      <w:vertAlign w:val="superscript"/>
                    </w:rPr>
                    <w:t>3</w:t>
                  </w:r>
                  <w:r>
                    <w:rPr>
                      <w:rFonts w:hint="eastAsia"/>
                    </w:rPr>
                    <w:t>/d）接纳处理，</w:t>
                  </w:r>
                  <w:r>
                    <w:t>处理</w:t>
                  </w:r>
                  <w:r>
                    <w:rPr>
                      <w:rFonts w:hint="eastAsia"/>
                    </w:rPr>
                    <w:t>达标</w:t>
                  </w:r>
                  <w:r>
                    <w:t>后</w:t>
                  </w:r>
                  <w:r>
                    <w:rPr>
                      <w:rFonts w:hint="eastAsia"/>
                    </w:rPr>
                    <w:t>排入市政管网。</w:t>
                  </w:r>
                </w:p>
              </w:tc>
              <w:tc>
                <w:tcPr>
                  <w:tcW w:w="396" w:type="pct"/>
                  <w:vAlign w:val="center"/>
                </w:tcPr>
                <w:p>
                  <w:pPr>
                    <w:pStyle w:val="52"/>
                  </w:pPr>
                  <w: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459" w:type="pct"/>
                  <w:vMerge w:val="continue"/>
                  <w:vAlign w:val="center"/>
                </w:tcPr>
                <w:p>
                  <w:pPr>
                    <w:pStyle w:val="52"/>
                  </w:pPr>
                </w:p>
              </w:tc>
              <w:tc>
                <w:tcPr>
                  <w:tcW w:w="884" w:type="pct"/>
                  <w:gridSpan w:val="2"/>
                  <w:vAlign w:val="center"/>
                </w:tcPr>
                <w:p>
                  <w:pPr>
                    <w:pStyle w:val="52"/>
                  </w:pPr>
                  <w:r>
                    <w:rPr>
                      <w:rFonts w:hint="eastAsia"/>
                    </w:rPr>
                    <w:t>供电</w:t>
                  </w:r>
                </w:p>
              </w:tc>
              <w:tc>
                <w:tcPr>
                  <w:tcW w:w="3261" w:type="pct"/>
                  <w:vAlign w:val="center"/>
                </w:tcPr>
                <w:p>
                  <w:pPr>
                    <w:pStyle w:val="52"/>
                    <w:jc w:val="both"/>
                  </w:pPr>
                  <w:r>
                    <w:t>依托市政供电网路，由市政供给</w:t>
                  </w:r>
                  <w:r>
                    <w:rPr>
                      <w:rFonts w:hint="eastAsia"/>
                    </w:rPr>
                    <w:t>，不设置备用发电机。</w:t>
                  </w:r>
                </w:p>
              </w:tc>
              <w:tc>
                <w:tcPr>
                  <w:tcW w:w="396" w:type="pct"/>
                  <w:vAlign w:val="center"/>
                </w:tcPr>
                <w:p>
                  <w:pPr>
                    <w:pStyle w:val="52"/>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459" w:type="pct"/>
                  <w:vMerge w:val="continue"/>
                  <w:vAlign w:val="center"/>
                </w:tcPr>
                <w:p>
                  <w:pPr>
                    <w:pStyle w:val="52"/>
                  </w:pPr>
                </w:p>
              </w:tc>
              <w:tc>
                <w:tcPr>
                  <w:tcW w:w="884" w:type="pct"/>
                  <w:gridSpan w:val="2"/>
                  <w:vAlign w:val="center"/>
                </w:tcPr>
                <w:p>
                  <w:pPr>
                    <w:pStyle w:val="52"/>
                  </w:pPr>
                  <w:r>
                    <w:rPr>
                      <w:rFonts w:hint="eastAsia"/>
                      <w:lang w:val="zh-CN"/>
                    </w:rPr>
                    <w:t>空压机房</w:t>
                  </w:r>
                </w:p>
              </w:tc>
              <w:tc>
                <w:tcPr>
                  <w:tcW w:w="3261" w:type="pct"/>
                  <w:vAlign w:val="center"/>
                </w:tcPr>
                <w:p>
                  <w:pPr>
                    <w:pStyle w:val="52"/>
                    <w:jc w:val="both"/>
                  </w:pPr>
                  <w:r>
                    <w:rPr>
                      <w:rFonts w:hint="eastAsia"/>
                      <w:lang w:val="zh-CN"/>
                    </w:rPr>
                    <w:t>位于厂房内东侧，设置一台空气压缩机。为生产线提供空气动力。</w:t>
                  </w:r>
                </w:p>
              </w:tc>
              <w:tc>
                <w:tcPr>
                  <w:tcW w:w="396" w:type="pct"/>
                  <w:vAlign w:val="center"/>
                </w:tcPr>
                <w:p>
                  <w:pPr>
                    <w:pStyle w:val="52"/>
                  </w:pPr>
                  <w:r>
                    <w:rPr>
                      <w:rFonts w:ascii="宋体" w:cs="宋体"/>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459" w:type="pct"/>
                  <w:vMerge w:val="continue"/>
                  <w:vAlign w:val="center"/>
                </w:tcPr>
                <w:p>
                  <w:pPr>
                    <w:pStyle w:val="52"/>
                  </w:pPr>
                </w:p>
              </w:tc>
              <w:tc>
                <w:tcPr>
                  <w:tcW w:w="884" w:type="pct"/>
                  <w:gridSpan w:val="2"/>
                  <w:vAlign w:val="center"/>
                </w:tcPr>
                <w:p>
                  <w:pPr>
                    <w:pStyle w:val="52"/>
                    <w:rPr>
                      <w:lang w:val="zh-CN"/>
                    </w:rPr>
                  </w:pPr>
                  <w:r>
                    <w:rPr>
                      <w:rFonts w:hint="eastAsia"/>
                      <w:lang w:val="zh-CN"/>
                    </w:rPr>
                    <w:t>冷却循环系统</w:t>
                  </w:r>
                </w:p>
              </w:tc>
              <w:tc>
                <w:tcPr>
                  <w:tcW w:w="3261" w:type="pct"/>
                  <w:vAlign w:val="center"/>
                </w:tcPr>
                <w:p>
                  <w:pPr>
                    <w:pStyle w:val="52"/>
                    <w:jc w:val="both"/>
                    <w:rPr>
                      <w:lang w:val="zh-CN"/>
                    </w:rPr>
                  </w:pPr>
                  <w:r>
                    <w:rPr>
                      <w:rFonts w:hint="eastAsia"/>
                      <w:lang w:val="zh-CN"/>
                    </w:rPr>
                    <w:t>位于厂房外北侧，设置一套冷却水循环系统。为生产线提供冷却水。</w:t>
                  </w:r>
                </w:p>
              </w:tc>
              <w:tc>
                <w:tcPr>
                  <w:tcW w:w="396" w:type="pct"/>
                  <w:vAlign w:val="center"/>
                </w:tcPr>
                <w:p>
                  <w:pPr>
                    <w:pStyle w:val="52"/>
                    <w:rPr>
                      <w:rFonts w:ascii="宋体" w:cs="宋体"/>
                    </w:rPr>
                  </w:pPr>
                  <w:r>
                    <w:rPr>
                      <w:rFonts w:ascii="宋体" w:cs="宋体"/>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3" w:hRule="atLeast"/>
                <w:jc w:val="center"/>
              </w:trPr>
              <w:tc>
                <w:tcPr>
                  <w:tcW w:w="459" w:type="pct"/>
                  <w:vMerge w:val="restart"/>
                  <w:vAlign w:val="center"/>
                </w:tcPr>
                <w:p>
                  <w:pPr>
                    <w:pStyle w:val="52"/>
                  </w:pPr>
                  <w:r>
                    <w:t>环保工程</w:t>
                  </w:r>
                </w:p>
              </w:tc>
              <w:tc>
                <w:tcPr>
                  <w:tcW w:w="884" w:type="pct"/>
                  <w:gridSpan w:val="2"/>
                  <w:vAlign w:val="center"/>
                </w:tcPr>
                <w:p>
                  <w:pPr>
                    <w:pStyle w:val="52"/>
                  </w:pPr>
                  <w:r>
                    <w:rPr>
                      <w:rFonts w:hint="eastAsia"/>
                    </w:rPr>
                    <w:t>废水</w:t>
                  </w:r>
                </w:p>
              </w:tc>
              <w:tc>
                <w:tcPr>
                  <w:tcW w:w="3261" w:type="pct"/>
                  <w:vAlign w:val="center"/>
                </w:tcPr>
                <w:p>
                  <w:pPr>
                    <w:pStyle w:val="52"/>
                    <w:jc w:val="both"/>
                  </w:pPr>
                  <w:r>
                    <w:rPr>
                      <w:rFonts w:hint="eastAsia"/>
                    </w:rPr>
                    <w:t>员工产生的生活污水依托重庆绅鹏商业运营管理有限公司已建生化池处理（设计规模为</w:t>
                  </w:r>
                  <w:r>
                    <w:t>10</w:t>
                  </w:r>
                  <w:r>
                    <w:rPr>
                      <w:rFonts w:hint="eastAsia"/>
                    </w:rPr>
                    <w:t>0m</w:t>
                  </w:r>
                  <w:r>
                    <w:rPr>
                      <w:rFonts w:hint="eastAsia"/>
                      <w:vertAlign w:val="superscript"/>
                    </w:rPr>
                    <w:t>3</w:t>
                  </w:r>
                  <w:r>
                    <w:rPr>
                      <w:rFonts w:hint="eastAsia"/>
                    </w:rPr>
                    <w:t>/d），</w:t>
                  </w:r>
                  <w:r>
                    <w:t>处理达《污水综合排放标准》（GB8978-1996）三级标准后排入市政污水管网</w:t>
                  </w:r>
                  <w:r>
                    <w:rPr>
                      <w:rFonts w:hint="eastAsia"/>
                    </w:rPr>
                    <w:t>。</w:t>
                  </w:r>
                </w:p>
              </w:tc>
              <w:tc>
                <w:tcPr>
                  <w:tcW w:w="396" w:type="pct"/>
                  <w:vAlign w:val="center"/>
                </w:tcPr>
                <w:p>
                  <w:pPr>
                    <w:pStyle w:val="52"/>
                  </w:pPr>
                  <w:r>
                    <w:rPr>
                      <w:rFonts w:hint="eastAsia"/>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jc w:val="center"/>
              </w:trPr>
              <w:tc>
                <w:tcPr>
                  <w:tcW w:w="459" w:type="pct"/>
                  <w:vMerge w:val="continue"/>
                  <w:vAlign w:val="center"/>
                </w:tcPr>
                <w:p>
                  <w:pPr>
                    <w:pStyle w:val="52"/>
                  </w:pPr>
                </w:p>
              </w:tc>
              <w:tc>
                <w:tcPr>
                  <w:tcW w:w="450" w:type="pct"/>
                  <w:vAlign w:val="center"/>
                </w:tcPr>
                <w:p>
                  <w:pPr>
                    <w:pStyle w:val="52"/>
                  </w:pPr>
                  <w:r>
                    <w:rPr>
                      <w:rFonts w:hint="eastAsia"/>
                    </w:rPr>
                    <w:t>废气</w:t>
                  </w:r>
                </w:p>
              </w:tc>
              <w:tc>
                <w:tcPr>
                  <w:tcW w:w="434" w:type="pct"/>
                  <w:vAlign w:val="center"/>
                </w:tcPr>
                <w:p>
                  <w:pPr>
                    <w:pStyle w:val="52"/>
                  </w:pPr>
                  <w:r>
                    <w:rPr>
                      <w:rFonts w:hint="eastAsia"/>
                    </w:rPr>
                    <w:t>有机废气</w:t>
                  </w:r>
                </w:p>
              </w:tc>
              <w:tc>
                <w:tcPr>
                  <w:tcW w:w="3261" w:type="pct"/>
                  <w:vAlign w:val="center"/>
                </w:tcPr>
                <w:p>
                  <w:pPr>
                    <w:pStyle w:val="52"/>
                    <w:jc w:val="both"/>
                  </w:pPr>
                  <w:r>
                    <w:rPr>
                      <w:rFonts w:hint="eastAsia"/>
                    </w:rPr>
                    <w:t>拟在各挤出机挤出口上方上方设集气罩，废气经集气罩收集后，接入一套“UV光催化+三级活性炭”有机废气处理系统，处理后经1</w:t>
                  </w:r>
                  <w:r>
                    <w:t>5</w:t>
                  </w:r>
                  <w:r>
                    <w:rPr>
                      <w:rFonts w:hint="eastAsia"/>
                    </w:rPr>
                    <w:t>m高排气筒（DA</w:t>
                  </w:r>
                  <w:r>
                    <w:t>001</w:t>
                  </w:r>
                  <w:r>
                    <w:rPr>
                      <w:rFonts w:hint="eastAsia"/>
                    </w:rPr>
                    <w:t>）排放。</w:t>
                  </w:r>
                </w:p>
              </w:tc>
              <w:tc>
                <w:tcPr>
                  <w:tcW w:w="396" w:type="pct"/>
                  <w:vAlign w:val="center"/>
                </w:tcPr>
                <w:p>
                  <w:pPr>
                    <w:pStyle w:val="52"/>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3" w:hRule="atLeast"/>
                <w:jc w:val="center"/>
              </w:trPr>
              <w:tc>
                <w:tcPr>
                  <w:tcW w:w="459" w:type="pct"/>
                  <w:vMerge w:val="continue"/>
                  <w:vAlign w:val="center"/>
                </w:tcPr>
                <w:p>
                  <w:pPr>
                    <w:pStyle w:val="52"/>
                  </w:pPr>
                </w:p>
              </w:tc>
              <w:tc>
                <w:tcPr>
                  <w:tcW w:w="884" w:type="pct"/>
                  <w:gridSpan w:val="2"/>
                  <w:vAlign w:val="center"/>
                </w:tcPr>
                <w:p>
                  <w:pPr>
                    <w:pStyle w:val="52"/>
                  </w:pPr>
                  <w:r>
                    <w:rPr>
                      <w:rFonts w:hint="eastAsia"/>
                    </w:rPr>
                    <w:t>噪声</w:t>
                  </w:r>
                </w:p>
              </w:tc>
              <w:tc>
                <w:tcPr>
                  <w:tcW w:w="3261" w:type="pct"/>
                  <w:vAlign w:val="center"/>
                </w:tcPr>
                <w:p>
                  <w:pPr>
                    <w:pStyle w:val="52"/>
                    <w:jc w:val="both"/>
                  </w:pPr>
                  <w:r>
                    <w:rPr>
                      <w:rFonts w:hint="eastAsia"/>
                      <w:spacing w:val="-4"/>
                    </w:rPr>
                    <w:t>采取建筑隔声、基础减振、消声等措施降低噪声影响。</w:t>
                  </w:r>
                </w:p>
              </w:tc>
              <w:tc>
                <w:tcPr>
                  <w:tcW w:w="396" w:type="pct"/>
                  <w:vAlign w:val="center"/>
                </w:tcPr>
                <w:p>
                  <w:pPr>
                    <w:pStyle w:val="52"/>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459" w:type="pct"/>
                  <w:vMerge w:val="continue"/>
                  <w:vAlign w:val="center"/>
                </w:tcPr>
                <w:p>
                  <w:pPr>
                    <w:pStyle w:val="52"/>
                  </w:pPr>
                </w:p>
              </w:tc>
              <w:tc>
                <w:tcPr>
                  <w:tcW w:w="450" w:type="pct"/>
                  <w:vMerge w:val="restart"/>
                  <w:vAlign w:val="center"/>
                </w:tcPr>
                <w:p>
                  <w:pPr>
                    <w:pStyle w:val="52"/>
                  </w:pPr>
                  <w:r>
                    <w:rPr>
                      <w:rFonts w:hint="eastAsia"/>
                    </w:rPr>
                    <w:t>固体废物</w:t>
                  </w:r>
                </w:p>
              </w:tc>
              <w:tc>
                <w:tcPr>
                  <w:tcW w:w="434" w:type="pct"/>
                  <w:vAlign w:val="center"/>
                </w:tcPr>
                <w:p>
                  <w:pPr>
                    <w:pStyle w:val="52"/>
                  </w:pPr>
                  <w:r>
                    <w:rPr>
                      <w:rFonts w:hint="eastAsia"/>
                    </w:rPr>
                    <w:t>生活垃圾</w:t>
                  </w:r>
                </w:p>
              </w:tc>
              <w:tc>
                <w:tcPr>
                  <w:tcW w:w="3261" w:type="pct"/>
                  <w:vAlign w:val="center"/>
                </w:tcPr>
                <w:p>
                  <w:pPr>
                    <w:pStyle w:val="52"/>
                    <w:jc w:val="both"/>
                  </w:pPr>
                  <w:r>
                    <w:t>定期收集员工生活垃圾，交环卫部门统一收运处置。</w:t>
                  </w:r>
                </w:p>
              </w:tc>
              <w:tc>
                <w:tcPr>
                  <w:tcW w:w="396" w:type="pct"/>
                  <w:vAlign w:val="center"/>
                </w:tcPr>
                <w:p>
                  <w:pPr>
                    <w:pStyle w:val="52"/>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459" w:type="pct"/>
                  <w:vMerge w:val="continue"/>
                  <w:vAlign w:val="center"/>
                </w:tcPr>
                <w:p>
                  <w:pPr>
                    <w:pStyle w:val="52"/>
                  </w:pPr>
                </w:p>
              </w:tc>
              <w:tc>
                <w:tcPr>
                  <w:tcW w:w="450" w:type="pct"/>
                  <w:vMerge w:val="continue"/>
                  <w:vAlign w:val="center"/>
                </w:tcPr>
                <w:p>
                  <w:pPr>
                    <w:pStyle w:val="52"/>
                  </w:pPr>
                </w:p>
              </w:tc>
              <w:tc>
                <w:tcPr>
                  <w:tcW w:w="434" w:type="pct"/>
                  <w:vAlign w:val="center"/>
                </w:tcPr>
                <w:p>
                  <w:pPr>
                    <w:pStyle w:val="52"/>
                  </w:pPr>
                  <w:r>
                    <w:rPr>
                      <w:rFonts w:hint="eastAsia"/>
                    </w:rPr>
                    <w:t>一般固废间</w:t>
                  </w:r>
                </w:p>
              </w:tc>
              <w:tc>
                <w:tcPr>
                  <w:tcW w:w="3261" w:type="pct"/>
                  <w:vAlign w:val="center"/>
                </w:tcPr>
                <w:p>
                  <w:pPr>
                    <w:pStyle w:val="52"/>
                    <w:jc w:val="both"/>
                  </w:pPr>
                  <w:r>
                    <w:rPr>
                      <w:rFonts w:hint="eastAsia"/>
                    </w:rPr>
                    <w:t>位于厂房西北角，面积约</w:t>
                  </w:r>
                  <w:r>
                    <w:t>10</w:t>
                  </w:r>
                  <w:r>
                    <w:rPr>
                      <w:rFonts w:hint="eastAsia"/>
                    </w:rPr>
                    <w:t>m</w:t>
                  </w:r>
                  <w:r>
                    <w:rPr>
                      <w:vertAlign w:val="superscript"/>
                    </w:rPr>
                    <w:t>2</w:t>
                  </w:r>
                  <w:r>
                    <w:rPr>
                      <w:rFonts w:hint="eastAsia"/>
                    </w:rPr>
                    <w:t>，暂存生产过程中产生的废原料包装、制袋边角料等一般固体废物。</w:t>
                  </w:r>
                </w:p>
              </w:tc>
              <w:tc>
                <w:tcPr>
                  <w:tcW w:w="396" w:type="pct"/>
                  <w:vAlign w:val="center"/>
                </w:tcPr>
                <w:p>
                  <w:pPr>
                    <w:pStyle w:val="52"/>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459" w:type="pct"/>
                  <w:vMerge w:val="continue"/>
                  <w:vAlign w:val="center"/>
                </w:tcPr>
                <w:p>
                  <w:pPr>
                    <w:pStyle w:val="52"/>
                  </w:pPr>
                </w:p>
              </w:tc>
              <w:tc>
                <w:tcPr>
                  <w:tcW w:w="450" w:type="pct"/>
                  <w:vMerge w:val="continue"/>
                  <w:vAlign w:val="center"/>
                </w:tcPr>
                <w:p>
                  <w:pPr>
                    <w:pStyle w:val="52"/>
                  </w:pPr>
                </w:p>
              </w:tc>
              <w:tc>
                <w:tcPr>
                  <w:tcW w:w="434" w:type="pct"/>
                  <w:vAlign w:val="center"/>
                </w:tcPr>
                <w:p>
                  <w:pPr>
                    <w:pStyle w:val="52"/>
                  </w:pPr>
                  <w:r>
                    <w:rPr>
                      <w:rFonts w:hint="eastAsia"/>
                    </w:rPr>
                    <w:t>危废暂存间</w:t>
                  </w:r>
                </w:p>
              </w:tc>
              <w:tc>
                <w:tcPr>
                  <w:tcW w:w="3261" w:type="pct"/>
                  <w:vAlign w:val="center"/>
                </w:tcPr>
                <w:p>
                  <w:pPr>
                    <w:pStyle w:val="52"/>
                    <w:jc w:val="both"/>
                  </w:pPr>
                  <w:r>
                    <w:rPr>
                      <w:rFonts w:hint="eastAsia"/>
                    </w:rPr>
                    <w:t>位于厂房西北角邻一般固废间，面积约</w:t>
                  </w:r>
                  <w:r>
                    <w:t>10</w:t>
                  </w:r>
                  <w:r>
                    <w:rPr>
                      <w:rFonts w:hint="eastAsia"/>
                    </w:rPr>
                    <w:t>m</w:t>
                  </w:r>
                  <w:r>
                    <w:rPr>
                      <w:vertAlign w:val="superscript"/>
                    </w:rPr>
                    <w:t>2</w:t>
                  </w:r>
                  <w:r>
                    <w:rPr>
                      <w:rFonts w:hint="eastAsia"/>
                    </w:rPr>
                    <w:t>，暂存废油料桶、废紫外灯管、废活性炭、废含油抹布及劳保用品、废含油冷凝废液、废润滑油、废润滑油桶等危险废物。</w:t>
                  </w:r>
                </w:p>
              </w:tc>
              <w:tc>
                <w:tcPr>
                  <w:tcW w:w="396" w:type="pct"/>
                  <w:vAlign w:val="center"/>
                </w:tcPr>
                <w:p>
                  <w:pPr>
                    <w:pStyle w:val="52"/>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3" w:hRule="atLeast"/>
                <w:jc w:val="center"/>
              </w:trPr>
              <w:tc>
                <w:tcPr>
                  <w:tcW w:w="459" w:type="pct"/>
                  <w:vAlign w:val="center"/>
                </w:tcPr>
                <w:p>
                  <w:pPr>
                    <w:pStyle w:val="52"/>
                  </w:pPr>
                  <w:r>
                    <w:t>风险防范</w:t>
                  </w:r>
                </w:p>
              </w:tc>
              <w:tc>
                <w:tcPr>
                  <w:tcW w:w="4145" w:type="pct"/>
                  <w:gridSpan w:val="3"/>
                  <w:vAlign w:val="center"/>
                </w:tcPr>
                <w:p>
                  <w:pPr>
                    <w:pStyle w:val="52"/>
                    <w:jc w:val="both"/>
                  </w:pPr>
                  <w:r>
                    <w:rPr>
                      <w:rFonts w:hint="eastAsia"/>
                    </w:rPr>
                    <w:t>①硅油、环烷油分类存储在不同的密闭的容器中，并在0～40℃室内贮存，避免极端低温、日光曝晒和雨淋，远离热源和火源；搬运过程中防止跌落或碰撞；危险废物分类暂存，液体危险废物采用加盖收集桶储存，能够有效防止危险废物泄漏，同时油料库房</w:t>
                  </w:r>
                  <w:r>
                    <w:t>和危废间设置托盘</w:t>
                  </w:r>
                  <w:r>
                    <w:rPr>
                      <w:rFonts w:hint="eastAsia"/>
                    </w:rPr>
                    <w:t>或围堰，实现双层保护。</w:t>
                  </w:r>
                </w:p>
                <w:p>
                  <w:pPr>
                    <w:pStyle w:val="52"/>
                    <w:jc w:val="both"/>
                  </w:pPr>
                  <w:r>
                    <w:rPr>
                      <w:rFonts w:hint="eastAsia"/>
                    </w:rPr>
                    <w:t>②厂房油料库房、备件房、危废暂存间按重点防渗区防渗处理。重点防渗区地面与裙脚用坚固、防腐防渗材料建造，参照</w:t>
                  </w:r>
                  <w:r>
                    <w:t>《危险废物贮存污染控制标准》（GB18597-2023）</w:t>
                  </w:r>
                  <w:r>
                    <w:rPr>
                      <w:rFonts w:hint="eastAsia"/>
                    </w:rPr>
                    <w:t>，重点防渗区</w:t>
                  </w:r>
                  <w:r>
                    <w:t>防渗性能要求不低</w:t>
                  </w:r>
                  <w:r>
                    <w:rPr>
                      <w:rFonts w:hint="eastAsia"/>
                    </w:rPr>
                    <w:t>于</w:t>
                  </w:r>
                  <w:r>
                    <w:t>1.0m厚渗透系数为1.0×10</w:t>
                  </w:r>
                  <w:r>
                    <w:rPr>
                      <w:vertAlign w:val="superscript"/>
                    </w:rPr>
                    <w:t>-</w:t>
                  </w:r>
                  <w:r>
                    <w:rPr>
                      <w:rFonts w:hint="eastAsia"/>
                      <w:vertAlign w:val="superscript"/>
                    </w:rPr>
                    <w:t>7</w:t>
                  </w:r>
                  <w:r>
                    <w:t>cm/s的黏土层防渗性能</w:t>
                  </w:r>
                  <w:r>
                    <w:rPr>
                      <w:rFonts w:hint="eastAsia"/>
                    </w:rPr>
                    <w:t>，或至少2mm厚高密度聚乙烯膜等人工防渗材料（渗透系数不大于10</w:t>
                  </w:r>
                  <w:r>
                    <w:rPr>
                      <w:rFonts w:hint="eastAsia"/>
                      <w:vertAlign w:val="superscript"/>
                    </w:rPr>
                    <w:t>-10</w:t>
                  </w:r>
                  <w:r>
                    <w:rPr>
                      <w:rFonts w:hint="eastAsia"/>
                    </w:rPr>
                    <w:t>cm/s），或其他防渗性能等效的材料</w:t>
                  </w:r>
                  <w:r>
                    <w:t>。</w:t>
                  </w:r>
                </w:p>
                <w:p>
                  <w:pPr>
                    <w:pStyle w:val="52"/>
                    <w:jc w:val="both"/>
                  </w:pPr>
                  <w:r>
                    <w:rPr>
                      <w:rFonts w:hint="eastAsia"/>
                    </w:rPr>
                    <w:t>③建立严格的火灾防范环境管理制度及操作规程，按要求严格进行操作人员培训，相关人员严格遵守火灾防范的各项规章制度。禁止火源进入油料库房、备件房、危废暂存间等场所，禁火区均设置明显标志牌。</w:t>
                  </w:r>
                </w:p>
                <w:p>
                  <w:pPr>
                    <w:pStyle w:val="52"/>
                    <w:jc w:val="both"/>
                  </w:pPr>
                  <w:r>
                    <w:rPr>
                      <w:rFonts w:hint="eastAsia"/>
                    </w:rPr>
                    <w:t>④厂房内部配备消防栓和灭火器等应急设备。定期检查和维修火灾防范设施，及时发现问题及时解决，使事故发生率降至最低。</w:t>
                  </w:r>
                </w:p>
                <w:p>
                  <w:pPr>
                    <w:pStyle w:val="52"/>
                    <w:jc w:val="both"/>
                  </w:pPr>
                  <w:r>
                    <w:rPr>
                      <w:rFonts w:hint="eastAsia"/>
                    </w:rPr>
                    <w:t>⑤建立完善的安全生产管理制度、操作规范，加强生产工人安全环境意识教育。建立环境风险应急预案，明确人员责任。加强巡查，发现物料、生产线出现泄漏时，应及立即停止生产并补漏。</w:t>
                  </w:r>
                </w:p>
              </w:tc>
              <w:tc>
                <w:tcPr>
                  <w:tcW w:w="396" w:type="pct"/>
                  <w:vAlign w:val="center"/>
                </w:tcPr>
                <w:p>
                  <w:pPr>
                    <w:pStyle w:val="52"/>
                  </w:pPr>
                  <w:r>
                    <w:t>新建</w:t>
                  </w:r>
                </w:p>
              </w:tc>
            </w:tr>
            <w:bookmarkEnd w:id="3"/>
            <w:bookmarkEnd w:id="4"/>
          </w:tbl>
          <w:p>
            <w:pPr>
              <w:pStyle w:val="82"/>
              <w:ind w:firstLine="482"/>
              <w:rPr>
                <w:b/>
                <w:bCs/>
              </w:rPr>
            </w:pPr>
            <w:r>
              <w:rPr>
                <w:b/>
                <w:bCs/>
              </w:rPr>
              <w:t>5</w:t>
            </w:r>
            <w:r>
              <w:rPr>
                <w:rFonts w:hint="eastAsia"/>
                <w:b/>
                <w:bCs/>
              </w:rPr>
              <w:t>、本项目依托可行性分析</w:t>
            </w:r>
          </w:p>
          <w:p>
            <w:pPr>
              <w:pStyle w:val="82"/>
            </w:pPr>
            <w:r>
              <w:rPr>
                <w:rFonts w:hint="eastAsia"/>
              </w:rPr>
              <w:t>项目所租赁厂房由重庆市铜梁区国有企业——重庆绅鹏实业开发有限公司开发建设，共建设9栋厂房（A型2栋，B型3栋，C型2栋，D型2栋）及配套办公楼和生化池（1</w:t>
            </w:r>
            <w:r>
              <w:t>00</w:t>
            </w:r>
            <w:r>
              <w:rPr>
                <w:rFonts w:hint="eastAsia"/>
              </w:rPr>
              <w:t>m</w:t>
            </w:r>
            <w:r>
              <w:rPr>
                <w:vertAlign w:val="superscript"/>
              </w:rPr>
              <w:t>3</w:t>
            </w:r>
            <w:r>
              <w:t>/</w:t>
            </w:r>
            <w:r>
              <w:rPr>
                <w:rFonts w:hint="eastAsia"/>
              </w:rPr>
              <w:t>d），并已于2012年4月通过竣工环保验收（渝（铜）环房验[2012]06号）。厂房现由下属公司——重庆绅鹏商业运营管理有限公司进行运营管理。目前；A</w:t>
            </w:r>
            <w:r>
              <w:t>-1</w:t>
            </w:r>
            <w:r>
              <w:rPr>
                <w:rFonts w:hint="eastAsia"/>
              </w:rPr>
              <w:t>栋、A-2栋由重庆瑞盛模具有限公司租赁用于生产塑料模具；B</w:t>
            </w:r>
            <w:r>
              <w:t>-1</w:t>
            </w:r>
            <w:r>
              <w:rPr>
                <w:rFonts w:hint="eastAsia"/>
              </w:rPr>
              <w:t>、B</w:t>
            </w:r>
            <w:r>
              <w:t>-2</w:t>
            </w:r>
            <w:r>
              <w:rPr>
                <w:rFonts w:hint="eastAsia"/>
              </w:rPr>
              <w:t>由重庆金之顺科技有限公司租赁用于生产金属零件；C-1由重庆超晨汽车配件有限公司租赁用于生产金属汽车配件；C-2由重庆富创橡胶有限公司租赁用于生产塑胶零件；D</w:t>
            </w:r>
            <w:r>
              <w:t>-1</w:t>
            </w:r>
            <w:r>
              <w:rPr>
                <w:rFonts w:hint="eastAsia"/>
              </w:rPr>
              <w:t>由重庆泽华玻璃有限公司租赁用于生产深加工玻璃；D-2由马可波罗全屋定制家具（重庆）有限公司租赁用于生产家具。</w:t>
            </w:r>
          </w:p>
          <w:p>
            <w:pPr>
              <w:pStyle w:val="82"/>
            </w:pPr>
            <w:r>
              <w:rPr>
                <w:rFonts w:hint="eastAsia"/>
              </w:rPr>
              <w:t>本项目租赁B型厂房3栋（B</w:t>
            </w:r>
            <w:r>
              <w:t>-3</w:t>
            </w:r>
            <w:r>
              <w:rPr>
                <w:rFonts w:hint="eastAsia"/>
              </w:rPr>
              <w:t>）1F及配套的办公楼1</w:t>
            </w:r>
            <w:r>
              <w:t>F</w:t>
            </w:r>
            <w:r>
              <w:rPr>
                <w:rFonts w:hint="eastAsia"/>
              </w:rPr>
              <w:t>部分区域和2F整层，其中厂房共2F（1F层高</w:t>
            </w:r>
            <w:r>
              <w:t>7</w:t>
            </w:r>
            <w:r>
              <w:rPr>
                <w:rFonts w:hint="eastAsia"/>
              </w:rPr>
              <w:t>m，2F层高6m，均为闲置状态），单层建筑面积约2</w:t>
            </w:r>
            <w:r>
              <w:t>000</w:t>
            </w:r>
            <w:r>
              <w:rPr>
                <w:rFonts w:hint="eastAsia"/>
              </w:rPr>
              <w:t>m</w:t>
            </w:r>
            <w:r>
              <w:rPr>
                <w:vertAlign w:val="superscript"/>
              </w:rPr>
              <w:t>2</w:t>
            </w:r>
            <w:r>
              <w:rPr>
                <w:rFonts w:hint="eastAsia"/>
              </w:rPr>
              <w:t>；办公楼共3F（层高3m），总建筑面积约</w:t>
            </w:r>
            <w:r>
              <w:t>1000</w:t>
            </w:r>
            <w:r>
              <w:rPr>
                <w:rFonts w:hint="eastAsia"/>
              </w:rPr>
              <w:t>m</w:t>
            </w:r>
            <w:r>
              <w:rPr>
                <w:vertAlign w:val="superscript"/>
              </w:rPr>
              <w:t>2</w:t>
            </w:r>
            <w:r>
              <w:rPr>
                <w:rFonts w:hint="eastAsia"/>
              </w:rPr>
              <w:t>。根据现场调查，该厂房租赁前为闲置状态，不存在遗留环境问题。</w:t>
            </w:r>
          </w:p>
          <w:p>
            <w:pPr>
              <w:pStyle w:val="82"/>
            </w:pPr>
            <w:r>
              <w:rPr>
                <w:rFonts w:hint="eastAsia"/>
              </w:rPr>
              <w:t>拟建项目与重庆绅鹏商业运营管理有限公司的依托关系详见下表。</w:t>
            </w:r>
          </w:p>
          <w:p>
            <w:pPr>
              <w:pStyle w:val="83"/>
            </w:pPr>
            <w:r>
              <w:t>表</w:t>
            </w:r>
            <w:r>
              <w:rPr>
                <w:rFonts w:hint="eastAsia"/>
              </w:rPr>
              <w:t>2</w:t>
            </w:r>
            <w:r>
              <w:t>-3  项目</w:t>
            </w:r>
            <w:r>
              <w:rPr>
                <w:rFonts w:hint="eastAsia"/>
              </w:rPr>
              <w:t>与“重庆绅鹏商业运营管理有限公司”的依托关系</w:t>
            </w:r>
          </w:p>
          <w:tbl>
            <w:tblPr>
              <w:tblStyle w:val="24"/>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741"/>
              <w:gridCol w:w="1175"/>
              <w:gridCol w:w="2470"/>
              <w:gridCol w:w="385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163" w:type="pct"/>
                  <w:gridSpan w:val="2"/>
                  <w:vAlign w:val="center"/>
                </w:tcPr>
                <w:p>
                  <w:pPr>
                    <w:pStyle w:val="52"/>
                    <w:rPr>
                      <w:b/>
                      <w:bCs/>
                    </w:rPr>
                  </w:pPr>
                  <w:r>
                    <w:rPr>
                      <w:b/>
                      <w:bCs/>
                    </w:rPr>
                    <w:t>项目</w:t>
                  </w:r>
                </w:p>
              </w:tc>
              <w:tc>
                <w:tcPr>
                  <w:tcW w:w="1499" w:type="pct"/>
                  <w:vAlign w:val="center"/>
                </w:tcPr>
                <w:p>
                  <w:pPr>
                    <w:pStyle w:val="52"/>
                    <w:rPr>
                      <w:b/>
                      <w:bCs/>
                    </w:rPr>
                  </w:pPr>
                  <w:r>
                    <w:rPr>
                      <w:b/>
                      <w:bCs/>
                    </w:rPr>
                    <w:t>依托情况</w:t>
                  </w:r>
                </w:p>
              </w:tc>
              <w:tc>
                <w:tcPr>
                  <w:tcW w:w="2338" w:type="pct"/>
                  <w:vAlign w:val="center"/>
                </w:tcPr>
                <w:p>
                  <w:pPr>
                    <w:pStyle w:val="52"/>
                    <w:rPr>
                      <w:b/>
                      <w:bCs/>
                    </w:rPr>
                  </w:pPr>
                  <w:r>
                    <w:rPr>
                      <w:b/>
                      <w:bCs/>
                    </w:rPr>
                    <w:t>依托可行性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450" w:type="pct"/>
                  <w:vAlign w:val="center"/>
                </w:tcPr>
                <w:p>
                  <w:pPr>
                    <w:pStyle w:val="52"/>
                  </w:pPr>
                  <w:r>
                    <w:rPr>
                      <w:rFonts w:hint="eastAsia"/>
                    </w:rPr>
                    <w:t>主体工程</w:t>
                  </w:r>
                </w:p>
              </w:tc>
              <w:tc>
                <w:tcPr>
                  <w:tcW w:w="713" w:type="pct"/>
                  <w:vAlign w:val="center"/>
                </w:tcPr>
                <w:p>
                  <w:pPr>
                    <w:pStyle w:val="52"/>
                  </w:pPr>
                  <w:r>
                    <w:rPr>
                      <w:rFonts w:hint="eastAsia"/>
                    </w:rPr>
                    <w:t>生产厂房、办公楼</w:t>
                  </w:r>
                </w:p>
              </w:tc>
              <w:tc>
                <w:tcPr>
                  <w:tcW w:w="1499" w:type="pct"/>
                  <w:vAlign w:val="center"/>
                </w:tcPr>
                <w:p>
                  <w:pPr>
                    <w:pStyle w:val="52"/>
                  </w:pPr>
                  <w:r>
                    <w:rPr>
                      <w:rFonts w:hint="eastAsia"/>
                    </w:rPr>
                    <w:t>租用重庆绅鹏商业运营管理有限公司已建厂房及办公室生产</w:t>
                  </w:r>
                </w:p>
              </w:tc>
              <w:tc>
                <w:tcPr>
                  <w:tcW w:w="2338" w:type="pct"/>
                  <w:vAlign w:val="center"/>
                </w:tcPr>
                <w:p>
                  <w:pPr>
                    <w:pStyle w:val="52"/>
                  </w:pPr>
                  <w:r>
                    <w:rPr>
                      <w:rFonts w:hint="eastAsia"/>
                    </w:rPr>
                    <w:t>厂房及办公室租赁前为闲置状态，不存在遗留环境问题，依托可行。</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450" w:type="pct"/>
                  <w:vMerge w:val="restart"/>
                  <w:vAlign w:val="center"/>
                </w:tcPr>
                <w:p>
                  <w:pPr>
                    <w:pStyle w:val="52"/>
                  </w:pPr>
                  <w:r>
                    <w:t>公用工程</w:t>
                  </w:r>
                </w:p>
              </w:tc>
              <w:tc>
                <w:tcPr>
                  <w:tcW w:w="713" w:type="pct"/>
                  <w:vAlign w:val="center"/>
                </w:tcPr>
                <w:p>
                  <w:pPr>
                    <w:pStyle w:val="52"/>
                  </w:pPr>
                  <w:r>
                    <w:t>给水</w:t>
                  </w:r>
                </w:p>
              </w:tc>
              <w:tc>
                <w:tcPr>
                  <w:tcW w:w="1499" w:type="pct"/>
                  <w:vAlign w:val="center"/>
                </w:tcPr>
                <w:p>
                  <w:pPr>
                    <w:pStyle w:val="52"/>
                  </w:pPr>
                  <w:r>
                    <w:t>依托已建厂房供水管网</w:t>
                  </w:r>
                </w:p>
              </w:tc>
              <w:tc>
                <w:tcPr>
                  <w:tcW w:w="2338" w:type="pct"/>
                  <w:vAlign w:val="center"/>
                </w:tcPr>
                <w:p>
                  <w:pPr>
                    <w:pStyle w:val="52"/>
                  </w:pPr>
                  <w:r>
                    <w:rPr>
                      <w:rFonts w:hint="eastAsia"/>
                    </w:rPr>
                    <w:t>园</w:t>
                  </w:r>
                  <w:r>
                    <w:t>区供水管网已建成，依托可行</w:t>
                  </w:r>
                  <w:r>
                    <w:rPr>
                      <w:rFonts w:hint="eastAsia"/>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23" w:hRule="atLeast"/>
              </w:trPr>
              <w:tc>
                <w:tcPr>
                  <w:tcW w:w="450" w:type="pct"/>
                  <w:vMerge w:val="continue"/>
                  <w:vAlign w:val="center"/>
                </w:tcPr>
                <w:p>
                  <w:pPr>
                    <w:pStyle w:val="52"/>
                  </w:pPr>
                </w:p>
              </w:tc>
              <w:tc>
                <w:tcPr>
                  <w:tcW w:w="713" w:type="pct"/>
                  <w:vAlign w:val="center"/>
                </w:tcPr>
                <w:p>
                  <w:pPr>
                    <w:pStyle w:val="52"/>
                  </w:pPr>
                  <w:r>
                    <w:t>排水</w:t>
                  </w:r>
                </w:p>
              </w:tc>
              <w:tc>
                <w:tcPr>
                  <w:tcW w:w="1499" w:type="pct"/>
                  <w:vAlign w:val="center"/>
                </w:tcPr>
                <w:p>
                  <w:pPr>
                    <w:pStyle w:val="52"/>
                  </w:pPr>
                  <w:r>
                    <w:t>雨污分流，生活污水依托厂区</w:t>
                  </w:r>
                  <w:r>
                    <w:rPr>
                      <w:rFonts w:hint="eastAsia"/>
                    </w:rPr>
                    <w:t>生化池</w:t>
                  </w:r>
                  <w:r>
                    <w:t>处理后进入园区污水管网</w:t>
                  </w:r>
                  <w:r>
                    <w:rPr>
                      <w:rFonts w:hint="eastAsia"/>
                    </w:rPr>
                    <w:t>。</w:t>
                  </w:r>
                </w:p>
              </w:tc>
              <w:tc>
                <w:tcPr>
                  <w:tcW w:w="2338" w:type="pct"/>
                  <w:vAlign w:val="center"/>
                </w:tcPr>
                <w:p>
                  <w:pPr>
                    <w:pStyle w:val="52"/>
                  </w:pPr>
                  <w:r>
                    <w:rPr>
                      <w:rFonts w:hint="eastAsia"/>
                    </w:rPr>
                    <w:t>园区</w:t>
                  </w:r>
                  <w:r>
                    <w:t>雨、污管网、</w:t>
                  </w:r>
                  <w:r>
                    <w:rPr>
                      <w:rFonts w:hint="eastAsia"/>
                    </w:rPr>
                    <w:t>生化池</w:t>
                  </w:r>
                  <w:r>
                    <w:t>均已建成</w:t>
                  </w:r>
                  <w:r>
                    <w:rPr>
                      <w:rFonts w:hint="eastAsia"/>
                    </w:rPr>
                    <w:t>，</w:t>
                  </w:r>
                  <w:r>
                    <w:t>依托可行</w:t>
                  </w:r>
                  <w:r>
                    <w:rPr>
                      <w:rFonts w:hint="eastAsia"/>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450" w:type="pct"/>
                  <w:vMerge w:val="continue"/>
                  <w:vAlign w:val="center"/>
                </w:tcPr>
                <w:p>
                  <w:pPr>
                    <w:pStyle w:val="52"/>
                  </w:pPr>
                </w:p>
              </w:tc>
              <w:tc>
                <w:tcPr>
                  <w:tcW w:w="713" w:type="pct"/>
                  <w:vAlign w:val="center"/>
                </w:tcPr>
                <w:p>
                  <w:pPr>
                    <w:pStyle w:val="52"/>
                  </w:pPr>
                  <w:r>
                    <w:t>供电</w:t>
                  </w:r>
                </w:p>
              </w:tc>
              <w:tc>
                <w:tcPr>
                  <w:tcW w:w="1499" w:type="pct"/>
                  <w:vAlign w:val="center"/>
                </w:tcPr>
                <w:p>
                  <w:pPr>
                    <w:pStyle w:val="52"/>
                  </w:pPr>
                  <w:r>
                    <w:t>依托</w:t>
                  </w:r>
                  <w:r>
                    <w:rPr>
                      <w:rFonts w:hint="eastAsia"/>
                    </w:rPr>
                    <w:t>园区</w:t>
                  </w:r>
                  <w:r>
                    <w:t>现有配电室</w:t>
                  </w:r>
                </w:p>
              </w:tc>
              <w:tc>
                <w:tcPr>
                  <w:tcW w:w="2338" w:type="pct"/>
                  <w:vAlign w:val="center"/>
                </w:tcPr>
                <w:p>
                  <w:pPr>
                    <w:pStyle w:val="52"/>
                  </w:pPr>
                  <w:r>
                    <w:rPr>
                      <w:rFonts w:hint="eastAsia"/>
                    </w:rPr>
                    <w:t>园</w:t>
                  </w:r>
                  <w:r>
                    <w:t>区设有配电室，电网能接入</w:t>
                  </w:r>
                  <w:r>
                    <w:rPr>
                      <w:rFonts w:hint="eastAsia"/>
                    </w:rPr>
                    <w:t>所在园区</w:t>
                  </w:r>
                  <w:r>
                    <w:t>内，能满足本项目用电需求，依托可行</w:t>
                  </w:r>
                  <w:r>
                    <w:rPr>
                      <w:rFonts w:hint="eastAsia"/>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450" w:type="pct"/>
                  <w:vAlign w:val="center"/>
                </w:tcPr>
                <w:p>
                  <w:pPr>
                    <w:pStyle w:val="52"/>
                  </w:pPr>
                  <w:r>
                    <w:t>环保工程</w:t>
                  </w:r>
                </w:p>
              </w:tc>
              <w:tc>
                <w:tcPr>
                  <w:tcW w:w="713" w:type="pct"/>
                  <w:vAlign w:val="center"/>
                </w:tcPr>
                <w:p>
                  <w:pPr>
                    <w:pStyle w:val="52"/>
                  </w:pPr>
                  <w:r>
                    <w:rPr>
                      <w:rFonts w:hint="eastAsia"/>
                    </w:rPr>
                    <w:t>废水</w:t>
                  </w:r>
                  <w:r>
                    <w:t>处理设施</w:t>
                  </w:r>
                </w:p>
              </w:tc>
              <w:tc>
                <w:tcPr>
                  <w:tcW w:w="1499" w:type="pct"/>
                  <w:vAlign w:val="center"/>
                </w:tcPr>
                <w:p>
                  <w:pPr>
                    <w:pStyle w:val="52"/>
                  </w:pPr>
                  <w:r>
                    <w:rPr>
                      <w:rFonts w:hint="eastAsia"/>
                    </w:rPr>
                    <w:t>生活污水</w:t>
                  </w:r>
                  <w:r>
                    <w:t>依托</w:t>
                  </w:r>
                  <w:r>
                    <w:rPr>
                      <w:rFonts w:hint="eastAsia"/>
                    </w:rPr>
                    <w:t>园</w:t>
                  </w:r>
                  <w:r>
                    <w:t>区</w:t>
                  </w:r>
                  <w:r>
                    <w:rPr>
                      <w:rFonts w:hint="eastAsia"/>
                    </w:rPr>
                    <w:t>生化池</w:t>
                  </w:r>
                </w:p>
              </w:tc>
              <w:tc>
                <w:tcPr>
                  <w:tcW w:w="2338" w:type="pct"/>
                  <w:vAlign w:val="center"/>
                </w:tcPr>
                <w:p>
                  <w:pPr>
                    <w:pStyle w:val="52"/>
                  </w:pPr>
                  <w:r>
                    <w:rPr>
                      <w:rFonts w:hint="eastAsia"/>
                    </w:rPr>
                    <w:t>园区</w:t>
                  </w:r>
                  <w:r>
                    <w:t>已建1座</w:t>
                  </w:r>
                  <w:r>
                    <w:rPr>
                      <w:rFonts w:hint="eastAsia"/>
                    </w:rPr>
                    <w:t>处理规模</w:t>
                  </w:r>
                  <w:r>
                    <w:t>100m</w:t>
                  </w:r>
                  <w:r>
                    <w:rPr>
                      <w:vertAlign w:val="superscript"/>
                    </w:rPr>
                    <w:t>3</w:t>
                  </w:r>
                  <w:r>
                    <w:t>/d的</w:t>
                  </w:r>
                  <w:r>
                    <w:rPr>
                      <w:rFonts w:hint="eastAsia"/>
                    </w:rPr>
                    <w:t>生化池</w:t>
                  </w:r>
                  <w:r>
                    <w:t>，</w:t>
                  </w:r>
                  <w:r>
                    <w:rPr>
                      <w:rFonts w:hint="eastAsia"/>
                    </w:rPr>
                    <w:t>已通过环保竣工验收，经现场调查目前富余</w:t>
                  </w:r>
                  <w:r>
                    <w:t>20m</w:t>
                  </w:r>
                  <w:r>
                    <w:rPr>
                      <w:vertAlign w:val="superscript"/>
                    </w:rPr>
                    <w:t>3</w:t>
                  </w:r>
                  <w:r>
                    <w:t>/d的处理能力，</w:t>
                  </w:r>
                  <w:r>
                    <w:rPr>
                      <w:rFonts w:hint="eastAsia"/>
                    </w:rPr>
                    <w:t>本项目废水最大日排放量</w:t>
                  </w:r>
                  <w:r>
                    <w:t>0.99m</w:t>
                  </w:r>
                  <w:r>
                    <w:rPr>
                      <w:vertAlign w:val="superscript"/>
                    </w:rPr>
                    <w:t>3</w:t>
                  </w:r>
                  <w:r>
                    <w:t>，其污染因</w:t>
                  </w:r>
                  <w:r>
                    <w:rPr>
                      <w:rFonts w:hint="eastAsia"/>
                    </w:rPr>
                    <w:t>子与该生化池处理的水质一致，具有富余能力接纳本项目废水，产生的废水能处理达标，依托可行。</w:t>
                  </w:r>
                </w:p>
              </w:tc>
            </w:tr>
          </w:tbl>
          <w:p>
            <w:pPr>
              <w:pStyle w:val="82"/>
              <w:ind w:firstLine="482"/>
              <w:rPr>
                <w:b/>
                <w:bCs/>
              </w:rPr>
            </w:pPr>
            <w:r>
              <w:rPr>
                <w:rFonts w:hint="eastAsia"/>
                <w:b/>
                <w:bCs/>
              </w:rPr>
              <w:t>6、主要生产设备</w:t>
            </w:r>
          </w:p>
          <w:p>
            <w:pPr>
              <w:pStyle w:val="82"/>
            </w:pPr>
            <w:r>
              <w:t>对照国家发改委2019年第29号令《产业结构调整指导目录》、工信部《高耗能落后机电设备（产品）淘汰目录》（第一</w:t>
            </w:r>
            <w:r>
              <w:rPr>
                <w:rFonts w:hint="eastAsia"/>
              </w:rPr>
              <w:t>至第四</w:t>
            </w:r>
            <w:r>
              <w:t>批）及工信部工产业[2010]第122号《部分工业行业淘汰落后生产工艺装备和产品指导目录》</w:t>
            </w:r>
            <w:r>
              <w:rPr>
                <w:rFonts w:hint="eastAsia"/>
              </w:rPr>
              <w:t>，</w:t>
            </w:r>
            <w:r>
              <w:t>本项目所用设备均不属于淘汰</w:t>
            </w:r>
            <w:r>
              <w:rPr>
                <w:rFonts w:hint="eastAsia"/>
              </w:rPr>
              <w:t>、限制、</w:t>
            </w:r>
            <w:r>
              <w:t>落后设备</w:t>
            </w:r>
            <w:r>
              <w:rPr>
                <w:rFonts w:hint="eastAsia"/>
              </w:rPr>
              <w:t>。</w:t>
            </w:r>
          </w:p>
          <w:p>
            <w:pPr>
              <w:pStyle w:val="83"/>
            </w:pPr>
            <w:r>
              <w:t>表</w:t>
            </w:r>
            <w:r>
              <w:rPr>
                <w:rFonts w:hint="eastAsia"/>
              </w:rPr>
              <w:t>2</w:t>
            </w:r>
            <w:r>
              <w:t>-4  项目主要生产设备一览表</w:t>
            </w:r>
          </w:p>
          <w:tbl>
            <w:tblPr>
              <w:tblStyle w:val="24"/>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089"/>
              <w:gridCol w:w="2267"/>
              <w:gridCol w:w="763"/>
              <w:gridCol w:w="758"/>
              <w:gridCol w:w="236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67" w:type="pct"/>
                  <w:vAlign w:val="center"/>
                </w:tcPr>
                <w:p>
                  <w:pPr>
                    <w:jc w:val="center"/>
                    <w:rPr>
                      <w:b/>
                      <w:bCs/>
                    </w:rPr>
                  </w:pPr>
                  <w:r>
                    <w:rPr>
                      <w:b/>
                      <w:bCs/>
                    </w:rPr>
                    <w:t>设备名称</w:t>
                  </w:r>
                </w:p>
              </w:tc>
              <w:tc>
                <w:tcPr>
                  <w:tcW w:w="1375" w:type="pct"/>
                  <w:vAlign w:val="center"/>
                </w:tcPr>
                <w:p>
                  <w:pPr>
                    <w:jc w:val="center"/>
                    <w:rPr>
                      <w:b/>
                      <w:bCs/>
                    </w:rPr>
                  </w:pPr>
                  <w:r>
                    <w:rPr>
                      <w:b/>
                      <w:bCs/>
                    </w:rPr>
                    <w:t>型号</w:t>
                  </w:r>
                </w:p>
              </w:tc>
              <w:tc>
                <w:tcPr>
                  <w:tcW w:w="463" w:type="pct"/>
                  <w:tcBorders>
                    <w:right w:val="single" w:color="auto" w:sz="4" w:space="0"/>
                  </w:tcBorders>
                  <w:vAlign w:val="center"/>
                </w:tcPr>
                <w:p>
                  <w:pPr>
                    <w:jc w:val="center"/>
                    <w:rPr>
                      <w:b/>
                      <w:bCs/>
                    </w:rPr>
                  </w:pPr>
                  <w:r>
                    <w:rPr>
                      <w:b/>
                      <w:bCs/>
                    </w:rPr>
                    <w:t>单位</w:t>
                  </w:r>
                </w:p>
              </w:tc>
              <w:tc>
                <w:tcPr>
                  <w:tcW w:w="460" w:type="pct"/>
                  <w:tcBorders>
                    <w:left w:val="single" w:color="auto" w:sz="4" w:space="0"/>
                  </w:tcBorders>
                  <w:vAlign w:val="center"/>
                </w:tcPr>
                <w:p>
                  <w:pPr>
                    <w:jc w:val="center"/>
                    <w:rPr>
                      <w:b/>
                      <w:bCs/>
                    </w:rPr>
                  </w:pPr>
                  <w:r>
                    <w:rPr>
                      <w:b/>
                      <w:bCs/>
                    </w:rPr>
                    <w:t>数量</w:t>
                  </w:r>
                </w:p>
              </w:tc>
              <w:tc>
                <w:tcPr>
                  <w:tcW w:w="1435" w:type="pct"/>
                  <w:vAlign w:val="center"/>
                </w:tcPr>
                <w:p>
                  <w:pPr>
                    <w:jc w:val="center"/>
                    <w:rPr>
                      <w:b/>
                      <w:bCs/>
                    </w:rPr>
                  </w:pPr>
                  <w:r>
                    <w:rPr>
                      <w:rFonts w:hint="eastAsia"/>
                      <w:b/>
                      <w:bCs/>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67" w:type="pct"/>
                  <w:vAlign w:val="center"/>
                </w:tcPr>
                <w:p>
                  <w:pPr>
                    <w:jc w:val="center"/>
                  </w:pPr>
                  <w:bookmarkStart w:id="5" w:name="_Hlk101192521"/>
                  <w:r>
                    <w:rPr>
                      <w:rFonts w:hint="eastAsia"/>
                    </w:rPr>
                    <w:t>搅拌机</w:t>
                  </w:r>
                </w:p>
              </w:tc>
              <w:tc>
                <w:tcPr>
                  <w:tcW w:w="1375" w:type="pct"/>
                  <w:vAlign w:val="center"/>
                </w:tcPr>
                <w:p>
                  <w:pPr>
                    <w:jc w:val="center"/>
                  </w:pPr>
                  <w:r>
                    <w:rPr>
                      <w:rFonts w:hint="eastAsia"/>
                    </w:rPr>
                    <w:t>1</w:t>
                  </w:r>
                  <w:r>
                    <w:t>8</w:t>
                  </w:r>
                  <w:r>
                    <w:rPr>
                      <w:rFonts w:hint="eastAsia"/>
                    </w:rPr>
                    <w:t>寸</w:t>
                  </w:r>
                </w:p>
              </w:tc>
              <w:tc>
                <w:tcPr>
                  <w:tcW w:w="463" w:type="pct"/>
                  <w:tcBorders>
                    <w:right w:val="single" w:color="auto" w:sz="4" w:space="0"/>
                  </w:tcBorders>
                  <w:vAlign w:val="center"/>
                </w:tcPr>
                <w:p>
                  <w:pPr>
                    <w:jc w:val="center"/>
                  </w:pPr>
                  <w:r>
                    <w:rPr>
                      <w:rFonts w:hint="eastAsia"/>
                    </w:rPr>
                    <w:t>台</w:t>
                  </w:r>
                </w:p>
              </w:tc>
              <w:tc>
                <w:tcPr>
                  <w:tcW w:w="460" w:type="pct"/>
                  <w:tcBorders>
                    <w:left w:val="single" w:color="auto" w:sz="4" w:space="0"/>
                  </w:tcBorders>
                  <w:vAlign w:val="center"/>
                </w:tcPr>
                <w:p>
                  <w:pPr>
                    <w:jc w:val="center"/>
                  </w:pPr>
                  <w:r>
                    <w:t>5</w:t>
                  </w:r>
                </w:p>
              </w:tc>
              <w:tc>
                <w:tcPr>
                  <w:tcW w:w="1435" w:type="pct"/>
                  <w:vAlign w:val="center"/>
                </w:tcPr>
                <w:p>
                  <w:pPr>
                    <w:jc w:val="center"/>
                  </w:pPr>
                  <w: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67" w:type="pct"/>
                  <w:vAlign w:val="center"/>
                </w:tcPr>
                <w:p>
                  <w:pPr>
                    <w:jc w:val="center"/>
                  </w:pPr>
                  <w:r>
                    <w:rPr>
                      <w:rFonts w:hint="eastAsia"/>
                    </w:rPr>
                    <w:t>搅拌机</w:t>
                  </w:r>
                </w:p>
              </w:tc>
              <w:tc>
                <w:tcPr>
                  <w:tcW w:w="1375" w:type="pct"/>
                  <w:vAlign w:val="center"/>
                </w:tcPr>
                <w:p>
                  <w:pPr>
                    <w:jc w:val="center"/>
                  </w:pPr>
                  <w:r>
                    <w:t>6</w:t>
                  </w:r>
                  <w:r>
                    <w:rPr>
                      <w:rFonts w:hint="eastAsia"/>
                    </w:rPr>
                    <w:t>寸</w:t>
                  </w:r>
                </w:p>
              </w:tc>
              <w:tc>
                <w:tcPr>
                  <w:tcW w:w="463" w:type="pct"/>
                  <w:tcBorders>
                    <w:right w:val="single" w:color="auto" w:sz="4" w:space="0"/>
                  </w:tcBorders>
                  <w:vAlign w:val="center"/>
                </w:tcPr>
                <w:p>
                  <w:pPr>
                    <w:jc w:val="center"/>
                  </w:pPr>
                  <w:r>
                    <w:rPr>
                      <w:rFonts w:hint="eastAsia"/>
                    </w:rPr>
                    <w:t>台</w:t>
                  </w:r>
                </w:p>
              </w:tc>
              <w:tc>
                <w:tcPr>
                  <w:tcW w:w="460" w:type="pct"/>
                  <w:tcBorders>
                    <w:left w:val="single" w:color="auto" w:sz="4" w:space="0"/>
                  </w:tcBorders>
                  <w:vAlign w:val="center"/>
                </w:tcPr>
                <w:p>
                  <w:pPr>
                    <w:jc w:val="center"/>
                  </w:pPr>
                  <w:r>
                    <w:t>1</w:t>
                  </w:r>
                </w:p>
              </w:tc>
              <w:tc>
                <w:tcPr>
                  <w:tcW w:w="1435" w:type="pct"/>
                  <w:vAlign w:val="center"/>
                </w:tcPr>
                <w:p>
                  <w:pPr>
                    <w:jc w:val="center"/>
                  </w:pPr>
                  <w: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1267" w:type="pct"/>
                  <w:vAlign w:val="center"/>
                </w:tcPr>
                <w:p>
                  <w:pPr>
                    <w:jc w:val="center"/>
                  </w:pPr>
                  <w:r>
                    <w:rPr>
                      <w:rFonts w:hint="eastAsia"/>
                    </w:rPr>
                    <w:t>双螺杆挤出机</w:t>
                  </w:r>
                </w:p>
              </w:tc>
              <w:tc>
                <w:tcPr>
                  <w:tcW w:w="1375" w:type="pct"/>
                  <w:vAlign w:val="center"/>
                </w:tcPr>
                <w:p>
                  <w:pPr>
                    <w:jc w:val="center"/>
                  </w:pPr>
                  <w:r>
                    <w:t>/</w:t>
                  </w:r>
                </w:p>
              </w:tc>
              <w:tc>
                <w:tcPr>
                  <w:tcW w:w="463" w:type="pct"/>
                  <w:tcBorders>
                    <w:right w:val="single" w:color="auto" w:sz="4" w:space="0"/>
                  </w:tcBorders>
                  <w:vAlign w:val="center"/>
                </w:tcPr>
                <w:p>
                  <w:pPr>
                    <w:jc w:val="center"/>
                  </w:pPr>
                  <w:r>
                    <w:t>台</w:t>
                  </w:r>
                </w:p>
              </w:tc>
              <w:tc>
                <w:tcPr>
                  <w:tcW w:w="460" w:type="pct"/>
                  <w:tcBorders>
                    <w:left w:val="single" w:color="auto" w:sz="4" w:space="0"/>
                  </w:tcBorders>
                  <w:vAlign w:val="center"/>
                </w:tcPr>
                <w:p>
                  <w:pPr>
                    <w:jc w:val="center"/>
                  </w:pPr>
                  <w:r>
                    <w:t>4</w:t>
                  </w:r>
                </w:p>
              </w:tc>
              <w:tc>
                <w:tcPr>
                  <w:tcW w:w="1435" w:type="pct"/>
                  <w:vAlign w:val="center"/>
                </w:tcPr>
                <w:p>
                  <w:pPr>
                    <w:jc w:val="center"/>
                  </w:pPr>
                  <w:r>
                    <w:rPr>
                      <w:rFonts w:hint="eastAsia"/>
                    </w:rPr>
                    <w:t>最大产能：</w:t>
                  </w:r>
                  <w:r>
                    <w:t>200</w:t>
                  </w:r>
                  <w:r>
                    <w:rPr>
                      <w:rFonts w:hint="eastAsia"/>
                    </w:rPr>
                    <w:t>kg</w:t>
                  </w:r>
                  <w:r>
                    <w:t>/</w:t>
                  </w:r>
                  <w:r>
                    <w:rPr>
                      <w:rFonts w:hint="eastAsia"/>
                    </w:rPr>
                    <w:t>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67" w:type="pct"/>
                  <w:vAlign w:val="center"/>
                </w:tcPr>
                <w:p>
                  <w:pPr>
                    <w:jc w:val="center"/>
                  </w:pPr>
                  <w:r>
                    <w:rPr>
                      <w:rFonts w:hint="eastAsia"/>
                    </w:rPr>
                    <w:t>切粒机</w:t>
                  </w:r>
                </w:p>
              </w:tc>
              <w:tc>
                <w:tcPr>
                  <w:tcW w:w="1375" w:type="pct"/>
                  <w:vAlign w:val="center"/>
                </w:tcPr>
                <w:p>
                  <w:pPr>
                    <w:jc w:val="center"/>
                  </w:pPr>
                  <w:r>
                    <w:rPr>
                      <w:rFonts w:hint="eastAsia"/>
                    </w:rPr>
                    <w:t>/</w:t>
                  </w:r>
                </w:p>
              </w:tc>
              <w:tc>
                <w:tcPr>
                  <w:tcW w:w="463" w:type="pct"/>
                  <w:tcBorders>
                    <w:right w:val="single" w:color="auto" w:sz="4" w:space="0"/>
                  </w:tcBorders>
                  <w:vAlign w:val="center"/>
                </w:tcPr>
                <w:p>
                  <w:pPr>
                    <w:jc w:val="center"/>
                  </w:pPr>
                  <w:r>
                    <w:rPr>
                      <w:rFonts w:hint="eastAsia"/>
                    </w:rPr>
                    <w:t>套</w:t>
                  </w:r>
                </w:p>
              </w:tc>
              <w:tc>
                <w:tcPr>
                  <w:tcW w:w="460" w:type="pct"/>
                  <w:tcBorders>
                    <w:left w:val="single" w:color="auto" w:sz="4" w:space="0"/>
                  </w:tcBorders>
                  <w:vAlign w:val="center"/>
                </w:tcPr>
                <w:p>
                  <w:pPr>
                    <w:jc w:val="center"/>
                  </w:pPr>
                  <w:r>
                    <w:rPr>
                      <w:rFonts w:hint="eastAsia"/>
                    </w:rPr>
                    <w:t>4</w:t>
                  </w:r>
                </w:p>
              </w:tc>
              <w:tc>
                <w:tcPr>
                  <w:tcW w:w="1435" w:type="pct"/>
                  <w:vAlign w:val="center"/>
                </w:tcPr>
                <w:p>
                  <w:pPr>
                    <w:jc w:val="center"/>
                  </w:pPr>
                  <w:r>
                    <w:rPr>
                      <w:rFonts w:hint="eastAsia"/>
                    </w:rPr>
                    <w:t>最大产能：</w:t>
                  </w:r>
                  <w:r>
                    <w:t>200</w:t>
                  </w:r>
                  <w:r>
                    <w:rPr>
                      <w:rFonts w:hint="eastAsia"/>
                    </w:rPr>
                    <w:t>kg</w:t>
                  </w:r>
                  <w:r>
                    <w:t>/</w:t>
                  </w:r>
                  <w:r>
                    <w:rPr>
                      <w:rFonts w:hint="eastAsia"/>
                    </w:rPr>
                    <w:t>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67" w:type="pct"/>
                  <w:vAlign w:val="center"/>
                </w:tcPr>
                <w:p>
                  <w:pPr>
                    <w:jc w:val="center"/>
                  </w:pPr>
                  <w:r>
                    <w:rPr>
                      <w:rFonts w:hint="eastAsia"/>
                    </w:rPr>
                    <w:t>冷却系统</w:t>
                  </w:r>
                </w:p>
              </w:tc>
              <w:tc>
                <w:tcPr>
                  <w:tcW w:w="1375" w:type="pct"/>
                  <w:vAlign w:val="center"/>
                </w:tcPr>
                <w:p>
                  <w:pPr>
                    <w:jc w:val="center"/>
                  </w:pPr>
                  <w:r>
                    <w:rPr>
                      <w:rFonts w:hint="eastAsia"/>
                    </w:rPr>
                    <w:t>/</w:t>
                  </w:r>
                </w:p>
              </w:tc>
              <w:tc>
                <w:tcPr>
                  <w:tcW w:w="463" w:type="pct"/>
                  <w:tcBorders>
                    <w:right w:val="single" w:color="auto" w:sz="4" w:space="0"/>
                  </w:tcBorders>
                  <w:vAlign w:val="center"/>
                </w:tcPr>
                <w:p>
                  <w:pPr>
                    <w:jc w:val="center"/>
                  </w:pPr>
                  <w:r>
                    <w:rPr>
                      <w:rFonts w:hint="eastAsia"/>
                    </w:rPr>
                    <w:t>套</w:t>
                  </w:r>
                </w:p>
              </w:tc>
              <w:tc>
                <w:tcPr>
                  <w:tcW w:w="460" w:type="pct"/>
                  <w:tcBorders>
                    <w:left w:val="single" w:color="auto" w:sz="4" w:space="0"/>
                  </w:tcBorders>
                  <w:vAlign w:val="center"/>
                </w:tcPr>
                <w:p>
                  <w:pPr>
                    <w:jc w:val="center"/>
                  </w:pPr>
                  <w:r>
                    <w:t>1</w:t>
                  </w:r>
                </w:p>
              </w:tc>
              <w:tc>
                <w:tcPr>
                  <w:tcW w:w="1435" w:type="pct"/>
                  <w:vAlign w:val="center"/>
                </w:tcPr>
                <w:p>
                  <w:pPr>
                    <w:wordWrap w:val="0"/>
                    <w:jc w:val="center"/>
                  </w:pPr>
                  <w:r>
                    <w:rPr>
                      <w:rFonts w:hint="eastAsia"/>
                    </w:rPr>
                    <w:t>循环水量：</w:t>
                  </w:r>
                  <w:r>
                    <w:t>8m</w:t>
                  </w:r>
                  <w:r>
                    <w:rPr>
                      <w:vertAlign w:val="superscript"/>
                    </w:rPr>
                    <w:t>3</w:t>
                  </w:r>
                  <w:r>
                    <w:t>/</w:t>
                  </w:r>
                  <w:r>
                    <w:rPr>
                      <w:rFonts w:hint="eastAsia"/>
                    </w:rPr>
                    <w:t>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67" w:type="pct"/>
                  <w:vAlign w:val="center"/>
                </w:tcPr>
                <w:p>
                  <w:pPr>
                    <w:jc w:val="center"/>
                  </w:pPr>
                  <w:r>
                    <w:rPr>
                      <w:rFonts w:hint="eastAsia"/>
                    </w:rPr>
                    <w:t>便携式油泵</w:t>
                  </w:r>
                </w:p>
              </w:tc>
              <w:tc>
                <w:tcPr>
                  <w:tcW w:w="1375" w:type="pct"/>
                  <w:vAlign w:val="center"/>
                </w:tcPr>
                <w:p>
                  <w:pPr>
                    <w:jc w:val="center"/>
                  </w:pPr>
                  <w:r>
                    <w:rPr>
                      <w:rFonts w:hint="eastAsia"/>
                    </w:rPr>
                    <w:t>/</w:t>
                  </w:r>
                </w:p>
              </w:tc>
              <w:tc>
                <w:tcPr>
                  <w:tcW w:w="463" w:type="pct"/>
                  <w:tcBorders>
                    <w:right w:val="single" w:color="auto" w:sz="4" w:space="0"/>
                  </w:tcBorders>
                  <w:vAlign w:val="center"/>
                </w:tcPr>
                <w:p>
                  <w:pPr>
                    <w:jc w:val="center"/>
                  </w:pPr>
                  <w:r>
                    <w:rPr>
                      <w:rFonts w:hint="eastAsia"/>
                    </w:rPr>
                    <w:t>台</w:t>
                  </w:r>
                </w:p>
              </w:tc>
              <w:tc>
                <w:tcPr>
                  <w:tcW w:w="460" w:type="pct"/>
                  <w:tcBorders>
                    <w:left w:val="single" w:color="auto" w:sz="4" w:space="0"/>
                  </w:tcBorders>
                  <w:vAlign w:val="center"/>
                </w:tcPr>
                <w:p>
                  <w:pPr>
                    <w:jc w:val="center"/>
                  </w:pPr>
                  <w:r>
                    <w:rPr>
                      <w:rFonts w:hint="eastAsia"/>
                    </w:rPr>
                    <w:t>1</w:t>
                  </w:r>
                </w:p>
              </w:tc>
              <w:tc>
                <w:tcPr>
                  <w:tcW w:w="1435" w:type="pct"/>
                  <w:vAlign w:val="center"/>
                </w:tcPr>
                <w:p>
                  <w:pPr>
                    <w:wordWrap w:val="0"/>
                    <w:jc w:val="center"/>
                  </w:pPr>
                  <w:r>
                    <w:rPr>
                      <w:rFonts w:hint="eastAsia"/>
                    </w:rPr>
                    <w:t>用于油料投加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1267" w:type="pct"/>
                  <w:vAlign w:val="center"/>
                </w:tcPr>
                <w:p>
                  <w:pPr>
                    <w:jc w:val="center"/>
                  </w:pPr>
                  <w:r>
                    <w:rPr>
                      <w:rFonts w:hint="eastAsia"/>
                    </w:rPr>
                    <w:t>空压机</w:t>
                  </w:r>
                </w:p>
              </w:tc>
              <w:tc>
                <w:tcPr>
                  <w:tcW w:w="1375" w:type="pct"/>
                  <w:vAlign w:val="center"/>
                </w:tcPr>
                <w:p>
                  <w:pPr>
                    <w:jc w:val="center"/>
                  </w:pPr>
                  <w:r>
                    <w:t>BLT-120A</w:t>
                  </w:r>
                </w:p>
              </w:tc>
              <w:tc>
                <w:tcPr>
                  <w:tcW w:w="463" w:type="pct"/>
                  <w:tcBorders>
                    <w:right w:val="single" w:color="auto" w:sz="4" w:space="0"/>
                  </w:tcBorders>
                  <w:vAlign w:val="center"/>
                </w:tcPr>
                <w:p>
                  <w:pPr>
                    <w:jc w:val="center"/>
                  </w:pPr>
                  <w:r>
                    <w:rPr>
                      <w:rFonts w:hint="eastAsia"/>
                    </w:rPr>
                    <w:t>台</w:t>
                  </w:r>
                </w:p>
              </w:tc>
              <w:tc>
                <w:tcPr>
                  <w:tcW w:w="460" w:type="pct"/>
                  <w:tcBorders>
                    <w:left w:val="single" w:color="auto" w:sz="4" w:space="0"/>
                  </w:tcBorders>
                  <w:vAlign w:val="center"/>
                </w:tcPr>
                <w:p>
                  <w:pPr>
                    <w:jc w:val="center"/>
                  </w:pPr>
                  <w:r>
                    <w:rPr>
                      <w:rFonts w:hint="eastAsia"/>
                    </w:rPr>
                    <w:t>1</w:t>
                  </w:r>
                </w:p>
              </w:tc>
              <w:tc>
                <w:tcPr>
                  <w:tcW w:w="1435" w:type="pct"/>
                  <w:vAlign w:val="center"/>
                </w:tcPr>
                <w:p>
                  <w:pPr>
                    <w:jc w:val="center"/>
                  </w:pPr>
                  <w:r>
                    <w:rPr>
                      <w:rFonts w:hint="eastAsia"/>
                    </w:rPr>
                    <w:t>供气能力：</w:t>
                  </w:r>
                  <w:r>
                    <w:t>12.0m</w:t>
                  </w:r>
                  <w:r>
                    <w:rPr>
                      <w:vertAlign w:val="superscript"/>
                    </w:rPr>
                    <w:t>3</w:t>
                  </w:r>
                  <w:r>
                    <w:t>/mi</w:t>
                  </w:r>
                  <w:r>
                    <w:rPr>
                      <w:rFonts w:hint="eastAsia"/>
                    </w:rPr>
                    <w:t>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67" w:type="pct"/>
                  <w:vAlign w:val="center"/>
                </w:tcPr>
                <w:p>
                  <w:pPr>
                    <w:jc w:val="center"/>
                  </w:pPr>
                  <w:r>
                    <w:rPr>
                      <w:rFonts w:hint="eastAsia"/>
                    </w:rPr>
                    <w:t>手持式缝包机</w:t>
                  </w:r>
                </w:p>
              </w:tc>
              <w:tc>
                <w:tcPr>
                  <w:tcW w:w="1375" w:type="pct"/>
                  <w:vAlign w:val="center"/>
                </w:tcPr>
                <w:p>
                  <w:pPr>
                    <w:jc w:val="center"/>
                  </w:pPr>
                  <w:r>
                    <w:rPr>
                      <w:rFonts w:hint="eastAsia"/>
                    </w:rPr>
                    <w:t>/</w:t>
                  </w:r>
                </w:p>
              </w:tc>
              <w:tc>
                <w:tcPr>
                  <w:tcW w:w="463" w:type="pct"/>
                  <w:tcBorders>
                    <w:right w:val="single" w:color="auto" w:sz="4" w:space="0"/>
                  </w:tcBorders>
                  <w:vAlign w:val="center"/>
                </w:tcPr>
                <w:p>
                  <w:pPr>
                    <w:jc w:val="center"/>
                  </w:pPr>
                  <w:r>
                    <w:rPr>
                      <w:rFonts w:hint="eastAsia"/>
                    </w:rPr>
                    <w:t>台</w:t>
                  </w:r>
                </w:p>
              </w:tc>
              <w:tc>
                <w:tcPr>
                  <w:tcW w:w="460" w:type="pct"/>
                  <w:tcBorders>
                    <w:left w:val="single" w:color="auto" w:sz="4" w:space="0"/>
                  </w:tcBorders>
                  <w:vAlign w:val="center"/>
                </w:tcPr>
                <w:p>
                  <w:pPr>
                    <w:jc w:val="center"/>
                  </w:pPr>
                  <w:r>
                    <w:t>1</w:t>
                  </w:r>
                </w:p>
              </w:tc>
              <w:tc>
                <w:tcPr>
                  <w:tcW w:w="1435" w:type="pct"/>
                  <w:vAlign w:val="center"/>
                </w:tcPr>
                <w:p>
                  <w:pPr>
                    <w:jc w:val="center"/>
                  </w:pPr>
                  <w:r>
                    <w:rPr>
                      <w:rFonts w:hint="eastAsia"/>
                    </w:rPr>
                    <w:t>/</w:t>
                  </w:r>
                </w:p>
              </w:tc>
            </w:tr>
            <w:bookmarkEnd w:id="5"/>
          </w:tbl>
          <w:p>
            <w:pPr>
              <w:pStyle w:val="82"/>
              <w:ind w:firstLine="482"/>
              <w:rPr>
                <w:b/>
                <w:bCs/>
              </w:rPr>
            </w:pPr>
            <w:r>
              <w:rPr>
                <w:rFonts w:hint="eastAsia"/>
                <w:b/>
                <w:bCs/>
              </w:rPr>
              <w:t>产能分析：</w:t>
            </w:r>
          </w:p>
          <w:p>
            <w:pPr>
              <w:pStyle w:val="83"/>
            </w:pPr>
            <w:r>
              <w:rPr>
                <w:rFonts w:hint="eastAsia"/>
              </w:rPr>
              <w:t>表2</w:t>
            </w:r>
            <w:r>
              <w:t xml:space="preserve">-5  </w:t>
            </w:r>
            <w:r>
              <w:rPr>
                <w:rFonts w:hint="eastAsia"/>
              </w:rPr>
              <w:t>项目功能母粒产能核算表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3"/>
              <w:gridCol w:w="744"/>
              <w:gridCol w:w="1358"/>
              <w:gridCol w:w="1040"/>
              <w:gridCol w:w="1040"/>
              <w:gridCol w:w="1169"/>
              <w:gridCol w:w="1171"/>
              <w:gridCol w:w="9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51"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产品</w:t>
                  </w:r>
                </w:p>
              </w:tc>
              <w:tc>
                <w:tcPr>
                  <w:tcW w:w="451"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设备工序</w:t>
                  </w:r>
                </w:p>
              </w:tc>
              <w:tc>
                <w:tcPr>
                  <w:tcW w:w="824"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最大同时开启设备数</w:t>
                  </w:r>
                </w:p>
              </w:tc>
              <w:tc>
                <w:tcPr>
                  <w:tcW w:w="631"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单台生产能力</w:t>
                  </w:r>
                </w:p>
              </w:tc>
              <w:tc>
                <w:tcPr>
                  <w:tcW w:w="631"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生产时间（</w:t>
                  </w:r>
                  <w:r>
                    <w:t>h/a</w:t>
                  </w:r>
                  <w:r>
                    <w:rPr>
                      <w:rFonts w:hint="eastAsia"/>
                    </w:rPr>
                    <w:t>）</w:t>
                  </w:r>
                </w:p>
              </w:tc>
              <w:tc>
                <w:tcPr>
                  <w:tcW w:w="709"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最大产能（</w:t>
                  </w:r>
                  <w:r>
                    <w:t>t/a</w:t>
                  </w:r>
                  <w:r>
                    <w:rPr>
                      <w:rFonts w:hint="eastAsia"/>
                    </w:rPr>
                    <w:t>）</w:t>
                  </w:r>
                </w:p>
              </w:tc>
              <w:tc>
                <w:tcPr>
                  <w:tcW w:w="710"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设计产能（</w:t>
                  </w:r>
                  <w:r>
                    <w:t>t/a</w:t>
                  </w:r>
                  <w:r>
                    <w:rPr>
                      <w:rFonts w:hint="eastAsia"/>
                    </w:rPr>
                    <w:t>）</w:t>
                  </w:r>
                </w:p>
              </w:tc>
              <w:tc>
                <w:tcPr>
                  <w:tcW w:w="593"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是否满足产能要求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51"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功能母粒</w:t>
                  </w:r>
                </w:p>
              </w:tc>
              <w:tc>
                <w:tcPr>
                  <w:tcW w:w="451"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挤出机、切粒机</w:t>
                  </w:r>
                </w:p>
              </w:tc>
              <w:tc>
                <w:tcPr>
                  <w:tcW w:w="824" w:type="pct"/>
                  <w:tcBorders>
                    <w:top w:val="single" w:color="auto" w:sz="4" w:space="0"/>
                    <w:left w:val="single" w:color="auto" w:sz="4" w:space="0"/>
                    <w:bottom w:val="single" w:color="auto" w:sz="4" w:space="0"/>
                    <w:right w:val="single" w:color="auto" w:sz="4" w:space="0"/>
                  </w:tcBorders>
                  <w:vAlign w:val="center"/>
                </w:tcPr>
                <w:p>
                  <w:pPr>
                    <w:pStyle w:val="52"/>
                  </w:pPr>
                  <w:r>
                    <w:t>4</w:t>
                  </w:r>
                  <w:r>
                    <w:rPr>
                      <w:rFonts w:hint="eastAsia"/>
                    </w:rPr>
                    <w:t>套</w:t>
                  </w:r>
                </w:p>
              </w:tc>
              <w:tc>
                <w:tcPr>
                  <w:tcW w:w="631" w:type="pct"/>
                  <w:tcBorders>
                    <w:top w:val="single" w:color="auto" w:sz="4" w:space="0"/>
                    <w:left w:val="single" w:color="auto" w:sz="4" w:space="0"/>
                    <w:bottom w:val="single" w:color="auto" w:sz="4" w:space="0"/>
                    <w:right w:val="single" w:color="auto" w:sz="4" w:space="0"/>
                  </w:tcBorders>
                  <w:vAlign w:val="center"/>
                </w:tcPr>
                <w:p>
                  <w:pPr>
                    <w:pStyle w:val="52"/>
                  </w:pPr>
                  <w:r>
                    <w:t>200kg/h</w:t>
                  </w:r>
                </w:p>
              </w:tc>
              <w:tc>
                <w:tcPr>
                  <w:tcW w:w="631" w:type="pct"/>
                  <w:tcBorders>
                    <w:top w:val="single" w:color="auto" w:sz="4" w:space="0"/>
                    <w:left w:val="single" w:color="auto" w:sz="4" w:space="0"/>
                    <w:bottom w:val="single" w:color="auto" w:sz="4" w:space="0"/>
                    <w:right w:val="single" w:color="auto" w:sz="4" w:space="0"/>
                  </w:tcBorders>
                  <w:vAlign w:val="center"/>
                </w:tcPr>
                <w:p>
                  <w:pPr>
                    <w:pStyle w:val="52"/>
                  </w:pPr>
                  <w:r>
                    <w:t>3000</w:t>
                  </w:r>
                </w:p>
              </w:tc>
              <w:tc>
                <w:tcPr>
                  <w:tcW w:w="709" w:type="pct"/>
                  <w:tcBorders>
                    <w:top w:val="single" w:color="auto" w:sz="4" w:space="0"/>
                    <w:left w:val="single" w:color="auto" w:sz="4" w:space="0"/>
                    <w:bottom w:val="single" w:color="auto" w:sz="4" w:space="0"/>
                    <w:right w:val="single" w:color="auto" w:sz="4" w:space="0"/>
                  </w:tcBorders>
                  <w:vAlign w:val="center"/>
                </w:tcPr>
                <w:p>
                  <w:pPr>
                    <w:pStyle w:val="52"/>
                  </w:pPr>
                  <w:r>
                    <w:t>2400</w:t>
                  </w:r>
                </w:p>
              </w:tc>
              <w:tc>
                <w:tcPr>
                  <w:tcW w:w="710" w:type="pct"/>
                  <w:tcBorders>
                    <w:top w:val="single" w:color="auto" w:sz="4" w:space="0"/>
                    <w:left w:val="single" w:color="auto" w:sz="4" w:space="0"/>
                    <w:bottom w:val="single" w:color="auto" w:sz="4" w:space="0"/>
                    <w:right w:val="single" w:color="auto" w:sz="4" w:space="0"/>
                  </w:tcBorders>
                  <w:vAlign w:val="center"/>
                </w:tcPr>
                <w:p>
                  <w:pPr>
                    <w:pStyle w:val="52"/>
                  </w:pPr>
                  <w:r>
                    <w:t>2000</w:t>
                  </w:r>
                </w:p>
              </w:tc>
              <w:tc>
                <w:tcPr>
                  <w:tcW w:w="593"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满足</w:t>
                  </w:r>
                </w:p>
              </w:tc>
            </w:tr>
          </w:tbl>
          <w:p>
            <w:pPr>
              <w:pStyle w:val="82"/>
            </w:pPr>
          </w:p>
          <w:p>
            <w:pPr>
              <w:pStyle w:val="82"/>
              <w:ind w:firstLine="482"/>
              <w:rPr>
                <w:b/>
                <w:bCs/>
              </w:rPr>
            </w:pPr>
            <w:r>
              <w:rPr>
                <w:b/>
                <w:bCs/>
              </w:rPr>
              <w:t>7</w:t>
            </w:r>
            <w:r>
              <w:rPr>
                <w:rFonts w:hint="eastAsia"/>
                <w:b/>
                <w:bCs/>
              </w:rPr>
              <w:t>、主要原辅材料及能源消耗</w:t>
            </w:r>
          </w:p>
          <w:p>
            <w:pPr>
              <w:pStyle w:val="83"/>
            </w:pPr>
            <w:r>
              <w:t>表</w:t>
            </w:r>
            <w:r>
              <w:rPr>
                <w:rFonts w:hint="eastAsia"/>
              </w:rPr>
              <w:t>2</w:t>
            </w:r>
            <w:r>
              <w:t>-6  项目</w:t>
            </w:r>
            <w:r>
              <w:rPr>
                <w:rFonts w:hint="eastAsia"/>
              </w:rPr>
              <w:t>原辅材料消耗量</w:t>
            </w:r>
            <w:r>
              <w:t>一览表</w:t>
            </w:r>
          </w:p>
          <w:tbl>
            <w:tblPr>
              <w:tblStyle w:val="24"/>
              <w:tblW w:w="5000" w:type="pct"/>
              <w:jc w:val="center"/>
              <w:tblLayout w:type="autofit"/>
              <w:tblCellMar>
                <w:top w:w="0" w:type="dxa"/>
                <w:left w:w="0" w:type="dxa"/>
                <w:bottom w:w="0" w:type="dxa"/>
                <w:right w:w="0" w:type="dxa"/>
              </w:tblCellMar>
            </w:tblPr>
            <w:tblGrid>
              <w:gridCol w:w="658"/>
              <w:gridCol w:w="1404"/>
              <w:gridCol w:w="550"/>
              <w:gridCol w:w="971"/>
              <w:gridCol w:w="951"/>
              <w:gridCol w:w="916"/>
              <w:gridCol w:w="1004"/>
              <w:gridCol w:w="901"/>
              <w:gridCol w:w="898"/>
            </w:tblGrid>
            <w:tr>
              <w:tblPrEx>
                <w:tblCellMar>
                  <w:top w:w="0" w:type="dxa"/>
                  <w:left w:w="0" w:type="dxa"/>
                  <w:bottom w:w="0" w:type="dxa"/>
                  <w:right w:w="0" w:type="dxa"/>
                </w:tblCellMar>
              </w:tblPrEx>
              <w:trPr>
                <w:trHeight w:val="23" w:hRule="atLeast"/>
                <w:jc w:val="center"/>
              </w:trPr>
              <w:tc>
                <w:tcPr>
                  <w:tcW w:w="399" w:type="pct"/>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pStyle w:val="52"/>
                    <w:rPr>
                      <w:b/>
                      <w:bCs/>
                    </w:rPr>
                  </w:pPr>
                  <w:bookmarkStart w:id="6" w:name="_Hlk138149016"/>
                  <w:r>
                    <w:rPr>
                      <w:b/>
                      <w:bCs/>
                    </w:rPr>
                    <w:t>序号</w:t>
                  </w:r>
                </w:p>
              </w:tc>
              <w:tc>
                <w:tcPr>
                  <w:tcW w:w="851" w:type="pc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pStyle w:val="52"/>
                    <w:rPr>
                      <w:b/>
                      <w:bCs/>
                    </w:rPr>
                  </w:pPr>
                  <w:r>
                    <w:rPr>
                      <w:b/>
                      <w:bCs/>
                    </w:rPr>
                    <w:t>名称</w:t>
                  </w:r>
                </w:p>
              </w:tc>
              <w:tc>
                <w:tcPr>
                  <w:tcW w:w="333" w:type="pc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pStyle w:val="52"/>
                    <w:rPr>
                      <w:b/>
                      <w:bCs/>
                    </w:rPr>
                  </w:pPr>
                  <w:r>
                    <w:rPr>
                      <w:b/>
                      <w:bCs/>
                    </w:rPr>
                    <w:t>单位</w:t>
                  </w:r>
                </w:p>
              </w:tc>
              <w:tc>
                <w:tcPr>
                  <w:tcW w:w="588" w:type="pc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pStyle w:val="52"/>
                    <w:rPr>
                      <w:b/>
                      <w:bCs/>
                    </w:rPr>
                  </w:pPr>
                  <w:r>
                    <w:rPr>
                      <w:b/>
                      <w:bCs/>
                    </w:rPr>
                    <w:t>年消耗量</w:t>
                  </w:r>
                </w:p>
              </w:tc>
              <w:tc>
                <w:tcPr>
                  <w:tcW w:w="576" w:type="pct"/>
                  <w:tcBorders>
                    <w:top w:val="single" w:color="000000" w:sz="4" w:space="0"/>
                    <w:left w:val="nil"/>
                    <w:bottom w:val="single" w:color="000000" w:sz="4" w:space="0"/>
                    <w:right w:val="single" w:color="auto" w:sz="4" w:space="0"/>
                  </w:tcBorders>
                  <w:tcMar>
                    <w:top w:w="15" w:type="dxa"/>
                    <w:left w:w="15" w:type="dxa"/>
                    <w:bottom w:w="0" w:type="dxa"/>
                    <w:right w:w="15" w:type="dxa"/>
                  </w:tcMar>
                  <w:vAlign w:val="center"/>
                </w:tcPr>
                <w:p>
                  <w:pPr>
                    <w:pStyle w:val="52"/>
                    <w:rPr>
                      <w:b/>
                      <w:bCs/>
                    </w:rPr>
                  </w:pPr>
                  <w:r>
                    <w:rPr>
                      <w:b/>
                      <w:bCs/>
                    </w:rPr>
                    <w:t>包装规格</w:t>
                  </w:r>
                </w:p>
              </w:tc>
              <w:tc>
                <w:tcPr>
                  <w:tcW w:w="555" w:type="pct"/>
                  <w:tcBorders>
                    <w:top w:val="single" w:color="auto" w:sz="4" w:space="0"/>
                    <w:left w:val="single" w:color="auto" w:sz="4" w:space="0"/>
                    <w:bottom w:val="single" w:color="auto" w:sz="4" w:space="0"/>
                    <w:right w:val="single" w:color="auto" w:sz="4" w:space="0"/>
                  </w:tcBorders>
                  <w:vAlign w:val="center"/>
                </w:tcPr>
                <w:p>
                  <w:pPr>
                    <w:pStyle w:val="52"/>
                    <w:rPr>
                      <w:b/>
                      <w:bCs/>
                    </w:rPr>
                  </w:pPr>
                  <w:r>
                    <w:rPr>
                      <w:rFonts w:hint="eastAsia"/>
                      <w:b/>
                      <w:bCs/>
                    </w:rPr>
                    <w:t>性状状态</w:t>
                  </w:r>
                </w:p>
              </w:tc>
              <w:tc>
                <w:tcPr>
                  <w:tcW w:w="608"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52"/>
                    <w:rPr>
                      <w:b/>
                      <w:bCs/>
                    </w:rPr>
                  </w:pPr>
                  <w:r>
                    <w:rPr>
                      <w:b/>
                      <w:bCs/>
                    </w:rPr>
                    <w:t>最大存储量</w:t>
                  </w:r>
                </w:p>
              </w:tc>
              <w:tc>
                <w:tcPr>
                  <w:tcW w:w="546" w:type="pct"/>
                  <w:tcBorders>
                    <w:top w:val="single" w:color="000000" w:sz="4" w:space="0"/>
                    <w:left w:val="single" w:color="auto" w:sz="4" w:space="0"/>
                    <w:bottom w:val="single" w:color="000000" w:sz="4" w:space="0"/>
                    <w:right w:val="single" w:color="000000" w:sz="4" w:space="0"/>
                  </w:tcBorders>
                  <w:tcMar>
                    <w:top w:w="15" w:type="dxa"/>
                    <w:left w:w="15" w:type="dxa"/>
                    <w:bottom w:w="0" w:type="dxa"/>
                    <w:right w:w="15" w:type="dxa"/>
                  </w:tcMar>
                  <w:vAlign w:val="center"/>
                </w:tcPr>
                <w:p>
                  <w:pPr>
                    <w:pStyle w:val="52"/>
                    <w:rPr>
                      <w:b/>
                      <w:bCs/>
                    </w:rPr>
                  </w:pPr>
                  <w:r>
                    <w:rPr>
                      <w:b/>
                      <w:bCs/>
                    </w:rPr>
                    <w:t>用途</w:t>
                  </w:r>
                </w:p>
              </w:tc>
              <w:tc>
                <w:tcPr>
                  <w:tcW w:w="544" w:type="pct"/>
                  <w:tcBorders>
                    <w:top w:val="single" w:color="000000" w:sz="4" w:space="0"/>
                    <w:left w:val="nil"/>
                    <w:bottom w:val="single" w:color="000000" w:sz="4" w:space="0"/>
                    <w:right w:val="single" w:color="000000" w:sz="4" w:space="0"/>
                  </w:tcBorders>
                  <w:vAlign w:val="center"/>
                </w:tcPr>
                <w:p>
                  <w:pPr>
                    <w:pStyle w:val="52"/>
                    <w:rPr>
                      <w:b/>
                      <w:bCs/>
                    </w:rPr>
                  </w:pPr>
                  <w:r>
                    <w:rPr>
                      <w:rFonts w:hint="eastAsia"/>
                      <w:b/>
                      <w:bCs/>
                    </w:rPr>
                    <w:t>备注</w:t>
                  </w:r>
                </w:p>
              </w:tc>
            </w:tr>
            <w:tr>
              <w:tblPrEx>
                <w:tblCellMar>
                  <w:top w:w="0" w:type="dxa"/>
                  <w:left w:w="0" w:type="dxa"/>
                  <w:bottom w:w="0" w:type="dxa"/>
                  <w:right w:w="0" w:type="dxa"/>
                </w:tblCellMar>
              </w:tblPrEx>
              <w:trPr>
                <w:trHeight w:val="23" w:hRule="atLeast"/>
                <w:jc w:val="center"/>
              </w:trPr>
              <w:tc>
                <w:tcPr>
                  <w:tcW w:w="399" w:type="pct"/>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pStyle w:val="52"/>
                  </w:pPr>
                  <w:r>
                    <w:t>1</w:t>
                  </w:r>
                </w:p>
              </w:tc>
              <w:tc>
                <w:tcPr>
                  <w:tcW w:w="851" w:type="pc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pStyle w:val="52"/>
                  </w:pPr>
                  <w:r>
                    <w:rPr>
                      <w:rFonts w:hint="eastAsia"/>
                    </w:rPr>
                    <w:t>聚乙烯蜡</w:t>
                  </w:r>
                </w:p>
              </w:tc>
              <w:tc>
                <w:tcPr>
                  <w:tcW w:w="333" w:type="pc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pStyle w:val="52"/>
                  </w:pPr>
                  <w:r>
                    <w:t>t</w:t>
                  </w:r>
                </w:p>
              </w:tc>
              <w:tc>
                <w:tcPr>
                  <w:tcW w:w="588" w:type="pc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pStyle w:val="52"/>
                  </w:pPr>
                  <w:r>
                    <w:t>500</w:t>
                  </w:r>
                </w:p>
              </w:tc>
              <w:tc>
                <w:tcPr>
                  <w:tcW w:w="576" w:type="pct"/>
                  <w:tcBorders>
                    <w:top w:val="single" w:color="000000" w:sz="4" w:space="0"/>
                    <w:left w:val="nil"/>
                    <w:bottom w:val="single" w:color="000000" w:sz="4" w:space="0"/>
                    <w:right w:val="single" w:color="auto" w:sz="4" w:space="0"/>
                  </w:tcBorders>
                  <w:tcMar>
                    <w:top w:w="15" w:type="dxa"/>
                    <w:left w:w="15" w:type="dxa"/>
                    <w:bottom w:w="0" w:type="dxa"/>
                    <w:right w:w="15" w:type="dxa"/>
                  </w:tcMar>
                  <w:vAlign w:val="center"/>
                </w:tcPr>
                <w:p>
                  <w:pPr>
                    <w:pStyle w:val="52"/>
                  </w:pPr>
                  <w:r>
                    <w:t>1</w:t>
                  </w:r>
                  <w:r>
                    <w:rPr>
                      <w:rFonts w:hint="eastAsia"/>
                    </w:rPr>
                    <w:t>t</w:t>
                  </w:r>
                  <w:r>
                    <w:t>/</w:t>
                  </w:r>
                  <w:r>
                    <w:rPr>
                      <w:rFonts w:hint="eastAsia"/>
                    </w:rPr>
                    <w:t>包</w:t>
                  </w:r>
                </w:p>
              </w:tc>
              <w:tc>
                <w:tcPr>
                  <w:tcW w:w="555"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固态颗粒</w:t>
                  </w:r>
                </w:p>
              </w:tc>
              <w:tc>
                <w:tcPr>
                  <w:tcW w:w="608"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52"/>
                  </w:pPr>
                  <w:r>
                    <w:t>100</w:t>
                  </w:r>
                </w:p>
              </w:tc>
              <w:tc>
                <w:tcPr>
                  <w:tcW w:w="546" w:type="pct"/>
                  <w:vMerge w:val="restart"/>
                  <w:tcBorders>
                    <w:top w:val="single" w:color="000000" w:sz="4" w:space="0"/>
                    <w:left w:val="single" w:color="auto" w:sz="4" w:space="0"/>
                    <w:right w:val="single" w:color="000000" w:sz="4" w:space="0"/>
                  </w:tcBorders>
                  <w:tcMar>
                    <w:top w:w="15" w:type="dxa"/>
                    <w:left w:w="15" w:type="dxa"/>
                    <w:bottom w:w="0" w:type="dxa"/>
                    <w:right w:w="15" w:type="dxa"/>
                  </w:tcMar>
                  <w:vAlign w:val="center"/>
                </w:tcPr>
                <w:p>
                  <w:pPr>
                    <w:pStyle w:val="52"/>
                  </w:pPr>
                  <w:r>
                    <w:rPr>
                      <w:rFonts w:hint="eastAsia"/>
                    </w:rPr>
                    <w:t>功能母粒生产</w:t>
                  </w:r>
                </w:p>
              </w:tc>
              <w:tc>
                <w:tcPr>
                  <w:tcW w:w="544" w:type="pct"/>
                  <w:vMerge w:val="restart"/>
                  <w:tcBorders>
                    <w:top w:val="single" w:color="000000" w:sz="4" w:space="0"/>
                    <w:left w:val="nil"/>
                    <w:right w:val="single" w:color="000000" w:sz="4" w:space="0"/>
                  </w:tcBorders>
                  <w:vAlign w:val="center"/>
                </w:tcPr>
                <w:p>
                  <w:pPr>
                    <w:pStyle w:val="52"/>
                  </w:pPr>
                  <w:r>
                    <w:rPr>
                      <w:rFonts w:hint="eastAsia"/>
                    </w:rPr>
                    <w:t>均为外购新料</w:t>
                  </w:r>
                </w:p>
              </w:tc>
            </w:tr>
            <w:tr>
              <w:tblPrEx>
                <w:tblCellMar>
                  <w:top w:w="0" w:type="dxa"/>
                  <w:left w:w="0" w:type="dxa"/>
                  <w:bottom w:w="0" w:type="dxa"/>
                  <w:right w:w="0" w:type="dxa"/>
                </w:tblCellMar>
              </w:tblPrEx>
              <w:trPr>
                <w:trHeight w:val="23" w:hRule="atLeast"/>
                <w:jc w:val="center"/>
              </w:trPr>
              <w:tc>
                <w:tcPr>
                  <w:tcW w:w="399" w:type="pct"/>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pStyle w:val="52"/>
                  </w:pPr>
                  <w:r>
                    <w:t>2</w:t>
                  </w:r>
                </w:p>
              </w:tc>
              <w:tc>
                <w:tcPr>
                  <w:tcW w:w="851" w:type="pc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pStyle w:val="52"/>
                  </w:pPr>
                  <w:r>
                    <w:rPr>
                      <w:rFonts w:hint="eastAsia"/>
                    </w:rPr>
                    <w:t>聚乙烯</w:t>
                  </w:r>
                </w:p>
              </w:tc>
              <w:tc>
                <w:tcPr>
                  <w:tcW w:w="333" w:type="pct"/>
                  <w:tcBorders>
                    <w:top w:val="single" w:color="000000" w:sz="4" w:space="0"/>
                    <w:left w:val="nil"/>
                    <w:bottom w:val="single" w:color="000000" w:sz="4" w:space="0"/>
                    <w:right w:val="single" w:color="000000" w:sz="4" w:space="0"/>
                  </w:tcBorders>
                  <w:tcMar>
                    <w:top w:w="15" w:type="dxa"/>
                    <w:left w:w="15" w:type="dxa"/>
                    <w:bottom w:w="0" w:type="dxa"/>
                    <w:right w:w="15" w:type="dxa"/>
                  </w:tcMar>
                </w:tcPr>
                <w:p>
                  <w:pPr>
                    <w:pStyle w:val="52"/>
                  </w:pPr>
                  <w:r>
                    <w:t>t</w:t>
                  </w:r>
                </w:p>
              </w:tc>
              <w:tc>
                <w:tcPr>
                  <w:tcW w:w="588" w:type="pc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pStyle w:val="52"/>
                  </w:pPr>
                  <w:r>
                    <w:rPr>
                      <w:rFonts w:eastAsia="等线"/>
                      <w:color w:val="000000"/>
                    </w:rPr>
                    <w:t>504</w:t>
                  </w:r>
                </w:p>
              </w:tc>
              <w:tc>
                <w:tcPr>
                  <w:tcW w:w="576" w:type="pct"/>
                  <w:tcBorders>
                    <w:top w:val="single" w:color="000000" w:sz="4" w:space="0"/>
                    <w:left w:val="nil"/>
                    <w:bottom w:val="single" w:color="000000" w:sz="4" w:space="0"/>
                    <w:right w:val="single" w:color="auto" w:sz="4" w:space="0"/>
                  </w:tcBorders>
                  <w:noWrap/>
                  <w:tcMar>
                    <w:top w:w="15" w:type="dxa"/>
                    <w:left w:w="15" w:type="dxa"/>
                    <w:bottom w:w="0" w:type="dxa"/>
                    <w:right w:w="15" w:type="dxa"/>
                  </w:tcMar>
                </w:tcPr>
                <w:p>
                  <w:pPr>
                    <w:pStyle w:val="52"/>
                  </w:pPr>
                  <w:r>
                    <w:t>1</w:t>
                  </w:r>
                  <w:r>
                    <w:rPr>
                      <w:rFonts w:hint="eastAsia"/>
                    </w:rPr>
                    <w:t>t</w:t>
                  </w:r>
                  <w:r>
                    <w:t>/</w:t>
                  </w:r>
                  <w:r>
                    <w:rPr>
                      <w:rFonts w:hint="eastAsia"/>
                    </w:rPr>
                    <w:t>包</w:t>
                  </w:r>
                </w:p>
              </w:tc>
              <w:tc>
                <w:tcPr>
                  <w:tcW w:w="555"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固态颗粒</w:t>
                  </w:r>
                </w:p>
              </w:tc>
              <w:tc>
                <w:tcPr>
                  <w:tcW w:w="608"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52"/>
                  </w:pPr>
                  <w:r>
                    <w:t>100</w:t>
                  </w:r>
                </w:p>
              </w:tc>
              <w:tc>
                <w:tcPr>
                  <w:tcW w:w="546" w:type="pct"/>
                  <w:vMerge w:val="continue"/>
                  <w:tcBorders>
                    <w:left w:val="single" w:color="auto" w:sz="4" w:space="0"/>
                    <w:right w:val="single" w:color="000000" w:sz="4" w:space="0"/>
                  </w:tcBorders>
                  <w:tcMar>
                    <w:top w:w="15" w:type="dxa"/>
                    <w:left w:w="15" w:type="dxa"/>
                    <w:bottom w:w="0" w:type="dxa"/>
                    <w:right w:w="15" w:type="dxa"/>
                  </w:tcMar>
                  <w:vAlign w:val="center"/>
                </w:tcPr>
                <w:p>
                  <w:pPr>
                    <w:pStyle w:val="52"/>
                  </w:pPr>
                </w:p>
              </w:tc>
              <w:tc>
                <w:tcPr>
                  <w:tcW w:w="544" w:type="pct"/>
                  <w:vMerge w:val="continue"/>
                  <w:tcBorders>
                    <w:left w:val="nil"/>
                    <w:right w:val="single" w:color="000000" w:sz="4" w:space="0"/>
                  </w:tcBorders>
                  <w:vAlign w:val="center"/>
                </w:tcPr>
                <w:p>
                  <w:pPr>
                    <w:pStyle w:val="52"/>
                  </w:pPr>
                </w:p>
              </w:tc>
            </w:tr>
            <w:tr>
              <w:tblPrEx>
                <w:tblCellMar>
                  <w:top w:w="0" w:type="dxa"/>
                  <w:left w:w="0" w:type="dxa"/>
                  <w:bottom w:w="0" w:type="dxa"/>
                  <w:right w:w="0" w:type="dxa"/>
                </w:tblCellMar>
              </w:tblPrEx>
              <w:trPr>
                <w:trHeight w:val="23" w:hRule="atLeast"/>
                <w:jc w:val="center"/>
              </w:trPr>
              <w:tc>
                <w:tcPr>
                  <w:tcW w:w="399" w:type="pct"/>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pStyle w:val="52"/>
                  </w:pPr>
                  <w:r>
                    <w:t>3</w:t>
                  </w:r>
                </w:p>
              </w:tc>
              <w:tc>
                <w:tcPr>
                  <w:tcW w:w="851" w:type="pc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pStyle w:val="52"/>
                  </w:pPr>
                  <w:r>
                    <w:rPr>
                      <w:rFonts w:hint="eastAsia" w:ascii="宋体" w:hAnsi="宋体"/>
                    </w:rPr>
                    <w:t>聚丙烯</w:t>
                  </w:r>
                </w:p>
              </w:tc>
              <w:tc>
                <w:tcPr>
                  <w:tcW w:w="333" w:type="pct"/>
                  <w:tcBorders>
                    <w:top w:val="single" w:color="000000" w:sz="4" w:space="0"/>
                    <w:left w:val="nil"/>
                    <w:bottom w:val="single" w:color="000000" w:sz="4" w:space="0"/>
                    <w:right w:val="single" w:color="000000" w:sz="4" w:space="0"/>
                  </w:tcBorders>
                  <w:tcMar>
                    <w:top w:w="15" w:type="dxa"/>
                    <w:left w:w="15" w:type="dxa"/>
                    <w:bottom w:w="0" w:type="dxa"/>
                    <w:right w:w="15" w:type="dxa"/>
                  </w:tcMar>
                </w:tcPr>
                <w:p>
                  <w:pPr>
                    <w:pStyle w:val="52"/>
                  </w:pPr>
                  <w:r>
                    <w:t>t</w:t>
                  </w:r>
                </w:p>
              </w:tc>
              <w:tc>
                <w:tcPr>
                  <w:tcW w:w="588" w:type="pc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pStyle w:val="52"/>
                  </w:pPr>
                  <w:r>
                    <w:rPr>
                      <w:rFonts w:eastAsia="等线"/>
                      <w:color w:val="000000"/>
                    </w:rPr>
                    <w:t>504</w:t>
                  </w:r>
                </w:p>
              </w:tc>
              <w:tc>
                <w:tcPr>
                  <w:tcW w:w="576" w:type="pct"/>
                  <w:tcBorders>
                    <w:top w:val="single" w:color="000000" w:sz="4" w:space="0"/>
                    <w:left w:val="nil"/>
                    <w:bottom w:val="single" w:color="000000" w:sz="4" w:space="0"/>
                    <w:right w:val="single" w:color="auto" w:sz="4" w:space="0"/>
                  </w:tcBorders>
                  <w:noWrap/>
                  <w:tcMar>
                    <w:top w:w="15" w:type="dxa"/>
                    <w:left w:w="15" w:type="dxa"/>
                    <w:bottom w:w="0" w:type="dxa"/>
                    <w:right w:w="15" w:type="dxa"/>
                  </w:tcMar>
                </w:tcPr>
                <w:p>
                  <w:pPr>
                    <w:pStyle w:val="52"/>
                  </w:pPr>
                  <w:r>
                    <w:t>1</w:t>
                  </w:r>
                  <w:r>
                    <w:rPr>
                      <w:rFonts w:hint="eastAsia"/>
                    </w:rPr>
                    <w:t>t</w:t>
                  </w:r>
                  <w:r>
                    <w:t>/</w:t>
                  </w:r>
                  <w:r>
                    <w:rPr>
                      <w:rFonts w:hint="eastAsia"/>
                    </w:rPr>
                    <w:t>包</w:t>
                  </w:r>
                </w:p>
              </w:tc>
              <w:tc>
                <w:tcPr>
                  <w:tcW w:w="555"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固态颗粒</w:t>
                  </w:r>
                </w:p>
              </w:tc>
              <w:tc>
                <w:tcPr>
                  <w:tcW w:w="608"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52"/>
                  </w:pPr>
                  <w:r>
                    <w:t>100</w:t>
                  </w:r>
                </w:p>
              </w:tc>
              <w:tc>
                <w:tcPr>
                  <w:tcW w:w="546" w:type="pct"/>
                  <w:vMerge w:val="continue"/>
                  <w:tcBorders>
                    <w:left w:val="single" w:color="auto" w:sz="4" w:space="0"/>
                    <w:right w:val="single" w:color="000000" w:sz="4" w:space="0"/>
                  </w:tcBorders>
                  <w:tcMar>
                    <w:top w:w="15" w:type="dxa"/>
                    <w:left w:w="15" w:type="dxa"/>
                    <w:bottom w:w="0" w:type="dxa"/>
                    <w:right w:w="15" w:type="dxa"/>
                  </w:tcMar>
                  <w:vAlign w:val="center"/>
                </w:tcPr>
                <w:p>
                  <w:pPr>
                    <w:pStyle w:val="52"/>
                  </w:pPr>
                </w:p>
              </w:tc>
              <w:tc>
                <w:tcPr>
                  <w:tcW w:w="544" w:type="pct"/>
                  <w:vMerge w:val="continue"/>
                  <w:tcBorders>
                    <w:left w:val="single" w:color="000000" w:sz="4" w:space="0"/>
                    <w:bottom w:val="single" w:color="000000" w:sz="4" w:space="0"/>
                    <w:right w:val="single" w:color="000000" w:sz="4" w:space="0"/>
                  </w:tcBorders>
                  <w:vAlign w:val="center"/>
                </w:tcPr>
                <w:p>
                  <w:pPr>
                    <w:pStyle w:val="52"/>
                  </w:pPr>
                </w:p>
              </w:tc>
            </w:tr>
            <w:tr>
              <w:tblPrEx>
                <w:tblCellMar>
                  <w:top w:w="0" w:type="dxa"/>
                  <w:left w:w="0" w:type="dxa"/>
                  <w:bottom w:w="0" w:type="dxa"/>
                  <w:right w:w="0" w:type="dxa"/>
                </w:tblCellMar>
              </w:tblPrEx>
              <w:trPr>
                <w:trHeight w:val="23" w:hRule="atLeast"/>
                <w:jc w:val="center"/>
              </w:trPr>
              <w:tc>
                <w:tcPr>
                  <w:tcW w:w="399" w:type="pct"/>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pStyle w:val="52"/>
                  </w:pPr>
                  <w:r>
                    <w:t>4</w:t>
                  </w:r>
                </w:p>
              </w:tc>
              <w:tc>
                <w:tcPr>
                  <w:tcW w:w="851" w:type="pc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pStyle w:val="52"/>
                  </w:pPr>
                  <w:r>
                    <w:rPr>
                      <w:rFonts w:hint="eastAsia" w:ascii="宋体" w:hAnsi="宋体"/>
                    </w:rPr>
                    <w:t>环烷油</w:t>
                  </w:r>
                </w:p>
              </w:tc>
              <w:tc>
                <w:tcPr>
                  <w:tcW w:w="333" w:type="pct"/>
                  <w:tcBorders>
                    <w:top w:val="single" w:color="000000" w:sz="4" w:space="0"/>
                    <w:left w:val="nil"/>
                    <w:bottom w:val="single" w:color="000000" w:sz="4" w:space="0"/>
                    <w:right w:val="single" w:color="000000" w:sz="4" w:space="0"/>
                  </w:tcBorders>
                  <w:tcMar>
                    <w:top w:w="15" w:type="dxa"/>
                    <w:left w:w="15" w:type="dxa"/>
                    <w:bottom w:w="0" w:type="dxa"/>
                    <w:right w:w="15" w:type="dxa"/>
                  </w:tcMar>
                </w:tcPr>
                <w:p>
                  <w:pPr>
                    <w:pStyle w:val="52"/>
                  </w:pPr>
                  <w:r>
                    <w:t>t</w:t>
                  </w:r>
                </w:p>
              </w:tc>
              <w:tc>
                <w:tcPr>
                  <w:tcW w:w="588" w:type="pc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pStyle w:val="52"/>
                  </w:pPr>
                  <w:r>
                    <w:rPr>
                      <w:rFonts w:eastAsia="等线"/>
                      <w:color w:val="000000"/>
                    </w:rPr>
                    <w:t>50</w:t>
                  </w:r>
                </w:p>
              </w:tc>
              <w:tc>
                <w:tcPr>
                  <w:tcW w:w="576" w:type="pct"/>
                  <w:tcBorders>
                    <w:top w:val="single" w:color="000000" w:sz="4" w:space="0"/>
                    <w:left w:val="nil"/>
                    <w:bottom w:val="single" w:color="000000" w:sz="4" w:space="0"/>
                    <w:right w:val="single" w:color="auto" w:sz="4" w:space="0"/>
                  </w:tcBorders>
                  <w:noWrap/>
                  <w:tcMar>
                    <w:top w:w="15" w:type="dxa"/>
                    <w:left w:w="15" w:type="dxa"/>
                    <w:bottom w:w="0" w:type="dxa"/>
                    <w:right w:w="15" w:type="dxa"/>
                  </w:tcMar>
                  <w:vAlign w:val="center"/>
                </w:tcPr>
                <w:p>
                  <w:pPr>
                    <w:pStyle w:val="52"/>
                  </w:pPr>
                  <w:r>
                    <w:rPr>
                      <w:rFonts w:hint="eastAsia"/>
                    </w:rPr>
                    <w:t>1t</w:t>
                  </w:r>
                  <w:r>
                    <w:t>/</w:t>
                  </w:r>
                  <w:r>
                    <w:rPr>
                      <w:rFonts w:hint="eastAsia"/>
                    </w:rPr>
                    <w:t>桶</w:t>
                  </w:r>
                </w:p>
              </w:tc>
              <w:tc>
                <w:tcPr>
                  <w:tcW w:w="555"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液态</w:t>
                  </w:r>
                </w:p>
              </w:tc>
              <w:tc>
                <w:tcPr>
                  <w:tcW w:w="608"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52"/>
                  </w:pPr>
                  <w:r>
                    <w:t>10</w:t>
                  </w:r>
                </w:p>
              </w:tc>
              <w:tc>
                <w:tcPr>
                  <w:tcW w:w="546" w:type="pct"/>
                  <w:vMerge w:val="continue"/>
                  <w:tcBorders>
                    <w:left w:val="single" w:color="auto" w:sz="4" w:space="0"/>
                    <w:right w:val="single" w:color="000000" w:sz="4" w:space="0"/>
                  </w:tcBorders>
                  <w:tcMar>
                    <w:top w:w="15" w:type="dxa"/>
                    <w:left w:w="15" w:type="dxa"/>
                    <w:bottom w:w="0" w:type="dxa"/>
                    <w:right w:w="15" w:type="dxa"/>
                  </w:tcMar>
                  <w:vAlign w:val="center"/>
                </w:tcPr>
                <w:p>
                  <w:pPr>
                    <w:pStyle w:val="52"/>
                  </w:pPr>
                </w:p>
              </w:tc>
              <w:tc>
                <w:tcPr>
                  <w:tcW w:w="544" w:type="pct"/>
                  <w:tcBorders>
                    <w:top w:val="single" w:color="000000" w:sz="4" w:space="0"/>
                    <w:left w:val="single" w:color="000000" w:sz="4" w:space="0"/>
                    <w:bottom w:val="single" w:color="000000" w:sz="4" w:space="0"/>
                    <w:right w:val="single" w:color="000000" w:sz="4" w:space="0"/>
                  </w:tcBorders>
                  <w:vAlign w:val="center"/>
                </w:tcPr>
                <w:p>
                  <w:pPr>
                    <w:pStyle w:val="52"/>
                  </w:pPr>
                  <w:r>
                    <w:rPr>
                      <w:rFonts w:hint="eastAsia"/>
                    </w:rPr>
                    <w:t>/</w:t>
                  </w:r>
                </w:p>
              </w:tc>
            </w:tr>
            <w:tr>
              <w:tblPrEx>
                <w:tblCellMar>
                  <w:top w:w="0" w:type="dxa"/>
                  <w:left w:w="0" w:type="dxa"/>
                  <w:bottom w:w="0" w:type="dxa"/>
                  <w:right w:w="0" w:type="dxa"/>
                </w:tblCellMar>
              </w:tblPrEx>
              <w:trPr>
                <w:trHeight w:val="23" w:hRule="atLeast"/>
                <w:jc w:val="center"/>
              </w:trPr>
              <w:tc>
                <w:tcPr>
                  <w:tcW w:w="399" w:type="pct"/>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pStyle w:val="52"/>
                  </w:pPr>
                  <w:r>
                    <w:t>5</w:t>
                  </w:r>
                </w:p>
              </w:tc>
              <w:tc>
                <w:tcPr>
                  <w:tcW w:w="851" w:type="pc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pStyle w:val="52"/>
                  </w:pPr>
                  <w:r>
                    <w:rPr>
                      <w:rFonts w:hint="eastAsia" w:ascii="宋体" w:hAnsi="宋体"/>
                    </w:rPr>
                    <w:t>热塑性橡胶</w:t>
                  </w:r>
                </w:p>
              </w:tc>
              <w:tc>
                <w:tcPr>
                  <w:tcW w:w="333" w:type="pct"/>
                  <w:tcBorders>
                    <w:top w:val="single" w:color="000000" w:sz="4" w:space="0"/>
                    <w:left w:val="nil"/>
                    <w:bottom w:val="single" w:color="000000" w:sz="4" w:space="0"/>
                    <w:right w:val="single" w:color="000000" w:sz="4" w:space="0"/>
                  </w:tcBorders>
                  <w:tcMar>
                    <w:top w:w="15" w:type="dxa"/>
                    <w:left w:w="15" w:type="dxa"/>
                    <w:bottom w:w="0" w:type="dxa"/>
                    <w:right w:w="15" w:type="dxa"/>
                  </w:tcMar>
                </w:tcPr>
                <w:p>
                  <w:pPr>
                    <w:pStyle w:val="52"/>
                  </w:pPr>
                  <w:r>
                    <w:t>t</w:t>
                  </w:r>
                </w:p>
              </w:tc>
              <w:tc>
                <w:tcPr>
                  <w:tcW w:w="588" w:type="pc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pStyle w:val="52"/>
                  </w:pPr>
                  <w:r>
                    <w:rPr>
                      <w:rFonts w:eastAsia="等线"/>
                      <w:color w:val="000000"/>
                    </w:rPr>
                    <w:t>402</w:t>
                  </w:r>
                </w:p>
              </w:tc>
              <w:tc>
                <w:tcPr>
                  <w:tcW w:w="576" w:type="pct"/>
                  <w:tcBorders>
                    <w:top w:val="single" w:color="000000" w:sz="4" w:space="0"/>
                    <w:left w:val="nil"/>
                    <w:bottom w:val="single" w:color="000000" w:sz="4" w:space="0"/>
                    <w:right w:val="single" w:color="auto" w:sz="4" w:space="0"/>
                  </w:tcBorders>
                  <w:noWrap/>
                  <w:tcMar>
                    <w:top w:w="15" w:type="dxa"/>
                    <w:left w:w="15" w:type="dxa"/>
                    <w:bottom w:w="0" w:type="dxa"/>
                    <w:right w:w="15" w:type="dxa"/>
                  </w:tcMar>
                  <w:vAlign w:val="center"/>
                </w:tcPr>
                <w:p>
                  <w:pPr>
                    <w:pStyle w:val="52"/>
                  </w:pPr>
                  <w:r>
                    <w:t>1</w:t>
                  </w:r>
                  <w:r>
                    <w:rPr>
                      <w:rFonts w:hint="eastAsia"/>
                    </w:rPr>
                    <w:t>t</w:t>
                  </w:r>
                  <w:r>
                    <w:t>/</w:t>
                  </w:r>
                  <w:r>
                    <w:rPr>
                      <w:rFonts w:hint="eastAsia"/>
                    </w:rPr>
                    <w:t>包</w:t>
                  </w:r>
                </w:p>
              </w:tc>
              <w:tc>
                <w:tcPr>
                  <w:tcW w:w="555"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固态颗粒</w:t>
                  </w:r>
                </w:p>
              </w:tc>
              <w:tc>
                <w:tcPr>
                  <w:tcW w:w="608"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52"/>
                  </w:pPr>
                  <w:r>
                    <w:t>5</w:t>
                  </w:r>
                  <w:r>
                    <w:rPr>
                      <w:rFonts w:hint="eastAsia"/>
                    </w:rPr>
                    <w:t>0</w:t>
                  </w:r>
                </w:p>
              </w:tc>
              <w:tc>
                <w:tcPr>
                  <w:tcW w:w="546" w:type="pct"/>
                  <w:vMerge w:val="continue"/>
                  <w:tcBorders>
                    <w:left w:val="single" w:color="auto" w:sz="4" w:space="0"/>
                    <w:right w:val="single" w:color="000000" w:sz="4" w:space="0"/>
                  </w:tcBorders>
                  <w:tcMar>
                    <w:top w:w="15" w:type="dxa"/>
                    <w:left w:w="15" w:type="dxa"/>
                    <w:bottom w:w="0" w:type="dxa"/>
                    <w:right w:w="15" w:type="dxa"/>
                  </w:tcMar>
                  <w:vAlign w:val="center"/>
                </w:tcPr>
                <w:p>
                  <w:pPr>
                    <w:pStyle w:val="52"/>
                  </w:pPr>
                </w:p>
              </w:tc>
              <w:tc>
                <w:tcPr>
                  <w:tcW w:w="544" w:type="pct"/>
                  <w:tcBorders>
                    <w:top w:val="single" w:color="000000" w:sz="4" w:space="0"/>
                    <w:left w:val="single" w:color="000000" w:sz="4" w:space="0"/>
                    <w:bottom w:val="single" w:color="000000" w:sz="4" w:space="0"/>
                    <w:right w:val="single" w:color="000000" w:sz="4" w:space="0"/>
                  </w:tcBorders>
                  <w:vAlign w:val="center"/>
                </w:tcPr>
                <w:p>
                  <w:pPr>
                    <w:pStyle w:val="52"/>
                  </w:pPr>
                  <w:r>
                    <w:rPr>
                      <w:rFonts w:hint="eastAsia"/>
                    </w:rPr>
                    <w:t>外购新料</w:t>
                  </w:r>
                </w:p>
              </w:tc>
            </w:tr>
            <w:tr>
              <w:tblPrEx>
                <w:tblCellMar>
                  <w:top w:w="0" w:type="dxa"/>
                  <w:left w:w="0" w:type="dxa"/>
                  <w:bottom w:w="0" w:type="dxa"/>
                  <w:right w:w="0" w:type="dxa"/>
                </w:tblCellMar>
              </w:tblPrEx>
              <w:trPr>
                <w:trHeight w:val="23" w:hRule="atLeast"/>
                <w:jc w:val="center"/>
              </w:trPr>
              <w:tc>
                <w:tcPr>
                  <w:tcW w:w="399" w:type="pct"/>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pStyle w:val="52"/>
                  </w:pPr>
                  <w:r>
                    <w:t>6</w:t>
                  </w:r>
                </w:p>
              </w:tc>
              <w:tc>
                <w:tcPr>
                  <w:tcW w:w="851" w:type="pc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pStyle w:val="52"/>
                  </w:pPr>
                  <w:r>
                    <w:rPr>
                      <w:rFonts w:hint="eastAsia" w:ascii="宋体" w:hAnsi="宋体"/>
                      <w:bCs/>
                    </w:rPr>
                    <w:t>硅油</w:t>
                  </w:r>
                </w:p>
              </w:tc>
              <w:tc>
                <w:tcPr>
                  <w:tcW w:w="333" w:type="pct"/>
                  <w:tcBorders>
                    <w:top w:val="single" w:color="000000" w:sz="4" w:space="0"/>
                    <w:left w:val="nil"/>
                    <w:bottom w:val="single" w:color="000000" w:sz="4" w:space="0"/>
                    <w:right w:val="single" w:color="000000" w:sz="4" w:space="0"/>
                  </w:tcBorders>
                  <w:tcMar>
                    <w:top w:w="15" w:type="dxa"/>
                    <w:left w:w="15" w:type="dxa"/>
                    <w:bottom w:w="0" w:type="dxa"/>
                    <w:right w:w="15" w:type="dxa"/>
                  </w:tcMar>
                </w:tcPr>
                <w:p>
                  <w:pPr>
                    <w:pStyle w:val="52"/>
                  </w:pPr>
                  <w:r>
                    <w:t>t</w:t>
                  </w:r>
                </w:p>
              </w:tc>
              <w:tc>
                <w:tcPr>
                  <w:tcW w:w="588" w:type="pc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pStyle w:val="52"/>
                  </w:pPr>
                  <w:r>
                    <w:rPr>
                      <w:rFonts w:eastAsia="等线"/>
                      <w:color w:val="000000"/>
                    </w:rPr>
                    <w:t>50</w:t>
                  </w:r>
                </w:p>
              </w:tc>
              <w:tc>
                <w:tcPr>
                  <w:tcW w:w="576" w:type="pct"/>
                  <w:tcBorders>
                    <w:top w:val="single" w:color="000000" w:sz="4" w:space="0"/>
                    <w:left w:val="nil"/>
                    <w:bottom w:val="single" w:color="000000" w:sz="4" w:space="0"/>
                    <w:right w:val="single" w:color="auto" w:sz="4" w:space="0"/>
                  </w:tcBorders>
                  <w:noWrap/>
                  <w:tcMar>
                    <w:top w:w="15" w:type="dxa"/>
                    <w:left w:w="15" w:type="dxa"/>
                    <w:bottom w:w="0" w:type="dxa"/>
                    <w:right w:w="15" w:type="dxa"/>
                  </w:tcMar>
                  <w:vAlign w:val="center"/>
                </w:tcPr>
                <w:p>
                  <w:pPr>
                    <w:pStyle w:val="52"/>
                  </w:pPr>
                  <w:r>
                    <w:rPr>
                      <w:rFonts w:hint="eastAsia"/>
                    </w:rPr>
                    <w:t>1t</w:t>
                  </w:r>
                  <w:r>
                    <w:t>/</w:t>
                  </w:r>
                  <w:r>
                    <w:rPr>
                      <w:rFonts w:hint="eastAsia"/>
                    </w:rPr>
                    <w:t>桶</w:t>
                  </w:r>
                </w:p>
              </w:tc>
              <w:tc>
                <w:tcPr>
                  <w:tcW w:w="555"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液态</w:t>
                  </w:r>
                </w:p>
              </w:tc>
              <w:tc>
                <w:tcPr>
                  <w:tcW w:w="608"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52"/>
                  </w:pPr>
                  <w:r>
                    <w:t>10</w:t>
                  </w:r>
                </w:p>
              </w:tc>
              <w:tc>
                <w:tcPr>
                  <w:tcW w:w="546" w:type="pct"/>
                  <w:vMerge w:val="continue"/>
                  <w:tcBorders>
                    <w:left w:val="single" w:color="auto" w:sz="4" w:space="0"/>
                    <w:bottom w:val="single" w:color="auto" w:sz="4" w:space="0"/>
                    <w:right w:val="single" w:color="000000" w:sz="4" w:space="0"/>
                  </w:tcBorders>
                  <w:tcMar>
                    <w:top w:w="15" w:type="dxa"/>
                    <w:left w:w="15" w:type="dxa"/>
                    <w:bottom w:w="0" w:type="dxa"/>
                    <w:right w:w="15" w:type="dxa"/>
                  </w:tcMar>
                  <w:vAlign w:val="center"/>
                </w:tcPr>
                <w:p>
                  <w:pPr>
                    <w:pStyle w:val="52"/>
                  </w:pPr>
                </w:p>
              </w:tc>
              <w:tc>
                <w:tcPr>
                  <w:tcW w:w="544" w:type="pct"/>
                  <w:tcBorders>
                    <w:top w:val="single" w:color="000000" w:sz="4" w:space="0"/>
                    <w:left w:val="single" w:color="000000" w:sz="4" w:space="0"/>
                    <w:bottom w:val="single" w:color="000000" w:sz="4" w:space="0"/>
                    <w:right w:val="single" w:color="000000" w:sz="4" w:space="0"/>
                  </w:tcBorders>
                  <w:vAlign w:val="center"/>
                </w:tcPr>
                <w:p>
                  <w:pPr>
                    <w:pStyle w:val="52"/>
                  </w:pPr>
                  <w:r>
                    <w:rPr>
                      <w:rFonts w:hint="eastAsia"/>
                    </w:rPr>
                    <w:t>/</w:t>
                  </w:r>
                </w:p>
              </w:tc>
            </w:tr>
            <w:tr>
              <w:tblPrEx>
                <w:tblCellMar>
                  <w:top w:w="0" w:type="dxa"/>
                  <w:left w:w="0" w:type="dxa"/>
                  <w:bottom w:w="0" w:type="dxa"/>
                  <w:right w:w="0" w:type="dxa"/>
                </w:tblCellMar>
              </w:tblPrEx>
              <w:trPr>
                <w:trHeight w:val="23" w:hRule="atLeast"/>
                <w:jc w:val="center"/>
              </w:trPr>
              <w:tc>
                <w:tcPr>
                  <w:tcW w:w="399" w:type="pct"/>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pStyle w:val="52"/>
                  </w:pPr>
                  <w:r>
                    <w:t>7</w:t>
                  </w:r>
                </w:p>
              </w:tc>
              <w:tc>
                <w:tcPr>
                  <w:tcW w:w="851" w:type="pc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pStyle w:val="52"/>
                  </w:pPr>
                  <w:r>
                    <w:rPr>
                      <w:rFonts w:hint="eastAsia"/>
                    </w:rPr>
                    <w:t>润滑油</w:t>
                  </w:r>
                </w:p>
              </w:tc>
              <w:tc>
                <w:tcPr>
                  <w:tcW w:w="333" w:type="pc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pStyle w:val="52"/>
                  </w:pPr>
                  <w:r>
                    <w:t>t</w:t>
                  </w:r>
                </w:p>
              </w:tc>
              <w:tc>
                <w:tcPr>
                  <w:tcW w:w="588" w:type="pc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pStyle w:val="52"/>
                  </w:pPr>
                  <w:r>
                    <w:rPr>
                      <w:rFonts w:hint="eastAsia"/>
                    </w:rPr>
                    <w:t>0</w:t>
                  </w:r>
                  <w:r>
                    <w:t>.2</w:t>
                  </w:r>
                </w:p>
              </w:tc>
              <w:tc>
                <w:tcPr>
                  <w:tcW w:w="576" w:type="pct"/>
                  <w:tcBorders>
                    <w:top w:val="single" w:color="000000" w:sz="4" w:space="0"/>
                    <w:left w:val="nil"/>
                    <w:bottom w:val="single" w:color="000000" w:sz="4" w:space="0"/>
                    <w:right w:val="single" w:color="auto" w:sz="4" w:space="0"/>
                  </w:tcBorders>
                  <w:noWrap/>
                  <w:tcMar>
                    <w:top w:w="15" w:type="dxa"/>
                    <w:left w:w="15" w:type="dxa"/>
                    <w:bottom w:w="0" w:type="dxa"/>
                    <w:right w:w="15" w:type="dxa"/>
                  </w:tcMar>
                  <w:vAlign w:val="center"/>
                </w:tcPr>
                <w:p>
                  <w:pPr>
                    <w:pStyle w:val="52"/>
                  </w:pPr>
                  <w:r>
                    <w:rPr>
                      <w:rFonts w:hint="eastAsia"/>
                    </w:rPr>
                    <w:t>2</w:t>
                  </w:r>
                  <w:r>
                    <w:t>5</w:t>
                  </w:r>
                  <w:r>
                    <w:rPr>
                      <w:rFonts w:hint="eastAsia"/>
                    </w:rPr>
                    <w:t>kg</w:t>
                  </w:r>
                  <w:r>
                    <w:t>/</w:t>
                  </w:r>
                  <w:r>
                    <w:rPr>
                      <w:rFonts w:hint="eastAsia"/>
                    </w:rPr>
                    <w:t>桶</w:t>
                  </w:r>
                </w:p>
              </w:tc>
              <w:tc>
                <w:tcPr>
                  <w:tcW w:w="555"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液态</w:t>
                  </w:r>
                </w:p>
              </w:tc>
              <w:tc>
                <w:tcPr>
                  <w:tcW w:w="608"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52"/>
                  </w:pPr>
                  <w:r>
                    <w:rPr>
                      <w:rFonts w:hint="eastAsia"/>
                    </w:rPr>
                    <w:t>0</w:t>
                  </w:r>
                  <w:r>
                    <w:t>.2</w:t>
                  </w:r>
                </w:p>
              </w:tc>
              <w:tc>
                <w:tcPr>
                  <w:tcW w:w="546" w:type="pct"/>
                  <w:tcBorders>
                    <w:top w:val="single" w:color="auto" w:sz="4" w:space="0"/>
                    <w:left w:val="single" w:color="auto" w:sz="4" w:space="0"/>
                    <w:bottom w:val="single" w:color="000000" w:sz="4" w:space="0"/>
                    <w:right w:val="single" w:color="000000" w:sz="4" w:space="0"/>
                  </w:tcBorders>
                  <w:tcMar>
                    <w:top w:w="15" w:type="dxa"/>
                    <w:left w:w="15" w:type="dxa"/>
                    <w:bottom w:w="0" w:type="dxa"/>
                    <w:right w:w="15" w:type="dxa"/>
                  </w:tcMar>
                  <w:vAlign w:val="center"/>
                </w:tcPr>
                <w:p>
                  <w:pPr>
                    <w:pStyle w:val="52"/>
                  </w:pPr>
                  <w:r>
                    <w:rPr>
                      <w:rFonts w:hint="eastAsia"/>
                    </w:rPr>
                    <w:t>设备维护</w:t>
                  </w:r>
                </w:p>
              </w:tc>
              <w:tc>
                <w:tcPr>
                  <w:tcW w:w="544" w:type="pct"/>
                  <w:tcBorders>
                    <w:top w:val="single" w:color="000000" w:sz="4" w:space="0"/>
                    <w:left w:val="nil"/>
                    <w:bottom w:val="single" w:color="000000" w:sz="4" w:space="0"/>
                    <w:right w:val="single" w:color="000000" w:sz="4" w:space="0"/>
                  </w:tcBorders>
                  <w:vAlign w:val="center"/>
                </w:tcPr>
                <w:p>
                  <w:pPr>
                    <w:pStyle w:val="52"/>
                  </w:pPr>
                  <w:r>
                    <w:rPr>
                      <w:rFonts w:hint="eastAsia"/>
                    </w:rPr>
                    <w:t>/</w:t>
                  </w:r>
                </w:p>
              </w:tc>
            </w:tr>
            <w:tr>
              <w:tblPrEx>
                <w:tblCellMar>
                  <w:top w:w="0" w:type="dxa"/>
                  <w:left w:w="0" w:type="dxa"/>
                  <w:bottom w:w="0" w:type="dxa"/>
                  <w:right w:w="0" w:type="dxa"/>
                </w:tblCellMar>
              </w:tblPrEx>
              <w:trPr>
                <w:trHeight w:val="23" w:hRule="atLeast"/>
                <w:jc w:val="center"/>
              </w:trPr>
              <w:tc>
                <w:tcPr>
                  <w:tcW w:w="399" w:type="pct"/>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pStyle w:val="52"/>
                  </w:pPr>
                  <w:r>
                    <w:t>8</w:t>
                  </w:r>
                </w:p>
              </w:tc>
              <w:tc>
                <w:tcPr>
                  <w:tcW w:w="851" w:type="pc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pStyle w:val="52"/>
                  </w:pPr>
                  <w:r>
                    <w:rPr>
                      <w:rFonts w:hint="eastAsia"/>
                    </w:rPr>
                    <w:t>纸塑包装袋</w:t>
                  </w:r>
                </w:p>
              </w:tc>
              <w:tc>
                <w:tcPr>
                  <w:tcW w:w="333" w:type="pc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pStyle w:val="52"/>
                  </w:pPr>
                  <w:r>
                    <w:rPr>
                      <w:rFonts w:hint="eastAsia"/>
                    </w:rPr>
                    <w:t>t</w:t>
                  </w:r>
                </w:p>
              </w:tc>
              <w:tc>
                <w:tcPr>
                  <w:tcW w:w="588" w:type="pc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pStyle w:val="52"/>
                  </w:pPr>
                  <w:r>
                    <w:t>2</w:t>
                  </w:r>
                </w:p>
              </w:tc>
              <w:tc>
                <w:tcPr>
                  <w:tcW w:w="576" w:type="pct"/>
                  <w:tcBorders>
                    <w:top w:val="single" w:color="000000" w:sz="4" w:space="0"/>
                    <w:left w:val="nil"/>
                    <w:bottom w:val="single" w:color="000000" w:sz="4" w:space="0"/>
                    <w:right w:val="single" w:color="auto" w:sz="4" w:space="0"/>
                  </w:tcBorders>
                  <w:noWrap/>
                  <w:tcMar>
                    <w:top w:w="15" w:type="dxa"/>
                    <w:left w:w="15" w:type="dxa"/>
                    <w:bottom w:w="0" w:type="dxa"/>
                    <w:right w:w="15" w:type="dxa"/>
                  </w:tcMar>
                  <w:vAlign w:val="center"/>
                </w:tcPr>
                <w:p>
                  <w:pPr>
                    <w:pStyle w:val="52"/>
                  </w:pPr>
                  <w:r>
                    <w:rPr>
                      <w:rFonts w:hint="eastAsia"/>
                    </w:rPr>
                    <w:t>/</w:t>
                  </w:r>
                </w:p>
              </w:tc>
              <w:tc>
                <w:tcPr>
                  <w:tcW w:w="555"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固态</w:t>
                  </w:r>
                </w:p>
              </w:tc>
              <w:tc>
                <w:tcPr>
                  <w:tcW w:w="608"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52"/>
                  </w:pPr>
                  <w:r>
                    <w:t>1</w:t>
                  </w:r>
                </w:p>
              </w:tc>
              <w:tc>
                <w:tcPr>
                  <w:tcW w:w="546" w:type="pct"/>
                  <w:tcBorders>
                    <w:top w:val="single" w:color="auto" w:sz="4" w:space="0"/>
                    <w:left w:val="single" w:color="auto" w:sz="4" w:space="0"/>
                    <w:right w:val="single" w:color="000000" w:sz="4" w:space="0"/>
                  </w:tcBorders>
                  <w:tcMar>
                    <w:top w:w="15" w:type="dxa"/>
                    <w:left w:w="15" w:type="dxa"/>
                    <w:bottom w:w="0" w:type="dxa"/>
                    <w:right w:w="15" w:type="dxa"/>
                  </w:tcMar>
                  <w:vAlign w:val="center"/>
                </w:tcPr>
                <w:p>
                  <w:pPr>
                    <w:pStyle w:val="52"/>
                  </w:pPr>
                  <w:r>
                    <w:rPr>
                      <w:rFonts w:hint="eastAsia"/>
                    </w:rPr>
                    <w:t>产品包装</w:t>
                  </w:r>
                </w:p>
              </w:tc>
              <w:tc>
                <w:tcPr>
                  <w:tcW w:w="544" w:type="pct"/>
                  <w:tcBorders>
                    <w:top w:val="single" w:color="000000" w:sz="4" w:space="0"/>
                    <w:left w:val="nil"/>
                    <w:bottom w:val="single" w:color="000000" w:sz="4" w:space="0"/>
                    <w:right w:val="single" w:color="000000" w:sz="4" w:space="0"/>
                  </w:tcBorders>
                  <w:vAlign w:val="center"/>
                </w:tcPr>
                <w:p>
                  <w:pPr>
                    <w:pStyle w:val="52"/>
                  </w:pPr>
                  <w:r>
                    <w:rPr>
                      <w:rFonts w:hint="eastAsia"/>
                    </w:rPr>
                    <w:t>外购，缝线封口</w:t>
                  </w:r>
                </w:p>
              </w:tc>
            </w:tr>
            <w:tr>
              <w:tblPrEx>
                <w:tblCellMar>
                  <w:top w:w="0" w:type="dxa"/>
                  <w:left w:w="0" w:type="dxa"/>
                  <w:bottom w:w="0" w:type="dxa"/>
                  <w:right w:w="0" w:type="dxa"/>
                </w:tblCellMar>
              </w:tblPrEx>
              <w:trPr>
                <w:trHeight w:val="23" w:hRule="atLeast"/>
                <w:jc w:val="center"/>
              </w:trPr>
              <w:tc>
                <w:tcPr>
                  <w:tcW w:w="5000" w:type="pct"/>
                  <w:gridSpan w:val="9"/>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pStyle w:val="52"/>
                  </w:pPr>
                  <w:r>
                    <w:rPr>
                      <w:rFonts w:hint="eastAsia"/>
                    </w:rPr>
                    <w:t>能源消耗</w:t>
                  </w:r>
                </w:p>
              </w:tc>
            </w:tr>
            <w:tr>
              <w:tblPrEx>
                <w:tblCellMar>
                  <w:top w:w="0" w:type="dxa"/>
                  <w:left w:w="0" w:type="dxa"/>
                  <w:bottom w:w="0" w:type="dxa"/>
                  <w:right w:w="0" w:type="dxa"/>
                </w:tblCellMar>
              </w:tblPrEx>
              <w:trPr>
                <w:trHeight w:val="23" w:hRule="atLeast"/>
                <w:jc w:val="center"/>
              </w:trPr>
              <w:tc>
                <w:tcPr>
                  <w:tcW w:w="1583" w:type="pct"/>
                  <w:gridSpan w:val="3"/>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pStyle w:val="52"/>
                  </w:pPr>
                  <w:r>
                    <w:rPr>
                      <w:rFonts w:hint="eastAsia"/>
                    </w:rPr>
                    <w:t>电</w:t>
                  </w:r>
                </w:p>
              </w:tc>
              <w:tc>
                <w:tcPr>
                  <w:tcW w:w="588" w:type="pc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pStyle w:val="52"/>
                  </w:pPr>
                  <w:r>
                    <w:t>20</w:t>
                  </w:r>
                  <w:r>
                    <w:rPr>
                      <w:rFonts w:hint="eastAsia"/>
                    </w:rPr>
                    <w:t>万kw</w:t>
                  </w:r>
                  <w:r>
                    <w:t>·h</w:t>
                  </w:r>
                </w:p>
              </w:tc>
              <w:tc>
                <w:tcPr>
                  <w:tcW w:w="576" w:type="pct"/>
                  <w:tcBorders>
                    <w:top w:val="single" w:color="000000" w:sz="4" w:space="0"/>
                    <w:left w:val="nil"/>
                    <w:bottom w:val="single" w:color="000000" w:sz="4" w:space="0"/>
                    <w:right w:val="single" w:color="auto" w:sz="4" w:space="0"/>
                  </w:tcBorders>
                  <w:noWrap/>
                  <w:tcMar>
                    <w:top w:w="15" w:type="dxa"/>
                    <w:left w:w="15" w:type="dxa"/>
                    <w:bottom w:w="0" w:type="dxa"/>
                    <w:right w:w="15" w:type="dxa"/>
                  </w:tcMar>
                  <w:vAlign w:val="center"/>
                </w:tcPr>
                <w:p>
                  <w:pPr>
                    <w:pStyle w:val="52"/>
                  </w:pPr>
                  <w:r>
                    <w:rPr>
                      <w:rFonts w:hint="eastAsia"/>
                    </w:rPr>
                    <w:t>/</w:t>
                  </w:r>
                </w:p>
              </w:tc>
              <w:tc>
                <w:tcPr>
                  <w:tcW w:w="555"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w:t>
                  </w:r>
                </w:p>
              </w:tc>
              <w:tc>
                <w:tcPr>
                  <w:tcW w:w="608"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52"/>
                  </w:pPr>
                  <w:r>
                    <w:rPr>
                      <w:rFonts w:hint="eastAsia"/>
                    </w:rPr>
                    <w:t>/</w:t>
                  </w:r>
                </w:p>
              </w:tc>
              <w:tc>
                <w:tcPr>
                  <w:tcW w:w="546" w:type="pct"/>
                  <w:tcBorders>
                    <w:top w:val="single" w:color="000000" w:sz="4" w:space="0"/>
                    <w:left w:val="single" w:color="auto" w:sz="4" w:space="0"/>
                    <w:bottom w:val="single" w:color="000000" w:sz="4" w:space="0"/>
                    <w:right w:val="single" w:color="000000" w:sz="4" w:space="0"/>
                  </w:tcBorders>
                  <w:tcMar>
                    <w:top w:w="15" w:type="dxa"/>
                    <w:left w:w="15" w:type="dxa"/>
                    <w:bottom w:w="0" w:type="dxa"/>
                    <w:right w:w="15" w:type="dxa"/>
                  </w:tcMar>
                  <w:vAlign w:val="center"/>
                </w:tcPr>
                <w:p>
                  <w:pPr>
                    <w:pStyle w:val="52"/>
                  </w:pPr>
                  <w:r>
                    <w:rPr>
                      <w:rFonts w:hint="eastAsia"/>
                    </w:rPr>
                    <w:t>/</w:t>
                  </w:r>
                </w:p>
              </w:tc>
              <w:tc>
                <w:tcPr>
                  <w:tcW w:w="544" w:type="pct"/>
                  <w:tcBorders>
                    <w:top w:val="single" w:color="000000" w:sz="4" w:space="0"/>
                    <w:left w:val="nil"/>
                    <w:bottom w:val="single" w:color="000000" w:sz="4" w:space="0"/>
                    <w:right w:val="single" w:color="000000" w:sz="4" w:space="0"/>
                  </w:tcBorders>
                  <w:vAlign w:val="center"/>
                </w:tcPr>
                <w:p>
                  <w:pPr>
                    <w:pStyle w:val="52"/>
                  </w:pPr>
                  <w:r>
                    <w:rPr>
                      <w:rFonts w:hint="eastAsia"/>
                    </w:rPr>
                    <w:t>/</w:t>
                  </w:r>
                </w:p>
              </w:tc>
            </w:tr>
            <w:tr>
              <w:tblPrEx>
                <w:tblCellMar>
                  <w:top w:w="0" w:type="dxa"/>
                  <w:left w:w="0" w:type="dxa"/>
                  <w:bottom w:w="0" w:type="dxa"/>
                  <w:right w:w="0" w:type="dxa"/>
                </w:tblCellMar>
              </w:tblPrEx>
              <w:trPr>
                <w:trHeight w:val="23" w:hRule="atLeast"/>
                <w:jc w:val="center"/>
              </w:trPr>
              <w:tc>
                <w:tcPr>
                  <w:tcW w:w="1583" w:type="pct"/>
                  <w:gridSpan w:val="3"/>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pStyle w:val="52"/>
                  </w:pPr>
                  <w:r>
                    <w:rPr>
                      <w:rFonts w:hint="eastAsia"/>
                    </w:rPr>
                    <w:t>水</w:t>
                  </w:r>
                </w:p>
              </w:tc>
              <w:tc>
                <w:tcPr>
                  <w:tcW w:w="588" w:type="pc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pStyle w:val="52"/>
                  </w:pPr>
                  <w:r>
                    <w:t>810</w:t>
                  </w:r>
                  <w:r>
                    <w:rPr>
                      <w:rFonts w:hint="eastAsia"/>
                    </w:rPr>
                    <w:t>m</w:t>
                  </w:r>
                  <w:r>
                    <w:rPr>
                      <w:vertAlign w:val="superscript"/>
                    </w:rPr>
                    <w:t>3</w:t>
                  </w:r>
                </w:p>
              </w:tc>
              <w:tc>
                <w:tcPr>
                  <w:tcW w:w="576" w:type="pct"/>
                  <w:tcBorders>
                    <w:top w:val="single" w:color="000000" w:sz="4" w:space="0"/>
                    <w:left w:val="nil"/>
                    <w:bottom w:val="single" w:color="000000" w:sz="4" w:space="0"/>
                    <w:right w:val="single" w:color="auto" w:sz="4" w:space="0"/>
                  </w:tcBorders>
                  <w:noWrap/>
                  <w:tcMar>
                    <w:top w:w="15" w:type="dxa"/>
                    <w:left w:w="15" w:type="dxa"/>
                    <w:bottom w:w="0" w:type="dxa"/>
                    <w:right w:w="15" w:type="dxa"/>
                  </w:tcMar>
                  <w:vAlign w:val="center"/>
                </w:tcPr>
                <w:p>
                  <w:pPr>
                    <w:pStyle w:val="52"/>
                  </w:pPr>
                  <w:r>
                    <w:rPr>
                      <w:rFonts w:hint="eastAsia"/>
                    </w:rPr>
                    <w:t>/</w:t>
                  </w:r>
                </w:p>
              </w:tc>
              <w:tc>
                <w:tcPr>
                  <w:tcW w:w="555"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w:t>
                  </w:r>
                </w:p>
              </w:tc>
              <w:tc>
                <w:tcPr>
                  <w:tcW w:w="608"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52"/>
                  </w:pPr>
                  <w:r>
                    <w:rPr>
                      <w:rFonts w:hint="eastAsia"/>
                    </w:rPr>
                    <w:t>/</w:t>
                  </w:r>
                </w:p>
              </w:tc>
              <w:tc>
                <w:tcPr>
                  <w:tcW w:w="546" w:type="pct"/>
                  <w:tcBorders>
                    <w:top w:val="single" w:color="000000" w:sz="4" w:space="0"/>
                    <w:left w:val="single" w:color="auto" w:sz="4" w:space="0"/>
                    <w:bottom w:val="single" w:color="000000" w:sz="4" w:space="0"/>
                    <w:right w:val="single" w:color="000000" w:sz="4" w:space="0"/>
                  </w:tcBorders>
                  <w:tcMar>
                    <w:top w:w="15" w:type="dxa"/>
                    <w:left w:w="15" w:type="dxa"/>
                    <w:bottom w:w="0" w:type="dxa"/>
                    <w:right w:w="15" w:type="dxa"/>
                  </w:tcMar>
                  <w:vAlign w:val="center"/>
                </w:tcPr>
                <w:p>
                  <w:pPr>
                    <w:pStyle w:val="52"/>
                  </w:pPr>
                  <w:r>
                    <w:rPr>
                      <w:rFonts w:hint="eastAsia"/>
                    </w:rPr>
                    <w:t>/</w:t>
                  </w:r>
                </w:p>
              </w:tc>
              <w:tc>
                <w:tcPr>
                  <w:tcW w:w="544" w:type="pct"/>
                  <w:tcBorders>
                    <w:top w:val="single" w:color="000000" w:sz="4" w:space="0"/>
                    <w:left w:val="nil"/>
                    <w:bottom w:val="single" w:color="000000" w:sz="4" w:space="0"/>
                    <w:right w:val="single" w:color="000000" w:sz="4" w:space="0"/>
                  </w:tcBorders>
                  <w:vAlign w:val="center"/>
                </w:tcPr>
                <w:p>
                  <w:pPr>
                    <w:pStyle w:val="52"/>
                  </w:pPr>
                  <w:r>
                    <w:rPr>
                      <w:rFonts w:hint="eastAsia"/>
                    </w:rPr>
                    <w:t>/</w:t>
                  </w:r>
                </w:p>
              </w:tc>
            </w:tr>
            <w:bookmarkEnd w:id="6"/>
          </w:tbl>
          <w:p>
            <w:pPr>
              <w:pStyle w:val="82"/>
              <w:ind w:firstLine="482"/>
              <w:rPr>
                <w:b/>
                <w:bCs/>
              </w:rPr>
            </w:pPr>
            <w:r>
              <w:rPr>
                <w:rFonts w:hint="eastAsia"/>
                <w:b/>
                <w:bCs/>
              </w:rPr>
              <w:t>原材料理化性质：</w:t>
            </w:r>
          </w:p>
          <w:p>
            <w:pPr>
              <w:pStyle w:val="82"/>
              <w:ind w:firstLine="482"/>
            </w:pPr>
            <w:r>
              <w:rPr>
                <w:rFonts w:hint="eastAsia"/>
                <w:b/>
                <w:bCs/>
              </w:rPr>
              <w:t>①聚乙烯蜡：</w:t>
            </w:r>
            <w:r>
              <w:rPr>
                <w:rFonts w:hint="eastAsia"/>
              </w:rPr>
              <w:t>浅黄色颗粒，熔点1</w:t>
            </w:r>
            <w:r>
              <w:t>00~105℃，分解温度&gt;300℃。</w:t>
            </w:r>
            <w:r>
              <w:rPr>
                <w:rFonts w:hint="eastAsia"/>
              </w:rPr>
              <w:t>聚乙烯</w:t>
            </w:r>
            <w:r>
              <w:t>蜡的相对分子质量为500-1000左右。可用于注塑、挤出</w:t>
            </w:r>
            <w:r>
              <w:rPr>
                <w:rFonts w:hint="eastAsia"/>
              </w:rPr>
              <w:t>、造粒等塑料加工。在母料和改性塑料的生产过程中，有助于填料的分散和混合过程中优异的平滑度，低粘度可以提高产品的生产速度，可以帮助颜料和填料在混合过程中分散，特别适用于高粘度体系的挤出。</w:t>
            </w:r>
          </w:p>
          <w:p>
            <w:pPr>
              <w:pStyle w:val="82"/>
              <w:ind w:firstLine="482"/>
            </w:pPr>
            <w:r>
              <w:rPr>
                <w:rFonts w:hint="eastAsia"/>
                <w:b/>
                <w:bCs/>
              </w:rPr>
              <w:t>②聚乙烯颗粒：</w:t>
            </w:r>
            <w:r>
              <w:rPr>
                <w:rFonts w:hint="eastAsia"/>
              </w:rPr>
              <w:t>半透明白色颗粒，几乎无味，</w:t>
            </w:r>
            <w:r>
              <w:t>熔点105~140℃，相对密度＜0.9~0.97g/cm</w:t>
            </w:r>
            <w:r>
              <w:rPr>
                <w:vertAlign w:val="superscript"/>
              </w:rPr>
              <w:t>3</w:t>
            </w:r>
            <w:r>
              <w:t>（20℃），不溶于水，分解温度＞300℃。其主要成分为聚乙烯（低度聚乙烯、乙烯均聚物），含量＞99.0%。</w:t>
            </w:r>
          </w:p>
          <w:p>
            <w:pPr>
              <w:pStyle w:val="82"/>
              <w:ind w:firstLine="482"/>
            </w:pPr>
            <w:r>
              <w:rPr>
                <w:rFonts w:hint="eastAsia" w:ascii="宋体" w:hAnsi="宋体" w:cs="宋体"/>
                <w:b/>
                <w:bCs/>
              </w:rPr>
              <w:t>③</w:t>
            </w:r>
            <w:r>
              <w:rPr>
                <w:b/>
                <w:bCs/>
              </w:rPr>
              <w:t>聚丙烯</w:t>
            </w:r>
            <w:r>
              <w:rPr>
                <w:rFonts w:hint="eastAsia"/>
                <w:b/>
                <w:bCs/>
              </w:rPr>
              <w:t>颗粒</w:t>
            </w:r>
            <w:r>
              <w:rPr>
                <w:b/>
                <w:bCs/>
              </w:rPr>
              <w:t>：</w:t>
            </w:r>
            <w:r>
              <w:t>半透明白色颗粒，几乎无味，熔点164~170℃，相对密度＜1g/cm</w:t>
            </w:r>
            <w:r>
              <w:rPr>
                <w:vertAlign w:val="superscript"/>
              </w:rPr>
              <w:t>3</w:t>
            </w:r>
            <w:r>
              <w:t>（20℃），不溶于水，分解温度＞350℃。其主要成分为聚丙烯（丙烯均聚物），含量＞99.0%。</w:t>
            </w:r>
          </w:p>
          <w:p>
            <w:pPr>
              <w:pStyle w:val="82"/>
              <w:ind w:firstLine="482"/>
              <w:rPr>
                <w:b/>
                <w:bCs/>
              </w:rPr>
            </w:pPr>
            <w:r>
              <w:rPr>
                <w:rFonts w:hint="eastAsia" w:ascii="宋体" w:hAnsi="宋体" w:cs="宋体"/>
                <w:b/>
                <w:bCs/>
              </w:rPr>
              <w:t>④</w:t>
            </w:r>
            <w:r>
              <w:rPr>
                <w:b/>
                <w:bCs/>
              </w:rPr>
              <w:t>环烷油：</w:t>
            </w:r>
            <w:r>
              <w:t>相对密度0.89～0.951g/cm</w:t>
            </w:r>
            <w:r>
              <w:rPr>
                <w:vertAlign w:val="superscript"/>
              </w:rPr>
              <w:t>3</w:t>
            </w:r>
            <w:r>
              <w:t>；</w:t>
            </w:r>
            <w:r>
              <w:rPr>
                <w:rFonts w:hint="eastAsia"/>
              </w:rPr>
              <w:t>分解</w:t>
            </w:r>
            <w:r>
              <w:t>温度&gt;250℃。</w:t>
            </w:r>
            <w:r>
              <w:rPr>
                <w:rFonts w:hint="eastAsia"/>
              </w:rPr>
              <w:t>环烷油是对饱和环状碳链结构烃类的一种通俗称呼，专业语汇中通常称为环烷基油。由于其主要特征是分子中有一个或多个饱和环状碳链，外观呈油状液体，所以称为环烷油。与树脂、聚合物、橡胶有良好的兼容性和互溶性，可用于橡胶和树脂的混合。</w:t>
            </w:r>
          </w:p>
          <w:p>
            <w:pPr>
              <w:pStyle w:val="82"/>
              <w:ind w:firstLine="482"/>
              <w:rPr>
                <w:b/>
                <w:bCs/>
              </w:rPr>
            </w:pPr>
            <w:r>
              <w:rPr>
                <w:rFonts w:hint="eastAsia"/>
                <w:b/>
                <w:bCs/>
              </w:rPr>
              <w:t>⑤热塑性橡胶：</w:t>
            </w:r>
            <w:r>
              <w:rPr>
                <w:rFonts w:hint="eastAsia"/>
              </w:rPr>
              <w:t>密度</w:t>
            </w:r>
            <w:r>
              <w:t>1.0</w:t>
            </w:r>
            <w:r>
              <w:rPr>
                <w:rFonts w:hint="eastAsia"/>
              </w:rPr>
              <w:t>~</w:t>
            </w:r>
            <w:r>
              <w:t>1.3g/cm</w:t>
            </w:r>
            <w:r>
              <w:rPr>
                <w:vertAlign w:val="superscript"/>
              </w:rPr>
              <w:t>3</w:t>
            </w:r>
            <w:r>
              <w:rPr>
                <w:rFonts w:hint="eastAsia"/>
              </w:rPr>
              <w:t>；分解温度&gt;</w:t>
            </w:r>
            <w:r>
              <w:t>270℃</w:t>
            </w:r>
            <w:r>
              <w:rPr>
                <w:rFonts w:hint="eastAsia"/>
              </w:rPr>
              <w:t>。热塑性橡胶又称人造橡胶或合成橡胶，既具备传统交联硫化橡胶的高弹性、耐老化、耐油性各项优异性能，同时又具备普通塑料加工方便、加工方式广的特点。</w:t>
            </w:r>
          </w:p>
          <w:p>
            <w:pPr>
              <w:pStyle w:val="82"/>
              <w:ind w:firstLine="482"/>
            </w:pPr>
            <w:r>
              <w:rPr>
                <w:rFonts w:hint="eastAsia"/>
                <w:b/>
                <w:bCs/>
              </w:rPr>
              <w:t>⑥硅油：</w:t>
            </w:r>
            <w:r>
              <w:rPr>
                <w:rFonts w:hint="eastAsia"/>
              </w:rPr>
              <w:t>密度0</w:t>
            </w:r>
            <w:r>
              <w:t>.9~1.0g/cm</w:t>
            </w:r>
            <w:r>
              <w:rPr>
                <w:vertAlign w:val="superscript"/>
              </w:rPr>
              <w:t>3</w:t>
            </w:r>
            <w:r>
              <w:rPr>
                <w:rFonts w:hint="eastAsia"/>
              </w:rPr>
              <w:t>；分解温度&gt;</w:t>
            </w:r>
            <w:r>
              <w:t>300℃</w:t>
            </w:r>
            <w:r>
              <w:rPr>
                <w:rFonts w:hint="eastAsia"/>
              </w:rPr>
              <w:t>。无色或淡黄色，无味、无毒、不易挥发的液体。硅油可用作脱膜剂、减震油、介电油、液压油、热传递油等，也可用于塑料橡胶的加工。</w:t>
            </w:r>
          </w:p>
          <w:p>
            <w:pPr>
              <w:pStyle w:val="82"/>
              <w:ind w:firstLine="482"/>
              <w:rPr>
                <w:b/>
                <w:bCs/>
              </w:rPr>
            </w:pPr>
            <w:r>
              <w:rPr>
                <w:rFonts w:hint="eastAsia"/>
                <w:b/>
                <w:bCs/>
              </w:rPr>
              <w:t>⑦</w:t>
            </w:r>
            <w:r>
              <w:rPr>
                <w:b/>
              </w:rPr>
              <w:t>润滑油：</w:t>
            </w:r>
            <w:r>
              <w:t>油状液体，基础油和添加剂组成，淡黄色至褐色，无气味或略带气味。不溶于水，遇高热、明火可燃，闪点76℃。供各种机械设备使用，每年更换一次。</w:t>
            </w:r>
          </w:p>
          <w:p>
            <w:pPr>
              <w:pStyle w:val="82"/>
              <w:ind w:firstLine="482"/>
              <w:rPr>
                <w:b/>
                <w:bCs/>
              </w:rPr>
            </w:pPr>
            <w:r>
              <w:rPr>
                <w:b/>
                <w:bCs/>
              </w:rPr>
              <w:t>9</w:t>
            </w:r>
            <w:r>
              <w:rPr>
                <w:rFonts w:hint="eastAsia"/>
                <w:b/>
                <w:bCs/>
              </w:rPr>
              <w:t>、平衡分析</w:t>
            </w:r>
          </w:p>
          <w:p>
            <w:pPr>
              <w:pStyle w:val="82"/>
              <w:ind w:firstLine="482"/>
              <w:rPr>
                <w:b/>
                <w:bCs/>
              </w:rPr>
            </w:pPr>
            <w:r>
              <w:rPr>
                <w:rFonts w:hint="eastAsia"/>
                <w:b/>
                <w:bCs/>
              </w:rPr>
              <w:t>（1）水平衡分析</w:t>
            </w:r>
          </w:p>
          <w:p>
            <w:pPr>
              <w:pStyle w:val="82"/>
              <w:rPr>
                <w:rFonts w:ascii="宋体" w:hAnsi="宋体"/>
              </w:rPr>
            </w:pPr>
            <w:r>
              <w:t>项目运营期不产生生产废水，</w:t>
            </w:r>
            <w:r>
              <w:rPr>
                <w:rFonts w:hint="eastAsia"/>
              </w:rPr>
              <w:t>项目地面需要保持干燥环境，因此清洁不采用冲洗方式，利用干式扫帚清洁。</w:t>
            </w:r>
            <w:r>
              <w:t>项目废水仅包括生活废水。</w:t>
            </w:r>
            <w:r>
              <w:rPr>
                <w:rFonts w:ascii="宋体" w:hAnsi="宋体"/>
              </w:rPr>
              <w:t>本项目职工人数为</w:t>
            </w:r>
            <w:r>
              <w:t>22</w:t>
            </w:r>
            <w:r>
              <w:rPr>
                <w:rFonts w:ascii="宋体" w:hAnsi="宋体"/>
              </w:rPr>
              <w:t>人</w:t>
            </w:r>
            <w:r>
              <w:rPr>
                <w:rFonts w:hint="eastAsia" w:ascii="宋体" w:hAnsi="宋体"/>
              </w:rPr>
              <w:t>，</w:t>
            </w:r>
            <w:r>
              <w:rPr>
                <w:rFonts w:hint="eastAsia"/>
              </w:rPr>
              <w:t>员工生活用水指标定额参考重庆市水利局、重庆市城市管理委员会《关于印发重庆市城市生活用水定额（2017年修订版）的通知》（渝水[2018]66号）文件确定。即用水按人均用水量</w:t>
            </w:r>
            <w:r>
              <w:t>5</w:t>
            </w:r>
            <w:r>
              <w:rPr>
                <w:rFonts w:hint="eastAsia"/>
              </w:rPr>
              <w:t>0L/d计</w:t>
            </w:r>
            <w:r>
              <w:rPr>
                <w:rFonts w:hint="eastAsia" w:ascii="宋体" w:hAnsi="宋体"/>
              </w:rPr>
              <w:t>，</w:t>
            </w:r>
            <w:r>
              <w:rPr>
                <w:rFonts w:ascii="宋体" w:hAnsi="宋体"/>
              </w:rPr>
              <w:t>生活用水量为</w:t>
            </w:r>
            <w:r>
              <w:t>1.1</w:t>
            </w:r>
            <w:r>
              <w:rPr>
                <w:rFonts w:hint="eastAsia"/>
              </w:rPr>
              <w:t>m</w:t>
            </w:r>
            <w:r>
              <w:rPr>
                <w:rFonts w:hint="eastAsia"/>
                <w:vertAlign w:val="superscript"/>
              </w:rPr>
              <w:t>3</w:t>
            </w:r>
            <w:r>
              <w:t>/d</w:t>
            </w:r>
            <w:r>
              <w:rPr>
                <w:rFonts w:ascii="宋体" w:hAnsi="宋体"/>
              </w:rPr>
              <w:t>，排污系数按照</w:t>
            </w:r>
            <w:r>
              <w:t>0.9</w:t>
            </w:r>
            <w:r>
              <w:rPr>
                <w:rFonts w:ascii="宋体" w:hAnsi="宋体"/>
              </w:rPr>
              <w:t>计算，项目生活污水产生量为</w:t>
            </w:r>
            <w:r>
              <w:t>0.99</w:t>
            </w:r>
            <w:r>
              <w:rPr>
                <w:rFonts w:hint="eastAsia"/>
              </w:rPr>
              <w:t>m</w:t>
            </w:r>
            <w:r>
              <w:rPr>
                <w:rFonts w:hint="eastAsia"/>
                <w:vertAlign w:val="superscript"/>
              </w:rPr>
              <w:t>3</w:t>
            </w:r>
            <w:r>
              <w:t>/d</w:t>
            </w:r>
            <w:r>
              <w:rPr>
                <w:rFonts w:ascii="宋体" w:hAnsi="宋体"/>
              </w:rPr>
              <w:t>，</w:t>
            </w:r>
            <w:r>
              <w:t>297</w:t>
            </w:r>
            <w:r>
              <w:rPr>
                <w:rFonts w:hint="eastAsia"/>
              </w:rPr>
              <w:t>m</w:t>
            </w:r>
            <w:r>
              <w:rPr>
                <w:rFonts w:hint="eastAsia"/>
                <w:vertAlign w:val="superscript"/>
              </w:rPr>
              <w:t>3</w:t>
            </w:r>
            <w:r>
              <w:t>/a</w:t>
            </w:r>
            <w:r>
              <w:rPr>
                <w:rFonts w:ascii="宋体" w:hAnsi="宋体"/>
              </w:rPr>
              <w:t>。污水中各污染物产生浓度为</w:t>
            </w:r>
            <w:r>
              <w:t>COD</w:t>
            </w:r>
            <w:r>
              <w:rPr>
                <w:vertAlign w:val="subscript"/>
              </w:rPr>
              <w:t>Cr</w:t>
            </w:r>
            <w:r>
              <w:rPr>
                <w:rFonts w:ascii="宋体" w:hAnsi="宋体"/>
              </w:rPr>
              <w:t>：</w:t>
            </w:r>
            <w:r>
              <w:t>450mg/L</w:t>
            </w:r>
            <w:r>
              <w:rPr>
                <w:rFonts w:ascii="宋体" w:hAnsi="宋体"/>
              </w:rPr>
              <w:t>；</w:t>
            </w:r>
            <w:r>
              <w:t>BOD</w:t>
            </w:r>
            <w:r>
              <w:rPr>
                <w:vertAlign w:val="subscript"/>
              </w:rPr>
              <w:t>5</w:t>
            </w:r>
            <w:r>
              <w:rPr>
                <w:rFonts w:ascii="宋体" w:hAnsi="宋体"/>
              </w:rPr>
              <w:t>：</w:t>
            </w:r>
            <w:r>
              <w:t>250mg/L</w:t>
            </w:r>
            <w:r>
              <w:rPr>
                <w:rFonts w:ascii="宋体" w:hAnsi="宋体"/>
              </w:rPr>
              <w:t>；</w:t>
            </w:r>
            <w:r>
              <w:t>SS</w:t>
            </w:r>
            <w:r>
              <w:rPr>
                <w:rFonts w:ascii="宋体" w:hAnsi="宋体"/>
              </w:rPr>
              <w:t>：</w:t>
            </w:r>
            <w:r>
              <w:t>350mg/L</w:t>
            </w:r>
            <w:r>
              <w:rPr>
                <w:rFonts w:ascii="宋体" w:hAnsi="宋体"/>
              </w:rPr>
              <w:t>；</w:t>
            </w:r>
            <w:r>
              <w:t>NH</w:t>
            </w:r>
            <w:r>
              <w:rPr>
                <w:vertAlign w:val="subscript"/>
              </w:rPr>
              <w:t>3</w:t>
            </w:r>
            <w:r>
              <w:t>-N</w:t>
            </w:r>
            <w:r>
              <w:rPr>
                <w:rFonts w:hint="eastAsia"/>
              </w:rPr>
              <w:t>：</w:t>
            </w:r>
            <w:r>
              <w:t>45mg/L</w:t>
            </w:r>
            <w:r>
              <w:rPr>
                <w:rFonts w:ascii="宋体" w:hAnsi="宋体"/>
              </w:rPr>
              <w:t>。</w:t>
            </w:r>
          </w:p>
          <w:p>
            <w:pPr>
              <w:pStyle w:val="82"/>
              <w:rPr>
                <w:rFonts w:ascii="宋体" w:hAnsi="宋体"/>
              </w:rPr>
            </w:pPr>
            <w:r>
              <w:rPr>
                <w:rFonts w:hint="eastAsia" w:ascii="宋体" w:hAnsi="宋体"/>
              </w:rPr>
              <w:t>另外，功能母粒生产过程中需要冷却水直接冷却，本项目原料均为新料，物料干净，冷却水循环使用不外排，</w:t>
            </w:r>
            <w:r>
              <w:rPr>
                <w:rFonts w:hint="eastAsia"/>
              </w:rPr>
              <w:t>定期补充新鲜水。冷却系统循环水量为8m</w:t>
            </w:r>
            <w:r>
              <w:rPr>
                <w:vertAlign w:val="superscript"/>
              </w:rPr>
              <w:t>3</w:t>
            </w:r>
            <w:r>
              <w:t>/</w:t>
            </w:r>
            <w:r>
              <w:rPr>
                <w:rFonts w:hint="eastAsia"/>
              </w:rPr>
              <w:t>h，新鲜水补充量按循环水量的</w:t>
            </w:r>
            <w:r>
              <w:t>2%</w:t>
            </w:r>
            <w:r>
              <w:rPr>
                <w:rFonts w:hint="eastAsia"/>
              </w:rPr>
              <w:t>计算，则新鲜水用量为</w:t>
            </w:r>
            <w:r>
              <w:t>1.6</w:t>
            </w:r>
            <w:r>
              <w:rPr>
                <w:rFonts w:hint="eastAsia"/>
              </w:rPr>
              <w:t>m</w:t>
            </w:r>
            <w:r>
              <w:rPr>
                <w:rFonts w:hint="eastAsia"/>
                <w:vertAlign w:val="superscript"/>
              </w:rPr>
              <w:t>3</w:t>
            </w:r>
            <w:r>
              <w:t>/d</w:t>
            </w:r>
            <w:r>
              <w:rPr>
                <w:rFonts w:hint="eastAsia"/>
              </w:rPr>
              <w:t>。</w:t>
            </w:r>
          </w:p>
          <w:p>
            <w:pPr>
              <w:pStyle w:val="83"/>
            </w:pPr>
            <w:r>
              <w:t>表2-7  项目用水、排水情况一览表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4"/>
              <w:gridCol w:w="768"/>
              <w:gridCol w:w="979"/>
              <w:gridCol w:w="1627"/>
              <w:gridCol w:w="1189"/>
              <w:gridCol w:w="1627"/>
              <w:gridCol w:w="11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4"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用水类别</w:t>
                  </w:r>
                </w:p>
              </w:tc>
              <w:tc>
                <w:tcPr>
                  <w:tcW w:w="466"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用水</w:t>
                  </w:r>
                </w:p>
                <w:p>
                  <w:pPr>
                    <w:pStyle w:val="52"/>
                    <w:rPr>
                      <w:b/>
                      <w:bCs/>
                    </w:rPr>
                  </w:pPr>
                  <w:r>
                    <w:rPr>
                      <w:b/>
                      <w:bCs/>
                    </w:rPr>
                    <w:t>规模</w:t>
                  </w:r>
                </w:p>
              </w:tc>
              <w:tc>
                <w:tcPr>
                  <w:tcW w:w="594"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用水标准</w:t>
                  </w:r>
                </w:p>
              </w:tc>
              <w:tc>
                <w:tcPr>
                  <w:tcW w:w="987"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最大日用水量(</w:t>
                  </w:r>
                  <w:bookmarkStart w:id="7" w:name="_Hlk101192233"/>
                  <w:r>
                    <w:rPr>
                      <w:rFonts w:hint="eastAsia"/>
                      <w:b/>
                      <w:bCs/>
                    </w:rPr>
                    <w:t>m</w:t>
                  </w:r>
                  <w:bookmarkEnd w:id="7"/>
                  <w:r>
                    <w:rPr>
                      <w:rFonts w:hint="eastAsia"/>
                      <w:b/>
                      <w:bCs/>
                      <w:vertAlign w:val="superscript"/>
                    </w:rPr>
                    <w:t>3</w:t>
                  </w:r>
                  <w:r>
                    <w:rPr>
                      <w:b/>
                      <w:bCs/>
                    </w:rPr>
                    <w:t>/d)</w:t>
                  </w:r>
                </w:p>
              </w:tc>
              <w:tc>
                <w:tcPr>
                  <w:tcW w:w="721"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用水量(</w:t>
                  </w:r>
                  <w:bookmarkStart w:id="8" w:name="_Hlk101192247"/>
                  <w:r>
                    <w:rPr>
                      <w:rFonts w:hint="eastAsia"/>
                      <w:b/>
                      <w:bCs/>
                    </w:rPr>
                    <w:t>m</w:t>
                  </w:r>
                  <w:bookmarkEnd w:id="8"/>
                  <w:r>
                    <w:rPr>
                      <w:rFonts w:hint="eastAsia"/>
                      <w:b/>
                      <w:bCs/>
                      <w:vertAlign w:val="superscript"/>
                    </w:rPr>
                    <w:t>3</w:t>
                  </w:r>
                  <w:r>
                    <w:rPr>
                      <w:b/>
                      <w:bCs/>
                    </w:rPr>
                    <w:t>/a)</w:t>
                  </w:r>
                </w:p>
              </w:tc>
              <w:tc>
                <w:tcPr>
                  <w:tcW w:w="987"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最大日排放量(</w:t>
                  </w:r>
                  <w:r>
                    <w:rPr>
                      <w:rFonts w:hint="eastAsia"/>
                      <w:b/>
                      <w:bCs/>
                    </w:rPr>
                    <w:t>m</w:t>
                  </w:r>
                  <w:r>
                    <w:rPr>
                      <w:rFonts w:hint="eastAsia"/>
                      <w:b/>
                      <w:bCs/>
                      <w:vertAlign w:val="superscript"/>
                    </w:rPr>
                    <w:t>3</w:t>
                  </w:r>
                  <w:r>
                    <w:rPr>
                      <w:b/>
                      <w:bCs/>
                    </w:rPr>
                    <w:t>/d)</w:t>
                  </w:r>
                </w:p>
              </w:tc>
              <w:tc>
                <w:tcPr>
                  <w:tcW w:w="721"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排水量(</w:t>
                  </w:r>
                  <w:r>
                    <w:rPr>
                      <w:rFonts w:hint="eastAsia"/>
                      <w:b/>
                      <w:bCs/>
                    </w:rPr>
                    <w:t>m</w:t>
                  </w:r>
                  <w:r>
                    <w:rPr>
                      <w:rFonts w:hint="eastAsia"/>
                      <w:b/>
                      <w:bCs/>
                      <w:vertAlign w:val="superscript"/>
                    </w:rPr>
                    <w:t>3</w:t>
                  </w:r>
                  <w:r>
                    <w:rPr>
                      <w:b/>
                      <w:bCs/>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4" w:type="pct"/>
                  <w:tcBorders>
                    <w:top w:val="nil"/>
                    <w:left w:val="single" w:color="auto" w:sz="4" w:space="0"/>
                    <w:bottom w:val="single" w:color="auto" w:sz="4" w:space="0"/>
                    <w:right w:val="single" w:color="auto" w:sz="4" w:space="0"/>
                  </w:tcBorders>
                  <w:vAlign w:val="center"/>
                </w:tcPr>
                <w:p>
                  <w:pPr>
                    <w:pStyle w:val="52"/>
                  </w:pPr>
                  <w:r>
                    <w:t>生活用水</w:t>
                  </w:r>
                </w:p>
              </w:tc>
              <w:tc>
                <w:tcPr>
                  <w:tcW w:w="466" w:type="pct"/>
                  <w:tcBorders>
                    <w:top w:val="single" w:color="auto" w:sz="4" w:space="0"/>
                    <w:left w:val="single" w:color="auto" w:sz="4" w:space="0"/>
                    <w:bottom w:val="single" w:color="auto" w:sz="4" w:space="0"/>
                    <w:right w:val="single" w:color="auto" w:sz="4" w:space="0"/>
                  </w:tcBorders>
                  <w:vAlign w:val="center"/>
                </w:tcPr>
                <w:p>
                  <w:pPr>
                    <w:pStyle w:val="52"/>
                  </w:pPr>
                  <w:r>
                    <w:t>22人</w:t>
                  </w:r>
                </w:p>
              </w:tc>
              <w:tc>
                <w:tcPr>
                  <w:tcW w:w="594" w:type="pct"/>
                  <w:tcBorders>
                    <w:top w:val="single" w:color="auto" w:sz="4" w:space="0"/>
                    <w:left w:val="single" w:color="auto" w:sz="4" w:space="0"/>
                    <w:bottom w:val="single" w:color="auto" w:sz="4" w:space="0"/>
                    <w:right w:val="single" w:color="auto" w:sz="4" w:space="0"/>
                  </w:tcBorders>
                  <w:vAlign w:val="center"/>
                </w:tcPr>
                <w:p>
                  <w:pPr>
                    <w:pStyle w:val="52"/>
                  </w:pPr>
                  <w:r>
                    <w:t>50</w:t>
                  </w:r>
                  <w:r>
                    <w:rPr>
                      <w:rFonts w:hint="eastAsia"/>
                    </w:rPr>
                    <w:t>L</w:t>
                  </w:r>
                  <w:r>
                    <w:t>/人·d</w:t>
                  </w:r>
                </w:p>
              </w:tc>
              <w:tc>
                <w:tcPr>
                  <w:tcW w:w="987" w:type="pct"/>
                  <w:tcBorders>
                    <w:top w:val="single" w:color="auto" w:sz="4" w:space="0"/>
                    <w:left w:val="single" w:color="auto" w:sz="4" w:space="0"/>
                    <w:bottom w:val="single" w:color="auto" w:sz="4" w:space="0"/>
                    <w:right w:val="single" w:color="auto" w:sz="4" w:space="0"/>
                  </w:tcBorders>
                  <w:vAlign w:val="center"/>
                </w:tcPr>
                <w:p>
                  <w:pPr>
                    <w:pStyle w:val="52"/>
                  </w:pPr>
                  <w:r>
                    <w:t>1.1</w:t>
                  </w:r>
                </w:p>
              </w:tc>
              <w:tc>
                <w:tcPr>
                  <w:tcW w:w="721" w:type="pct"/>
                  <w:tcBorders>
                    <w:top w:val="single" w:color="auto" w:sz="4" w:space="0"/>
                    <w:left w:val="single" w:color="auto" w:sz="4" w:space="0"/>
                    <w:bottom w:val="single" w:color="auto" w:sz="4" w:space="0"/>
                    <w:right w:val="single" w:color="auto" w:sz="4" w:space="0"/>
                  </w:tcBorders>
                  <w:vAlign w:val="center"/>
                </w:tcPr>
                <w:p>
                  <w:pPr>
                    <w:pStyle w:val="52"/>
                  </w:pPr>
                  <w:r>
                    <w:t>330</w:t>
                  </w:r>
                </w:p>
              </w:tc>
              <w:tc>
                <w:tcPr>
                  <w:tcW w:w="987" w:type="pct"/>
                  <w:tcBorders>
                    <w:top w:val="single" w:color="auto" w:sz="4" w:space="0"/>
                    <w:left w:val="single" w:color="auto" w:sz="4" w:space="0"/>
                    <w:bottom w:val="single" w:color="auto" w:sz="4" w:space="0"/>
                    <w:right w:val="single" w:color="auto" w:sz="4" w:space="0"/>
                  </w:tcBorders>
                  <w:vAlign w:val="center"/>
                </w:tcPr>
                <w:p>
                  <w:pPr>
                    <w:pStyle w:val="52"/>
                  </w:pPr>
                  <w:r>
                    <w:t>0.99</w:t>
                  </w:r>
                </w:p>
              </w:tc>
              <w:tc>
                <w:tcPr>
                  <w:tcW w:w="721" w:type="pct"/>
                  <w:tcBorders>
                    <w:top w:val="single" w:color="auto" w:sz="4" w:space="0"/>
                    <w:left w:val="single" w:color="auto" w:sz="4" w:space="0"/>
                    <w:bottom w:val="single" w:color="auto" w:sz="4" w:space="0"/>
                    <w:right w:val="single" w:color="auto" w:sz="4" w:space="0"/>
                  </w:tcBorders>
                  <w:vAlign w:val="center"/>
                </w:tcPr>
                <w:p>
                  <w:pPr>
                    <w:pStyle w:val="52"/>
                  </w:pPr>
                  <w:r>
                    <w:t>297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24" w:type="pct"/>
                  <w:tcBorders>
                    <w:top w:val="nil"/>
                    <w:left w:val="single" w:color="auto" w:sz="4" w:space="0"/>
                    <w:bottom w:val="single" w:color="auto" w:sz="4" w:space="0"/>
                    <w:right w:val="single" w:color="auto" w:sz="4" w:space="0"/>
                  </w:tcBorders>
                  <w:vAlign w:val="center"/>
                </w:tcPr>
                <w:p>
                  <w:pPr>
                    <w:pStyle w:val="52"/>
                  </w:pPr>
                  <w:r>
                    <w:rPr>
                      <w:rFonts w:hint="eastAsia"/>
                    </w:rPr>
                    <w:t>冷却系统补充水</w:t>
                  </w:r>
                </w:p>
              </w:tc>
              <w:tc>
                <w:tcPr>
                  <w:tcW w:w="466"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w:t>
                  </w:r>
                </w:p>
              </w:tc>
              <w:tc>
                <w:tcPr>
                  <w:tcW w:w="594"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8m</w:t>
                  </w:r>
                  <w:r>
                    <w:rPr>
                      <w:rFonts w:hint="eastAsia"/>
                      <w:vertAlign w:val="superscript"/>
                    </w:rPr>
                    <w:t>3</w:t>
                  </w:r>
                  <w:r>
                    <w:t>/d</w:t>
                  </w:r>
                </w:p>
              </w:tc>
              <w:tc>
                <w:tcPr>
                  <w:tcW w:w="987" w:type="pct"/>
                  <w:tcBorders>
                    <w:top w:val="single" w:color="auto" w:sz="4" w:space="0"/>
                    <w:left w:val="single" w:color="auto" w:sz="4" w:space="0"/>
                    <w:bottom w:val="single" w:color="auto" w:sz="4" w:space="0"/>
                    <w:right w:val="single" w:color="auto" w:sz="4" w:space="0"/>
                  </w:tcBorders>
                  <w:vAlign w:val="center"/>
                </w:tcPr>
                <w:p>
                  <w:pPr>
                    <w:pStyle w:val="52"/>
                  </w:pPr>
                  <w:r>
                    <w:t>1.6</w:t>
                  </w:r>
                </w:p>
              </w:tc>
              <w:tc>
                <w:tcPr>
                  <w:tcW w:w="721" w:type="pct"/>
                  <w:tcBorders>
                    <w:top w:val="single" w:color="auto" w:sz="4" w:space="0"/>
                    <w:left w:val="single" w:color="auto" w:sz="4" w:space="0"/>
                    <w:bottom w:val="single" w:color="auto" w:sz="4" w:space="0"/>
                    <w:right w:val="single" w:color="auto" w:sz="4" w:space="0"/>
                  </w:tcBorders>
                  <w:vAlign w:val="center"/>
                </w:tcPr>
                <w:p>
                  <w:pPr>
                    <w:pStyle w:val="52"/>
                  </w:pPr>
                  <w:r>
                    <w:t>480</w:t>
                  </w:r>
                </w:p>
              </w:tc>
              <w:tc>
                <w:tcPr>
                  <w:tcW w:w="987"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0</w:t>
                  </w:r>
                </w:p>
              </w:tc>
              <w:tc>
                <w:tcPr>
                  <w:tcW w:w="721"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84" w:type="pct"/>
                  <w:gridSpan w:val="3"/>
                  <w:tcBorders>
                    <w:top w:val="single" w:color="auto" w:sz="4" w:space="0"/>
                    <w:left w:val="single" w:color="auto" w:sz="4" w:space="0"/>
                    <w:bottom w:val="single" w:color="auto" w:sz="4" w:space="0"/>
                    <w:right w:val="single" w:color="auto" w:sz="4" w:space="0"/>
                  </w:tcBorders>
                  <w:vAlign w:val="center"/>
                </w:tcPr>
                <w:p>
                  <w:pPr>
                    <w:pStyle w:val="52"/>
                  </w:pPr>
                  <w:r>
                    <w:t>合计</w:t>
                  </w:r>
                </w:p>
              </w:tc>
              <w:tc>
                <w:tcPr>
                  <w:tcW w:w="987" w:type="pct"/>
                  <w:tcBorders>
                    <w:top w:val="single" w:color="auto" w:sz="4" w:space="0"/>
                    <w:left w:val="single" w:color="auto" w:sz="4" w:space="0"/>
                    <w:bottom w:val="single" w:color="auto" w:sz="4" w:space="0"/>
                    <w:right w:val="single" w:color="auto" w:sz="4" w:space="0"/>
                  </w:tcBorders>
                  <w:vAlign w:val="center"/>
                </w:tcPr>
                <w:p>
                  <w:pPr>
                    <w:pStyle w:val="52"/>
                  </w:pPr>
                  <w:r>
                    <w:t>2.7</w:t>
                  </w:r>
                </w:p>
              </w:tc>
              <w:tc>
                <w:tcPr>
                  <w:tcW w:w="721" w:type="pct"/>
                  <w:tcBorders>
                    <w:top w:val="single" w:color="auto" w:sz="4" w:space="0"/>
                    <w:left w:val="single" w:color="auto" w:sz="4" w:space="0"/>
                    <w:bottom w:val="single" w:color="auto" w:sz="4" w:space="0"/>
                    <w:right w:val="single" w:color="auto" w:sz="4" w:space="0"/>
                  </w:tcBorders>
                  <w:vAlign w:val="center"/>
                </w:tcPr>
                <w:p>
                  <w:pPr>
                    <w:pStyle w:val="52"/>
                  </w:pPr>
                  <w:r>
                    <w:t>810</w:t>
                  </w:r>
                </w:p>
              </w:tc>
              <w:tc>
                <w:tcPr>
                  <w:tcW w:w="987" w:type="pct"/>
                  <w:tcBorders>
                    <w:top w:val="single" w:color="auto" w:sz="4" w:space="0"/>
                    <w:left w:val="single" w:color="auto" w:sz="4" w:space="0"/>
                    <w:bottom w:val="single" w:color="auto" w:sz="4" w:space="0"/>
                    <w:right w:val="single" w:color="auto" w:sz="4" w:space="0"/>
                  </w:tcBorders>
                  <w:vAlign w:val="center"/>
                </w:tcPr>
                <w:p>
                  <w:pPr>
                    <w:pStyle w:val="52"/>
                  </w:pPr>
                  <w:r>
                    <w:t>0.99</w:t>
                  </w:r>
                </w:p>
              </w:tc>
              <w:tc>
                <w:tcPr>
                  <w:tcW w:w="721" w:type="pct"/>
                  <w:tcBorders>
                    <w:top w:val="single" w:color="auto" w:sz="4" w:space="0"/>
                    <w:left w:val="single" w:color="auto" w:sz="4" w:space="0"/>
                    <w:bottom w:val="single" w:color="auto" w:sz="4" w:space="0"/>
                    <w:right w:val="single" w:color="auto" w:sz="4" w:space="0"/>
                  </w:tcBorders>
                  <w:vAlign w:val="center"/>
                </w:tcPr>
                <w:p>
                  <w:pPr>
                    <w:pStyle w:val="52"/>
                  </w:pPr>
                  <w:r>
                    <w:t>297</w:t>
                  </w:r>
                </w:p>
              </w:tc>
            </w:tr>
          </w:tbl>
          <w:p>
            <w:pPr>
              <w:pStyle w:val="82"/>
            </w:pPr>
            <w:r>
              <w:rPr>
                <w:rFonts w:hint="eastAsia"/>
              </w:rPr>
              <w:t>项目水平衡图：</w:t>
            </w:r>
          </w:p>
          <w:p>
            <w:pPr>
              <w:pStyle w:val="82"/>
              <w:ind w:firstLine="0" w:firstLineChars="0"/>
              <w:jc w:val="center"/>
            </w:pPr>
            <w:r>
              <w:object>
                <v:shape id="_x0000_i1025" o:spt="75" type="#_x0000_t75" style="height:149.9pt;width:412.65pt;" o:ole="t" filled="f" o:preferrelative="t" stroked="f" coordsize="21600,21600">
                  <v:path/>
                  <v:fill on="f" focussize="0,0"/>
                  <v:stroke on="f" joinstyle="miter"/>
                  <v:imagedata r:id="rId21" o:title=""/>
                  <o:lock v:ext="edit" aspectratio="t"/>
                  <w10:wrap type="none"/>
                  <w10:anchorlock/>
                </v:shape>
                <o:OLEObject Type="Embed" ProgID="Visio.Drawing.15" ShapeID="_x0000_i1025" DrawAspect="Content" ObjectID="_1468075725" r:id="rId20">
                  <o:LockedField>false</o:LockedField>
                </o:OLEObject>
              </w:object>
            </w:r>
          </w:p>
          <w:p>
            <w:pPr>
              <w:pStyle w:val="83"/>
            </w:pPr>
            <w:r>
              <w:rPr>
                <w:rFonts w:hint="eastAsia"/>
              </w:rPr>
              <w:t>图</w:t>
            </w:r>
            <w:r>
              <w:t>2-1  项目用水</w:t>
            </w:r>
            <w:r>
              <w:rPr>
                <w:rFonts w:hint="eastAsia"/>
              </w:rPr>
              <w:t xml:space="preserve">平衡图 </w:t>
            </w:r>
            <w:r>
              <w:t xml:space="preserve"> </w:t>
            </w:r>
            <w:r>
              <w:rPr>
                <w:rFonts w:hint="eastAsia"/>
              </w:rPr>
              <w:t>单位：</w:t>
            </w:r>
            <w:r>
              <w:t>m³/d</w:t>
            </w:r>
          </w:p>
          <w:p>
            <w:pPr>
              <w:pStyle w:val="82"/>
              <w:ind w:firstLine="482"/>
              <w:rPr>
                <w:b/>
                <w:bCs/>
              </w:rPr>
            </w:pPr>
            <w:r>
              <w:rPr>
                <w:rFonts w:hint="eastAsia"/>
                <w:b/>
                <w:bCs/>
              </w:rPr>
              <w:t>（2）物料平衡分析</w:t>
            </w:r>
          </w:p>
          <w:p>
            <w:pPr>
              <w:pStyle w:val="83"/>
            </w:pPr>
            <w:r>
              <w:t>表</w:t>
            </w:r>
            <w:r>
              <w:rPr>
                <w:rFonts w:hint="eastAsia"/>
              </w:rPr>
              <w:t>2</w:t>
            </w:r>
            <w:r>
              <w:t xml:space="preserve">-8  </w:t>
            </w:r>
            <w:r>
              <w:rPr>
                <w:rFonts w:hint="eastAsia"/>
              </w:rPr>
              <w:t>功能母粒产线物料平衡表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5"/>
              <w:gridCol w:w="1505"/>
              <w:gridCol w:w="1505"/>
              <w:gridCol w:w="1507"/>
              <w:gridCol w:w="22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26" w:type="pct"/>
                  <w:gridSpan w:val="2"/>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rPr>
                      <w:b/>
                      <w:bCs/>
                    </w:rPr>
                  </w:pPr>
                  <w:r>
                    <w:rPr>
                      <w:rFonts w:hint="eastAsia"/>
                      <w:b/>
                      <w:bCs/>
                    </w:rPr>
                    <w:t>投入（t</w:t>
                  </w:r>
                  <w:r>
                    <w:rPr>
                      <w:b/>
                      <w:bCs/>
                    </w:rPr>
                    <w:t>/</w:t>
                  </w:r>
                  <w:r>
                    <w:rPr>
                      <w:rFonts w:hint="eastAsia"/>
                      <w:b/>
                      <w:bCs/>
                    </w:rPr>
                    <w:t>a）</w:t>
                  </w:r>
                </w:p>
              </w:tc>
              <w:tc>
                <w:tcPr>
                  <w:tcW w:w="1827" w:type="pct"/>
                  <w:gridSpan w:val="2"/>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rPr>
                      <w:b/>
                      <w:bCs/>
                    </w:rPr>
                  </w:pPr>
                  <w:r>
                    <w:rPr>
                      <w:rFonts w:hint="eastAsia"/>
                      <w:b/>
                      <w:bCs/>
                    </w:rPr>
                    <w:t>产出（t</w:t>
                  </w:r>
                  <w:r>
                    <w:rPr>
                      <w:b/>
                      <w:bCs/>
                    </w:rPr>
                    <w:t>/</w:t>
                  </w:r>
                  <w:r>
                    <w:rPr>
                      <w:rFonts w:hint="eastAsia"/>
                      <w:b/>
                      <w:bCs/>
                    </w:rPr>
                    <w:t>a）</w:t>
                  </w:r>
                </w:p>
              </w:tc>
              <w:tc>
                <w:tcPr>
                  <w:tcW w:w="1347"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rPr>
                      <w:b/>
                      <w:bCs/>
                    </w:rPr>
                  </w:pPr>
                  <w:r>
                    <w:rPr>
                      <w:rFonts w:hint="eastAsia"/>
                      <w:b/>
                      <w:bCs/>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13" w:type="pct"/>
                  <w:tcBorders>
                    <w:top w:val="nil"/>
                    <w:left w:val="single" w:color="auto" w:sz="4" w:space="0"/>
                    <w:bottom w:val="single" w:color="auto" w:sz="4" w:space="0"/>
                    <w:right w:val="single" w:color="auto" w:sz="4" w:space="0"/>
                  </w:tcBorders>
                  <w:vAlign w:val="center"/>
                </w:tcPr>
                <w:p>
                  <w:pPr>
                    <w:pStyle w:val="52"/>
                    <w:adjustRightInd/>
                    <w:snapToGrid/>
                    <w:contextualSpacing/>
                  </w:pPr>
                  <w:r>
                    <w:rPr>
                      <w:rFonts w:hint="eastAsia"/>
                    </w:rPr>
                    <w:t>聚乙烯蜡</w:t>
                  </w:r>
                </w:p>
              </w:tc>
              <w:tc>
                <w:tcPr>
                  <w:tcW w:w="913"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eastAsia="等线"/>
                      <w:color w:val="000000"/>
                    </w:rPr>
                    <w:t>500</w:t>
                  </w:r>
                </w:p>
              </w:tc>
              <w:tc>
                <w:tcPr>
                  <w:tcW w:w="913"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hint="eastAsia"/>
                    </w:rPr>
                    <w:t>功能母粒</w:t>
                  </w:r>
                </w:p>
              </w:tc>
              <w:tc>
                <w:tcPr>
                  <w:tcW w:w="914"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eastAsia="等线"/>
                      <w:color w:val="000000"/>
                    </w:rPr>
                    <w:t>2000</w:t>
                  </w:r>
                </w:p>
              </w:tc>
              <w:tc>
                <w:tcPr>
                  <w:tcW w:w="1347"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hint="eastAsia"/>
                    </w:rPr>
                    <w:t>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13" w:type="pct"/>
                  <w:tcBorders>
                    <w:top w:val="nil"/>
                    <w:left w:val="single" w:color="auto" w:sz="4" w:space="0"/>
                    <w:bottom w:val="single" w:color="auto" w:sz="4" w:space="0"/>
                    <w:right w:val="single" w:color="auto" w:sz="4" w:space="0"/>
                  </w:tcBorders>
                  <w:vAlign w:val="center"/>
                </w:tcPr>
                <w:p>
                  <w:pPr>
                    <w:pStyle w:val="52"/>
                    <w:adjustRightInd/>
                    <w:snapToGrid/>
                    <w:contextualSpacing/>
                  </w:pPr>
                  <w:r>
                    <w:rPr>
                      <w:rFonts w:hint="eastAsia"/>
                    </w:rPr>
                    <w:t>聚乙烯颗粒</w:t>
                  </w:r>
                </w:p>
              </w:tc>
              <w:tc>
                <w:tcPr>
                  <w:tcW w:w="913"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eastAsia="等线"/>
                      <w:color w:val="000000"/>
                    </w:rPr>
                    <w:t>504</w:t>
                  </w:r>
                </w:p>
              </w:tc>
              <w:tc>
                <w:tcPr>
                  <w:tcW w:w="913"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hint="eastAsia"/>
                    </w:rPr>
                    <w:t>有机废气</w:t>
                  </w:r>
                </w:p>
              </w:tc>
              <w:tc>
                <w:tcPr>
                  <w:tcW w:w="914"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eastAsia="等线"/>
                      <w:color w:val="000000"/>
                    </w:rPr>
                    <w:t>9.2</w:t>
                  </w:r>
                </w:p>
              </w:tc>
              <w:tc>
                <w:tcPr>
                  <w:tcW w:w="1347"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hint="eastAsia"/>
                    </w:rPr>
                    <w:t>达标处理后排放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40" w:hRule="atLeast"/>
                <w:jc w:val="center"/>
              </w:trPr>
              <w:tc>
                <w:tcPr>
                  <w:tcW w:w="913"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hint="eastAsia" w:ascii="宋体" w:hAnsi="宋体"/>
                    </w:rPr>
                    <w:t>聚丙烯颗粒</w:t>
                  </w:r>
                </w:p>
              </w:tc>
              <w:tc>
                <w:tcPr>
                  <w:tcW w:w="913"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eastAsia="等线"/>
                      <w:color w:val="000000"/>
                    </w:rPr>
                    <w:t>504</w:t>
                  </w:r>
                </w:p>
              </w:tc>
              <w:tc>
                <w:tcPr>
                  <w:tcW w:w="913"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hint="eastAsia"/>
                    </w:rPr>
                    <w:t>边角料</w:t>
                  </w:r>
                </w:p>
              </w:tc>
              <w:tc>
                <w:tcPr>
                  <w:tcW w:w="914"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eastAsia="等线"/>
                      <w:color w:val="000000"/>
                    </w:rPr>
                    <w:t>0.4</w:t>
                  </w:r>
                </w:p>
              </w:tc>
              <w:tc>
                <w:tcPr>
                  <w:tcW w:w="1347"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hint="eastAsia"/>
                    </w:rPr>
                    <w:t>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13"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hint="eastAsia" w:ascii="宋体" w:hAnsi="宋体"/>
                    </w:rPr>
                    <w:t>环烷油</w:t>
                  </w:r>
                </w:p>
              </w:tc>
              <w:tc>
                <w:tcPr>
                  <w:tcW w:w="913"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eastAsia="等线"/>
                      <w:color w:val="000000"/>
                    </w:rPr>
                    <w:t>50</w:t>
                  </w:r>
                </w:p>
              </w:tc>
              <w:tc>
                <w:tcPr>
                  <w:tcW w:w="913"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hint="eastAsia"/>
                    </w:rPr>
                    <w:t>不合格品</w:t>
                  </w:r>
                </w:p>
              </w:tc>
              <w:tc>
                <w:tcPr>
                  <w:tcW w:w="914"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eastAsia="等线"/>
                      <w:color w:val="000000"/>
                    </w:rPr>
                    <w:t>0.4</w:t>
                  </w:r>
                </w:p>
              </w:tc>
              <w:tc>
                <w:tcPr>
                  <w:tcW w:w="1347"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hint="eastAsia"/>
                    </w:rPr>
                    <w:t>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13"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hint="eastAsia" w:ascii="宋体" w:hAnsi="宋体"/>
                    </w:rPr>
                    <w:t>热塑性橡胶</w:t>
                  </w:r>
                </w:p>
              </w:tc>
              <w:tc>
                <w:tcPr>
                  <w:tcW w:w="913"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eastAsia="等线"/>
                      <w:color w:val="000000"/>
                    </w:rPr>
                    <w:t>402</w:t>
                  </w:r>
                </w:p>
              </w:tc>
              <w:tc>
                <w:tcPr>
                  <w:tcW w:w="913"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hint="eastAsia"/>
                    </w:rPr>
                    <w:t>/</w:t>
                  </w:r>
                </w:p>
              </w:tc>
              <w:tc>
                <w:tcPr>
                  <w:tcW w:w="914"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eastAsia="等线"/>
                      <w:color w:val="000000"/>
                    </w:rPr>
                    <w:t>/</w:t>
                  </w:r>
                </w:p>
              </w:tc>
              <w:tc>
                <w:tcPr>
                  <w:tcW w:w="1347"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13"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hint="eastAsia" w:ascii="宋体" w:hAnsi="宋体"/>
                      <w:bCs/>
                    </w:rPr>
                    <w:t>硅油</w:t>
                  </w:r>
                </w:p>
              </w:tc>
              <w:tc>
                <w:tcPr>
                  <w:tcW w:w="913"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eastAsia="等线"/>
                      <w:color w:val="000000"/>
                    </w:rPr>
                    <w:t>50</w:t>
                  </w:r>
                </w:p>
              </w:tc>
              <w:tc>
                <w:tcPr>
                  <w:tcW w:w="913"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hint="eastAsia"/>
                    </w:rPr>
                    <w:t>/</w:t>
                  </w:r>
                </w:p>
              </w:tc>
              <w:tc>
                <w:tcPr>
                  <w:tcW w:w="914"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eastAsia="等线"/>
                      <w:color w:val="000000"/>
                    </w:rPr>
                    <w:t>/</w:t>
                  </w:r>
                </w:p>
              </w:tc>
              <w:tc>
                <w:tcPr>
                  <w:tcW w:w="1347" w:type="pct"/>
                  <w:tcBorders>
                    <w:top w:val="single" w:color="auto" w:sz="4" w:space="0"/>
                    <w:left w:val="single" w:color="auto" w:sz="4" w:space="0"/>
                    <w:bottom w:val="single" w:color="auto" w:sz="4" w:space="0"/>
                    <w:right w:val="single" w:color="auto" w:sz="4" w:space="0"/>
                  </w:tcBorders>
                  <w:vAlign w:val="center"/>
                </w:tcPr>
                <w:p>
                  <w:pPr>
                    <w:pStyle w:val="52"/>
                    <w:adjustRightInd/>
                    <w:snapToGrid/>
                    <w:contextualSpacing/>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40" w:hRule="atLeast"/>
                <w:jc w:val="center"/>
              </w:trPr>
              <w:tc>
                <w:tcPr>
                  <w:tcW w:w="91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52"/>
                    <w:adjustRightInd/>
                    <w:snapToGrid/>
                    <w:contextualSpacing/>
                  </w:pPr>
                  <w:r>
                    <w:rPr>
                      <w:rFonts w:hint="eastAsia"/>
                    </w:rPr>
                    <w:t>合计</w:t>
                  </w:r>
                </w:p>
              </w:tc>
              <w:tc>
                <w:tcPr>
                  <w:tcW w:w="91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52"/>
                    <w:adjustRightInd/>
                    <w:snapToGrid/>
                    <w:contextualSpacing/>
                  </w:pPr>
                  <w:r>
                    <w:rPr>
                      <w:rFonts w:eastAsia="等线"/>
                      <w:color w:val="000000"/>
                    </w:rPr>
                    <w:t>2010</w:t>
                  </w:r>
                </w:p>
              </w:tc>
              <w:tc>
                <w:tcPr>
                  <w:tcW w:w="91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52"/>
                    <w:adjustRightInd/>
                    <w:snapToGrid/>
                    <w:contextualSpacing/>
                  </w:pPr>
                  <w:r>
                    <w:rPr>
                      <w:rFonts w:hint="eastAsia"/>
                    </w:rPr>
                    <w:t>合计</w:t>
                  </w:r>
                </w:p>
              </w:tc>
              <w:tc>
                <w:tcPr>
                  <w:tcW w:w="91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52"/>
                    <w:adjustRightInd/>
                    <w:snapToGrid/>
                    <w:contextualSpacing/>
                  </w:pPr>
                  <w:r>
                    <w:rPr>
                      <w:rFonts w:eastAsia="等线"/>
                      <w:color w:val="000000"/>
                    </w:rPr>
                    <w:t>2010</w:t>
                  </w:r>
                </w:p>
              </w:tc>
              <w:tc>
                <w:tcPr>
                  <w:tcW w:w="134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52"/>
                    <w:adjustRightInd/>
                    <w:snapToGrid/>
                    <w:contextualSpacing/>
                  </w:pPr>
                  <w:r>
                    <w:rPr>
                      <w:rFonts w:hint="eastAsia"/>
                    </w:rPr>
                    <w:t>/</w:t>
                  </w:r>
                </w:p>
              </w:tc>
            </w:tr>
          </w:tbl>
          <w:p>
            <w:pPr>
              <w:pStyle w:val="85"/>
              <w:ind w:firstLine="420"/>
            </w:pPr>
          </w:p>
          <w:p>
            <w:pPr>
              <w:pStyle w:val="82"/>
              <w:ind w:firstLine="482"/>
              <w:rPr>
                <w:b/>
                <w:bCs/>
              </w:rPr>
            </w:pPr>
            <w:r>
              <w:rPr>
                <w:b/>
                <w:bCs/>
              </w:rPr>
              <w:t>10</w:t>
            </w:r>
            <w:r>
              <w:rPr>
                <w:rFonts w:hint="eastAsia"/>
                <w:b/>
                <w:bCs/>
              </w:rPr>
              <w:t>、劳动定员及工作制度</w:t>
            </w:r>
          </w:p>
          <w:p>
            <w:pPr>
              <w:pStyle w:val="82"/>
            </w:pPr>
            <w:r>
              <w:rPr>
                <w:rFonts w:hint="eastAsia"/>
              </w:rPr>
              <w:t>劳动定员：22人，其中管理人员8人，生产人员14人，不设食宿，工作制度：年工作日为300天，实行白班1班制，10h/班。</w:t>
            </w:r>
          </w:p>
          <w:p>
            <w:pPr>
              <w:pStyle w:val="82"/>
              <w:ind w:firstLine="482"/>
              <w:rPr>
                <w:b/>
                <w:bCs/>
              </w:rPr>
            </w:pPr>
            <w:r>
              <w:rPr>
                <w:b/>
                <w:bCs/>
              </w:rPr>
              <w:t>11</w:t>
            </w:r>
            <w:r>
              <w:rPr>
                <w:rFonts w:hint="eastAsia"/>
                <w:b/>
                <w:bCs/>
              </w:rPr>
              <w:t>、厂区平面布置</w:t>
            </w:r>
          </w:p>
          <w:p>
            <w:pPr>
              <w:pStyle w:val="82"/>
            </w:pPr>
            <w:r>
              <w:rPr>
                <w:rFonts w:hint="eastAsia"/>
              </w:rPr>
              <w:t>项目租用由重庆绅鹏商业运营管理有限公司管理的位于重庆市铜梁区蒲吕工业园区龙山大道2</w:t>
            </w:r>
            <w:r>
              <w:t>0</w:t>
            </w:r>
            <w:r>
              <w:rPr>
                <w:rFonts w:hint="eastAsia"/>
              </w:rPr>
              <w:t>号的B型厂房3栋1F（共2F），以及办公楼1层半层、2层整层（共3F）。厂房建筑面积约</w:t>
            </w:r>
            <w:r>
              <w:t>2000</w:t>
            </w:r>
            <w:r>
              <w:rPr>
                <w:rFonts w:hint="eastAsia"/>
              </w:rPr>
              <w:t>m</w:t>
            </w:r>
            <w:r>
              <w:rPr>
                <w:vertAlign w:val="superscript"/>
              </w:rPr>
              <w:t>2</w:t>
            </w:r>
            <w:r>
              <w:rPr>
                <w:rFonts w:hint="eastAsia"/>
              </w:rPr>
              <w:t>，办公楼租赁部分建筑面积约</w:t>
            </w:r>
            <w:r>
              <w:t>600</w:t>
            </w:r>
            <w:r>
              <w:rPr>
                <w:rFonts w:hint="eastAsia"/>
              </w:rPr>
              <w:t>m</w:t>
            </w:r>
            <w:r>
              <w:rPr>
                <w:vertAlign w:val="superscript"/>
              </w:rPr>
              <w:t>2</w:t>
            </w:r>
            <w:r>
              <w:rPr>
                <w:rFonts w:hint="eastAsia"/>
              </w:rPr>
              <w:t>。厂房内为生产车间，设置有：主生产区、产品存放区、原材料存放区、油料库房、包装存放间、备件房等区域。</w:t>
            </w:r>
          </w:p>
          <w:p>
            <w:pPr>
              <w:pStyle w:val="82"/>
            </w:pPr>
            <w:r>
              <w:rPr>
                <w:rFonts w:hint="eastAsia"/>
              </w:rPr>
              <w:t>危废暂存间和一般固废间位于厂房西北角。危废暂存间面积</w:t>
            </w:r>
            <w:r>
              <w:t>10</w:t>
            </w:r>
            <w:r>
              <w:rPr>
                <w:rFonts w:hint="eastAsia"/>
              </w:rPr>
              <w:t>m</w:t>
            </w:r>
            <w:r>
              <w:rPr>
                <w:vertAlign w:val="superscript"/>
              </w:rPr>
              <w:t>2</w:t>
            </w:r>
            <w:r>
              <w:rPr>
                <w:rFonts w:hint="eastAsia"/>
              </w:rPr>
              <w:t>，用于存放各类危险工业固废。一般固废间邻危废间设置面积</w:t>
            </w:r>
            <w:r>
              <w:t>10</w:t>
            </w:r>
            <w:r>
              <w:rPr>
                <w:rFonts w:hint="eastAsia"/>
              </w:rPr>
              <w:t>m</w:t>
            </w:r>
            <w:r>
              <w:rPr>
                <w:vertAlign w:val="superscript"/>
              </w:rPr>
              <w:t>2</w:t>
            </w:r>
            <w:r>
              <w:rPr>
                <w:rFonts w:hint="eastAsia"/>
              </w:rPr>
              <w:t>。</w:t>
            </w:r>
          </w:p>
          <w:p>
            <w:pPr>
              <w:pStyle w:val="82"/>
            </w:pPr>
            <w:r>
              <w:rPr>
                <w:rFonts w:hint="eastAsia"/>
              </w:rPr>
              <w:t>于厂房北侧设置有机废气处理系统，收集处理生产过程产生的有机废气，设置一根排气筒（DA</w:t>
            </w:r>
            <w:r>
              <w:t>001</w:t>
            </w:r>
            <w:r>
              <w:rPr>
                <w:rFonts w:hint="eastAsia"/>
              </w:rPr>
              <w:t>）用于排放处理达标的有机废气。依托位于厂房西北侧的已建生化池处理生活废水。</w:t>
            </w:r>
          </w:p>
          <w:p>
            <w:pPr>
              <w:pStyle w:val="82"/>
            </w:pPr>
            <w:r>
              <w:t>厂房</w:t>
            </w:r>
            <w:r>
              <w:rPr>
                <w:rFonts w:hint="eastAsia"/>
              </w:rPr>
              <w:t>各区域</w:t>
            </w:r>
            <w:r>
              <w:t>布置符合工艺要求及物料要求，做到分区明确，线路短捷，避免迂回，减少交叉，装卸运输方便，项目平面布置较为合理。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64" w:hRule="atLeast"/>
          <w:jc w:val="center"/>
        </w:trPr>
        <w:tc>
          <w:tcPr>
            <w:tcW w:w="557" w:type="dxa"/>
            <w:vAlign w:val="center"/>
          </w:tcPr>
          <w:p>
            <w:pPr>
              <w:pStyle w:val="2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工艺流程和产排污环节</w:t>
            </w:r>
          </w:p>
        </w:tc>
        <w:tc>
          <w:tcPr>
            <w:tcW w:w="8267" w:type="dxa"/>
          </w:tcPr>
          <w:p>
            <w:pPr>
              <w:pStyle w:val="82"/>
              <w:ind w:firstLine="482"/>
              <w:rPr>
                <w:b/>
                <w:bCs/>
              </w:rPr>
            </w:pPr>
            <w:r>
              <w:rPr>
                <w:rFonts w:hint="eastAsia"/>
                <w:b/>
                <w:bCs/>
              </w:rPr>
              <w:t>1、施工期工艺流程和产排污环节</w:t>
            </w:r>
          </w:p>
          <w:p>
            <w:pPr>
              <w:pStyle w:val="82"/>
            </w:pPr>
            <w:r>
              <w:rPr>
                <w:rFonts w:hint="eastAsia"/>
              </w:rPr>
              <w:t>本项目为新建项目，企业厂房已建设完成，不涉及厂房基建，仅涉及生产设备的安装，项目施工期主要污染影响为装修和设备安装产生的固体废物，其中包装废弃物收集后外售给废品回收站，建筑材料边角料由建设单位清运至指定渣场处置，装修过程中产生的油漆桶等委托有资质单位处置。</w:t>
            </w:r>
          </w:p>
          <w:p>
            <w:pPr>
              <w:pStyle w:val="82"/>
              <w:rPr>
                <w:b/>
                <w:bCs/>
              </w:rPr>
            </w:pPr>
            <w:r>
              <w:rPr>
                <w:rFonts w:hint="eastAsia"/>
              </w:rPr>
              <w:t>总之，项目施工对自然环境和生态环境的不利影响，是暂时的、阶段的和局部的；所造成的各种不利影响持续时间较短，影响程度较轻；所造成环境功能的改变，随工程施工的结束，各种不利影响亦将随之终止或逐步得到改善和恢复。</w:t>
            </w:r>
          </w:p>
          <w:p>
            <w:pPr>
              <w:pStyle w:val="82"/>
              <w:ind w:firstLine="482"/>
              <w:rPr>
                <w:b/>
                <w:bCs/>
              </w:rPr>
            </w:pPr>
            <w:r>
              <w:rPr>
                <w:rFonts w:hint="eastAsia"/>
                <w:b/>
                <w:bCs/>
              </w:rPr>
              <w:t>2、运营期工艺流程和产排污环节</w:t>
            </w:r>
          </w:p>
          <w:p>
            <w:pPr>
              <w:pStyle w:val="82"/>
              <w:ind w:firstLine="0" w:firstLineChars="0"/>
              <w:jc w:val="center"/>
              <w:rPr>
                <w:b/>
                <w:bCs/>
              </w:rPr>
            </w:pPr>
            <w:r>
              <w:rPr>
                <w:b/>
                <w:bCs/>
              </w:rPr>
              <w:object>
                <v:shape id="_x0000_i1026" o:spt="75" type="#_x0000_t75" style="height:296.05pt;width:164.95pt;" o:ole="t" filled="f" o:preferrelative="t" stroked="f" coordsize="21600,21600">
                  <v:path/>
                  <v:fill on="f" focussize="0,0"/>
                  <v:stroke on="f" joinstyle="miter"/>
                  <v:imagedata r:id="rId23" o:title=""/>
                  <o:lock v:ext="edit" aspectratio="t"/>
                  <w10:wrap type="none"/>
                  <w10:anchorlock/>
                </v:shape>
                <o:OLEObject Type="Embed" ProgID="Visio.Drawing.15" ShapeID="_x0000_i1026" DrawAspect="Content" ObjectID="_1468075726" r:id="rId22">
                  <o:LockedField>false</o:LockedField>
                </o:OLEObject>
              </w:object>
            </w:r>
          </w:p>
          <w:p>
            <w:pPr>
              <w:pStyle w:val="83"/>
              <w:rPr>
                <w:kern w:val="0"/>
                <w:lang w:bidi="ar"/>
              </w:rPr>
            </w:pPr>
            <w:r>
              <w:rPr>
                <w:rFonts w:hint="eastAsia"/>
              </w:rPr>
              <w:t>图2</w:t>
            </w:r>
            <w:r>
              <w:t xml:space="preserve">-2  </w:t>
            </w:r>
            <w:r>
              <w:rPr>
                <w:rFonts w:hint="eastAsia"/>
              </w:rPr>
              <w:t>功能母粒生产工艺流程图</w:t>
            </w:r>
          </w:p>
          <w:p>
            <w:pPr>
              <w:pStyle w:val="82"/>
              <w:ind w:firstLineChars="0"/>
              <w:rPr>
                <w:kern w:val="0"/>
                <w:lang w:bidi="ar"/>
              </w:rPr>
            </w:pPr>
            <w:r>
              <w:rPr>
                <w:rFonts w:hint="eastAsia"/>
                <w:kern w:val="0"/>
                <w:lang w:bidi="ar"/>
              </w:rPr>
              <w:t>①搅拌混料：将生产功能母粒的原辅材料聚乙烯颗粒、聚丙烯颗粒、聚乙烯蜡、环烷油、热塑性橡胶、硅油按一定比例人工添加到搅拌机中，固态原料由工人直接投入，液态原料通过油泵抽取至搅拌机。投料完成后密闭搅拌混合均匀。该工序投入的原料均为大粒径固体颗粒及液体，故不考虑粉尘产生。设备运行过程会伴随产生噪声。</w:t>
            </w:r>
          </w:p>
          <w:p>
            <w:pPr>
              <w:pStyle w:val="82"/>
              <w:rPr>
                <w:kern w:val="0"/>
                <w:lang w:bidi="ar"/>
              </w:rPr>
            </w:pPr>
            <w:r>
              <w:rPr>
                <w:rFonts w:hint="eastAsia"/>
                <w:kern w:val="0"/>
                <w:lang w:bidi="ar"/>
              </w:rPr>
              <w:t>②上料：将混料机混合好的原辅料通过管道投入挤出机进料口。</w:t>
            </w:r>
          </w:p>
          <w:p>
            <w:pPr>
              <w:pStyle w:val="82"/>
              <w:rPr>
                <w:kern w:val="0"/>
                <w:lang w:bidi="ar"/>
              </w:rPr>
            </w:pPr>
            <w:r>
              <w:rPr>
                <w:rFonts w:hint="eastAsia"/>
                <w:kern w:val="0"/>
                <w:lang w:bidi="ar"/>
              </w:rPr>
              <w:t>③挤出：将原料进行挤出成型。混合原料在挤出机内经电加热熔融（温度：1</w:t>
            </w:r>
            <w:r>
              <w:rPr>
                <w:kern w:val="0"/>
                <w:lang w:bidi="ar"/>
              </w:rPr>
              <w:t>80~220</w:t>
            </w:r>
            <w:r>
              <w:rPr>
                <w:rFonts w:hint="eastAsia"/>
                <w:kern w:val="0"/>
                <w:lang w:bidi="ar"/>
              </w:rPr>
              <w:t>℃）后由螺杆产生推力使熔融料从出模口挤出。由于本项目所用原料均为洁净新料，所以挤出机不设置滤网。该工序会产生有机废气（以非甲烷总烃计）和臭气（G</w:t>
            </w:r>
            <w:r>
              <w:rPr>
                <w:kern w:val="0"/>
                <w:lang w:bidi="ar"/>
              </w:rPr>
              <w:t>1</w:t>
            </w:r>
            <w:r>
              <w:rPr>
                <w:rFonts w:hint="eastAsia"/>
                <w:kern w:val="0"/>
                <w:lang w:bidi="ar"/>
              </w:rPr>
              <w:t>），废边角料（S</w:t>
            </w:r>
            <w:r>
              <w:rPr>
                <w:kern w:val="0"/>
                <w:lang w:bidi="ar"/>
              </w:rPr>
              <w:t>1</w:t>
            </w:r>
            <w:r>
              <w:rPr>
                <w:rFonts w:hint="eastAsia"/>
                <w:kern w:val="0"/>
                <w:lang w:bidi="ar"/>
              </w:rPr>
              <w:t>），以及设备运行过程伴随产生噪声。</w:t>
            </w:r>
          </w:p>
          <w:p>
            <w:pPr>
              <w:pStyle w:val="82"/>
              <w:rPr>
                <w:kern w:val="0"/>
                <w:lang w:bidi="ar"/>
              </w:rPr>
            </w:pPr>
            <w:r>
              <w:rPr>
                <w:rFonts w:hint="eastAsia"/>
                <w:kern w:val="0"/>
                <w:lang w:bidi="ar"/>
              </w:rPr>
              <w:t>④冷却：挤出后的塑料温度较高，需经过冷却水槽直接冷却定型，冷却水由冷却系统提供，冷却用水定期补充，不外排。</w:t>
            </w:r>
          </w:p>
          <w:p>
            <w:pPr>
              <w:pStyle w:val="82"/>
              <w:rPr>
                <w:kern w:val="0"/>
                <w:lang w:bidi="ar"/>
              </w:rPr>
            </w:pPr>
            <w:r>
              <w:rPr>
                <w:rFonts w:hint="eastAsia"/>
                <w:kern w:val="0"/>
                <w:lang w:bidi="ar"/>
              </w:rPr>
              <w:t>⑤切粒干燥：冷却后的塑料条通过切粒机切成粒状（5-8mm），颗粒中含有少量水分，在经风机吹干后即可得成品功能母粒。该工序会产生不合格品（S</w:t>
            </w:r>
            <w:r>
              <w:rPr>
                <w:kern w:val="0"/>
                <w:lang w:bidi="ar"/>
              </w:rPr>
              <w:t>2</w:t>
            </w:r>
            <w:r>
              <w:rPr>
                <w:rFonts w:hint="eastAsia"/>
                <w:kern w:val="0"/>
                <w:lang w:bidi="ar"/>
              </w:rPr>
              <w:t>），设备运行会产生噪声。</w:t>
            </w:r>
          </w:p>
          <w:p>
            <w:pPr>
              <w:pStyle w:val="82"/>
              <w:rPr>
                <w:bCs/>
              </w:rPr>
            </w:pPr>
            <w:r>
              <w:rPr>
                <w:rFonts w:hint="eastAsia"/>
                <w:bCs/>
              </w:rPr>
              <w:t>⑥包装入库：功能母粒装入包装袋后由</w:t>
            </w:r>
            <w:r>
              <w:rPr>
                <w:rFonts w:hint="eastAsia"/>
              </w:rPr>
              <w:t>人工手持缝包机缝线封口入库</w:t>
            </w:r>
            <w:r>
              <w:rPr>
                <w:rFonts w:hint="eastAsia"/>
                <w:bCs/>
              </w:rPr>
              <w:t>。</w:t>
            </w:r>
          </w:p>
          <w:p>
            <w:pPr>
              <w:pStyle w:val="82"/>
              <w:ind w:firstLine="482"/>
              <w:rPr>
                <w:b/>
              </w:rPr>
            </w:pPr>
            <w:r>
              <w:rPr>
                <w:b/>
              </w:rPr>
              <w:t>辅助工程及其他产污环节分析</w:t>
            </w:r>
            <w:r>
              <w:rPr>
                <w:rFonts w:hint="eastAsia"/>
                <w:b/>
              </w:rPr>
              <w:t>：</w:t>
            </w:r>
          </w:p>
          <w:p>
            <w:pPr>
              <w:pStyle w:val="82"/>
            </w:pPr>
            <w:r>
              <w:rPr>
                <w:rFonts w:hint="eastAsia"/>
              </w:rPr>
              <w:t>①固态原材料使用及成品包装会产生少量废包装（S</w:t>
            </w:r>
            <w:r>
              <w:t>3</w:t>
            </w:r>
            <w:r>
              <w:rPr>
                <w:rFonts w:hint="eastAsia"/>
              </w:rPr>
              <w:t>）。液态原材料使用会产生废油料桶（S</w:t>
            </w:r>
            <w:r>
              <w:t>4</w:t>
            </w:r>
            <w:r>
              <w:rPr>
                <w:rFonts w:hint="eastAsia"/>
              </w:rPr>
              <w:t>）。</w:t>
            </w:r>
          </w:p>
          <w:p>
            <w:pPr>
              <w:pStyle w:val="82"/>
            </w:pPr>
            <w:r>
              <w:rPr>
                <w:rFonts w:hint="eastAsia"/>
              </w:rPr>
              <w:t>②有机废气处理系统运行产生废紫外灯管（S</w:t>
            </w:r>
            <w:r>
              <w:t>5</w:t>
            </w:r>
            <w:r>
              <w:rPr>
                <w:rFonts w:hint="eastAsia"/>
              </w:rPr>
              <w:t>）和废活性炭（S</w:t>
            </w:r>
            <w:r>
              <w:t>6</w:t>
            </w:r>
            <w:r>
              <w:rPr>
                <w:rFonts w:hint="eastAsia"/>
              </w:rPr>
              <w:t>）。</w:t>
            </w:r>
          </w:p>
          <w:p>
            <w:pPr>
              <w:pStyle w:val="82"/>
            </w:pPr>
            <w:r>
              <w:rPr>
                <w:rFonts w:hint="eastAsia"/>
              </w:rPr>
              <w:t>③设备维护保养过程会产生废含油抹布、劳保用品（S</w:t>
            </w:r>
            <w:r>
              <w:t>7</w:t>
            </w:r>
            <w:r>
              <w:rPr>
                <w:rFonts w:hint="eastAsia"/>
              </w:rPr>
              <w:t>）。</w:t>
            </w:r>
          </w:p>
          <w:p>
            <w:pPr>
              <w:pStyle w:val="82"/>
            </w:pPr>
            <w:r>
              <w:rPr>
                <w:rFonts w:hint="eastAsia"/>
              </w:rPr>
              <w:t>④空压机使用润滑油对螺杆处进行润滑，运行过程中会产生含油的冷凝废液（S</w:t>
            </w:r>
            <w:r>
              <w:t>8</w:t>
            </w:r>
            <w:r>
              <w:rPr>
                <w:rFonts w:hint="eastAsia"/>
              </w:rPr>
              <w:t>），设备运行维护会产生废润滑油（S</w:t>
            </w:r>
            <w:r>
              <w:t>9</w:t>
            </w:r>
            <w:r>
              <w:rPr>
                <w:rFonts w:hint="eastAsia"/>
              </w:rPr>
              <w:t>）、废润滑油桶（S</w:t>
            </w:r>
            <w:r>
              <w:t>10</w:t>
            </w:r>
            <w:r>
              <w:rPr>
                <w:rFonts w:hint="eastAsia"/>
              </w:rPr>
              <w:t>）。</w:t>
            </w:r>
          </w:p>
          <w:p>
            <w:pPr>
              <w:pStyle w:val="82"/>
            </w:pPr>
            <w:r>
              <w:rPr>
                <w:rFonts w:hint="eastAsia"/>
              </w:rPr>
              <w:t>⑤员工生活会产生生活污水（W1），同时员工办公生活产生生活垃圾（S1</w:t>
            </w:r>
            <w:r>
              <w:t>1</w:t>
            </w:r>
            <w:r>
              <w:rPr>
                <w:rFonts w:hint="eastAsia"/>
              </w:rPr>
              <w:t>）。</w:t>
            </w:r>
          </w:p>
          <w:p>
            <w:pPr>
              <w:pStyle w:val="82"/>
              <w:ind w:firstLine="482"/>
              <w:rPr>
                <w:b/>
                <w:bCs/>
              </w:rPr>
            </w:pPr>
            <w:r>
              <w:rPr>
                <w:rFonts w:hint="eastAsia"/>
                <w:b/>
                <w:bCs/>
              </w:rPr>
              <w:t>产排污环节：</w:t>
            </w:r>
          </w:p>
          <w:p>
            <w:pPr>
              <w:pStyle w:val="83"/>
            </w:pPr>
            <w:r>
              <w:t>表</w:t>
            </w:r>
            <w:r>
              <w:rPr>
                <w:rFonts w:hint="eastAsia"/>
              </w:rPr>
              <w:t>2</w:t>
            </w:r>
            <w:r>
              <w:t xml:space="preserve">-9  </w:t>
            </w:r>
            <w:r>
              <w:rPr>
                <w:rFonts w:hint="eastAsia"/>
              </w:rPr>
              <w:t>项目产排污节点</w:t>
            </w:r>
            <w:r>
              <w:t>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9"/>
              <w:gridCol w:w="1101"/>
              <w:gridCol w:w="2616"/>
              <w:gridCol w:w="36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1" w:type="pct"/>
                  <w:vAlign w:val="center"/>
                </w:tcPr>
                <w:p>
                  <w:pPr>
                    <w:spacing w:line="320" w:lineRule="exact"/>
                    <w:jc w:val="center"/>
                    <w:rPr>
                      <w:b/>
                      <w:bCs/>
                    </w:rPr>
                  </w:pPr>
                  <w:bookmarkStart w:id="9" w:name="_Hlk132119416"/>
                  <w:r>
                    <w:rPr>
                      <w:b/>
                      <w:bCs/>
                    </w:rPr>
                    <w:t>类型</w:t>
                  </w:r>
                </w:p>
              </w:tc>
              <w:tc>
                <w:tcPr>
                  <w:tcW w:w="668" w:type="pct"/>
                  <w:vAlign w:val="center"/>
                </w:tcPr>
                <w:p>
                  <w:pPr>
                    <w:spacing w:line="320" w:lineRule="exact"/>
                    <w:jc w:val="center"/>
                    <w:rPr>
                      <w:b/>
                      <w:bCs/>
                    </w:rPr>
                  </w:pPr>
                  <w:r>
                    <w:rPr>
                      <w:b/>
                      <w:bCs/>
                    </w:rPr>
                    <w:t>序号</w:t>
                  </w:r>
                </w:p>
              </w:tc>
              <w:tc>
                <w:tcPr>
                  <w:tcW w:w="1587" w:type="pct"/>
                  <w:vAlign w:val="center"/>
                </w:tcPr>
                <w:p>
                  <w:pPr>
                    <w:spacing w:line="320" w:lineRule="exact"/>
                    <w:jc w:val="center"/>
                    <w:rPr>
                      <w:b/>
                      <w:bCs/>
                    </w:rPr>
                  </w:pPr>
                  <w:r>
                    <w:rPr>
                      <w:b/>
                      <w:bCs/>
                    </w:rPr>
                    <w:t>污染源</w:t>
                  </w:r>
                </w:p>
              </w:tc>
              <w:tc>
                <w:tcPr>
                  <w:tcW w:w="2224" w:type="pct"/>
                  <w:vAlign w:val="center"/>
                </w:tcPr>
                <w:p>
                  <w:pPr>
                    <w:spacing w:line="320" w:lineRule="exact"/>
                    <w:jc w:val="center"/>
                    <w:rPr>
                      <w:b/>
                      <w:bCs/>
                    </w:rPr>
                  </w:pPr>
                  <w:r>
                    <w:rPr>
                      <w:b/>
                      <w:bCs/>
                    </w:rPr>
                    <w:t>主要污染物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1" w:type="pct"/>
                  <w:vAlign w:val="center"/>
                </w:tcPr>
                <w:p>
                  <w:pPr>
                    <w:spacing w:line="320" w:lineRule="exact"/>
                    <w:jc w:val="center"/>
                  </w:pPr>
                  <w:r>
                    <w:t>废气</w:t>
                  </w:r>
                </w:p>
              </w:tc>
              <w:tc>
                <w:tcPr>
                  <w:tcW w:w="668" w:type="pct"/>
                  <w:vAlign w:val="center"/>
                </w:tcPr>
                <w:p>
                  <w:pPr>
                    <w:spacing w:line="320" w:lineRule="exact"/>
                    <w:jc w:val="center"/>
                  </w:pPr>
                  <w:r>
                    <w:rPr>
                      <w:rFonts w:hint="eastAsia"/>
                    </w:rPr>
                    <w:t>G1</w:t>
                  </w:r>
                </w:p>
              </w:tc>
              <w:tc>
                <w:tcPr>
                  <w:tcW w:w="1587" w:type="pct"/>
                  <w:vAlign w:val="center"/>
                </w:tcPr>
                <w:p>
                  <w:pPr>
                    <w:spacing w:line="320" w:lineRule="exact"/>
                    <w:jc w:val="center"/>
                  </w:pPr>
                  <w:r>
                    <w:rPr>
                      <w:rFonts w:hint="eastAsia"/>
                    </w:rPr>
                    <w:t>挤出工序</w:t>
                  </w:r>
                </w:p>
              </w:tc>
              <w:tc>
                <w:tcPr>
                  <w:tcW w:w="2224" w:type="pct"/>
                  <w:vAlign w:val="center"/>
                </w:tcPr>
                <w:p>
                  <w:pPr>
                    <w:spacing w:line="320" w:lineRule="exact"/>
                    <w:jc w:val="center"/>
                  </w:pPr>
                  <w:r>
                    <w:rPr>
                      <w:rFonts w:hint="eastAsia"/>
                    </w:rPr>
                    <w:t>非甲烷总烃、臭气浓度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1" w:type="pct"/>
                  <w:vAlign w:val="center"/>
                </w:tcPr>
                <w:p>
                  <w:pPr>
                    <w:spacing w:line="320" w:lineRule="exact"/>
                    <w:jc w:val="center"/>
                  </w:pPr>
                  <w:r>
                    <w:t>废水</w:t>
                  </w:r>
                </w:p>
              </w:tc>
              <w:tc>
                <w:tcPr>
                  <w:tcW w:w="668" w:type="pct"/>
                  <w:vAlign w:val="center"/>
                </w:tcPr>
                <w:p>
                  <w:pPr>
                    <w:spacing w:line="320" w:lineRule="exact"/>
                    <w:jc w:val="center"/>
                  </w:pPr>
                  <w:r>
                    <w:t>W</w:t>
                  </w:r>
                  <w:r>
                    <w:rPr>
                      <w:rFonts w:hint="eastAsia"/>
                    </w:rPr>
                    <w:t>1</w:t>
                  </w:r>
                </w:p>
              </w:tc>
              <w:tc>
                <w:tcPr>
                  <w:tcW w:w="1587" w:type="pct"/>
                  <w:vAlign w:val="center"/>
                </w:tcPr>
                <w:p>
                  <w:pPr>
                    <w:spacing w:line="320" w:lineRule="exact"/>
                    <w:jc w:val="center"/>
                  </w:pPr>
                  <w:r>
                    <w:t>生活污水</w:t>
                  </w:r>
                </w:p>
              </w:tc>
              <w:tc>
                <w:tcPr>
                  <w:tcW w:w="2224" w:type="pct"/>
                  <w:vAlign w:val="center"/>
                </w:tcPr>
                <w:p>
                  <w:pPr>
                    <w:spacing w:line="320" w:lineRule="exact"/>
                    <w:jc w:val="center"/>
                  </w:pPr>
                  <w:r>
                    <w:rPr>
                      <w:rFonts w:hint="eastAsia"/>
                    </w:rPr>
                    <w:t>pH、</w:t>
                  </w:r>
                  <w:r>
                    <w:t>SS、COD、BOD</w:t>
                  </w:r>
                  <w:r>
                    <w:rPr>
                      <w:vertAlign w:val="subscript"/>
                    </w:rPr>
                    <w:t>5</w:t>
                  </w:r>
                  <w:r>
                    <w:t>、NH</w:t>
                  </w:r>
                  <w:r>
                    <w:rPr>
                      <w:vertAlign w:val="subscript"/>
                    </w:rPr>
                    <w:t>3</w:t>
                  </w:r>
                  <w: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1" w:type="pct"/>
                  <w:vAlign w:val="center"/>
                </w:tcPr>
                <w:p>
                  <w:pPr>
                    <w:spacing w:line="320" w:lineRule="exact"/>
                    <w:jc w:val="center"/>
                  </w:pPr>
                  <w:r>
                    <w:t>噪声</w:t>
                  </w:r>
                </w:p>
              </w:tc>
              <w:tc>
                <w:tcPr>
                  <w:tcW w:w="668" w:type="pct"/>
                  <w:vAlign w:val="center"/>
                </w:tcPr>
                <w:p>
                  <w:pPr>
                    <w:spacing w:line="320" w:lineRule="exact"/>
                    <w:jc w:val="center"/>
                  </w:pPr>
                  <w:r>
                    <w:t>N</w:t>
                  </w:r>
                </w:p>
              </w:tc>
              <w:tc>
                <w:tcPr>
                  <w:tcW w:w="1587" w:type="pct"/>
                  <w:vAlign w:val="center"/>
                </w:tcPr>
                <w:p>
                  <w:pPr>
                    <w:spacing w:line="320" w:lineRule="exact"/>
                    <w:jc w:val="center"/>
                  </w:pPr>
                  <w:r>
                    <w:t>设备噪声</w:t>
                  </w:r>
                </w:p>
              </w:tc>
              <w:tc>
                <w:tcPr>
                  <w:tcW w:w="2224" w:type="pct"/>
                  <w:vAlign w:val="center"/>
                </w:tcPr>
                <w:p>
                  <w:pPr>
                    <w:spacing w:line="320" w:lineRule="exact"/>
                    <w:jc w:val="center"/>
                  </w:pPr>
                  <w:r>
                    <w:t>Leq（A）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1" w:type="pct"/>
                  <w:vMerge w:val="restart"/>
                  <w:vAlign w:val="center"/>
                </w:tcPr>
                <w:p>
                  <w:pPr>
                    <w:spacing w:line="320" w:lineRule="exact"/>
                    <w:jc w:val="center"/>
                  </w:pPr>
                  <w:r>
                    <w:t>固废</w:t>
                  </w:r>
                </w:p>
              </w:tc>
              <w:tc>
                <w:tcPr>
                  <w:tcW w:w="668" w:type="pct"/>
                  <w:vAlign w:val="center"/>
                </w:tcPr>
                <w:p>
                  <w:pPr>
                    <w:spacing w:line="320" w:lineRule="exact"/>
                    <w:jc w:val="center"/>
                  </w:pPr>
                  <w:r>
                    <w:t>S1</w:t>
                  </w:r>
                </w:p>
              </w:tc>
              <w:tc>
                <w:tcPr>
                  <w:tcW w:w="1587" w:type="pct"/>
                  <w:vAlign w:val="center"/>
                </w:tcPr>
                <w:p>
                  <w:pPr>
                    <w:spacing w:line="320" w:lineRule="exact"/>
                    <w:jc w:val="center"/>
                  </w:pPr>
                  <w:r>
                    <w:rPr>
                      <w:rFonts w:hint="eastAsia"/>
                    </w:rPr>
                    <w:t>挤出工序</w:t>
                  </w:r>
                </w:p>
              </w:tc>
              <w:tc>
                <w:tcPr>
                  <w:tcW w:w="2224" w:type="pct"/>
                  <w:vAlign w:val="center"/>
                </w:tcPr>
                <w:p>
                  <w:pPr>
                    <w:spacing w:line="320" w:lineRule="exact"/>
                    <w:jc w:val="center"/>
                  </w:pPr>
                  <w:r>
                    <w:rPr>
                      <w:rFonts w:hint="eastAsia"/>
                    </w:rPr>
                    <w:t>废边角料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1" w:type="pct"/>
                  <w:vMerge w:val="continue"/>
                  <w:vAlign w:val="center"/>
                </w:tcPr>
                <w:p>
                  <w:pPr>
                    <w:spacing w:line="320" w:lineRule="exact"/>
                    <w:jc w:val="center"/>
                  </w:pPr>
                </w:p>
              </w:tc>
              <w:tc>
                <w:tcPr>
                  <w:tcW w:w="668" w:type="pct"/>
                  <w:vAlign w:val="center"/>
                </w:tcPr>
                <w:p>
                  <w:pPr>
                    <w:spacing w:line="320" w:lineRule="exact"/>
                    <w:jc w:val="center"/>
                  </w:pPr>
                  <w:r>
                    <w:t>S2</w:t>
                  </w:r>
                </w:p>
              </w:tc>
              <w:tc>
                <w:tcPr>
                  <w:tcW w:w="1587" w:type="pct"/>
                  <w:vAlign w:val="center"/>
                </w:tcPr>
                <w:p>
                  <w:pPr>
                    <w:spacing w:line="320" w:lineRule="exact"/>
                    <w:jc w:val="center"/>
                  </w:pPr>
                  <w:r>
                    <w:rPr>
                      <w:rFonts w:hint="eastAsia"/>
                    </w:rPr>
                    <w:t>切粒干燥工序</w:t>
                  </w:r>
                </w:p>
              </w:tc>
              <w:tc>
                <w:tcPr>
                  <w:tcW w:w="2224" w:type="pct"/>
                  <w:vAlign w:val="center"/>
                </w:tcPr>
                <w:p>
                  <w:pPr>
                    <w:topLinePunct/>
                    <w:adjustRightInd w:val="0"/>
                    <w:snapToGrid w:val="0"/>
                    <w:spacing w:line="320" w:lineRule="exact"/>
                    <w:ind w:left="-105" w:leftChars="-50" w:right="-105" w:rightChars="-50"/>
                    <w:jc w:val="center"/>
                  </w:pPr>
                  <w:r>
                    <w:rPr>
                      <w:rFonts w:hint="eastAsia"/>
                    </w:rPr>
                    <w:t>不合格品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1" w:type="pct"/>
                  <w:vMerge w:val="continue"/>
                  <w:vAlign w:val="center"/>
                </w:tcPr>
                <w:p>
                  <w:pPr>
                    <w:spacing w:line="320" w:lineRule="exact"/>
                    <w:jc w:val="center"/>
                  </w:pPr>
                </w:p>
              </w:tc>
              <w:tc>
                <w:tcPr>
                  <w:tcW w:w="668" w:type="pct"/>
                  <w:vAlign w:val="center"/>
                </w:tcPr>
                <w:p>
                  <w:pPr>
                    <w:spacing w:line="320" w:lineRule="exact"/>
                    <w:jc w:val="center"/>
                  </w:pPr>
                  <w:r>
                    <w:t>S3</w:t>
                  </w:r>
                </w:p>
              </w:tc>
              <w:tc>
                <w:tcPr>
                  <w:tcW w:w="1587" w:type="pct"/>
                  <w:vAlign w:val="center"/>
                </w:tcPr>
                <w:p>
                  <w:pPr>
                    <w:spacing w:line="320" w:lineRule="exact"/>
                    <w:jc w:val="center"/>
                  </w:pPr>
                  <w:r>
                    <w:rPr>
                      <w:rFonts w:hint="eastAsia"/>
                    </w:rPr>
                    <w:t>原辅料包装、成品包装</w:t>
                  </w:r>
                </w:p>
              </w:tc>
              <w:tc>
                <w:tcPr>
                  <w:tcW w:w="2224" w:type="pct"/>
                  <w:vAlign w:val="center"/>
                </w:tcPr>
                <w:p>
                  <w:pPr>
                    <w:topLinePunct/>
                    <w:adjustRightInd w:val="0"/>
                    <w:snapToGrid w:val="0"/>
                    <w:spacing w:line="320" w:lineRule="exact"/>
                    <w:ind w:left="-105" w:leftChars="-50" w:right="-105" w:rightChars="-50"/>
                    <w:jc w:val="center"/>
                  </w:pPr>
                  <w:r>
                    <w:rPr>
                      <w:rFonts w:hint="eastAsia"/>
                    </w:rPr>
                    <w:t>废包装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1" w:type="pct"/>
                  <w:vMerge w:val="continue"/>
                  <w:vAlign w:val="center"/>
                </w:tcPr>
                <w:p>
                  <w:pPr>
                    <w:spacing w:line="320" w:lineRule="exact"/>
                    <w:jc w:val="center"/>
                  </w:pPr>
                </w:p>
              </w:tc>
              <w:tc>
                <w:tcPr>
                  <w:tcW w:w="668" w:type="pct"/>
                  <w:vAlign w:val="center"/>
                </w:tcPr>
                <w:p>
                  <w:pPr>
                    <w:spacing w:line="320" w:lineRule="exact"/>
                    <w:jc w:val="center"/>
                  </w:pPr>
                  <w:r>
                    <w:t>S</w:t>
                  </w:r>
                  <w:r>
                    <w:rPr>
                      <w:rFonts w:hint="eastAsia"/>
                    </w:rPr>
                    <w:t>4</w:t>
                  </w:r>
                </w:p>
              </w:tc>
              <w:tc>
                <w:tcPr>
                  <w:tcW w:w="1587" w:type="pct"/>
                  <w:vAlign w:val="center"/>
                </w:tcPr>
                <w:p>
                  <w:pPr>
                    <w:spacing w:line="320" w:lineRule="exact"/>
                    <w:jc w:val="center"/>
                  </w:pPr>
                  <w:r>
                    <w:rPr>
                      <w:rFonts w:hint="eastAsia"/>
                    </w:rPr>
                    <w:t>原辅料包装</w:t>
                  </w:r>
                </w:p>
              </w:tc>
              <w:tc>
                <w:tcPr>
                  <w:tcW w:w="2224" w:type="pct"/>
                  <w:vAlign w:val="center"/>
                </w:tcPr>
                <w:p>
                  <w:pPr>
                    <w:spacing w:line="320" w:lineRule="exact"/>
                    <w:jc w:val="center"/>
                  </w:pPr>
                  <w:r>
                    <w:rPr>
                      <w:rFonts w:hint="eastAsia"/>
                    </w:rPr>
                    <w:t>废油料桶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1" w:type="pct"/>
                  <w:vMerge w:val="continue"/>
                  <w:vAlign w:val="center"/>
                </w:tcPr>
                <w:p>
                  <w:pPr>
                    <w:spacing w:line="320" w:lineRule="exact"/>
                    <w:jc w:val="center"/>
                  </w:pPr>
                </w:p>
              </w:tc>
              <w:tc>
                <w:tcPr>
                  <w:tcW w:w="668" w:type="pct"/>
                  <w:vAlign w:val="center"/>
                </w:tcPr>
                <w:p>
                  <w:pPr>
                    <w:spacing w:line="320" w:lineRule="exact"/>
                    <w:jc w:val="center"/>
                  </w:pPr>
                  <w:r>
                    <w:t>S</w:t>
                  </w:r>
                  <w:r>
                    <w:rPr>
                      <w:rFonts w:hint="eastAsia"/>
                    </w:rPr>
                    <w:t>5</w:t>
                  </w:r>
                </w:p>
              </w:tc>
              <w:tc>
                <w:tcPr>
                  <w:tcW w:w="1587" w:type="pct"/>
                  <w:vAlign w:val="center"/>
                </w:tcPr>
                <w:p>
                  <w:pPr>
                    <w:spacing w:line="320" w:lineRule="exact"/>
                    <w:jc w:val="center"/>
                  </w:pPr>
                  <w:r>
                    <w:rPr>
                      <w:rFonts w:hint="eastAsia"/>
                    </w:rPr>
                    <w:t>有机废气处理系统</w:t>
                  </w:r>
                </w:p>
              </w:tc>
              <w:tc>
                <w:tcPr>
                  <w:tcW w:w="2224" w:type="pct"/>
                  <w:vAlign w:val="center"/>
                </w:tcPr>
                <w:p>
                  <w:pPr>
                    <w:spacing w:line="320" w:lineRule="exact"/>
                    <w:jc w:val="center"/>
                  </w:pPr>
                  <w:r>
                    <w:rPr>
                      <w:rFonts w:hint="eastAsia"/>
                    </w:rPr>
                    <w:t>废紫外灯管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1" w:type="pct"/>
                  <w:vMerge w:val="continue"/>
                  <w:vAlign w:val="center"/>
                </w:tcPr>
                <w:p>
                  <w:pPr>
                    <w:spacing w:line="320" w:lineRule="exact"/>
                    <w:jc w:val="center"/>
                  </w:pPr>
                </w:p>
              </w:tc>
              <w:tc>
                <w:tcPr>
                  <w:tcW w:w="668" w:type="pct"/>
                  <w:vAlign w:val="center"/>
                </w:tcPr>
                <w:p>
                  <w:pPr>
                    <w:spacing w:line="320" w:lineRule="exact"/>
                    <w:jc w:val="center"/>
                  </w:pPr>
                  <w:r>
                    <w:t>S</w:t>
                  </w:r>
                  <w:r>
                    <w:rPr>
                      <w:rFonts w:hint="eastAsia"/>
                    </w:rPr>
                    <w:t>6</w:t>
                  </w:r>
                </w:p>
              </w:tc>
              <w:tc>
                <w:tcPr>
                  <w:tcW w:w="1587" w:type="pct"/>
                  <w:vAlign w:val="center"/>
                </w:tcPr>
                <w:p>
                  <w:pPr>
                    <w:spacing w:line="320" w:lineRule="exact"/>
                    <w:jc w:val="center"/>
                  </w:pPr>
                  <w:r>
                    <w:rPr>
                      <w:rFonts w:hint="eastAsia"/>
                    </w:rPr>
                    <w:t>有机废气处理系统</w:t>
                  </w:r>
                </w:p>
              </w:tc>
              <w:tc>
                <w:tcPr>
                  <w:tcW w:w="2224" w:type="pct"/>
                  <w:vAlign w:val="center"/>
                </w:tcPr>
                <w:p>
                  <w:pPr>
                    <w:spacing w:line="320" w:lineRule="exact"/>
                    <w:jc w:val="center"/>
                  </w:pPr>
                  <w:r>
                    <w:rPr>
                      <w:rFonts w:hint="eastAsia"/>
                    </w:rPr>
                    <w:t>废活性炭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1" w:type="pct"/>
                  <w:vMerge w:val="continue"/>
                  <w:vAlign w:val="center"/>
                </w:tcPr>
                <w:p>
                  <w:pPr>
                    <w:spacing w:line="320" w:lineRule="exact"/>
                    <w:jc w:val="center"/>
                  </w:pPr>
                </w:p>
              </w:tc>
              <w:tc>
                <w:tcPr>
                  <w:tcW w:w="668" w:type="pct"/>
                  <w:vAlign w:val="center"/>
                </w:tcPr>
                <w:p>
                  <w:pPr>
                    <w:spacing w:line="320" w:lineRule="exact"/>
                    <w:jc w:val="center"/>
                  </w:pPr>
                  <w:r>
                    <w:t>S</w:t>
                  </w:r>
                  <w:r>
                    <w:rPr>
                      <w:rFonts w:hint="eastAsia"/>
                    </w:rPr>
                    <w:t>7</w:t>
                  </w:r>
                </w:p>
              </w:tc>
              <w:tc>
                <w:tcPr>
                  <w:tcW w:w="1587" w:type="pct"/>
                  <w:vAlign w:val="center"/>
                </w:tcPr>
                <w:p>
                  <w:pPr>
                    <w:spacing w:line="320" w:lineRule="exact"/>
                    <w:jc w:val="center"/>
                  </w:pPr>
                  <w:r>
                    <w:rPr>
                      <w:rFonts w:hint="eastAsia"/>
                    </w:rPr>
                    <w:t>设备维护保养</w:t>
                  </w:r>
                </w:p>
              </w:tc>
              <w:tc>
                <w:tcPr>
                  <w:tcW w:w="2224" w:type="pct"/>
                  <w:vAlign w:val="center"/>
                </w:tcPr>
                <w:p>
                  <w:pPr>
                    <w:autoSpaceDE w:val="0"/>
                    <w:autoSpaceDN w:val="0"/>
                    <w:spacing w:line="320" w:lineRule="exact"/>
                    <w:jc w:val="center"/>
                  </w:pPr>
                  <w:r>
                    <w:rPr>
                      <w:rFonts w:hint="eastAsia"/>
                    </w:rPr>
                    <w:t>废含油抹布及劳保用品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1" w:type="pct"/>
                  <w:vMerge w:val="continue"/>
                  <w:vAlign w:val="center"/>
                </w:tcPr>
                <w:p>
                  <w:pPr>
                    <w:spacing w:line="320" w:lineRule="exact"/>
                    <w:jc w:val="center"/>
                  </w:pPr>
                </w:p>
              </w:tc>
              <w:tc>
                <w:tcPr>
                  <w:tcW w:w="668" w:type="pct"/>
                  <w:vAlign w:val="center"/>
                </w:tcPr>
                <w:p>
                  <w:pPr>
                    <w:spacing w:line="320" w:lineRule="exact"/>
                    <w:jc w:val="center"/>
                  </w:pPr>
                  <w:r>
                    <w:rPr>
                      <w:rFonts w:hint="eastAsia"/>
                    </w:rPr>
                    <w:t>S8</w:t>
                  </w:r>
                </w:p>
              </w:tc>
              <w:tc>
                <w:tcPr>
                  <w:tcW w:w="1587" w:type="pct"/>
                  <w:vAlign w:val="center"/>
                </w:tcPr>
                <w:p>
                  <w:pPr>
                    <w:spacing w:line="320" w:lineRule="exact"/>
                    <w:jc w:val="center"/>
                  </w:pPr>
                  <w:r>
                    <w:rPr>
                      <w:rFonts w:hint="eastAsia"/>
                    </w:rPr>
                    <w:t>空压机</w:t>
                  </w:r>
                </w:p>
              </w:tc>
              <w:tc>
                <w:tcPr>
                  <w:tcW w:w="2224" w:type="pct"/>
                  <w:vAlign w:val="center"/>
                </w:tcPr>
                <w:p>
                  <w:pPr>
                    <w:autoSpaceDE w:val="0"/>
                    <w:autoSpaceDN w:val="0"/>
                    <w:spacing w:line="320" w:lineRule="exact"/>
                    <w:jc w:val="center"/>
                  </w:pPr>
                  <w:r>
                    <w:rPr>
                      <w:rFonts w:hint="eastAsia"/>
                    </w:rPr>
                    <w:t>废含油冷凝废液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1" w:type="pct"/>
                  <w:vMerge w:val="continue"/>
                  <w:vAlign w:val="center"/>
                </w:tcPr>
                <w:p>
                  <w:pPr>
                    <w:spacing w:line="320" w:lineRule="exact"/>
                    <w:jc w:val="center"/>
                  </w:pPr>
                </w:p>
              </w:tc>
              <w:tc>
                <w:tcPr>
                  <w:tcW w:w="668" w:type="pct"/>
                  <w:vAlign w:val="center"/>
                </w:tcPr>
                <w:p>
                  <w:pPr>
                    <w:spacing w:line="320" w:lineRule="exact"/>
                    <w:jc w:val="center"/>
                  </w:pPr>
                  <w:r>
                    <w:rPr>
                      <w:rFonts w:hint="eastAsia"/>
                    </w:rPr>
                    <w:t>S</w:t>
                  </w:r>
                  <w:r>
                    <w:t>9</w:t>
                  </w:r>
                </w:p>
              </w:tc>
              <w:tc>
                <w:tcPr>
                  <w:tcW w:w="1587" w:type="pct"/>
                  <w:vAlign w:val="center"/>
                </w:tcPr>
                <w:p>
                  <w:pPr>
                    <w:spacing w:line="320" w:lineRule="exact"/>
                    <w:jc w:val="center"/>
                  </w:pPr>
                  <w:r>
                    <w:rPr>
                      <w:rFonts w:hint="eastAsia"/>
                    </w:rPr>
                    <w:t>设备维护</w:t>
                  </w:r>
                </w:p>
              </w:tc>
              <w:tc>
                <w:tcPr>
                  <w:tcW w:w="2224" w:type="pct"/>
                  <w:vAlign w:val="center"/>
                </w:tcPr>
                <w:p>
                  <w:pPr>
                    <w:autoSpaceDE w:val="0"/>
                    <w:autoSpaceDN w:val="0"/>
                    <w:spacing w:line="320" w:lineRule="exact"/>
                    <w:jc w:val="center"/>
                  </w:pPr>
                  <w:r>
                    <w:rPr>
                      <w:rFonts w:hint="eastAsia"/>
                    </w:rPr>
                    <w:t>废润滑油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1" w:type="pct"/>
                  <w:vMerge w:val="continue"/>
                  <w:vAlign w:val="center"/>
                </w:tcPr>
                <w:p>
                  <w:pPr>
                    <w:spacing w:line="320" w:lineRule="exact"/>
                    <w:jc w:val="center"/>
                  </w:pPr>
                </w:p>
              </w:tc>
              <w:tc>
                <w:tcPr>
                  <w:tcW w:w="668" w:type="pct"/>
                  <w:vAlign w:val="center"/>
                </w:tcPr>
                <w:p>
                  <w:pPr>
                    <w:spacing w:line="320" w:lineRule="exact"/>
                    <w:jc w:val="center"/>
                  </w:pPr>
                  <w:r>
                    <w:rPr>
                      <w:rFonts w:hint="eastAsia"/>
                    </w:rPr>
                    <w:t>S</w:t>
                  </w:r>
                  <w:r>
                    <w:t>10</w:t>
                  </w:r>
                </w:p>
              </w:tc>
              <w:tc>
                <w:tcPr>
                  <w:tcW w:w="1587" w:type="pct"/>
                  <w:vAlign w:val="center"/>
                </w:tcPr>
                <w:p>
                  <w:pPr>
                    <w:spacing w:line="320" w:lineRule="exact"/>
                    <w:jc w:val="center"/>
                  </w:pPr>
                  <w:r>
                    <w:rPr>
                      <w:rFonts w:hint="eastAsia"/>
                    </w:rPr>
                    <w:t>设备维护</w:t>
                  </w:r>
                </w:p>
              </w:tc>
              <w:tc>
                <w:tcPr>
                  <w:tcW w:w="2224" w:type="pct"/>
                  <w:vAlign w:val="center"/>
                </w:tcPr>
                <w:p>
                  <w:pPr>
                    <w:autoSpaceDE w:val="0"/>
                    <w:autoSpaceDN w:val="0"/>
                    <w:spacing w:line="320" w:lineRule="exact"/>
                    <w:jc w:val="center"/>
                  </w:pPr>
                  <w:r>
                    <w:rPr>
                      <w:rFonts w:hint="eastAsia"/>
                    </w:rPr>
                    <w:t>废润滑油桶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1" w:type="pct"/>
                  <w:vMerge w:val="continue"/>
                  <w:vAlign w:val="center"/>
                </w:tcPr>
                <w:p>
                  <w:pPr>
                    <w:spacing w:line="320" w:lineRule="exact"/>
                    <w:jc w:val="center"/>
                  </w:pPr>
                </w:p>
              </w:tc>
              <w:tc>
                <w:tcPr>
                  <w:tcW w:w="668" w:type="pct"/>
                  <w:vAlign w:val="center"/>
                </w:tcPr>
                <w:p>
                  <w:pPr>
                    <w:spacing w:line="320" w:lineRule="exact"/>
                    <w:jc w:val="center"/>
                  </w:pPr>
                  <w:r>
                    <w:rPr>
                      <w:rFonts w:hint="eastAsia"/>
                    </w:rPr>
                    <w:t>S</w:t>
                  </w:r>
                  <w:r>
                    <w:t>11</w:t>
                  </w:r>
                </w:p>
              </w:tc>
              <w:tc>
                <w:tcPr>
                  <w:tcW w:w="1587" w:type="pct"/>
                  <w:vAlign w:val="center"/>
                </w:tcPr>
                <w:p>
                  <w:pPr>
                    <w:spacing w:line="320" w:lineRule="exact"/>
                    <w:jc w:val="center"/>
                  </w:pPr>
                  <w:r>
                    <w:rPr>
                      <w:rFonts w:hint="eastAsia"/>
                    </w:rPr>
                    <w:t>员工办公生活</w:t>
                  </w:r>
                </w:p>
              </w:tc>
              <w:tc>
                <w:tcPr>
                  <w:tcW w:w="2224" w:type="pct"/>
                  <w:vAlign w:val="center"/>
                </w:tcPr>
                <w:p>
                  <w:pPr>
                    <w:autoSpaceDE w:val="0"/>
                    <w:autoSpaceDN w:val="0"/>
                    <w:spacing w:line="320" w:lineRule="exact"/>
                    <w:jc w:val="center"/>
                  </w:pPr>
                  <w:r>
                    <w:t>生活垃圾</w:t>
                  </w:r>
                </w:p>
              </w:tc>
            </w:tr>
            <w:bookmarkEnd w:id="9"/>
          </w:tbl>
          <w:p>
            <w:pPr>
              <w:pStyle w:val="82"/>
            </w:pPr>
          </w:p>
          <w:p>
            <w:pPr>
              <w:pStyle w:val="82"/>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13" w:hRule="exact"/>
          <w:jc w:val="center"/>
        </w:trPr>
        <w:tc>
          <w:tcPr>
            <w:tcW w:w="557" w:type="dxa"/>
            <w:vAlign w:val="center"/>
          </w:tcPr>
          <w:p>
            <w:pPr>
              <w:pStyle w:val="20"/>
              <w:adjustRightInd w:val="0"/>
              <w:snapToGrid w:val="0"/>
              <w:spacing w:before="0" w:beforeAutospacing="0" w:after="0" w:afterAutospacing="0"/>
              <w:jc w:val="center"/>
              <w:rPr>
                <w:rFonts w:ascii="Times New Roman" w:hAnsi="Times New Roman"/>
                <w:sz w:val="21"/>
                <w:szCs w:val="21"/>
              </w:rPr>
            </w:pPr>
            <w:r>
              <w:rPr>
                <w:rFonts w:ascii="Times New Roman" w:hAnsi="Times New Roman"/>
                <w:bCs/>
                <w:kern w:val="2"/>
                <w:sz w:val="21"/>
                <w:szCs w:val="21"/>
              </w:rPr>
              <w:t>与项目有关的原有环境污染问题</w:t>
            </w:r>
          </w:p>
        </w:tc>
        <w:tc>
          <w:tcPr>
            <w:tcW w:w="8267" w:type="dxa"/>
          </w:tcPr>
          <w:p>
            <w:pPr>
              <w:pStyle w:val="82"/>
            </w:pPr>
          </w:p>
          <w:p>
            <w:pPr>
              <w:pStyle w:val="82"/>
            </w:pPr>
            <w:r>
              <w:rPr>
                <w:rFonts w:hint="eastAsia"/>
              </w:rPr>
              <w:t>本项目位于重庆铜梁区龙山大道2</w:t>
            </w:r>
            <w:r>
              <w:t>0</w:t>
            </w:r>
            <w:r>
              <w:rPr>
                <w:rFonts w:hint="eastAsia"/>
              </w:rPr>
              <w:t>号，项目租赁厂房进行建设，租赁重庆绅鹏商业运营管理有限公司已建厂房B型</w:t>
            </w:r>
            <w:r>
              <w:t>3</w:t>
            </w:r>
            <w:r>
              <w:rPr>
                <w:rFonts w:hint="eastAsia"/>
              </w:rPr>
              <w:t>栋，厂区共建有9栋厂房。B型3栋（B</w:t>
            </w:r>
            <w:r>
              <w:t>-3</w:t>
            </w:r>
            <w:r>
              <w:rPr>
                <w:rFonts w:hint="eastAsia"/>
              </w:rPr>
              <w:t>）厂房租赁前为闲置状态，无遗留环保问题。评价范围内无需特别保护的野生动植物，亦无风景名胜区、特殊文物保护单位、基本农田保护区和成片林地，因此不存在与本项目有关的原有污染情况。</w:t>
            </w:r>
          </w:p>
        </w:tc>
      </w:tr>
    </w:tbl>
    <w:p>
      <w:pPr>
        <w:pStyle w:val="20"/>
        <w:jc w:val="center"/>
        <w:rPr>
          <w:rFonts w:ascii="Times New Roman" w:hAnsi="Times New Roman" w:eastAsia="黑体"/>
          <w:snapToGrid w:val="0"/>
          <w:sz w:val="21"/>
          <w:szCs w:val="21"/>
        </w:rPr>
        <w:sectPr>
          <w:pgSz w:w="11906" w:h="16838"/>
          <w:pgMar w:top="1701" w:right="1531" w:bottom="1701" w:left="1531" w:header="851" w:footer="851" w:gutter="0"/>
          <w:cols w:space="720" w:num="1"/>
          <w:docGrid w:linePitch="312" w:charSpace="0"/>
        </w:sectPr>
      </w:pPr>
    </w:p>
    <w:p>
      <w:pPr>
        <w:pStyle w:val="20"/>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三、区域环境质量现状、环境保护目标及评价标准</w:t>
      </w: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800" w:type="dxa"/>
            <w:vAlign w:val="center"/>
          </w:tcPr>
          <w:p>
            <w:pPr>
              <w:adjustRightInd w:val="0"/>
              <w:snapToGrid w:val="0"/>
              <w:jc w:val="center"/>
              <w:rPr>
                <w:kern w:val="0"/>
              </w:rPr>
            </w:pPr>
            <w:r>
              <w:rPr>
                <w:kern w:val="0"/>
              </w:rPr>
              <w:t>区域</w:t>
            </w:r>
          </w:p>
          <w:p>
            <w:pPr>
              <w:adjustRightInd w:val="0"/>
              <w:snapToGrid w:val="0"/>
              <w:jc w:val="center"/>
              <w:rPr>
                <w:kern w:val="0"/>
              </w:rPr>
            </w:pPr>
            <w:r>
              <w:rPr>
                <w:kern w:val="0"/>
              </w:rPr>
              <w:t>环境</w:t>
            </w:r>
          </w:p>
          <w:p>
            <w:pPr>
              <w:adjustRightInd w:val="0"/>
              <w:snapToGrid w:val="0"/>
              <w:jc w:val="center"/>
              <w:rPr>
                <w:kern w:val="0"/>
              </w:rPr>
            </w:pPr>
            <w:r>
              <w:rPr>
                <w:kern w:val="0"/>
              </w:rPr>
              <w:t>质量</w:t>
            </w:r>
          </w:p>
          <w:p>
            <w:pPr>
              <w:adjustRightInd w:val="0"/>
              <w:snapToGrid w:val="0"/>
              <w:jc w:val="center"/>
              <w:rPr>
                <w:kern w:val="0"/>
              </w:rPr>
            </w:pPr>
            <w:r>
              <w:rPr>
                <w:kern w:val="0"/>
              </w:rPr>
              <w:t>现状</w:t>
            </w:r>
          </w:p>
        </w:tc>
        <w:tc>
          <w:tcPr>
            <w:tcW w:w="8190" w:type="dxa"/>
            <w:vAlign w:val="center"/>
          </w:tcPr>
          <w:p>
            <w:pPr>
              <w:pStyle w:val="82"/>
              <w:ind w:firstLine="482"/>
              <w:rPr>
                <w:b/>
                <w:bCs/>
              </w:rPr>
            </w:pPr>
            <w:r>
              <w:rPr>
                <w:rFonts w:hint="eastAsia"/>
                <w:b/>
                <w:bCs/>
                <w:kern w:val="0"/>
              </w:rPr>
              <w:t>1、</w:t>
            </w:r>
            <w:r>
              <w:rPr>
                <w:b/>
                <w:bCs/>
              </w:rPr>
              <w:t>环境空气质量现状</w:t>
            </w:r>
          </w:p>
          <w:p>
            <w:pPr>
              <w:pStyle w:val="82"/>
            </w:pPr>
            <w:r>
              <w:t>按照《重庆市人民政府关于印发重庆市环境空气质量功能区划分规定的通知》（渝府发[2016]19号）规定，项目所在区域为空气质量二类功能区，SO</w:t>
            </w:r>
            <w:r>
              <w:rPr>
                <w:vertAlign w:val="subscript"/>
              </w:rPr>
              <w:t>2</w:t>
            </w:r>
            <w:r>
              <w:t>、NO</w:t>
            </w:r>
            <w:r>
              <w:rPr>
                <w:vertAlign w:val="subscript"/>
              </w:rPr>
              <w:t>2</w:t>
            </w:r>
            <w:r>
              <w:t>、PM</w:t>
            </w:r>
            <w:r>
              <w:rPr>
                <w:vertAlign w:val="subscript"/>
              </w:rPr>
              <w:t>10</w:t>
            </w:r>
            <w:r>
              <w:t>、PM</w:t>
            </w:r>
            <w:r>
              <w:rPr>
                <w:vertAlign w:val="subscript"/>
              </w:rPr>
              <w:t>2.5</w:t>
            </w:r>
            <w:r>
              <w:t>、CO、O</w:t>
            </w:r>
            <w:r>
              <w:rPr>
                <w:vertAlign w:val="subscript"/>
              </w:rPr>
              <w:t>3</w:t>
            </w:r>
            <w:r>
              <w:t>执行《环境空气质量标准》（GB3095-2012）二类标准。</w:t>
            </w:r>
          </w:p>
          <w:p>
            <w:pPr>
              <w:pStyle w:val="82"/>
              <w:ind w:firstLine="482"/>
              <w:rPr>
                <w:b/>
                <w:bCs/>
              </w:rPr>
            </w:pPr>
            <w:r>
              <w:rPr>
                <w:b/>
                <w:bCs/>
              </w:rPr>
              <w:t>（1）区域达标情况</w:t>
            </w:r>
          </w:p>
          <w:p>
            <w:pPr>
              <w:pStyle w:val="82"/>
            </w:pPr>
            <w:r>
              <w:t>本评价引用重庆市生态环境局公布的《重庆市生态环境状况公报（2022年）》中铜梁区环境空气质量现状数据，区域空气质量现状评价见表3-1。</w:t>
            </w:r>
          </w:p>
          <w:p>
            <w:pPr>
              <w:pStyle w:val="83"/>
              <w:rPr>
                <w:kern w:val="0"/>
              </w:rPr>
            </w:pPr>
            <w:r>
              <w:t>表3-1  2022年度区域空气质量现状</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7"/>
              <w:gridCol w:w="1559"/>
              <w:gridCol w:w="1277"/>
              <w:gridCol w:w="1250"/>
              <w:gridCol w:w="873"/>
              <w:gridCol w:w="862"/>
              <w:gridCol w:w="9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758"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
                      <w:kern w:val="28"/>
                      <w:lang w:val="zh-CN"/>
                    </w:rPr>
                  </w:pPr>
                  <w:r>
                    <w:rPr>
                      <w:b/>
                      <w:kern w:val="28"/>
                      <w:lang w:val="zh-CN"/>
                    </w:rPr>
                    <w:t>污染物</w:t>
                  </w:r>
                </w:p>
              </w:tc>
              <w:tc>
                <w:tcPr>
                  <w:tcW w:w="979"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
                      <w:kern w:val="28"/>
                    </w:rPr>
                  </w:pPr>
                  <w:r>
                    <w:rPr>
                      <w:b/>
                      <w:kern w:val="28"/>
                      <w:lang w:val="zh-CN"/>
                    </w:rPr>
                    <w:t>年评价指标</w:t>
                  </w:r>
                </w:p>
              </w:tc>
              <w:tc>
                <w:tcPr>
                  <w:tcW w:w="802"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
                      <w:kern w:val="28"/>
                      <w:lang w:val="zh-CN"/>
                    </w:rPr>
                  </w:pPr>
                  <w:r>
                    <w:rPr>
                      <w:b/>
                      <w:kern w:val="28"/>
                      <w:lang w:val="zh-CN"/>
                    </w:rPr>
                    <w:t>现状浓度（</w:t>
                  </w:r>
                  <w:r>
                    <w:rPr>
                      <w:b/>
                    </w:rPr>
                    <w:t>µg/m</w:t>
                  </w:r>
                  <w:r>
                    <w:rPr>
                      <w:b/>
                      <w:vertAlign w:val="superscript"/>
                    </w:rPr>
                    <w:t>3</w:t>
                  </w:r>
                  <w:r>
                    <w:rPr>
                      <w:b/>
                      <w:kern w:val="28"/>
                      <w:lang w:val="zh-CN"/>
                    </w:rPr>
                    <w:t>）</w:t>
                  </w:r>
                </w:p>
              </w:tc>
              <w:tc>
                <w:tcPr>
                  <w:tcW w:w="785"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
                      <w:kern w:val="28"/>
                      <w:lang w:val="zh-CN"/>
                    </w:rPr>
                  </w:pPr>
                  <w:r>
                    <w:rPr>
                      <w:b/>
                      <w:kern w:val="28"/>
                      <w:lang w:val="zh-CN"/>
                    </w:rPr>
                    <w:t>标准值（</w:t>
                  </w:r>
                  <w:r>
                    <w:rPr>
                      <w:b/>
                    </w:rPr>
                    <w:t>µg/m</w:t>
                  </w:r>
                  <w:r>
                    <w:rPr>
                      <w:b/>
                      <w:vertAlign w:val="superscript"/>
                    </w:rPr>
                    <w:t>3</w:t>
                  </w:r>
                  <w:r>
                    <w:rPr>
                      <w:b/>
                      <w:kern w:val="28"/>
                      <w:lang w:val="zh-CN"/>
                    </w:rPr>
                    <w:t>）</w:t>
                  </w:r>
                </w:p>
              </w:tc>
              <w:tc>
                <w:tcPr>
                  <w:tcW w:w="548"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
                      <w:kern w:val="28"/>
                    </w:rPr>
                  </w:pPr>
                  <w:r>
                    <w:rPr>
                      <w:b/>
                      <w:kern w:val="28"/>
                      <w:lang w:val="zh-CN"/>
                    </w:rPr>
                    <w:t>占标率</w:t>
                  </w:r>
                  <w:r>
                    <w:rPr>
                      <w:b/>
                      <w:kern w:val="28"/>
                    </w:rPr>
                    <w:t>%</w:t>
                  </w:r>
                </w:p>
              </w:tc>
              <w:tc>
                <w:tcPr>
                  <w:tcW w:w="541"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
                      <w:kern w:val="28"/>
                      <w:lang w:val="zh-CN"/>
                    </w:rPr>
                  </w:pPr>
                  <w:r>
                    <w:rPr>
                      <w:b/>
                      <w:kern w:val="28"/>
                      <w:lang w:val="zh-CN"/>
                    </w:rPr>
                    <w:t>超标</w:t>
                  </w:r>
                </w:p>
                <w:p>
                  <w:pPr>
                    <w:snapToGrid w:val="0"/>
                    <w:spacing w:line="320" w:lineRule="exact"/>
                    <w:jc w:val="center"/>
                    <w:rPr>
                      <w:b/>
                      <w:kern w:val="28"/>
                      <w:lang w:val="zh-CN"/>
                    </w:rPr>
                  </w:pPr>
                  <w:r>
                    <w:rPr>
                      <w:b/>
                      <w:kern w:val="28"/>
                      <w:lang w:val="zh-CN"/>
                    </w:rPr>
                    <w:t>倍数</w:t>
                  </w:r>
                </w:p>
              </w:tc>
              <w:tc>
                <w:tcPr>
                  <w:tcW w:w="587"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
                      <w:kern w:val="28"/>
                      <w:lang w:val="zh-CN"/>
                    </w:rPr>
                  </w:pPr>
                  <w:r>
                    <w:rPr>
                      <w:b/>
                      <w:kern w:val="28"/>
                      <w:lang w:val="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758"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PM</w:t>
                  </w:r>
                  <w:r>
                    <w:rPr>
                      <w:bCs/>
                      <w:kern w:val="28"/>
                      <w:vertAlign w:val="subscript"/>
                    </w:rPr>
                    <w:t>10</w:t>
                  </w:r>
                </w:p>
              </w:tc>
              <w:tc>
                <w:tcPr>
                  <w:tcW w:w="979"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年平均质量浓度</w:t>
                  </w:r>
                </w:p>
              </w:tc>
              <w:tc>
                <w:tcPr>
                  <w:tcW w:w="802"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rFonts w:hint="eastAsia"/>
                      <w:bCs/>
                      <w:kern w:val="28"/>
                    </w:rPr>
                    <w:t>5</w:t>
                  </w:r>
                  <w:r>
                    <w:rPr>
                      <w:bCs/>
                      <w:kern w:val="28"/>
                    </w:rPr>
                    <w:t>3</w:t>
                  </w:r>
                </w:p>
              </w:tc>
              <w:tc>
                <w:tcPr>
                  <w:tcW w:w="785"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70</w:t>
                  </w:r>
                </w:p>
              </w:tc>
              <w:tc>
                <w:tcPr>
                  <w:tcW w:w="548"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rFonts w:hint="eastAsia"/>
                      <w:bCs/>
                      <w:kern w:val="28"/>
                    </w:rPr>
                    <w:t>75.71</w:t>
                  </w:r>
                </w:p>
              </w:tc>
              <w:tc>
                <w:tcPr>
                  <w:tcW w:w="541"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w:t>
                  </w:r>
                </w:p>
              </w:tc>
              <w:tc>
                <w:tcPr>
                  <w:tcW w:w="587"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758"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SO</w:t>
                  </w:r>
                  <w:r>
                    <w:rPr>
                      <w:bCs/>
                      <w:kern w:val="28"/>
                      <w:vertAlign w:val="subscript"/>
                    </w:rPr>
                    <w:t>2</w:t>
                  </w:r>
                </w:p>
              </w:tc>
              <w:tc>
                <w:tcPr>
                  <w:tcW w:w="979" w:type="pct"/>
                  <w:vMerge w:val="continue"/>
                  <w:tcBorders>
                    <w:top w:val="single" w:color="auto" w:sz="4" w:space="0"/>
                    <w:left w:val="single" w:color="auto" w:sz="4" w:space="0"/>
                    <w:bottom w:val="single" w:color="auto" w:sz="4" w:space="0"/>
                    <w:right w:val="single" w:color="auto" w:sz="4" w:space="0"/>
                  </w:tcBorders>
                  <w:vAlign w:val="center"/>
                </w:tcPr>
                <w:p>
                  <w:pPr>
                    <w:spacing w:line="320" w:lineRule="exact"/>
                    <w:rPr>
                      <w:bCs/>
                      <w:kern w:val="28"/>
                    </w:rPr>
                  </w:pPr>
                </w:p>
              </w:tc>
              <w:tc>
                <w:tcPr>
                  <w:tcW w:w="802"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rFonts w:hint="eastAsia"/>
                      <w:bCs/>
                      <w:kern w:val="28"/>
                    </w:rPr>
                    <w:t>1</w:t>
                  </w:r>
                  <w:r>
                    <w:rPr>
                      <w:bCs/>
                      <w:kern w:val="28"/>
                    </w:rPr>
                    <w:t>1</w:t>
                  </w:r>
                </w:p>
              </w:tc>
              <w:tc>
                <w:tcPr>
                  <w:tcW w:w="785"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60</w:t>
                  </w:r>
                </w:p>
              </w:tc>
              <w:tc>
                <w:tcPr>
                  <w:tcW w:w="548"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rFonts w:hint="eastAsia"/>
                      <w:bCs/>
                      <w:kern w:val="28"/>
                    </w:rPr>
                    <w:t>18.33</w:t>
                  </w:r>
                </w:p>
              </w:tc>
              <w:tc>
                <w:tcPr>
                  <w:tcW w:w="541"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w:t>
                  </w:r>
                </w:p>
              </w:tc>
              <w:tc>
                <w:tcPr>
                  <w:tcW w:w="587"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758"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NO</w:t>
                  </w:r>
                  <w:r>
                    <w:rPr>
                      <w:bCs/>
                      <w:kern w:val="28"/>
                      <w:vertAlign w:val="subscript"/>
                    </w:rPr>
                    <w:t>2</w:t>
                  </w:r>
                </w:p>
              </w:tc>
              <w:tc>
                <w:tcPr>
                  <w:tcW w:w="979" w:type="pct"/>
                  <w:vMerge w:val="continue"/>
                  <w:tcBorders>
                    <w:top w:val="single" w:color="auto" w:sz="4" w:space="0"/>
                    <w:left w:val="single" w:color="auto" w:sz="4" w:space="0"/>
                    <w:bottom w:val="single" w:color="auto" w:sz="4" w:space="0"/>
                    <w:right w:val="single" w:color="auto" w:sz="4" w:space="0"/>
                  </w:tcBorders>
                  <w:vAlign w:val="center"/>
                </w:tcPr>
                <w:p>
                  <w:pPr>
                    <w:spacing w:line="320" w:lineRule="exact"/>
                    <w:rPr>
                      <w:bCs/>
                      <w:kern w:val="28"/>
                    </w:rPr>
                  </w:pPr>
                </w:p>
              </w:tc>
              <w:tc>
                <w:tcPr>
                  <w:tcW w:w="802"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rFonts w:hint="eastAsia"/>
                      <w:bCs/>
                      <w:kern w:val="28"/>
                    </w:rPr>
                    <w:t>2</w:t>
                  </w:r>
                  <w:r>
                    <w:rPr>
                      <w:bCs/>
                      <w:kern w:val="28"/>
                    </w:rPr>
                    <w:t>7</w:t>
                  </w:r>
                </w:p>
              </w:tc>
              <w:tc>
                <w:tcPr>
                  <w:tcW w:w="785"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40</w:t>
                  </w:r>
                </w:p>
              </w:tc>
              <w:tc>
                <w:tcPr>
                  <w:tcW w:w="548"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rFonts w:hint="eastAsia"/>
                      <w:bCs/>
                      <w:kern w:val="28"/>
                    </w:rPr>
                    <w:t>67.50</w:t>
                  </w:r>
                </w:p>
              </w:tc>
              <w:tc>
                <w:tcPr>
                  <w:tcW w:w="541"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w:t>
                  </w:r>
                </w:p>
              </w:tc>
              <w:tc>
                <w:tcPr>
                  <w:tcW w:w="587"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758"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PM</w:t>
                  </w:r>
                  <w:r>
                    <w:rPr>
                      <w:bCs/>
                      <w:kern w:val="28"/>
                      <w:vertAlign w:val="subscript"/>
                    </w:rPr>
                    <w:t>2.5</w:t>
                  </w:r>
                </w:p>
              </w:tc>
              <w:tc>
                <w:tcPr>
                  <w:tcW w:w="979" w:type="pct"/>
                  <w:vMerge w:val="continue"/>
                  <w:tcBorders>
                    <w:top w:val="single" w:color="auto" w:sz="4" w:space="0"/>
                    <w:left w:val="single" w:color="auto" w:sz="4" w:space="0"/>
                    <w:bottom w:val="single" w:color="auto" w:sz="4" w:space="0"/>
                    <w:right w:val="single" w:color="auto" w:sz="4" w:space="0"/>
                  </w:tcBorders>
                  <w:vAlign w:val="center"/>
                </w:tcPr>
                <w:p>
                  <w:pPr>
                    <w:spacing w:line="320" w:lineRule="exact"/>
                    <w:rPr>
                      <w:bCs/>
                      <w:kern w:val="28"/>
                    </w:rPr>
                  </w:pPr>
                </w:p>
              </w:tc>
              <w:tc>
                <w:tcPr>
                  <w:tcW w:w="802"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rFonts w:hint="eastAsia"/>
                      <w:bCs/>
                      <w:kern w:val="28"/>
                    </w:rPr>
                    <w:t>3</w:t>
                  </w:r>
                  <w:r>
                    <w:rPr>
                      <w:bCs/>
                      <w:kern w:val="28"/>
                    </w:rPr>
                    <w:t>4</w:t>
                  </w:r>
                </w:p>
              </w:tc>
              <w:tc>
                <w:tcPr>
                  <w:tcW w:w="785"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35</w:t>
                  </w:r>
                </w:p>
              </w:tc>
              <w:tc>
                <w:tcPr>
                  <w:tcW w:w="548"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rFonts w:hint="eastAsia"/>
                      <w:bCs/>
                      <w:kern w:val="28"/>
                    </w:rPr>
                    <w:t>97.14</w:t>
                  </w:r>
                </w:p>
              </w:tc>
              <w:tc>
                <w:tcPr>
                  <w:tcW w:w="541"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w:t>
                  </w:r>
                </w:p>
              </w:tc>
              <w:tc>
                <w:tcPr>
                  <w:tcW w:w="587"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
                      <w:bCs/>
                      <w:kern w:val="28"/>
                    </w:rPr>
                  </w:pPr>
                  <w:r>
                    <w:rPr>
                      <w:bCs/>
                      <w:kern w:val="2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758"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CO</w:t>
                  </w:r>
                </w:p>
              </w:tc>
              <w:tc>
                <w:tcPr>
                  <w:tcW w:w="979"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日均浓度的第95百分位数</w:t>
                  </w:r>
                </w:p>
              </w:tc>
              <w:tc>
                <w:tcPr>
                  <w:tcW w:w="802"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rFonts w:hint="eastAsia"/>
                      <w:bCs/>
                      <w:kern w:val="28"/>
                    </w:rPr>
                    <w:t>1</w:t>
                  </w:r>
                  <w:r>
                    <w:rPr>
                      <w:bCs/>
                      <w:kern w:val="28"/>
                    </w:rPr>
                    <w:t>000</w:t>
                  </w:r>
                </w:p>
              </w:tc>
              <w:tc>
                <w:tcPr>
                  <w:tcW w:w="785"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4000</w:t>
                  </w:r>
                </w:p>
              </w:tc>
              <w:tc>
                <w:tcPr>
                  <w:tcW w:w="548"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rFonts w:hint="eastAsia"/>
                      <w:bCs/>
                      <w:kern w:val="28"/>
                    </w:rPr>
                    <w:t>25.00</w:t>
                  </w:r>
                </w:p>
              </w:tc>
              <w:tc>
                <w:tcPr>
                  <w:tcW w:w="541"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w:t>
                  </w:r>
                </w:p>
              </w:tc>
              <w:tc>
                <w:tcPr>
                  <w:tcW w:w="587"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758"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O</w:t>
                  </w:r>
                  <w:r>
                    <w:rPr>
                      <w:bCs/>
                      <w:kern w:val="28"/>
                      <w:vertAlign w:val="subscript"/>
                    </w:rPr>
                    <w:t>3</w:t>
                  </w:r>
                </w:p>
              </w:tc>
              <w:tc>
                <w:tcPr>
                  <w:tcW w:w="979"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日最大8h平均浓度的第90百分位数</w:t>
                  </w:r>
                </w:p>
              </w:tc>
              <w:tc>
                <w:tcPr>
                  <w:tcW w:w="802"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rFonts w:hint="eastAsia"/>
                      <w:bCs/>
                      <w:kern w:val="28"/>
                    </w:rPr>
                    <w:t>1</w:t>
                  </w:r>
                  <w:r>
                    <w:rPr>
                      <w:bCs/>
                      <w:kern w:val="28"/>
                    </w:rPr>
                    <w:t>49</w:t>
                  </w:r>
                </w:p>
              </w:tc>
              <w:tc>
                <w:tcPr>
                  <w:tcW w:w="785"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160</w:t>
                  </w:r>
                </w:p>
              </w:tc>
              <w:tc>
                <w:tcPr>
                  <w:tcW w:w="548"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rFonts w:hint="eastAsia"/>
                      <w:bCs/>
                      <w:kern w:val="28"/>
                    </w:rPr>
                    <w:t>93.13</w:t>
                  </w:r>
                </w:p>
              </w:tc>
              <w:tc>
                <w:tcPr>
                  <w:tcW w:w="541"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w:t>
                  </w:r>
                </w:p>
              </w:tc>
              <w:tc>
                <w:tcPr>
                  <w:tcW w:w="587" w:type="pct"/>
                  <w:tcBorders>
                    <w:top w:val="single" w:color="auto" w:sz="4" w:space="0"/>
                    <w:left w:val="single" w:color="auto" w:sz="4" w:space="0"/>
                    <w:bottom w:val="single" w:color="auto" w:sz="4" w:space="0"/>
                    <w:right w:val="single" w:color="auto" w:sz="4" w:space="0"/>
                  </w:tcBorders>
                  <w:vAlign w:val="center"/>
                </w:tcPr>
                <w:p>
                  <w:pPr>
                    <w:snapToGrid w:val="0"/>
                    <w:spacing w:line="320" w:lineRule="exact"/>
                    <w:jc w:val="center"/>
                    <w:rPr>
                      <w:bCs/>
                      <w:kern w:val="28"/>
                    </w:rPr>
                  </w:pPr>
                  <w:r>
                    <w:rPr>
                      <w:bCs/>
                      <w:kern w:val="28"/>
                    </w:rPr>
                    <w:t>达标</w:t>
                  </w:r>
                </w:p>
              </w:tc>
            </w:tr>
          </w:tbl>
          <w:p>
            <w:pPr>
              <w:pStyle w:val="82"/>
            </w:pPr>
            <w:r>
              <w:rPr>
                <w:bCs/>
              </w:rPr>
              <w:t>从上表可知，</w:t>
            </w:r>
            <w:r>
              <w:t>铜梁区环境空气质量中</w:t>
            </w:r>
            <w:r>
              <w:rPr>
                <w:rFonts w:hint="eastAsia"/>
              </w:rPr>
              <w:t>各个基本</w:t>
            </w:r>
            <w:r>
              <w:t>污染物均满足《环境空气质量标准》(GB3095-2012)二级标准要求，因此，拟建项目所在区域为环境空气质量达标区。</w:t>
            </w:r>
          </w:p>
          <w:p>
            <w:pPr>
              <w:pStyle w:val="82"/>
              <w:ind w:firstLine="482"/>
              <w:rPr>
                <w:b/>
                <w:bCs/>
                <w:kern w:val="0"/>
              </w:rPr>
            </w:pPr>
            <w:r>
              <w:rPr>
                <w:rFonts w:hint="eastAsia"/>
                <w:b/>
                <w:bCs/>
                <w:kern w:val="0"/>
              </w:rPr>
              <w:t>（2）其他污染物环境空气质量现状</w:t>
            </w:r>
          </w:p>
          <w:p>
            <w:pPr>
              <w:pStyle w:val="82"/>
            </w:pPr>
            <w:r>
              <w:t>拟建项目评价范围</w:t>
            </w:r>
            <w:r>
              <w:rPr>
                <w:rFonts w:hint="eastAsia"/>
              </w:rPr>
              <w:t>非甲烷总烃</w:t>
            </w:r>
            <w:r>
              <w:t>环境空气质量现状引用</w:t>
            </w:r>
            <w:r>
              <w:rPr>
                <w:rFonts w:hint="eastAsia"/>
              </w:rPr>
              <w:t>重庆开创环境监测有限公司出具的（开创环（检）字[2021]第HP217号）中大气监测数据，监测点位于拟建项目西北侧约</w:t>
            </w:r>
            <w:r>
              <w:t>4903m处；根据《建设项目环境影响报告表编制技术指南》（污染影响类）</w:t>
            </w:r>
            <w:r>
              <w:rPr>
                <w:rFonts w:hint="eastAsia"/>
              </w:rPr>
              <w:t>（试行），其监测数据监测时间在有效范围内，监测期间至今，区域内未入驻高污染企业，空气质量现状变化不大，具有代表性，引用监测资料有效。</w:t>
            </w:r>
          </w:p>
          <w:p>
            <w:pPr>
              <w:pStyle w:val="82"/>
            </w:pPr>
            <w:r>
              <w:rPr>
                <w:rFonts w:hint="eastAsia"/>
              </w:rPr>
              <w:t>①</w:t>
            </w:r>
            <w:r>
              <w:t>监测布点：</w:t>
            </w:r>
            <w:r>
              <w:rPr>
                <w:rFonts w:hint="eastAsia"/>
              </w:rPr>
              <w:t>Q</w:t>
            </w:r>
            <w:r>
              <w:t>-</w:t>
            </w:r>
            <w:r>
              <w:rPr>
                <w:rFonts w:hint="eastAsia"/>
              </w:rPr>
              <w:t>2</w:t>
            </w:r>
            <w:r>
              <w:t>—</w:t>
            </w:r>
            <w:r>
              <w:rPr>
                <w:rFonts w:hint="eastAsia"/>
                <w:bCs/>
              </w:rPr>
              <w:t>新店村</w:t>
            </w:r>
            <w:r>
              <w:rPr>
                <w:bCs/>
              </w:rPr>
              <w:t>下风向</w:t>
            </w:r>
            <w:r>
              <w:t xml:space="preserve">； </w:t>
            </w:r>
          </w:p>
          <w:p>
            <w:pPr>
              <w:pStyle w:val="82"/>
            </w:pPr>
            <w:r>
              <w:rPr>
                <w:rFonts w:hint="eastAsia"/>
              </w:rPr>
              <w:t>②</w:t>
            </w:r>
            <w:r>
              <w:t>监测因子：非甲烷总烃；</w:t>
            </w:r>
          </w:p>
          <w:p>
            <w:pPr>
              <w:pStyle w:val="82"/>
            </w:pPr>
            <w:r>
              <w:rPr>
                <w:rFonts w:hint="eastAsia"/>
              </w:rPr>
              <w:t>③</w:t>
            </w:r>
            <w:r>
              <w:t>监测时间与频率：2021年09月10日~2021年09月16日</w:t>
            </w:r>
            <w:r>
              <w:rPr>
                <w:rFonts w:hint="eastAsia"/>
              </w:rPr>
              <w:t>，</w:t>
            </w:r>
            <w:r>
              <w:t>连续监测7天</w:t>
            </w:r>
          </w:p>
          <w:p>
            <w:pPr>
              <w:pStyle w:val="82"/>
              <w:rPr>
                <w:b/>
                <w:bCs/>
                <w:kern w:val="0"/>
              </w:rPr>
            </w:pPr>
            <w:r>
              <w:t>根据《环境影响评价技术导则 大气环境》（HJ 2.2-2018），采用最大监测浓度占标率对评价区域大气环境质量现状进行评价，评价模式如下：</w:t>
            </w:r>
          </w:p>
          <w:p>
            <w:pPr>
              <w:pStyle w:val="82"/>
              <w:jc w:val="center"/>
              <w:rPr>
                <w:b/>
                <w:bCs/>
                <w:kern w:val="0"/>
              </w:rPr>
            </w:pPr>
            <w:r>
              <w:t>Pij=Cij/Csj×100%</w:t>
            </w:r>
          </w:p>
          <w:p>
            <w:pPr>
              <w:pStyle w:val="82"/>
            </w:pPr>
            <w:r>
              <w:t>式中：Pij——第i个现状监测点第j个污染因子的最大浓度占标率，其值在0～100%之间为满足标准，大于100%则为超标；</w:t>
            </w:r>
          </w:p>
          <w:p>
            <w:pPr>
              <w:pStyle w:val="82"/>
            </w:pPr>
            <w:r>
              <w:t xml:space="preserve">     Cij——第i现状监测点第污染因子j的实测浓度（mg/m</w:t>
            </w:r>
            <w:r>
              <w:rPr>
                <w:vertAlign w:val="superscript"/>
              </w:rPr>
              <w:t>3</w:t>
            </w:r>
            <w:r>
              <w:t>）；</w:t>
            </w:r>
          </w:p>
          <w:p>
            <w:pPr>
              <w:pStyle w:val="82"/>
              <w:rPr>
                <w:b/>
                <w:bCs/>
                <w:kern w:val="0"/>
              </w:rPr>
            </w:pPr>
            <w:r>
              <w:t xml:space="preserve">     Csj——污染因子j的环境质量标准（mg/m</w:t>
            </w:r>
            <w:r>
              <w:rPr>
                <w:vertAlign w:val="superscript"/>
              </w:rPr>
              <w:t>3</w:t>
            </w:r>
            <w:r>
              <w:t>）。</w:t>
            </w:r>
          </w:p>
          <w:p>
            <w:pPr>
              <w:pStyle w:val="83"/>
              <w:rPr>
                <w:vertAlign w:val="superscript"/>
              </w:rPr>
            </w:pPr>
            <w:r>
              <w:t>表3-2  评价范围环境空气质量监测结果  单位：mg/m</w:t>
            </w:r>
            <w:r>
              <w:rPr>
                <w:vertAlign w:val="superscript"/>
              </w:rPr>
              <w:t>3</w:t>
            </w:r>
          </w:p>
          <w:tbl>
            <w:tblPr>
              <w:tblStyle w:val="24"/>
              <w:tblW w:w="5000" w:type="pct"/>
              <w:jc w:val="center"/>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autofit"/>
              <w:tblCellMar>
                <w:top w:w="0" w:type="dxa"/>
                <w:left w:w="108" w:type="dxa"/>
                <w:bottom w:w="0" w:type="dxa"/>
                <w:right w:w="108" w:type="dxa"/>
              </w:tblCellMar>
            </w:tblPr>
            <w:tblGrid>
              <w:gridCol w:w="647"/>
              <w:gridCol w:w="1214"/>
              <w:gridCol w:w="1174"/>
              <w:gridCol w:w="706"/>
              <w:gridCol w:w="1289"/>
              <w:gridCol w:w="678"/>
              <w:gridCol w:w="1077"/>
              <w:gridCol w:w="678"/>
              <w:gridCol w:w="506"/>
            </w:tblGrid>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89" w:hRule="atLeast"/>
                <w:jc w:val="center"/>
              </w:trPr>
              <w:tc>
                <w:tcPr>
                  <w:tcW w:w="409" w:type="pct"/>
                  <w:vMerge w:val="restart"/>
                  <w:shd w:val="clear" w:color="auto" w:fill="auto"/>
                  <w:vAlign w:val="center"/>
                </w:tcPr>
                <w:p>
                  <w:pPr>
                    <w:pStyle w:val="52"/>
                  </w:pPr>
                  <w:r>
                    <w:t>监测</w:t>
                  </w:r>
                </w:p>
                <w:p>
                  <w:pPr>
                    <w:pStyle w:val="52"/>
                  </w:pPr>
                  <w:r>
                    <w:t>点位</w:t>
                  </w:r>
                </w:p>
              </w:tc>
              <w:tc>
                <w:tcPr>
                  <w:tcW w:w="1479" w:type="pct"/>
                  <w:gridSpan w:val="2"/>
                  <w:shd w:val="clear" w:color="auto" w:fill="auto"/>
                  <w:vAlign w:val="center"/>
                </w:tcPr>
                <w:p>
                  <w:pPr>
                    <w:pStyle w:val="52"/>
                  </w:pPr>
                  <w:r>
                    <w:t>监测点坐标（经纬度）</w:t>
                  </w:r>
                </w:p>
              </w:tc>
              <w:tc>
                <w:tcPr>
                  <w:tcW w:w="446" w:type="pct"/>
                  <w:vMerge w:val="restart"/>
                  <w:shd w:val="clear" w:color="auto" w:fill="auto"/>
                  <w:vAlign w:val="center"/>
                </w:tcPr>
                <w:p>
                  <w:pPr>
                    <w:pStyle w:val="52"/>
                  </w:pPr>
                  <w:r>
                    <w:t>相对厂址位置</w:t>
                  </w:r>
                </w:p>
              </w:tc>
              <w:tc>
                <w:tcPr>
                  <w:tcW w:w="812" w:type="pct"/>
                  <w:vMerge w:val="restart"/>
                  <w:shd w:val="clear" w:color="auto" w:fill="auto"/>
                  <w:vAlign w:val="center"/>
                </w:tcPr>
                <w:p>
                  <w:pPr>
                    <w:pStyle w:val="52"/>
                  </w:pPr>
                  <w:r>
                    <w:t>监测时间</w:t>
                  </w:r>
                </w:p>
              </w:tc>
              <w:tc>
                <w:tcPr>
                  <w:tcW w:w="428" w:type="pct"/>
                  <w:vMerge w:val="restart"/>
                  <w:shd w:val="clear" w:color="auto" w:fill="auto"/>
                  <w:vAlign w:val="center"/>
                </w:tcPr>
                <w:p>
                  <w:pPr>
                    <w:pStyle w:val="52"/>
                  </w:pPr>
                  <w:r>
                    <w:t>监测因子</w:t>
                  </w:r>
                </w:p>
              </w:tc>
              <w:tc>
                <w:tcPr>
                  <w:tcW w:w="678" w:type="pct"/>
                  <w:vMerge w:val="restart"/>
                  <w:shd w:val="clear" w:color="auto" w:fill="auto"/>
                  <w:vAlign w:val="center"/>
                </w:tcPr>
                <w:p>
                  <w:pPr>
                    <w:pStyle w:val="52"/>
                  </w:pPr>
                  <w:r>
                    <w:t>监测值范围</w:t>
                  </w:r>
                </w:p>
              </w:tc>
              <w:tc>
                <w:tcPr>
                  <w:tcW w:w="428" w:type="pct"/>
                  <w:vMerge w:val="restart"/>
                  <w:shd w:val="clear" w:color="auto" w:fill="auto"/>
                  <w:vAlign w:val="center"/>
                </w:tcPr>
                <w:p>
                  <w:pPr>
                    <w:pStyle w:val="52"/>
                  </w:pPr>
                  <w:r>
                    <w:t>最大占标率</w:t>
                  </w:r>
                  <w:r>
                    <w:rPr>
                      <w:rFonts w:hint="eastAsia"/>
                    </w:rPr>
                    <w:t>(</w:t>
                  </w:r>
                  <w:r>
                    <w:t>%</w:t>
                  </w:r>
                  <w:r>
                    <w:rPr>
                      <w:rFonts w:hint="eastAsia"/>
                    </w:rPr>
                    <w:t>)</w:t>
                  </w:r>
                </w:p>
              </w:tc>
              <w:tc>
                <w:tcPr>
                  <w:tcW w:w="320" w:type="pct"/>
                  <w:vMerge w:val="restart"/>
                  <w:shd w:val="clear" w:color="auto" w:fill="auto"/>
                  <w:vAlign w:val="center"/>
                </w:tcPr>
                <w:p>
                  <w:pPr>
                    <w:pStyle w:val="52"/>
                  </w:pPr>
                  <w:r>
                    <w:t>标准值</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409" w:type="pct"/>
                  <w:vMerge w:val="continue"/>
                  <w:shd w:val="clear" w:color="auto" w:fill="auto"/>
                  <w:vAlign w:val="center"/>
                </w:tcPr>
                <w:p>
                  <w:pPr>
                    <w:pStyle w:val="52"/>
                  </w:pPr>
                </w:p>
              </w:tc>
              <w:tc>
                <w:tcPr>
                  <w:tcW w:w="739" w:type="pct"/>
                  <w:shd w:val="clear" w:color="auto" w:fill="auto"/>
                  <w:vAlign w:val="center"/>
                </w:tcPr>
                <w:p>
                  <w:pPr>
                    <w:pStyle w:val="52"/>
                  </w:pPr>
                  <w:r>
                    <w:t>经度/°</w:t>
                  </w:r>
                </w:p>
              </w:tc>
              <w:tc>
                <w:tcPr>
                  <w:tcW w:w="740" w:type="pct"/>
                  <w:shd w:val="clear" w:color="auto" w:fill="auto"/>
                  <w:vAlign w:val="center"/>
                </w:tcPr>
                <w:p>
                  <w:pPr>
                    <w:pStyle w:val="52"/>
                  </w:pPr>
                  <w:r>
                    <w:t>纬度/°</w:t>
                  </w:r>
                </w:p>
              </w:tc>
              <w:tc>
                <w:tcPr>
                  <w:tcW w:w="446" w:type="pct"/>
                  <w:vMerge w:val="continue"/>
                  <w:shd w:val="clear" w:color="auto" w:fill="auto"/>
                  <w:vAlign w:val="center"/>
                </w:tcPr>
                <w:p>
                  <w:pPr>
                    <w:pStyle w:val="52"/>
                  </w:pPr>
                </w:p>
              </w:tc>
              <w:tc>
                <w:tcPr>
                  <w:tcW w:w="812" w:type="pct"/>
                  <w:vMerge w:val="continue"/>
                  <w:shd w:val="clear" w:color="auto" w:fill="auto"/>
                  <w:vAlign w:val="center"/>
                </w:tcPr>
                <w:p>
                  <w:pPr>
                    <w:pStyle w:val="52"/>
                  </w:pPr>
                </w:p>
              </w:tc>
              <w:tc>
                <w:tcPr>
                  <w:tcW w:w="428" w:type="pct"/>
                  <w:vMerge w:val="continue"/>
                  <w:shd w:val="clear" w:color="auto" w:fill="auto"/>
                  <w:vAlign w:val="center"/>
                </w:tcPr>
                <w:p>
                  <w:pPr>
                    <w:pStyle w:val="52"/>
                  </w:pPr>
                </w:p>
              </w:tc>
              <w:tc>
                <w:tcPr>
                  <w:tcW w:w="678" w:type="pct"/>
                  <w:vMerge w:val="continue"/>
                  <w:shd w:val="clear" w:color="auto" w:fill="auto"/>
                  <w:vAlign w:val="center"/>
                </w:tcPr>
                <w:p>
                  <w:pPr>
                    <w:pStyle w:val="52"/>
                  </w:pPr>
                </w:p>
              </w:tc>
              <w:tc>
                <w:tcPr>
                  <w:tcW w:w="428" w:type="pct"/>
                  <w:vMerge w:val="continue"/>
                  <w:shd w:val="clear" w:color="auto" w:fill="auto"/>
                  <w:vAlign w:val="center"/>
                </w:tcPr>
                <w:p>
                  <w:pPr>
                    <w:pStyle w:val="52"/>
                  </w:pPr>
                </w:p>
              </w:tc>
              <w:tc>
                <w:tcPr>
                  <w:tcW w:w="320" w:type="pct"/>
                  <w:vMerge w:val="continue"/>
                  <w:shd w:val="clear" w:color="auto" w:fill="auto"/>
                  <w:vAlign w:val="center"/>
                </w:tcPr>
                <w:p>
                  <w:pPr>
                    <w:pStyle w:val="52"/>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27" w:hRule="atLeast"/>
                <w:jc w:val="center"/>
              </w:trPr>
              <w:tc>
                <w:tcPr>
                  <w:tcW w:w="5000" w:type="pct"/>
                  <w:gridSpan w:val="9"/>
                  <w:shd w:val="clear" w:color="auto" w:fill="auto"/>
                  <w:vAlign w:val="center"/>
                </w:tcPr>
                <w:p>
                  <w:pPr>
                    <w:pStyle w:val="52"/>
                  </w:pPr>
                  <w:r>
                    <w:t>小时值</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09" w:hRule="atLeast"/>
                <w:jc w:val="center"/>
              </w:trPr>
              <w:tc>
                <w:tcPr>
                  <w:tcW w:w="409" w:type="pct"/>
                  <w:shd w:val="clear" w:color="auto" w:fill="auto"/>
                  <w:vAlign w:val="center"/>
                </w:tcPr>
                <w:p>
                  <w:pPr>
                    <w:pStyle w:val="52"/>
                  </w:pPr>
                  <w:r>
                    <w:rPr>
                      <w:rFonts w:hint="eastAsia"/>
                    </w:rPr>
                    <w:t>Q2</w:t>
                  </w:r>
                </w:p>
              </w:tc>
              <w:tc>
                <w:tcPr>
                  <w:tcW w:w="739" w:type="pct"/>
                  <w:shd w:val="clear" w:color="auto" w:fill="auto"/>
                  <w:vAlign w:val="center"/>
                </w:tcPr>
                <w:p>
                  <w:pPr>
                    <w:pStyle w:val="52"/>
                  </w:pPr>
                  <w:r>
                    <w:t>106.121426</w:t>
                  </w:r>
                </w:p>
              </w:tc>
              <w:tc>
                <w:tcPr>
                  <w:tcW w:w="740" w:type="pct"/>
                  <w:shd w:val="clear" w:color="auto" w:fill="auto"/>
                  <w:vAlign w:val="center"/>
                </w:tcPr>
                <w:p>
                  <w:pPr>
                    <w:pStyle w:val="52"/>
                  </w:pPr>
                  <w:r>
                    <w:t>29.836390</w:t>
                  </w:r>
                </w:p>
              </w:tc>
              <w:tc>
                <w:tcPr>
                  <w:tcW w:w="446" w:type="pct"/>
                  <w:shd w:val="clear" w:color="auto" w:fill="auto"/>
                  <w:vAlign w:val="center"/>
                </w:tcPr>
                <w:p>
                  <w:pPr>
                    <w:pStyle w:val="52"/>
                  </w:pPr>
                  <w:r>
                    <w:rPr>
                      <w:rFonts w:hint="eastAsia"/>
                    </w:rPr>
                    <w:t>SE</w:t>
                  </w:r>
                </w:p>
              </w:tc>
              <w:tc>
                <w:tcPr>
                  <w:tcW w:w="812" w:type="pct"/>
                  <w:shd w:val="clear" w:color="auto" w:fill="auto"/>
                  <w:vAlign w:val="center"/>
                </w:tcPr>
                <w:p>
                  <w:pPr>
                    <w:pStyle w:val="52"/>
                  </w:pPr>
                  <w:r>
                    <w:t>202</w:t>
                  </w:r>
                  <w:r>
                    <w:rPr>
                      <w:rFonts w:hint="eastAsia"/>
                    </w:rPr>
                    <w:t>1</w:t>
                  </w:r>
                  <w:r>
                    <w:t>.</w:t>
                  </w:r>
                  <w:r>
                    <w:rPr>
                      <w:rFonts w:hint="eastAsia"/>
                    </w:rPr>
                    <w:t>09</w:t>
                  </w:r>
                  <w:r>
                    <w:t>.</w:t>
                  </w:r>
                  <w:r>
                    <w:rPr>
                      <w:rFonts w:hint="eastAsia"/>
                    </w:rPr>
                    <w:t>10</w:t>
                  </w:r>
                </w:p>
                <w:p>
                  <w:pPr>
                    <w:pStyle w:val="52"/>
                  </w:pPr>
                  <w:r>
                    <w:t>~202</w:t>
                  </w:r>
                  <w:r>
                    <w:rPr>
                      <w:rFonts w:hint="eastAsia"/>
                    </w:rPr>
                    <w:t>1</w:t>
                  </w:r>
                  <w:r>
                    <w:t>.</w:t>
                  </w:r>
                  <w:r>
                    <w:rPr>
                      <w:rFonts w:hint="eastAsia"/>
                    </w:rPr>
                    <w:t>09</w:t>
                  </w:r>
                  <w:r>
                    <w:t>.</w:t>
                  </w:r>
                  <w:r>
                    <w:rPr>
                      <w:rFonts w:hint="eastAsia"/>
                    </w:rPr>
                    <w:t>16</w:t>
                  </w:r>
                </w:p>
              </w:tc>
              <w:tc>
                <w:tcPr>
                  <w:tcW w:w="428" w:type="pct"/>
                  <w:shd w:val="clear" w:color="auto" w:fill="auto"/>
                  <w:vAlign w:val="center"/>
                </w:tcPr>
                <w:p>
                  <w:pPr>
                    <w:pStyle w:val="52"/>
                  </w:pPr>
                  <w:r>
                    <w:t>非甲烷总烃</w:t>
                  </w:r>
                </w:p>
              </w:tc>
              <w:tc>
                <w:tcPr>
                  <w:tcW w:w="678" w:type="pct"/>
                  <w:shd w:val="clear" w:color="auto" w:fill="auto"/>
                  <w:vAlign w:val="center"/>
                </w:tcPr>
                <w:p>
                  <w:pPr>
                    <w:pStyle w:val="52"/>
                  </w:pPr>
                  <w:r>
                    <w:t>0.36~0.62</w:t>
                  </w:r>
                </w:p>
              </w:tc>
              <w:tc>
                <w:tcPr>
                  <w:tcW w:w="428" w:type="pct"/>
                  <w:shd w:val="clear" w:color="auto" w:fill="auto"/>
                  <w:vAlign w:val="center"/>
                </w:tcPr>
                <w:p>
                  <w:pPr>
                    <w:pStyle w:val="52"/>
                  </w:pPr>
                  <w:r>
                    <w:rPr>
                      <w:rFonts w:hint="eastAsia"/>
                    </w:rPr>
                    <w:t>31.0</w:t>
                  </w:r>
                </w:p>
              </w:tc>
              <w:tc>
                <w:tcPr>
                  <w:tcW w:w="320" w:type="pct"/>
                  <w:shd w:val="clear" w:color="auto" w:fill="auto"/>
                  <w:vAlign w:val="center"/>
                </w:tcPr>
                <w:p>
                  <w:pPr>
                    <w:pStyle w:val="52"/>
                  </w:pPr>
                  <w:r>
                    <w:t>2.0</w:t>
                  </w:r>
                </w:p>
              </w:tc>
            </w:tr>
          </w:tbl>
          <w:p>
            <w:pPr>
              <w:pStyle w:val="82"/>
            </w:pPr>
            <w:r>
              <w:t>由表3-2可知，非甲烷总烃监测值满足《环境空气质量 非甲烷总烃限值》（DB13/1577-2012）二级标准</w:t>
            </w:r>
            <w:r>
              <w:rPr>
                <w:rFonts w:hint="eastAsia"/>
              </w:rPr>
              <w:t>。</w:t>
            </w:r>
          </w:p>
          <w:p>
            <w:pPr>
              <w:pStyle w:val="82"/>
              <w:ind w:firstLine="482"/>
              <w:rPr>
                <w:b/>
                <w:bCs/>
                <w:kern w:val="0"/>
              </w:rPr>
            </w:pPr>
            <w:r>
              <w:rPr>
                <w:rFonts w:hint="eastAsia"/>
                <w:b/>
                <w:bCs/>
                <w:kern w:val="0"/>
              </w:rPr>
              <w:t>2、地表水环境质量现状</w:t>
            </w:r>
          </w:p>
          <w:p>
            <w:pPr>
              <w:pStyle w:val="82"/>
            </w:pPr>
            <w:r>
              <w:t>根据现场调查，项目污废水最终受纳水体为</w:t>
            </w:r>
            <w:r>
              <w:rPr>
                <w:rFonts w:hint="eastAsia"/>
              </w:rPr>
              <w:t>小安溪</w:t>
            </w:r>
            <w:r>
              <w:t>。</w:t>
            </w:r>
            <w:r>
              <w:rPr>
                <w:rFonts w:hint="eastAsia"/>
              </w:rPr>
              <w:t>根据《重庆市人民政府批转重庆市地表水环境功能类别调整方案的通知》(渝府发[2012]4号)，小安溪河铜梁河段为渔业用水，为Ⅲ类水域，执行《地表水环境质量标准》(GB3838-2002)Ⅲ类水域标准。</w:t>
            </w:r>
          </w:p>
          <w:p>
            <w:pPr>
              <w:pStyle w:val="82"/>
              <w:wordWrap w:val="0"/>
            </w:pPr>
            <w:r>
              <w:rPr>
                <w:rFonts w:hint="eastAsia"/>
              </w:rPr>
              <w:t>根据铜梁区生态环境局2023年6月7日在重庆市铜梁区人民政府网上公示的《2023年4月铜梁区水环境质量状况》（网址：https://www.cqstl.gov.cn/bm/qsthjj_71108/zwgk_70831/fdzdgknr_70834/jdjc/jdjc/202306/t20230607_12039927.html），小安溪双河口监测断面满足《地表水环境质量标准》（GB3838-2002）Ⅲ类水域标准要求，为水环境功能达标区。</w:t>
            </w:r>
          </w:p>
          <w:p>
            <w:pPr>
              <w:pStyle w:val="82"/>
              <w:wordWrap w:val="0"/>
              <w:rPr>
                <w:szCs w:val="26"/>
              </w:rPr>
            </w:pPr>
            <w:r>
              <w:rPr>
                <w:rFonts w:hint="eastAsia"/>
                <w:szCs w:val="26"/>
              </w:rPr>
              <w:t>因此，区域水环境质量较好，有一定环境容量。</w:t>
            </w:r>
          </w:p>
          <w:p>
            <w:pPr>
              <w:pStyle w:val="82"/>
              <w:ind w:firstLine="482"/>
              <w:rPr>
                <w:b/>
                <w:bCs/>
                <w:kern w:val="0"/>
              </w:rPr>
            </w:pPr>
            <w:r>
              <w:rPr>
                <w:rFonts w:hint="eastAsia"/>
                <w:b/>
                <w:bCs/>
                <w:kern w:val="0"/>
              </w:rPr>
              <w:t>3、声环境质量现状</w:t>
            </w:r>
          </w:p>
          <w:p>
            <w:pPr>
              <w:pStyle w:val="82"/>
            </w:pPr>
            <w:r>
              <w:t>项目厂界外50m范围内无声环境保护目标，根据《建设项目环境影响报告表技术指南（污染影响类）（试行）》，可不对保护目标声环境质量现状进行监测。</w:t>
            </w:r>
          </w:p>
          <w:p>
            <w:pPr>
              <w:pStyle w:val="82"/>
              <w:ind w:firstLine="482"/>
              <w:rPr>
                <w:b/>
                <w:bCs/>
              </w:rPr>
            </w:pPr>
            <w:r>
              <w:rPr>
                <w:rFonts w:hint="eastAsia"/>
                <w:b/>
                <w:bCs/>
              </w:rPr>
              <w:t>4、生态环境质量现状</w:t>
            </w:r>
          </w:p>
          <w:p>
            <w:pPr>
              <w:pStyle w:val="82"/>
            </w:pPr>
            <w:r>
              <w:t>拟建项目位于铜梁高新区</w:t>
            </w:r>
            <w:r>
              <w:rPr>
                <w:rFonts w:hint="eastAsia"/>
              </w:rPr>
              <w:t>蒲吕</w:t>
            </w:r>
            <w:r>
              <w:t>片区，项目</w:t>
            </w:r>
            <w:r>
              <w:rPr>
                <w:rFonts w:hint="eastAsia"/>
              </w:rPr>
              <w:t>无新增用地</w:t>
            </w:r>
            <w:r>
              <w:t>，用地范围内没有生态环境保护目标。因此不开展生态现状调查。</w:t>
            </w:r>
          </w:p>
          <w:p>
            <w:pPr>
              <w:pStyle w:val="82"/>
              <w:ind w:firstLine="482"/>
              <w:rPr>
                <w:b/>
                <w:bCs/>
              </w:rPr>
            </w:pPr>
            <w:r>
              <w:rPr>
                <w:b/>
                <w:bCs/>
              </w:rPr>
              <w:t>5</w:t>
            </w:r>
            <w:r>
              <w:rPr>
                <w:rFonts w:hint="eastAsia"/>
                <w:b/>
                <w:bCs/>
              </w:rPr>
              <w:t>、地下水、土壤质量现状</w:t>
            </w:r>
          </w:p>
          <w:p>
            <w:pPr>
              <w:pStyle w:val="82"/>
              <w:rPr>
                <w:b/>
                <w:bCs/>
                <w:kern w:val="0"/>
              </w:rPr>
            </w:pPr>
            <w:r>
              <w:rPr>
                <w:rFonts w:hint="eastAsia"/>
              </w:rPr>
              <w:t>根据</w:t>
            </w:r>
            <w:r>
              <w:t>《</w:t>
            </w:r>
            <w:r>
              <w:rPr>
                <w:rFonts w:hint="eastAsia"/>
              </w:rPr>
              <w:t>建设项目环境影响报告表编制技术指南</w:t>
            </w:r>
            <w:r>
              <w:t>》</w:t>
            </w:r>
            <w:r>
              <w:rPr>
                <w:rFonts w:hint="eastAsia"/>
              </w:rPr>
              <w:t>（污染影响类）（试行），原则上</w:t>
            </w:r>
            <w:r>
              <w:t>不开展</w:t>
            </w:r>
            <w:r>
              <w:rPr>
                <w:rFonts w:hint="eastAsia"/>
              </w:rPr>
              <w:t>地下水、土壤</w:t>
            </w:r>
            <w:r>
              <w:t>环境质量现状调查</w:t>
            </w:r>
            <w:r>
              <w:rPr>
                <w:rFonts w:hint="eastAsia"/>
              </w:rPr>
              <w:t>。</w:t>
            </w:r>
            <w:r>
              <w:t>项目</w:t>
            </w:r>
            <w:r>
              <w:rPr>
                <w:rFonts w:hint="eastAsia"/>
              </w:rPr>
              <w:t>建成</w:t>
            </w:r>
            <w:r>
              <w:t>后，</w:t>
            </w:r>
            <w:r>
              <w:rPr>
                <w:rFonts w:hint="eastAsia"/>
              </w:rPr>
              <w:t>油料库房、备件房、危废暂存间等区域划为重点防渗区，严格落实</w:t>
            </w:r>
            <w:r>
              <w:t>地下水及土壤</w:t>
            </w:r>
            <w:r>
              <w:rPr>
                <w:rFonts w:hint="eastAsia"/>
              </w:rPr>
              <w:t>污染防治措施要求。</w:t>
            </w:r>
            <w:r>
              <w:t>因此，项目无污染土壤及地下水环境影响途径，</w:t>
            </w:r>
            <w:r>
              <w:rPr>
                <w:rFonts w:hint="eastAsia"/>
              </w:rPr>
              <w:t>可</w:t>
            </w:r>
            <w:r>
              <w:t>不开展地下水及土壤现状调查。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00" w:type="dxa"/>
            <w:vAlign w:val="center"/>
          </w:tcPr>
          <w:p>
            <w:pPr>
              <w:adjustRightInd w:val="0"/>
              <w:snapToGrid w:val="0"/>
              <w:jc w:val="center"/>
              <w:rPr>
                <w:kern w:val="0"/>
              </w:rPr>
            </w:pPr>
            <w:r>
              <w:rPr>
                <w:kern w:val="0"/>
              </w:rPr>
              <w:t>环境</w:t>
            </w:r>
          </w:p>
          <w:p>
            <w:pPr>
              <w:adjustRightInd w:val="0"/>
              <w:snapToGrid w:val="0"/>
              <w:jc w:val="center"/>
              <w:rPr>
                <w:kern w:val="0"/>
              </w:rPr>
            </w:pPr>
            <w:r>
              <w:rPr>
                <w:kern w:val="0"/>
              </w:rPr>
              <w:t>保护</w:t>
            </w:r>
          </w:p>
          <w:p>
            <w:pPr>
              <w:adjustRightInd w:val="0"/>
              <w:snapToGrid w:val="0"/>
              <w:jc w:val="center"/>
              <w:rPr>
                <w:kern w:val="0"/>
              </w:rPr>
            </w:pPr>
            <w:r>
              <w:rPr>
                <w:kern w:val="0"/>
              </w:rPr>
              <w:t>目标</w:t>
            </w:r>
          </w:p>
        </w:tc>
        <w:tc>
          <w:tcPr>
            <w:tcW w:w="8190" w:type="dxa"/>
            <w:vAlign w:val="center"/>
          </w:tcPr>
          <w:p>
            <w:pPr>
              <w:pStyle w:val="82"/>
              <w:ind w:firstLine="482"/>
              <w:rPr>
                <w:b/>
                <w:bCs/>
              </w:rPr>
            </w:pPr>
            <w:r>
              <w:rPr>
                <w:b/>
                <w:bCs/>
              </w:rPr>
              <w:t>1、大气环境</w:t>
            </w:r>
          </w:p>
          <w:p>
            <w:pPr>
              <w:pStyle w:val="82"/>
              <w:rPr>
                <w:sz w:val="21"/>
              </w:rPr>
            </w:pPr>
            <w:r>
              <w:t>本项目厂界外5</w:t>
            </w:r>
            <w:r>
              <w:rPr>
                <w:rFonts w:hint="eastAsia"/>
              </w:rPr>
              <w:t>0</w:t>
            </w:r>
            <w:r>
              <w:t>0m范围内</w:t>
            </w:r>
            <w:r>
              <w:rPr>
                <w:rFonts w:hint="eastAsia"/>
              </w:rPr>
              <w:t>均为生产企业或空地，</w:t>
            </w:r>
            <w:r>
              <w:t>无</w:t>
            </w:r>
            <w:r>
              <w:rPr>
                <w:rFonts w:hint="eastAsia"/>
              </w:rPr>
              <w:t>环境空气</w:t>
            </w:r>
            <w:r>
              <w:t>保护目标。</w:t>
            </w:r>
          </w:p>
          <w:p>
            <w:pPr>
              <w:pStyle w:val="82"/>
              <w:ind w:firstLine="482"/>
              <w:rPr>
                <w:b/>
                <w:bCs/>
              </w:rPr>
            </w:pPr>
            <w:r>
              <w:rPr>
                <w:b/>
                <w:bCs/>
              </w:rPr>
              <w:t>2、声环境</w:t>
            </w:r>
          </w:p>
          <w:p>
            <w:pPr>
              <w:pStyle w:val="82"/>
            </w:pPr>
            <w:r>
              <w:t>本项目厂界外50m范围内无声环境保护目标。</w:t>
            </w:r>
          </w:p>
          <w:p>
            <w:pPr>
              <w:pStyle w:val="82"/>
              <w:ind w:firstLine="482"/>
              <w:rPr>
                <w:b/>
                <w:bCs/>
              </w:rPr>
            </w:pPr>
            <w:r>
              <w:rPr>
                <w:b/>
                <w:bCs/>
              </w:rPr>
              <w:t>3、地下水环境</w:t>
            </w:r>
          </w:p>
          <w:p>
            <w:pPr>
              <w:pStyle w:val="82"/>
            </w:pPr>
            <w:r>
              <w:t>本项目厂界外500m范围内无地下水集中式饮用水水源和热水、矿泉水、温泉等特殊地下水资源。</w:t>
            </w:r>
          </w:p>
          <w:p>
            <w:pPr>
              <w:pStyle w:val="82"/>
              <w:ind w:firstLine="482"/>
              <w:rPr>
                <w:b/>
                <w:bCs/>
              </w:rPr>
            </w:pPr>
            <w:r>
              <w:rPr>
                <w:b/>
                <w:bCs/>
              </w:rPr>
              <w:t>4、生态环境</w:t>
            </w:r>
          </w:p>
          <w:p>
            <w:pPr>
              <w:pStyle w:val="82"/>
              <w:rPr>
                <w:kern w:val="0"/>
              </w:rPr>
            </w:pPr>
            <w:r>
              <w:t>本项目位于铜梁高新区</w:t>
            </w:r>
            <w:r>
              <w:rPr>
                <w:rFonts w:hint="eastAsia"/>
              </w:rPr>
              <w:t>蒲吕</w:t>
            </w:r>
            <w:r>
              <w:t>片区，不新增工业用地，因此无需调查新增用地的生态环境保护目标。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23" w:hRule="atLeast"/>
          <w:jc w:val="center"/>
        </w:trPr>
        <w:tc>
          <w:tcPr>
            <w:tcW w:w="800" w:type="dxa"/>
            <w:tcMar>
              <w:left w:w="28" w:type="dxa"/>
              <w:right w:w="28" w:type="dxa"/>
            </w:tcMar>
            <w:vAlign w:val="center"/>
          </w:tcPr>
          <w:p>
            <w:pPr>
              <w:adjustRightInd w:val="0"/>
              <w:snapToGrid w:val="0"/>
              <w:jc w:val="center"/>
              <w:rPr>
                <w:kern w:val="0"/>
              </w:rPr>
            </w:pPr>
            <w:r>
              <w:rPr>
                <w:kern w:val="0"/>
              </w:rPr>
              <w:t>污染</w:t>
            </w:r>
          </w:p>
          <w:p>
            <w:pPr>
              <w:adjustRightInd w:val="0"/>
              <w:snapToGrid w:val="0"/>
              <w:jc w:val="center"/>
              <w:rPr>
                <w:kern w:val="0"/>
              </w:rPr>
            </w:pPr>
            <w:r>
              <w:rPr>
                <w:kern w:val="0"/>
              </w:rPr>
              <w:t>物排</w:t>
            </w:r>
          </w:p>
          <w:p>
            <w:pPr>
              <w:adjustRightInd w:val="0"/>
              <w:snapToGrid w:val="0"/>
              <w:jc w:val="center"/>
              <w:rPr>
                <w:kern w:val="0"/>
              </w:rPr>
            </w:pPr>
            <w:r>
              <w:rPr>
                <w:kern w:val="0"/>
              </w:rPr>
              <w:t>放控</w:t>
            </w:r>
          </w:p>
          <w:p>
            <w:pPr>
              <w:adjustRightInd w:val="0"/>
              <w:snapToGrid w:val="0"/>
              <w:jc w:val="center"/>
              <w:rPr>
                <w:kern w:val="0"/>
              </w:rPr>
            </w:pPr>
            <w:r>
              <w:rPr>
                <w:kern w:val="0"/>
              </w:rPr>
              <w:t>制标</w:t>
            </w:r>
          </w:p>
          <w:p>
            <w:pPr>
              <w:adjustRightInd w:val="0"/>
              <w:snapToGrid w:val="0"/>
              <w:jc w:val="center"/>
              <w:rPr>
                <w:kern w:val="0"/>
              </w:rPr>
            </w:pPr>
            <w:r>
              <w:rPr>
                <w:kern w:val="0"/>
              </w:rPr>
              <w:t>准</w:t>
            </w:r>
          </w:p>
        </w:tc>
        <w:tc>
          <w:tcPr>
            <w:tcW w:w="8190" w:type="dxa"/>
            <w:vAlign w:val="center"/>
          </w:tcPr>
          <w:p>
            <w:pPr>
              <w:pStyle w:val="82"/>
              <w:ind w:firstLine="482"/>
              <w:rPr>
                <w:b/>
                <w:bCs/>
              </w:rPr>
            </w:pPr>
            <w:r>
              <w:rPr>
                <w:rFonts w:hint="eastAsia"/>
                <w:b/>
                <w:bCs/>
              </w:rPr>
              <w:t>1、废水</w:t>
            </w:r>
          </w:p>
          <w:p>
            <w:pPr>
              <w:pStyle w:val="82"/>
            </w:pPr>
            <w:r>
              <w:rPr>
                <w:rFonts w:hint="eastAsia"/>
              </w:rPr>
              <w:t>项目无生产废水产生，项目生活污水经重庆绅鹏商业运营管理有限公司生化池预处理达《污水综合排放标准》（GB8978-1996）三级标准排入园区污水管网，进入蒲吕污水处理厂进一步处理至《城镇污水处理厂污染物排放标准》（GB18918-2002）一级A标准后排入小安溪。排放标准见下表。</w:t>
            </w:r>
          </w:p>
          <w:p>
            <w:pPr>
              <w:pStyle w:val="83"/>
            </w:pPr>
            <w:r>
              <w:t>表3-3  污水排放标准一览表   单位：pH无量纲 其它(mg/L)</w:t>
            </w:r>
          </w:p>
          <w:tbl>
            <w:tblPr>
              <w:tblStyle w:val="24"/>
              <w:tblW w:w="5000" w:type="pct"/>
              <w:jc w:val="center"/>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autofit"/>
              <w:tblCellMar>
                <w:top w:w="28" w:type="dxa"/>
                <w:left w:w="28" w:type="dxa"/>
                <w:bottom w:w="28" w:type="dxa"/>
                <w:right w:w="28" w:type="dxa"/>
              </w:tblCellMar>
            </w:tblPr>
            <w:tblGrid>
              <w:gridCol w:w="728"/>
              <w:gridCol w:w="2169"/>
              <w:gridCol w:w="2258"/>
              <w:gridCol w:w="2814"/>
            </w:tblGrid>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28" w:type="dxa"/>
                  <w:left w:w="28" w:type="dxa"/>
                  <w:bottom w:w="28" w:type="dxa"/>
                  <w:right w:w="28" w:type="dxa"/>
                </w:tblCellMar>
              </w:tblPrEx>
              <w:trPr>
                <w:trHeight w:val="283" w:hRule="atLeast"/>
                <w:tblHeader/>
                <w:jc w:val="center"/>
              </w:trPr>
              <w:tc>
                <w:tcPr>
                  <w:tcW w:w="457" w:type="pct"/>
                  <w:vMerge w:val="restart"/>
                  <w:vAlign w:val="center"/>
                </w:tcPr>
                <w:p>
                  <w:pPr>
                    <w:pStyle w:val="52"/>
                    <w:rPr>
                      <w:b/>
                      <w:bCs/>
                    </w:rPr>
                  </w:pPr>
                  <w:r>
                    <w:rPr>
                      <w:b/>
                      <w:bCs/>
                    </w:rPr>
                    <w:t>序号</w:t>
                  </w:r>
                </w:p>
              </w:tc>
              <w:tc>
                <w:tcPr>
                  <w:tcW w:w="1361" w:type="pct"/>
                  <w:vMerge w:val="restart"/>
                  <w:vAlign w:val="center"/>
                </w:tcPr>
                <w:p>
                  <w:pPr>
                    <w:pStyle w:val="52"/>
                    <w:rPr>
                      <w:b/>
                      <w:bCs/>
                    </w:rPr>
                  </w:pPr>
                  <w:r>
                    <w:rPr>
                      <w:b/>
                      <w:bCs/>
                    </w:rPr>
                    <w:t>污染物</w:t>
                  </w:r>
                </w:p>
              </w:tc>
              <w:tc>
                <w:tcPr>
                  <w:tcW w:w="1417" w:type="pct"/>
                  <w:vAlign w:val="center"/>
                </w:tcPr>
                <w:p>
                  <w:pPr>
                    <w:pStyle w:val="52"/>
                    <w:rPr>
                      <w:b/>
                      <w:bCs/>
                    </w:rPr>
                  </w:pPr>
                  <w:r>
                    <w:rPr>
                      <w:b/>
                      <w:bCs/>
                    </w:rPr>
                    <w:t>接管标准</w:t>
                  </w:r>
                </w:p>
              </w:tc>
              <w:tc>
                <w:tcPr>
                  <w:tcW w:w="1765" w:type="pct"/>
                  <w:tcBorders>
                    <w:right w:val="single" w:color="auto" w:sz="4" w:space="0"/>
                  </w:tcBorders>
                  <w:vAlign w:val="center"/>
                </w:tcPr>
                <w:p>
                  <w:pPr>
                    <w:pStyle w:val="52"/>
                    <w:rPr>
                      <w:b/>
                      <w:bCs/>
                    </w:rPr>
                  </w:pPr>
                  <w:r>
                    <w:rPr>
                      <w:rFonts w:hint="eastAsia"/>
                      <w:b/>
                      <w:bCs/>
                    </w:rPr>
                    <w:t>蒲吕污水处理厂</w:t>
                  </w:r>
                  <w:r>
                    <w:rPr>
                      <w:b/>
                      <w:bCs/>
                    </w:rPr>
                    <w:t>出水标准</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28" w:type="dxa"/>
                  <w:left w:w="28" w:type="dxa"/>
                  <w:bottom w:w="28" w:type="dxa"/>
                  <w:right w:w="28" w:type="dxa"/>
                </w:tblCellMar>
              </w:tblPrEx>
              <w:trPr>
                <w:trHeight w:val="283" w:hRule="atLeast"/>
                <w:tblHeader/>
                <w:jc w:val="center"/>
              </w:trPr>
              <w:tc>
                <w:tcPr>
                  <w:tcW w:w="457" w:type="pct"/>
                  <w:vMerge w:val="continue"/>
                  <w:vAlign w:val="center"/>
                </w:tcPr>
                <w:p>
                  <w:pPr>
                    <w:pStyle w:val="52"/>
                    <w:rPr>
                      <w:b/>
                      <w:bCs/>
                    </w:rPr>
                  </w:pPr>
                </w:p>
              </w:tc>
              <w:tc>
                <w:tcPr>
                  <w:tcW w:w="1361" w:type="pct"/>
                  <w:vMerge w:val="continue"/>
                  <w:vAlign w:val="center"/>
                </w:tcPr>
                <w:p>
                  <w:pPr>
                    <w:pStyle w:val="52"/>
                    <w:rPr>
                      <w:b/>
                      <w:bCs/>
                    </w:rPr>
                  </w:pPr>
                </w:p>
              </w:tc>
              <w:tc>
                <w:tcPr>
                  <w:tcW w:w="1417" w:type="pct"/>
                  <w:vAlign w:val="center"/>
                </w:tcPr>
                <w:p>
                  <w:pPr>
                    <w:pStyle w:val="52"/>
                    <w:rPr>
                      <w:b/>
                      <w:bCs/>
                    </w:rPr>
                  </w:pPr>
                  <w:r>
                    <w:rPr>
                      <w:b/>
                      <w:bCs/>
                    </w:rPr>
                    <w:t>《污水综合排放标准》（GB8978-1996）三级标准</w:t>
                  </w:r>
                </w:p>
              </w:tc>
              <w:tc>
                <w:tcPr>
                  <w:tcW w:w="1765" w:type="pct"/>
                  <w:tcBorders>
                    <w:right w:val="single" w:color="auto" w:sz="4" w:space="0"/>
                  </w:tcBorders>
                  <w:vAlign w:val="center"/>
                </w:tcPr>
                <w:p>
                  <w:pPr>
                    <w:pStyle w:val="52"/>
                    <w:rPr>
                      <w:b/>
                      <w:bCs/>
                    </w:rPr>
                  </w:pPr>
                  <w:r>
                    <w:rPr>
                      <w:b/>
                      <w:bCs/>
                    </w:rPr>
                    <w:t>《城镇污水处理厂污染物排放标准》（GB18918-2002）一级</w:t>
                  </w:r>
                  <w:r>
                    <w:rPr>
                      <w:rFonts w:hint="eastAsia"/>
                      <w:b/>
                      <w:bCs/>
                    </w:rPr>
                    <w:t>A</w:t>
                  </w:r>
                  <w:r>
                    <w:rPr>
                      <w:b/>
                      <w:bCs/>
                    </w:rPr>
                    <w:t>标准</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28" w:type="dxa"/>
                  <w:left w:w="28" w:type="dxa"/>
                  <w:bottom w:w="28" w:type="dxa"/>
                  <w:right w:w="28" w:type="dxa"/>
                </w:tblCellMar>
              </w:tblPrEx>
              <w:trPr>
                <w:trHeight w:val="283" w:hRule="atLeast"/>
                <w:jc w:val="center"/>
              </w:trPr>
              <w:tc>
                <w:tcPr>
                  <w:tcW w:w="457" w:type="pct"/>
                  <w:vAlign w:val="center"/>
                </w:tcPr>
                <w:p>
                  <w:pPr>
                    <w:pStyle w:val="52"/>
                  </w:pPr>
                  <w:r>
                    <w:t>1</w:t>
                  </w:r>
                </w:p>
              </w:tc>
              <w:tc>
                <w:tcPr>
                  <w:tcW w:w="1361" w:type="pct"/>
                  <w:vAlign w:val="center"/>
                </w:tcPr>
                <w:p>
                  <w:pPr>
                    <w:pStyle w:val="52"/>
                  </w:pPr>
                  <w:r>
                    <w:t>pH（无量纲）</w:t>
                  </w:r>
                </w:p>
              </w:tc>
              <w:tc>
                <w:tcPr>
                  <w:tcW w:w="1417" w:type="pct"/>
                  <w:vAlign w:val="center"/>
                </w:tcPr>
                <w:p>
                  <w:pPr>
                    <w:pStyle w:val="52"/>
                  </w:pPr>
                  <w:r>
                    <w:t>6～9</w:t>
                  </w:r>
                </w:p>
              </w:tc>
              <w:tc>
                <w:tcPr>
                  <w:tcW w:w="1765" w:type="pct"/>
                  <w:tcBorders>
                    <w:right w:val="single" w:color="auto" w:sz="4" w:space="0"/>
                  </w:tcBorders>
                  <w:vAlign w:val="center"/>
                </w:tcPr>
                <w:p>
                  <w:pPr>
                    <w:pStyle w:val="52"/>
                  </w:pPr>
                  <w:r>
                    <w:t>6～9</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28" w:type="dxa"/>
                  <w:left w:w="28" w:type="dxa"/>
                  <w:bottom w:w="28" w:type="dxa"/>
                  <w:right w:w="28" w:type="dxa"/>
                </w:tblCellMar>
              </w:tblPrEx>
              <w:trPr>
                <w:trHeight w:val="283" w:hRule="atLeast"/>
                <w:jc w:val="center"/>
              </w:trPr>
              <w:tc>
                <w:tcPr>
                  <w:tcW w:w="457" w:type="pct"/>
                  <w:vAlign w:val="center"/>
                </w:tcPr>
                <w:p>
                  <w:pPr>
                    <w:pStyle w:val="52"/>
                  </w:pPr>
                  <w:r>
                    <w:t>2</w:t>
                  </w:r>
                </w:p>
              </w:tc>
              <w:tc>
                <w:tcPr>
                  <w:tcW w:w="1361" w:type="pct"/>
                  <w:vAlign w:val="center"/>
                </w:tcPr>
                <w:p>
                  <w:pPr>
                    <w:pStyle w:val="52"/>
                  </w:pPr>
                  <w:r>
                    <w:t>SS</w:t>
                  </w:r>
                </w:p>
              </w:tc>
              <w:tc>
                <w:tcPr>
                  <w:tcW w:w="1417" w:type="pct"/>
                  <w:vAlign w:val="center"/>
                </w:tcPr>
                <w:p>
                  <w:pPr>
                    <w:pStyle w:val="52"/>
                  </w:pPr>
                  <w:r>
                    <w:t>400</w:t>
                  </w:r>
                </w:p>
              </w:tc>
              <w:tc>
                <w:tcPr>
                  <w:tcW w:w="1765" w:type="pct"/>
                  <w:tcBorders>
                    <w:right w:val="single" w:color="auto" w:sz="4" w:space="0"/>
                  </w:tcBorders>
                  <w:vAlign w:val="center"/>
                </w:tcPr>
                <w:p>
                  <w:pPr>
                    <w:pStyle w:val="52"/>
                  </w:pPr>
                  <w:r>
                    <w:t>10</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28" w:type="dxa"/>
                  <w:left w:w="28" w:type="dxa"/>
                  <w:bottom w:w="28" w:type="dxa"/>
                  <w:right w:w="28" w:type="dxa"/>
                </w:tblCellMar>
              </w:tblPrEx>
              <w:trPr>
                <w:trHeight w:val="283" w:hRule="atLeast"/>
                <w:jc w:val="center"/>
              </w:trPr>
              <w:tc>
                <w:tcPr>
                  <w:tcW w:w="457" w:type="pct"/>
                  <w:vAlign w:val="center"/>
                </w:tcPr>
                <w:p>
                  <w:pPr>
                    <w:pStyle w:val="52"/>
                  </w:pPr>
                  <w:r>
                    <w:t>3</w:t>
                  </w:r>
                </w:p>
              </w:tc>
              <w:tc>
                <w:tcPr>
                  <w:tcW w:w="1361" w:type="pct"/>
                  <w:vAlign w:val="center"/>
                </w:tcPr>
                <w:p>
                  <w:pPr>
                    <w:pStyle w:val="52"/>
                  </w:pPr>
                  <w:r>
                    <w:t>COD</w:t>
                  </w:r>
                </w:p>
              </w:tc>
              <w:tc>
                <w:tcPr>
                  <w:tcW w:w="1417" w:type="pct"/>
                  <w:vAlign w:val="center"/>
                </w:tcPr>
                <w:p>
                  <w:pPr>
                    <w:pStyle w:val="52"/>
                  </w:pPr>
                  <w:r>
                    <w:t>500</w:t>
                  </w:r>
                </w:p>
              </w:tc>
              <w:tc>
                <w:tcPr>
                  <w:tcW w:w="1765" w:type="pct"/>
                  <w:tcBorders>
                    <w:right w:val="single" w:color="auto" w:sz="4" w:space="0"/>
                  </w:tcBorders>
                  <w:vAlign w:val="center"/>
                </w:tcPr>
                <w:p>
                  <w:pPr>
                    <w:pStyle w:val="52"/>
                  </w:pPr>
                  <w:r>
                    <w:t>50</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28" w:type="dxa"/>
                  <w:left w:w="28" w:type="dxa"/>
                  <w:bottom w:w="28" w:type="dxa"/>
                  <w:right w:w="28" w:type="dxa"/>
                </w:tblCellMar>
              </w:tblPrEx>
              <w:trPr>
                <w:trHeight w:val="283" w:hRule="atLeast"/>
                <w:jc w:val="center"/>
              </w:trPr>
              <w:tc>
                <w:tcPr>
                  <w:tcW w:w="457" w:type="pct"/>
                  <w:vAlign w:val="center"/>
                </w:tcPr>
                <w:p>
                  <w:pPr>
                    <w:pStyle w:val="52"/>
                  </w:pPr>
                  <w:r>
                    <w:t>4</w:t>
                  </w:r>
                </w:p>
              </w:tc>
              <w:tc>
                <w:tcPr>
                  <w:tcW w:w="1361" w:type="pct"/>
                  <w:vAlign w:val="center"/>
                </w:tcPr>
                <w:p>
                  <w:pPr>
                    <w:pStyle w:val="52"/>
                  </w:pPr>
                  <w:r>
                    <w:t>BOD</w:t>
                  </w:r>
                  <w:r>
                    <w:rPr>
                      <w:vertAlign w:val="subscript"/>
                    </w:rPr>
                    <w:t>5</w:t>
                  </w:r>
                </w:p>
              </w:tc>
              <w:tc>
                <w:tcPr>
                  <w:tcW w:w="1417" w:type="pct"/>
                  <w:vAlign w:val="center"/>
                </w:tcPr>
                <w:p>
                  <w:pPr>
                    <w:pStyle w:val="52"/>
                  </w:pPr>
                  <w:r>
                    <w:t>300</w:t>
                  </w:r>
                </w:p>
              </w:tc>
              <w:tc>
                <w:tcPr>
                  <w:tcW w:w="1765" w:type="pct"/>
                  <w:tcBorders>
                    <w:right w:val="single" w:color="auto" w:sz="4" w:space="0"/>
                  </w:tcBorders>
                  <w:vAlign w:val="center"/>
                </w:tcPr>
                <w:p>
                  <w:pPr>
                    <w:pStyle w:val="52"/>
                  </w:pPr>
                  <w:r>
                    <w:t>0</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28" w:type="dxa"/>
                  <w:left w:w="28" w:type="dxa"/>
                  <w:bottom w:w="28" w:type="dxa"/>
                  <w:right w:w="28" w:type="dxa"/>
                </w:tblCellMar>
              </w:tblPrEx>
              <w:trPr>
                <w:trHeight w:val="283" w:hRule="atLeast"/>
                <w:jc w:val="center"/>
              </w:trPr>
              <w:tc>
                <w:tcPr>
                  <w:tcW w:w="457" w:type="pct"/>
                  <w:vAlign w:val="center"/>
                </w:tcPr>
                <w:p>
                  <w:pPr>
                    <w:pStyle w:val="52"/>
                  </w:pPr>
                  <w:r>
                    <w:t>5</w:t>
                  </w:r>
                </w:p>
              </w:tc>
              <w:tc>
                <w:tcPr>
                  <w:tcW w:w="1361" w:type="pct"/>
                  <w:vAlign w:val="center"/>
                </w:tcPr>
                <w:p>
                  <w:pPr>
                    <w:pStyle w:val="52"/>
                  </w:pPr>
                  <w:r>
                    <w:t>NH</w:t>
                  </w:r>
                  <w:r>
                    <w:rPr>
                      <w:vertAlign w:val="subscript"/>
                    </w:rPr>
                    <w:t>3</w:t>
                  </w:r>
                  <w:r>
                    <w:t>-N</w:t>
                  </w:r>
                </w:p>
              </w:tc>
              <w:tc>
                <w:tcPr>
                  <w:tcW w:w="1417" w:type="pct"/>
                  <w:vAlign w:val="center"/>
                </w:tcPr>
                <w:p>
                  <w:pPr>
                    <w:pStyle w:val="52"/>
                  </w:pPr>
                  <w:r>
                    <w:t>45</w:t>
                  </w:r>
                  <w:r>
                    <w:rPr>
                      <w:rFonts w:hint="eastAsia"/>
                      <w:vertAlign w:val="superscript"/>
                    </w:rPr>
                    <w:t>②</w:t>
                  </w:r>
                </w:p>
              </w:tc>
              <w:tc>
                <w:tcPr>
                  <w:tcW w:w="1765" w:type="pct"/>
                  <w:tcBorders>
                    <w:right w:val="single" w:color="auto" w:sz="4" w:space="0"/>
                  </w:tcBorders>
                  <w:vAlign w:val="center"/>
                </w:tcPr>
                <w:p>
                  <w:pPr>
                    <w:pStyle w:val="52"/>
                  </w:pPr>
                  <w:r>
                    <w:t>5（8）</w:t>
                  </w:r>
                  <w:r>
                    <w:rPr>
                      <w:rFonts w:hint="eastAsia"/>
                      <w:vertAlign w:val="superscript"/>
                    </w:rPr>
                    <w:t>①</w:t>
                  </w:r>
                </w:p>
              </w:tc>
            </w:tr>
          </w:tbl>
          <w:p>
            <w:pPr>
              <w:pStyle w:val="85"/>
              <w:ind w:firstLine="420"/>
              <w:rPr>
                <w:b/>
                <w:bCs/>
              </w:rPr>
            </w:pPr>
            <w:r>
              <w:t>注：</w:t>
            </w:r>
            <w:r>
              <w:rPr>
                <w:rFonts w:hint="eastAsia" w:ascii="宋体" w:hAnsi="宋体" w:cs="宋体"/>
              </w:rPr>
              <w:t>①</w:t>
            </w:r>
            <w:r>
              <w:t>括号外数值为水温＞12℃时的控制指标，括号内数值为水温≤12℃时的控制指标；</w:t>
            </w:r>
            <w:r>
              <w:rPr>
                <w:rFonts w:hint="eastAsia" w:ascii="宋体" w:hAnsi="宋体" w:cs="宋体"/>
              </w:rPr>
              <w:t>②</w:t>
            </w:r>
            <w:r>
              <w:t>NH</w:t>
            </w:r>
            <w:r>
              <w:rPr>
                <w:vertAlign w:val="subscript"/>
              </w:rPr>
              <w:t>3</w:t>
            </w:r>
            <w:r>
              <w:t>-N执行《污水排入城镇下水道水质标准》（GB/T31962-2015）</w:t>
            </w:r>
            <w:r>
              <w:rPr>
                <w:rFonts w:hint="eastAsia"/>
              </w:rPr>
              <w:t>表1中</w:t>
            </w:r>
            <w:r>
              <w:t>B级标准</w:t>
            </w:r>
            <w:r>
              <w:rPr>
                <w:rFonts w:hint="eastAsia"/>
              </w:rPr>
              <w:t>。</w:t>
            </w:r>
          </w:p>
          <w:p>
            <w:pPr>
              <w:pStyle w:val="82"/>
              <w:ind w:firstLine="482"/>
              <w:rPr>
                <w:b/>
                <w:bCs/>
              </w:rPr>
            </w:pPr>
            <w:r>
              <w:rPr>
                <w:b/>
                <w:bCs/>
              </w:rPr>
              <w:t>2</w:t>
            </w:r>
            <w:r>
              <w:rPr>
                <w:rFonts w:hint="eastAsia"/>
                <w:b/>
                <w:bCs/>
              </w:rPr>
              <w:t>、废气</w:t>
            </w:r>
          </w:p>
          <w:p>
            <w:pPr>
              <w:pStyle w:val="82"/>
            </w:pPr>
            <w:r>
              <w:rPr>
                <w:rFonts w:hint="eastAsia"/>
              </w:rPr>
              <w:t>拟建项目位于重庆市铜梁区，根据《重庆市环境保护局关于印发在江津合川璧山铜梁等区执行国家大气污染物特别排放限值工作的函》（渝环函[</w:t>
            </w:r>
            <w:r>
              <w:t>2018]490</w:t>
            </w:r>
            <w:r>
              <w:rPr>
                <w:rFonts w:hint="eastAsia"/>
              </w:rPr>
              <w:t>号），铜梁区执行大气污染物特别排放限值。</w:t>
            </w:r>
          </w:p>
          <w:p>
            <w:pPr>
              <w:pStyle w:val="82"/>
            </w:pPr>
            <w:r>
              <w:rPr>
                <w:rFonts w:hint="eastAsia"/>
              </w:rPr>
              <w:t>运营期产生的有机废气有组织执行《合成树脂工业污染物排放标准》（GB 31572-2015）表5特别排放标准限值，无组织排放浓度限值执行《合成树脂工业污染物排放标准》（GB 31572-2015）表9浓度限值；熔融挤出臭气浓度执行《恶臭污染物排放标准》（GB</w:t>
            </w:r>
            <w:r>
              <w:t xml:space="preserve"> </w:t>
            </w:r>
            <w:r>
              <w:rPr>
                <w:rFonts w:hint="eastAsia"/>
              </w:rPr>
              <w:t>14554-93）表1、表2排放限值；厂区内无组织挥发性有机物执行《挥发性有机物无组织排放控制标准》（GB</w:t>
            </w:r>
            <w:r>
              <w:t xml:space="preserve"> </w:t>
            </w:r>
            <w:r>
              <w:rPr>
                <w:rFonts w:hint="eastAsia"/>
              </w:rPr>
              <w:t>37822-2019）表A</w:t>
            </w:r>
            <w:r>
              <w:t>.1</w:t>
            </w:r>
            <w:r>
              <w:rPr>
                <w:rFonts w:hint="eastAsia"/>
              </w:rPr>
              <w:t>特别限值要求。</w:t>
            </w:r>
          </w:p>
          <w:p>
            <w:pPr>
              <w:pStyle w:val="83"/>
            </w:pPr>
            <w:r>
              <w:t>表</w:t>
            </w:r>
            <w:r>
              <w:rPr>
                <w:rFonts w:hint="eastAsia"/>
              </w:rPr>
              <w:t>3</w:t>
            </w:r>
            <w:r>
              <w:t xml:space="preserve">-4  </w:t>
            </w:r>
            <w:r>
              <w:rPr>
                <w:rFonts w:hint="eastAsia"/>
              </w:rPr>
              <w:t>《合成树脂工业污染物排放标准》（GB 31572-2015）表5</w:t>
            </w:r>
            <w:r>
              <w:t xml:space="preserve"> 单位：mg/m</w:t>
            </w:r>
            <w:r>
              <w:rPr>
                <w:vertAlign w:val="superscript"/>
              </w:rPr>
              <w:t>3</w:t>
            </w:r>
          </w:p>
          <w:tbl>
            <w:tblPr>
              <w:tblStyle w:val="24"/>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7"/>
              <w:gridCol w:w="2427"/>
              <w:gridCol w:w="2053"/>
              <w:gridCol w:w="23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blHeader/>
                <w:jc w:val="center"/>
              </w:trPr>
              <w:tc>
                <w:tcPr>
                  <w:tcW w:w="626" w:type="pct"/>
                  <w:shd w:val="clear" w:color="auto" w:fill="auto"/>
                  <w:vAlign w:val="center"/>
                </w:tcPr>
                <w:p>
                  <w:pPr>
                    <w:pStyle w:val="52"/>
                    <w:rPr>
                      <w:b/>
                      <w:bCs/>
                    </w:rPr>
                  </w:pPr>
                  <w:r>
                    <w:rPr>
                      <w:b/>
                      <w:bCs/>
                    </w:rPr>
                    <w:t>序号</w:t>
                  </w:r>
                </w:p>
              </w:tc>
              <w:tc>
                <w:tcPr>
                  <w:tcW w:w="1555" w:type="pct"/>
                  <w:shd w:val="clear" w:color="auto" w:fill="auto"/>
                  <w:vAlign w:val="center"/>
                </w:tcPr>
                <w:p>
                  <w:pPr>
                    <w:pStyle w:val="52"/>
                    <w:rPr>
                      <w:b/>
                      <w:bCs/>
                    </w:rPr>
                  </w:pPr>
                  <w:r>
                    <w:rPr>
                      <w:b/>
                      <w:bCs/>
                    </w:rPr>
                    <w:t>污染物</w:t>
                  </w:r>
                </w:p>
              </w:tc>
              <w:tc>
                <w:tcPr>
                  <w:tcW w:w="1315" w:type="pct"/>
                  <w:shd w:val="clear" w:color="auto" w:fill="auto"/>
                  <w:vAlign w:val="center"/>
                </w:tcPr>
                <w:p>
                  <w:pPr>
                    <w:pStyle w:val="52"/>
                    <w:rPr>
                      <w:b/>
                      <w:bCs/>
                    </w:rPr>
                  </w:pPr>
                  <w:r>
                    <w:rPr>
                      <w:rFonts w:hint="eastAsia"/>
                      <w:b/>
                      <w:bCs/>
                    </w:rPr>
                    <w:t>特别</w:t>
                  </w:r>
                  <w:r>
                    <w:rPr>
                      <w:b/>
                      <w:bCs/>
                    </w:rPr>
                    <w:t>排放限值</w:t>
                  </w:r>
                </w:p>
              </w:tc>
              <w:tc>
                <w:tcPr>
                  <w:tcW w:w="1504" w:type="pct"/>
                  <w:shd w:val="clear" w:color="auto" w:fill="auto"/>
                  <w:vAlign w:val="center"/>
                </w:tcPr>
                <w:p>
                  <w:pPr>
                    <w:pStyle w:val="52"/>
                    <w:rPr>
                      <w:b/>
                      <w:bCs/>
                    </w:rPr>
                  </w:pPr>
                  <w:r>
                    <w:rPr>
                      <w:b/>
                      <w:bCs/>
                    </w:rPr>
                    <w:t>污染物排放监控位置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26" w:type="pct"/>
                  <w:shd w:val="clear" w:color="auto" w:fill="auto"/>
                  <w:vAlign w:val="center"/>
                </w:tcPr>
                <w:p>
                  <w:pPr>
                    <w:pStyle w:val="52"/>
                  </w:pPr>
                  <w:r>
                    <w:t>1</w:t>
                  </w:r>
                </w:p>
              </w:tc>
              <w:tc>
                <w:tcPr>
                  <w:tcW w:w="1555" w:type="pct"/>
                  <w:shd w:val="clear" w:color="auto" w:fill="auto"/>
                  <w:vAlign w:val="center"/>
                </w:tcPr>
                <w:p>
                  <w:pPr>
                    <w:pStyle w:val="52"/>
                  </w:pPr>
                  <w:r>
                    <w:t>非甲烷总烃</w:t>
                  </w:r>
                </w:p>
              </w:tc>
              <w:tc>
                <w:tcPr>
                  <w:tcW w:w="1315" w:type="pct"/>
                  <w:shd w:val="clear" w:color="auto" w:fill="auto"/>
                  <w:vAlign w:val="center"/>
                </w:tcPr>
                <w:p>
                  <w:pPr>
                    <w:pStyle w:val="52"/>
                  </w:pPr>
                  <w:r>
                    <w:t>6</w:t>
                  </w:r>
                  <w:r>
                    <w:rPr>
                      <w:rFonts w:hint="eastAsia"/>
                    </w:rPr>
                    <w:t>0</w:t>
                  </w:r>
                </w:p>
              </w:tc>
              <w:tc>
                <w:tcPr>
                  <w:tcW w:w="1504" w:type="pct"/>
                  <w:shd w:val="clear" w:color="auto" w:fill="auto"/>
                  <w:vAlign w:val="center"/>
                </w:tcPr>
                <w:p>
                  <w:pPr>
                    <w:pStyle w:val="52"/>
                  </w:pPr>
                  <w:r>
                    <w:t>车间或生产设施排气筒</w:t>
                  </w:r>
                </w:p>
              </w:tc>
            </w:tr>
          </w:tbl>
          <w:p>
            <w:pPr>
              <w:autoSpaceDE w:val="0"/>
              <w:autoSpaceDN w:val="0"/>
              <w:spacing w:line="360" w:lineRule="auto"/>
              <w:ind w:firstLine="440"/>
              <w:contextualSpacing/>
              <w:jc w:val="center"/>
              <w:rPr>
                <w:b/>
                <w:bCs/>
              </w:rPr>
            </w:pPr>
          </w:p>
          <w:p>
            <w:pPr>
              <w:autoSpaceDE w:val="0"/>
              <w:autoSpaceDN w:val="0"/>
              <w:spacing w:line="360" w:lineRule="auto"/>
              <w:ind w:firstLine="440"/>
              <w:contextualSpacing/>
              <w:jc w:val="center"/>
              <w:rPr>
                <w:b/>
                <w:bCs/>
              </w:rPr>
            </w:pPr>
            <w:r>
              <w:rPr>
                <w:b/>
                <w:bCs/>
              </w:rPr>
              <w:t>表</w:t>
            </w:r>
            <w:r>
              <w:rPr>
                <w:rFonts w:hint="eastAsia"/>
                <w:b/>
                <w:bCs/>
              </w:rPr>
              <w:t>3</w:t>
            </w:r>
            <w:r>
              <w:rPr>
                <w:b/>
                <w:bCs/>
              </w:rPr>
              <w:t xml:space="preserve">-5  </w:t>
            </w:r>
            <w:r>
              <w:rPr>
                <w:rFonts w:hint="eastAsia"/>
                <w:b/>
                <w:bCs/>
              </w:rPr>
              <w:t>《</w:t>
            </w:r>
            <w:r>
              <w:rPr>
                <w:b/>
                <w:bCs/>
              </w:rPr>
              <w:t>恶臭污染物排放标准</w:t>
            </w:r>
            <w:r>
              <w:rPr>
                <w:rFonts w:hint="eastAsia"/>
                <w:b/>
                <w:bCs/>
              </w:rPr>
              <w:t>》</w:t>
            </w:r>
            <w:r>
              <w:rPr>
                <w:b/>
                <w:bCs/>
              </w:rPr>
              <w:t>（GB14554-93）</w:t>
            </w:r>
            <w:r>
              <w:rPr>
                <w:rFonts w:hint="eastAsia"/>
                <w:b/>
                <w:bCs/>
              </w:rPr>
              <w:t>表1、表2标准</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301"/>
              <w:gridCol w:w="1953"/>
              <w:gridCol w:w="2355"/>
              <w:gridCol w:w="23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5" w:hRule="atLeast"/>
                <w:jc w:val="center"/>
              </w:trPr>
              <w:tc>
                <w:tcPr>
                  <w:tcW w:w="817" w:type="pct"/>
                  <w:tcBorders>
                    <w:top w:val="single" w:color="auto" w:sz="4" w:space="0"/>
                    <w:left w:val="single" w:color="auto" w:sz="4" w:space="0"/>
                    <w:bottom w:val="single" w:color="auto" w:sz="4" w:space="0"/>
                    <w:right w:val="single" w:color="auto" w:sz="4" w:space="0"/>
                  </w:tcBorders>
                  <w:vAlign w:val="center"/>
                </w:tcPr>
                <w:p>
                  <w:pPr>
                    <w:wordWrap w:val="0"/>
                    <w:adjustRightInd w:val="0"/>
                    <w:snapToGrid w:val="0"/>
                    <w:jc w:val="center"/>
                    <w:rPr>
                      <w:b/>
                      <w:bCs/>
                      <w:kern w:val="0"/>
                    </w:rPr>
                  </w:pPr>
                  <w:r>
                    <w:rPr>
                      <w:b/>
                      <w:bCs/>
                      <w:kern w:val="0"/>
                    </w:rPr>
                    <w:t>控制项目</w:t>
                  </w:r>
                </w:p>
              </w:tc>
              <w:tc>
                <w:tcPr>
                  <w:tcW w:w="1226" w:type="pct"/>
                  <w:tcBorders>
                    <w:top w:val="single" w:color="auto" w:sz="4" w:space="0"/>
                    <w:left w:val="single" w:color="auto" w:sz="4" w:space="0"/>
                    <w:bottom w:val="single" w:color="auto" w:sz="4" w:space="0"/>
                    <w:right w:val="single" w:color="auto" w:sz="4" w:space="0"/>
                  </w:tcBorders>
                  <w:vAlign w:val="center"/>
                </w:tcPr>
                <w:p>
                  <w:pPr>
                    <w:wordWrap w:val="0"/>
                    <w:adjustRightInd w:val="0"/>
                    <w:snapToGrid w:val="0"/>
                    <w:jc w:val="center"/>
                    <w:rPr>
                      <w:b/>
                      <w:bCs/>
                      <w:kern w:val="0"/>
                    </w:rPr>
                  </w:pPr>
                  <w:r>
                    <w:rPr>
                      <w:b/>
                      <w:bCs/>
                      <w:kern w:val="0"/>
                    </w:rPr>
                    <w:t>排气筒高度</w:t>
                  </w:r>
                  <w:r>
                    <w:rPr>
                      <w:rFonts w:hint="eastAsia"/>
                      <w:b/>
                      <w:bCs/>
                      <w:kern w:val="0"/>
                    </w:rPr>
                    <w:t>（</w:t>
                  </w:r>
                  <w:r>
                    <w:rPr>
                      <w:b/>
                      <w:bCs/>
                      <w:kern w:val="0"/>
                    </w:rPr>
                    <w:t>m</w:t>
                  </w:r>
                  <w:r>
                    <w:rPr>
                      <w:rFonts w:hint="eastAsia"/>
                      <w:b/>
                      <w:bCs/>
                      <w:kern w:val="0"/>
                    </w:rPr>
                    <w:t>）</w:t>
                  </w:r>
                </w:p>
              </w:tc>
              <w:tc>
                <w:tcPr>
                  <w:tcW w:w="1478" w:type="pct"/>
                  <w:tcBorders>
                    <w:top w:val="single" w:color="auto" w:sz="4" w:space="0"/>
                    <w:left w:val="single" w:color="auto" w:sz="4" w:space="0"/>
                    <w:bottom w:val="single" w:color="auto" w:sz="4" w:space="0"/>
                    <w:right w:val="single" w:color="auto" w:sz="4" w:space="0"/>
                  </w:tcBorders>
                  <w:vAlign w:val="center"/>
                </w:tcPr>
                <w:p>
                  <w:pPr>
                    <w:wordWrap w:val="0"/>
                    <w:adjustRightInd w:val="0"/>
                    <w:snapToGrid w:val="0"/>
                    <w:jc w:val="center"/>
                    <w:rPr>
                      <w:b/>
                      <w:bCs/>
                      <w:kern w:val="0"/>
                    </w:rPr>
                  </w:pPr>
                  <w:r>
                    <w:rPr>
                      <w:rFonts w:hint="eastAsia"/>
                      <w:b/>
                      <w:bCs/>
                      <w:kern w:val="0"/>
                    </w:rPr>
                    <w:t>标准值</w:t>
                  </w:r>
                  <w:r>
                    <w:rPr>
                      <w:b/>
                      <w:bCs/>
                      <w:kern w:val="0"/>
                    </w:rPr>
                    <w:t>（无量纲）</w:t>
                  </w:r>
                </w:p>
              </w:tc>
              <w:tc>
                <w:tcPr>
                  <w:tcW w:w="1478" w:type="pct"/>
                  <w:tcBorders>
                    <w:top w:val="single" w:color="auto" w:sz="4" w:space="0"/>
                    <w:left w:val="single" w:color="auto" w:sz="4" w:space="0"/>
                    <w:bottom w:val="single" w:color="auto" w:sz="4" w:space="0"/>
                    <w:right w:val="single" w:color="auto" w:sz="4" w:space="0"/>
                  </w:tcBorders>
                  <w:vAlign w:val="center"/>
                </w:tcPr>
                <w:p>
                  <w:pPr>
                    <w:wordWrap w:val="0"/>
                    <w:adjustRightInd w:val="0"/>
                    <w:snapToGrid w:val="0"/>
                    <w:jc w:val="center"/>
                    <w:rPr>
                      <w:b/>
                      <w:bCs/>
                      <w:kern w:val="0"/>
                    </w:rPr>
                  </w:pPr>
                  <w:r>
                    <w:rPr>
                      <w:rFonts w:hint="eastAsia"/>
                      <w:b/>
                      <w:bCs/>
                      <w:kern w:val="0"/>
                    </w:rPr>
                    <w:t>无组织排放浓度限值（无量纲）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8" w:hRule="atLeast"/>
                <w:jc w:val="center"/>
              </w:trPr>
              <w:tc>
                <w:tcPr>
                  <w:tcW w:w="817" w:type="pct"/>
                  <w:tcBorders>
                    <w:top w:val="single" w:color="auto" w:sz="4" w:space="0"/>
                    <w:left w:val="single" w:color="auto" w:sz="4" w:space="0"/>
                    <w:bottom w:val="single" w:color="auto" w:sz="4" w:space="0"/>
                    <w:right w:val="single" w:color="auto" w:sz="4" w:space="0"/>
                  </w:tcBorders>
                  <w:vAlign w:val="center"/>
                </w:tcPr>
                <w:p>
                  <w:pPr>
                    <w:wordWrap w:val="0"/>
                    <w:adjustRightInd w:val="0"/>
                    <w:snapToGrid w:val="0"/>
                    <w:jc w:val="center"/>
                    <w:rPr>
                      <w:kern w:val="0"/>
                    </w:rPr>
                  </w:pPr>
                  <w:r>
                    <w:rPr>
                      <w:kern w:val="0"/>
                    </w:rPr>
                    <w:t>臭气浓度</w:t>
                  </w:r>
                </w:p>
              </w:tc>
              <w:tc>
                <w:tcPr>
                  <w:tcW w:w="1226" w:type="pct"/>
                  <w:tcBorders>
                    <w:top w:val="single" w:color="auto" w:sz="4" w:space="0"/>
                    <w:left w:val="single" w:color="auto" w:sz="4" w:space="0"/>
                    <w:bottom w:val="single" w:color="auto" w:sz="4" w:space="0"/>
                    <w:right w:val="single" w:color="auto" w:sz="4" w:space="0"/>
                  </w:tcBorders>
                  <w:vAlign w:val="center"/>
                </w:tcPr>
                <w:p>
                  <w:pPr>
                    <w:wordWrap w:val="0"/>
                    <w:adjustRightInd w:val="0"/>
                    <w:snapToGrid w:val="0"/>
                    <w:jc w:val="center"/>
                    <w:rPr>
                      <w:kern w:val="0"/>
                    </w:rPr>
                  </w:pPr>
                  <w:r>
                    <w:rPr>
                      <w:kern w:val="0"/>
                    </w:rPr>
                    <w:t>1</w:t>
                  </w:r>
                  <w:r>
                    <w:rPr>
                      <w:rFonts w:hint="eastAsia"/>
                      <w:kern w:val="0"/>
                    </w:rPr>
                    <w:t>5</w:t>
                  </w:r>
                </w:p>
              </w:tc>
              <w:tc>
                <w:tcPr>
                  <w:tcW w:w="1478" w:type="pct"/>
                  <w:tcBorders>
                    <w:top w:val="single" w:color="auto" w:sz="4" w:space="0"/>
                    <w:left w:val="single" w:color="auto" w:sz="4" w:space="0"/>
                    <w:bottom w:val="single" w:color="auto" w:sz="4" w:space="0"/>
                    <w:right w:val="single" w:color="auto" w:sz="4" w:space="0"/>
                  </w:tcBorders>
                  <w:vAlign w:val="center"/>
                </w:tcPr>
                <w:p>
                  <w:pPr>
                    <w:wordWrap w:val="0"/>
                    <w:adjustRightInd w:val="0"/>
                    <w:snapToGrid w:val="0"/>
                    <w:jc w:val="center"/>
                    <w:rPr>
                      <w:kern w:val="0"/>
                    </w:rPr>
                  </w:pPr>
                  <w:r>
                    <w:rPr>
                      <w:kern w:val="0"/>
                    </w:rPr>
                    <w:t>2</w:t>
                  </w:r>
                  <w:r>
                    <w:rPr>
                      <w:rFonts w:hint="eastAsia"/>
                      <w:kern w:val="0"/>
                    </w:rPr>
                    <w:t>000</w:t>
                  </w:r>
                </w:p>
              </w:tc>
              <w:tc>
                <w:tcPr>
                  <w:tcW w:w="1478" w:type="pct"/>
                  <w:tcBorders>
                    <w:top w:val="single" w:color="auto" w:sz="4" w:space="0"/>
                    <w:left w:val="single" w:color="auto" w:sz="4" w:space="0"/>
                    <w:bottom w:val="single" w:color="auto" w:sz="4" w:space="0"/>
                    <w:right w:val="single" w:color="auto" w:sz="4" w:space="0"/>
                  </w:tcBorders>
                  <w:vAlign w:val="center"/>
                </w:tcPr>
                <w:p>
                  <w:pPr>
                    <w:wordWrap w:val="0"/>
                    <w:adjustRightInd w:val="0"/>
                    <w:snapToGrid w:val="0"/>
                    <w:jc w:val="center"/>
                    <w:rPr>
                      <w:kern w:val="0"/>
                    </w:rPr>
                  </w:pPr>
                  <w:r>
                    <w:rPr>
                      <w:rFonts w:hint="eastAsia"/>
                      <w:kern w:val="0"/>
                    </w:rPr>
                    <w:t>2</w:t>
                  </w:r>
                  <w:r>
                    <w:rPr>
                      <w:kern w:val="0"/>
                    </w:rPr>
                    <w:t>0</w:t>
                  </w:r>
                </w:p>
              </w:tc>
            </w:tr>
          </w:tbl>
          <w:p>
            <w:pPr>
              <w:pStyle w:val="85"/>
              <w:ind w:firstLine="420"/>
            </w:pPr>
          </w:p>
          <w:p>
            <w:pPr>
              <w:pStyle w:val="83"/>
            </w:pPr>
            <w:r>
              <w:rPr>
                <w:rFonts w:hint="eastAsia"/>
              </w:rPr>
              <w:t>表3-</w:t>
            </w:r>
            <w:r>
              <w:t>6</w:t>
            </w:r>
            <w:r>
              <w:rPr>
                <w:rFonts w:hint="eastAsia"/>
              </w:rPr>
              <w:t xml:space="preserve"> </w:t>
            </w:r>
            <w:r>
              <w:t xml:space="preserve"> </w:t>
            </w:r>
            <w:r>
              <w:rPr>
                <w:rFonts w:hint="eastAsia"/>
              </w:rPr>
              <w:t>厂区内挥发性有机物（VOCs）无组织排放限值 单位：mg/</w:t>
            </w:r>
            <w:r>
              <w:t>m</w:t>
            </w:r>
            <w:r>
              <w:rPr>
                <w:vertAlign w:val="superscript"/>
              </w:rPr>
              <w:t>3</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2"/>
              <w:gridCol w:w="1819"/>
              <w:gridCol w:w="2820"/>
              <w:gridCol w:w="17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7" w:type="pct"/>
                  <w:tcMar>
                    <w:top w:w="28" w:type="dxa"/>
                    <w:left w:w="28" w:type="dxa"/>
                    <w:bottom w:w="28" w:type="dxa"/>
                    <w:right w:w="28" w:type="dxa"/>
                  </w:tcMar>
                  <w:vAlign w:val="center"/>
                </w:tcPr>
                <w:p>
                  <w:pPr>
                    <w:pStyle w:val="52"/>
                    <w:rPr>
                      <w:b/>
                      <w:bCs/>
                      <w:kern w:val="2"/>
                    </w:rPr>
                  </w:pPr>
                  <w:r>
                    <w:rPr>
                      <w:rFonts w:hint="eastAsia"/>
                      <w:b/>
                      <w:bCs/>
                    </w:rPr>
                    <w:t>污染项目</w:t>
                  </w:r>
                </w:p>
              </w:tc>
              <w:tc>
                <w:tcPr>
                  <w:tcW w:w="1142" w:type="pct"/>
                  <w:tcMar>
                    <w:top w:w="28" w:type="dxa"/>
                    <w:left w:w="28" w:type="dxa"/>
                    <w:bottom w:w="28" w:type="dxa"/>
                    <w:right w:w="28" w:type="dxa"/>
                  </w:tcMar>
                  <w:vAlign w:val="center"/>
                </w:tcPr>
                <w:p>
                  <w:pPr>
                    <w:pStyle w:val="52"/>
                    <w:rPr>
                      <w:b/>
                      <w:bCs/>
                    </w:rPr>
                  </w:pPr>
                  <w:r>
                    <w:rPr>
                      <w:rFonts w:hint="eastAsia"/>
                      <w:b/>
                      <w:bCs/>
                    </w:rPr>
                    <w:t>特别排放限值</w:t>
                  </w:r>
                  <w:r>
                    <w:rPr>
                      <w:b/>
                      <w:bCs/>
                    </w:rPr>
                    <w:t>（m</w:t>
                  </w:r>
                  <w:r>
                    <w:rPr>
                      <w:rFonts w:hint="eastAsia"/>
                      <w:b/>
                      <w:bCs/>
                    </w:rPr>
                    <w:t>g/m</w:t>
                  </w:r>
                  <w:r>
                    <w:rPr>
                      <w:rFonts w:hint="eastAsia"/>
                      <w:b/>
                      <w:bCs/>
                      <w:vertAlign w:val="superscript"/>
                    </w:rPr>
                    <w:t>3</w:t>
                  </w:r>
                  <w:r>
                    <w:rPr>
                      <w:b/>
                      <w:bCs/>
                    </w:rPr>
                    <w:t>）</w:t>
                  </w:r>
                </w:p>
              </w:tc>
              <w:tc>
                <w:tcPr>
                  <w:tcW w:w="1771" w:type="pct"/>
                  <w:tcMar>
                    <w:top w:w="28" w:type="dxa"/>
                    <w:left w:w="28" w:type="dxa"/>
                    <w:bottom w:w="28" w:type="dxa"/>
                    <w:right w:w="28" w:type="dxa"/>
                  </w:tcMar>
                  <w:vAlign w:val="center"/>
                </w:tcPr>
                <w:p>
                  <w:pPr>
                    <w:pStyle w:val="52"/>
                    <w:rPr>
                      <w:b/>
                      <w:bCs/>
                    </w:rPr>
                  </w:pPr>
                  <w:r>
                    <w:rPr>
                      <w:rFonts w:hint="eastAsia"/>
                      <w:b/>
                      <w:bCs/>
                    </w:rPr>
                    <w:t>限值含义</w:t>
                  </w:r>
                </w:p>
              </w:tc>
              <w:tc>
                <w:tcPr>
                  <w:tcW w:w="1099" w:type="pct"/>
                  <w:tcMar>
                    <w:top w:w="28" w:type="dxa"/>
                    <w:left w:w="28" w:type="dxa"/>
                    <w:bottom w:w="28" w:type="dxa"/>
                    <w:right w:w="28" w:type="dxa"/>
                  </w:tcMar>
                  <w:vAlign w:val="center"/>
                </w:tcPr>
                <w:p>
                  <w:pPr>
                    <w:pStyle w:val="52"/>
                    <w:rPr>
                      <w:b/>
                      <w:bCs/>
                    </w:rPr>
                  </w:pPr>
                  <w:r>
                    <w:rPr>
                      <w:rFonts w:hint="eastAsia"/>
                      <w:b/>
                      <w:bCs/>
                    </w:rPr>
                    <w:t>监控点位置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7" w:type="pct"/>
                  <w:vMerge w:val="restart"/>
                  <w:tcMar>
                    <w:top w:w="28" w:type="dxa"/>
                    <w:left w:w="28" w:type="dxa"/>
                    <w:bottom w:w="28" w:type="dxa"/>
                    <w:right w:w="28" w:type="dxa"/>
                  </w:tcMar>
                  <w:vAlign w:val="center"/>
                </w:tcPr>
                <w:p>
                  <w:pPr>
                    <w:pStyle w:val="52"/>
                  </w:pPr>
                  <w:r>
                    <w:rPr>
                      <w:rFonts w:hint="eastAsia"/>
                    </w:rPr>
                    <w:t>非甲烷总烃</w:t>
                  </w:r>
                </w:p>
              </w:tc>
              <w:tc>
                <w:tcPr>
                  <w:tcW w:w="1142" w:type="pct"/>
                  <w:tcMar>
                    <w:top w:w="28" w:type="dxa"/>
                    <w:left w:w="28" w:type="dxa"/>
                    <w:bottom w:w="28" w:type="dxa"/>
                    <w:right w:w="28" w:type="dxa"/>
                  </w:tcMar>
                  <w:vAlign w:val="center"/>
                </w:tcPr>
                <w:p>
                  <w:pPr>
                    <w:pStyle w:val="52"/>
                  </w:pPr>
                  <w:r>
                    <w:t>6</w:t>
                  </w:r>
                </w:p>
              </w:tc>
              <w:tc>
                <w:tcPr>
                  <w:tcW w:w="1771" w:type="pct"/>
                  <w:tcMar>
                    <w:top w:w="28" w:type="dxa"/>
                    <w:left w:w="28" w:type="dxa"/>
                    <w:bottom w:w="28" w:type="dxa"/>
                    <w:right w:w="28" w:type="dxa"/>
                  </w:tcMar>
                  <w:vAlign w:val="center"/>
                </w:tcPr>
                <w:p>
                  <w:pPr>
                    <w:pStyle w:val="52"/>
                  </w:pPr>
                  <w:r>
                    <w:rPr>
                      <w:rFonts w:hint="eastAsia"/>
                    </w:rPr>
                    <w:t>监控点处1h平均浓度限值</w:t>
                  </w:r>
                </w:p>
              </w:tc>
              <w:tc>
                <w:tcPr>
                  <w:tcW w:w="1099" w:type="pct"/>
                  <w:vMerge w:val="restart"/>
                  <w:tcMar>
                    <w:top w:w="28" w:type="dxa"/>
                    <w:left w:w="28" w:type="dxa"/>
                    <w:bottom w:w="28" w:type="dxa"/>
                    <w:right w:w="28" w:type="dxa"/>
                  </w:tcMar>
                  <w:vAlign w:val="center"/>
                </w:tcPr>
                <w:p>
                  <w:pPr>
                    <w:pStyle w:val="52"/>
                  </w:pPr>
                  <w:r>
                    <w:rPr>
                      <w:rFonts w:hint="eastAsia"/>
                    </w:rPr>
                    <w:t>在厂房外设置监控点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0" w:type="auto"/>
                  <w:vMerge w:val="continue"/>
                  <w:vAlign w:val="center"/>
                </w:tcPr>
                <w:p>
                  <w:pPr>
                    <w:pStyle w:val="52"/>
                    <w:rPr>
                      <w:kern w:val="2"/>
                    </w:rPr>
                  </w:pPr>
                </w:p>
              </w:tc>
              <w:tc>
                <w:tcPr>
                  <w:tcW w:w="1142" w:type="pct"/>
                  <w:tcMar>
                    <w:top w:w="28" w:type="dxa"/>
                    <w:left w:w="28" w:type="dxa"/>
                    <w:bottom w:w="28" w:type="dxa"/>
                    <w:right w:w="28" w:type="dxa"/>
                  </w:tcMar>
                  <w:vAlign w:val="center"/>
                </w:tcPr>
                <w:p>
                  <w:pPr>
                    <w:pStyle w:val="52"/>
                  </w:pPr>
                  <w:r>
                    <w:t>20</w:t>
                  </w:r>
                </w:p>
              </w:tc>
              <w:tc>
                <w:tcPr>
                  <w:tcW w:w="1771" w:type="pct"/>
                  <w:tcMar>
                    <w:top w:w="28" w:type="dxa"/>
                    <w:left w:w="28" w:type="dxa"/>
                    <w:bottom w:w="28" w:type="dxa"/>
                    <w:right w:w="28" w:type="dxa"/>
                  </w:tcMar>
                  <w:vAlign w:val="center"/>
                </w:tcPr>
                <w:p>
                  <w:pPr>
                    <w:pStyle w:val="52"/>
                  </w:pPr>
                  <w:r>
                    <w:rPr>
                      <w:rFonts w:hint="eastAsia"/>
                    </w:rPr>
                    <w:t>监控点处任意一次浓度限值</w:t>
                  </w:r>
                </w:p>
              </w:tc>
              <w:tc>
                <w:tcPr>
                  <w:tcW w:w="0" w:type="auto"/>
                  <w:vMerge w:val="continue"/>
                  <w:vAlign w:val="center"/>
                </w:tcPr>
                <w:p>
                  <w:pPr>
                    <w:pStyle w:val="52"/>
                    <w:rPr>
                      <w:kern w:val="2"/>
                    </w:rPr>
                  </w:pPr>
                </w:p>
              </w:tc>
            </w:tr>
          </w:tbl>
          <w:p>
            <w:pPr>
              <w:pStyle w:val="85"/>
              <w:ind w:firstLine="420"/>
            </w:pPr>
          </w:p>
          <w:p>
            <w:pPr>
              <w:pStyle w:val="83"/>
            </w:pPr>
            <w:r>
              <w:t>表</w:t>
            </w:r>
            <w:r>
              <w:rPr>
                <w:rFonts w:hint="eastAsia"/>
              </w:rPr>
              <w:t>3</w:t>
            </w:r>
            <w:r>
              <w:t xml:space="preserve">-7  </w:t>
            </w:r>
            <w:r>
              <w:rPr>
                <w:rFonts w:hint="eastAsia"/>
              </w:rPr>
              <w:t>《合成树脂工业污染物排放标准》（GB 31572-2015）表</w:t>
            </w:r>
            <w:r>
              <w:t>9 单位：mg/m</w:t>
            </w:r>
            <w:r>
              <w:rPr>
                <w:vertAlign w:val="superscript"/>
              </w:rPr>
              <w:t>3</w:t>
            </w:r>
          </w:p>
          <w:tbl>
            <w:tblPr>
              <w:tblStyle w:val="24"/>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7"/>
              <w:gridCol w:w="2427"/>
              <w:gridCol w:w="2053"/>
              <w:gridCol w:w="23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blHeader/>
                <w:jc w:val="center"/>
              </w:trPr>
              <w:tc>
                <w:tcPr>
                  <w:tcW w:w="626" w:type="pct"/>
                  <w:shd w:val="clear" w:color="auto" w:fill="auto"/>
                  <w:vAlign w:val="center"/>
                </w:tcPr>
                <w:p>
                  <w:pPr>
                    <w:pStyle w:val="52"/>
                    <w:rPr>
                      <w:b/>
                      <w:bCs/>
                    </w:rPr>
                  </w:pPr>
                  <w:r>
                    <w:rPr>
                      <w:b/>
                      <w:bCs/>
                    </w:rPr>
                    <w:t>序号</w:t>
                  </w:r>
                </w:p>
              </w:tc>
              <w:tc>
                <w:tcPr>
                  <w:tcW w:w="1555" w:type="pct"/>
                  <w:shd w:val="clear" w:color="auto" w:fill="auto"/>
                  <w:vAlign w:val="center"/>
                </w:tcPr>
                <w:p>
                  <w:pPr>
                    <w:pStyle w:val="52"/>
                    <w:rPr>
                      <w:b/>
                      <w:bCs/>
                    </w:rPr>
                  </w:pPr>
                  <w:r>
                    <w:rPr>
                      <w:b/>
                      <w:bCs/>
                    </w:rPr>
                    <w:t>污染物</w:t>
                  </w:r>
                </w:p>
              </w:tc>
              <w:tc>
                <w:tcPr>
                  <w:tcW w:w="1315" w:type="pct"/>
                  <w:shd w:val="clear" w:color="auto" w:fill="auto"/>
                  <w:vAlign w:val="center"/>
                </w:tcPr>
                <w:p>
                  <w:pPr>
                    <w:pStyle w:val="52"/>
                    <w:rPr>
                      <w:b/>
                      <w:bCs/>
                    </w:rPr>
                  </w:pPr>
                  <w:r>
                    <w:rPr>
                      <w:b/>
                      <w:bCs/>
                    </w:rPr>
                    <w:t>排放限值</w:t>
                  </w:r>
                </w:p>
              </w:tc>
              <w:tc>
                <w:tcPr>
                  <w:tcW w:w="1504" w:type="pct"/>
                  <w:shd w:val="clear" w:color="auto" w:fill="auto"/>
                  <w:vAlign w:val="center"/>
                </w:tcPr>
                <w:p>
                  <w:pPr>
                    <w:pStyle w:val="52"/>
                    <w:rPr>
                      <w:b/>
                      <w:bCs/>
                    </w:rPr>
                  </w:pPr>
                  <w:r>
                    <w:rPr>
                      <w:b/>
                      <w:bCs/>
                    </w:rPr>
                    <w:t>污染物排放监控位置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26" w:type="pct"/>
                  <w:shd w:val="clear" w:color="auto" w:fill="auto"/>
                  <w:vAlign w:val="center"/>
                </w:tcPr>
                <w:p>
                  <w:pPr>
                    <w:pStyle w:val="52"/>
                  </w:pPr>
                  <w:r>
                    <w:t>1</w:t>
                  </w:r>
                </w:p>
              </w:tc>
              <w:tc>
                <w:tcPr>
                  <w:tcW w:w="1555" w:type="pct"/>
                  <w:shd w:val="clear" w:color="auto" w:fill="auto"/>
                  <w:vAlign w:val="center"/>
                </w:tcPr>
                <w:p>
                  <w:pPr>
                    <w:pStyle w:val="52"/>
                  </w:pPr>
                  <w:r>
                    <w:rPr>
                      <w:rFonts w:hint="eastAsia"/>
                    </w:rPr>
                    <w:t>非甲烷总烃</w:t>
                  </w:r>
                </w:p>
              </w:tc>
              <w:tc>
                <w:tcPr>
                  <w:tcW w:w="1315" w:type="pct"/>
                  <w:shd w:val="clear" w:color="auto" w:fill="auto"/>
                  <w:vAlign w:val="center"/>
                </w:tcPr>
                <w:p>
                  <w:pPr>
                    <w:pStyle w:val="52"/>
                  </w:pPr>
                  <w:r>
                    <w:rPr>
                      <w:rFonts w:hint="eastAsia"/>
                    </w:rPr>
                    <w:t>4</w:t>
                  </w:r>
                  <w:r>
                    <w:t>.0</w:t>
                  </w:r>
                </w:p>
              </w:tc>
              <w:tc>
                <w:tcPr>
                  <w:tcW w:w="1504" w:type="pct"/>
                  <w:shd w:val="clear" w:color="auto" w:fill="auto"/>
                  <w:vAlign w:val="center"/>
                </w:tcPr>
                <w:p>
                  <w:pPr>
                    <w:pStyle w:val="52"/>
                  </w:pPr>
                  <w:r>
                    <w:rPr>
                      <w:rFonts w:hint="eastAsia"/>
                    </w:rPr>
                    <w:t>企业边界</w:t>
                  </w:r>
                </w:p>
              </w:tc>
            </w:tr>
          </w:tbl>
          <w:p>
            <w:pPr>
              <w:pStyle w:val="85"/>
              <w:ind w:firstLine="420"/>
            </w:pPr>
          </w:p>
          <w:p>
            <w:pPr>
              <w:pStyle w:val="82"/>
              <w:ind w:firstLine="482"/>
              <w:rPr>
                <w:b/>
                <w:bCs/>
                <w:kern w:val="0"/>
              </w:rPr>
            </w:pPr>
            <w:r>
              <w:rPr>
                <w:rFonts w:hint="eastAsia"/>
                <w:b/>
                <w:bCs/>
                <w:kern w:val="0"/>
              </w:rPr>
              <w:t>3、噪声</w:t>
            </w:r>
          </w:p>
          <w:p>
            <w:pPr>
              <w:pStyle w:val="82"/>
              <w:rPr>
                <w:kern w:val="0"/>
              </w:rPr>
            </w:pPr>
            <w:r>
              <w:t>施工期执行《建筑施工场界环境噪声排放标准》（GB12523-2011），即昼间70dB（A），夜间55dB（A）。营运期厂界噪声执行《工业企业厂界环境噪声排放标准》（GB12348-2008）中3类标准。标准值详见表3-8。</w:t>
            </w:r>
          </w:p>
          <w:p>
            <w:pPr>
              <w:pStyle w:val="83"/>
            </w:pPr>
            <w:r>
              <w:rPr>
                <w:snapToGrid w:val="0"/>
              </w:rPr>
              <w:t>表</w:t>
            </w:r>
            <w:r>
              <w:t xml:space="preserve">3-8 </w:t>
            </w:r>
            <w:r>
              <w:rPr>
                <w:snapToGrid w:val="0"/>
              </w:rPr>
              <w:t xml:space="preserve"> 《工业企业厂界环境噪声排放标准》（GB12348-2008）</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78"/>
              <w:gridCol w:w="2310"/>
              <w:gridCol w:w="2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120"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声环境功能区类别</w:t>
                  </w:r>
                </w:p>
              </w:tc>
              <w:tc>
                <w:tcPr>
                  <w:tcW w:w="1450"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昼间（dB（A））</w:t>
                  </w:r>
                </w:p>
              </w:tc>
              <w:tc>
                <w:tcPr>
                  <w:tcW w:w="1428"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夜间（dB（A））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120" w:type="pct"/>
                  <w:tcBorders>
                    <w:top w:val="single" w:color="auto" w:sz="4" w:space="0"/>
                    <w:left w:val="single" w:color="auto" w:sz="4" w:space="0"/>
                    <w:bottom w:val="single" w:color="auto" w:sz="4" w:space="0"/>
                    <w:right w:val="single" w:color="auto" w:sz="4" w:space="0"/>
                  </w:tcBorders>
                  <w:vAlign w:val="center"/>
                </w:tcPr>
                <w:p>
                  <w:pPr>
                    <w:pStyle w:val="52"/>
                  </w:pPr>
                  <w:r>
                    <w:t>3类标准</w:t>
                  </w:r>
                </w:p>
              </w:tc>
              <w:tc>
                <w:tcPr>
                  <w:tcW w:w="1450" w:type="pct"/>
                  <w:tcBorders>
                    <w:top w:val="single" w:color="auto" w:sz="4" w:space="0"/>
                    <w:left w:val="single" w:color="auto" w:sz="4" w:space="0"/>
                    <w:bottom w:val="single" w:color="auto" w:sz="4" w:space="0"/>
                    <w:right w:val="single" w:color="auto" w:sz="4" w:space="0"/>
                  </w:tcBorders>
                  <w:vAlign w:val="center"/>
                </w:tcPr>
                <w:p>
                  <w:pPr>
                    <w:pStyle w:val="52"/>
                  </w:pPr>
                  <w:r>
                    <w:t>65</w:t>
                  </w:r>
                </w:p>
              </w:tc>
              <w:tc>
                <w:tcPr>
                  <w:tcW w:w="1428" w:type="pct"/>
                  <w:tcBorders>
                    <w:top w:val="single" w:color="auto" w:sz="4" w:space="0"/>
                    <w:left w:val="single" w:color="auto" w:sz="4" w:space="0"/>
                    <w:bottom w:val="single" w:color="auto" w:sz="4" w:space="0"/>
                    <w:right w:val="single" w:color="auto" w:sz="4" w:space="0"/>
                  </w:tcBorders>
                  <w:vAlign w:val="center"/>
                </w:tcPr>
                <w:p>
                  <w:pPr>
                    <w:pStyle w:val="52"/>
                  </w:pPr>
                  <w:r>
                    <w:t>55</w:t>
                  </w:r>
                </w:p>
              </w:tc>
            </w:tr>
          </w:tbl>
          <w:p>
            <w:pPr>
              <w:pStyle w:val="82"/>
              <w:ind w:firstLine="482"/>
              <w:rPr>
                <w:b/>
                <w:bCs/>
                <w:kern w:val="0"/>
              </w:rPr>
            </w:pPr>
            <w:r>
              <w:rPr>
                <w:rFonts w:hint="eastAsia"/>
                <w:b/>
                <w:bCs/>
                <w:kern w:val="0"/>
              </w:rPr>
              <w:t>4、固废</w:t>
            </w:r>
          </w:p>
          <w:p>
            <w:pPr>
              <w:pStyle w:val="82"/>
            </w:pPr>
            <w:bookmarkStart w:id="10" w:name="OLE_LINK17"/>
            <w:bookmarkStart w:id="11" w:name="OLE_LINK16"/>
            <w:r>
              <w:t>一般工业固体废物：本项目设置有1座一般固废暂存间，《一般工业固体废物贮存和填埋污染控制标准》（GB18599-2020）中明确采用库房、包装工具（罐、桶、包装袋等）贮存一般工业固体废物过程的污染控制，不适用本标准，其贮存过程应满足相应防渗漏、防雨淋、防扬尘等环境保护要求。同时一般固体废物分类执行《一般固体废物分类与代码》（GB/T39198-2020）相关要求。</w:t>
            </w:r>
          </w:p>
          <w:p>
            <w:pPr>
              <w:pStyle w:val="82"/>
              <w:rPr>
                <w:kern w:val="0"/>
              </w:rPr>
            </w:pPr>
            <w:r>
              <w:t>危险废物：本项目设置有1座危险废物暂存间，危险废物管理执行《国家危险废物名录》（2021年版）、《危险废物贮存污染控制标准》（GB18597-2</w:t>
            </w:r>
            <w:r>
              <w:rPr>
                <w:rFonts w:hint="eastAsia"/>
              </w:rPr>
              <w:t>023</w:t>
            </w:r>
            <w:r>
              <w:t>）中相关要求，危险废物转移执行《危险废物转移管理办法》（生态环境部</w:t>
            </w:r>
            <w:r>
              <w:rPr>
                <w:rFonts w:hint="eastAsia"/>
              </w:rPr>
              <w:t xml:space="preserve"> 公安部 交通运输部 部</w:t>
            </w:r>
            <w:r>
              <w:t>令第23号）中相关要求。</w:t>
            </w:r>
            <w:bookmarkEnd w:id="10"/>
            <w:bookmarkEnd w:id="11"/>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81" w:hRule="atLeast"/>
          <w:jc w:val="center"/>
        </w:trPr>
        <w:tc>
          <w:tcPr>
            <w:tcW w:w="800" w:type="dxa"/>
            <w:vAlign w:val="center"/>
          </w:tcPr>
          <w:p>
            <w:pPr>
              <w:adjustRightInd w:val="0"/>
              <w:snapToGrid w:val="0"/>
              <w:jc w:val="center"/>
              <w:rPr>
                <w:kern w:val="0"/>
              </w:rPr>
            </w:pPr>
            <w:r>
              <w:rPr>
                <w:kern w:val="0"/>
              </w:rPr>
              <w:t>总量</w:t>
            </w:r>
          </w:p>
          <w:p>
            <w:pPr>
              <w:adjustRightInd w:val="0"/>
              <w:snapToGrid w:val="0"/>
              <w:jc w:val="center"/>
              <w:rPr>
                <w:kern w:val="0"/>
              </w:rPr>
            </w:pPr>
            <w:r>
              <w:rPr>
                <w:kern w:val="0"/>
              </w:rPr>
              <w:t>控制</w:t>
            </w:r>
          </w:p>
          <w:p>
            <w:pPr>
              <w:adjustRightInd w:val="0"/>
              <w:snapToGrid w:val="0"/>
              <w:jc w:val="center"/>
              <w:rPr>
                <w:kern w:val="0"/>
              </w:rPr>
            </w:pPr>
            <w:r>
              <w:rPr>
                <w:kern w:val="0"/>
              </w:rPr>
              <w:t>指标</w:t>
            </w:r>
          </w:p>
        </w:tc>
        <w:tc>
          <w:tcPr>
            <w:tcW w:w="8190" w:type="dxa"/>
          </w:tcPr>
          <w:p>
            <w:pPr>
              <w:pStyle w:val="82"/>
            </w:pPr>
            <w:r>
              <w:rPr>
                <w:rFonts w:hint="eastAsia"/>
              </w:rPr>
              <w:t>依据国家关于污染物排放执行总量控制的有关规定，结合本项目的排污特控点，经计算，本项目污染物总量控制建议指标如下：</w:t>
            </w:r>
          </w:p>
          <w:p>
            <w:pPr>
              <w:pStyle w:val="83"/>
            </w:pPr>
            <w:r>
              <w:rPr>
                <w:rFonts w:hint="eastAsia"/>
              </w:rPr>
              <w:t>表3-</w:t>
            </w:r>
            <w:r>
              <w:t>9</w:t>
            </w:r>
            <w:r>
              <w:rPr>
                <w:rFonts w:hint="eastAsia"/>
              </w:rPr>
              <w:t xml:space="preserve">  本项目总量控制指标  单位：t/a</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7"/>
              <w:gridCol w:w="2161"/>
              <w:gridCol w:w="2537"/>
              <w:gridCol w:w="19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8" w:type="dxa"/>
                  <w:vMerge w:val="restart"/>
                  <w:tcBorders>
                    <w:top w:val="single" w:color="auto" w:sz="4" w:space="0"/>
                    <w:left w:val="single" w:color="auto" w:sz="4" w:space="0"/>
                    <w:bottom w:val="single" w:color="auto" w:sz="4" w:space="0"/>
                    <w:right w:val="single" w:color="auto" w:sz="4" w:space="0"/>
                  </w:tcBorders>
                  <w:vAlign w:val="center"/>
                </w:tcPr>
                <w:p>
                  <w:pPr>
                    <w:pStyle w:val="52"/>
                    <w:rPr>
                      <w:b/>
                      <w:bCs/>
                    </w:rPr>
                  </w:pPr>
                  <w:bookmarkStart w:id="12" w:name="_Hlk132625103"/>
                  <w:r>
                    <w:rPr>
                      <w:b/>
                      <w:bCs/>
                    </w:rPr>
                    <w:t>类别</w:t>
                  </w:r>
                </w:p>
              </w:tc>
              <w:tc>
                <w:tcPr>
                  <w:tcW w:w="2130" w:type="dxa"/>
                  <w:vMerge w:val="restar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控制指标</w:t>
                  </w:r>
                </w:p>
              </w:tc>
              <w:tc>
                <w:tcPr>
                  <w:tcW w:w="4460" w:type="dxa"/>
                  <w:gridSpan w:val="2"/>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总量控制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8" w:type="dxa"/>
                  <w:vMerge w:val="continue"/>
                  <w:tcBorders>
                    <w:top w:val="single" w:color="auto" w:sz="4" w:space="0"/>
                    <w:left w:val="single" w:color="auto" w:sz="4" w:space="0"/>
                    <w:bottom w:val="single" w:color="auto" w:sz="4" w:space="0"/>
                    <w:right w:val="single" w:color="auto" w:sz="4" w:space="0"/>
                  </w:tcBorders>
                  <w:vAlign w:val="center"/>
                </w:tcPr>
                <w:p>
                  <w:pPr>
                    <w:pStyle w:val="52"/>
                    <w:rPr>
                      <w:b/>
                      <w:bCs/>
                    </w:rPr>
                  </w:pPr>
                </w:p>
              </w:tc>
              <w:tc>
                <w:tcPr>
                  <w:tcW w:w="2130" w:type="dxa"/>
                  <w:vMerge w:val="continue"/>
                  <w:tcBorders>
                    <w:top w:val="single" w:color="auto" w:sz="4" w:space="0"/>
                    <w:left w:val="single" w:color="auto" w:sz="4" w:space="0"/>
                    <w:bottom w:val="single" w:color="auto" w:sz="4" w:space="0"/>
                    <w:right w:val="single" w:color="auto" w:sz="4" w:space="0"/>
                  </w:tcBorders>
                  <w:vAlign w:val="center"/>
                </w:tcPr>
                <w:p>
                  <w:pPr>
                    <w:pStyle w:val="52"/>
                    <w:rPr>
                      <w:b/>
                      <w:bCs/>
                    </w:rPr>
                  </w:pPr>
                </w:p>
              </w:tc>
              <w:tc>
                <w:tcPr>
                  <w:tcW w:w="2500" w:type="dxa"/>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排入</w:t>
                  </w:r>
                  <w:r>
                    <w:rPr>
                      <w:rFonts w:hint="eastAsia"/>
                      <w:b/>
                      <w:bCs/>
                    </w:rPr>
                    <w:t>蒲吕</w:t>
                  </w:r>
                  <w:r>
                    <w:rPr>
                      <w:b/>
                      <w:bCs/>
                    </w:rPr>
                    <w:t>污水处理厂</w:t>
                  </w:r>
                </w:p>
              </w:tc>
              <w:tc>
                <w:tcPr>
                  <w:tcW w:w="1960" w:type="dxa"/>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排入</w:t>
                  </w:r>
                  <w:r>
                    <w:rPr>
                      <w:rFonts w:hint="eastAsia"/>
                      <w:b/>
                      <w:bCs/>
                    </w:rPr>
                    <w:t>小安溪</w:t>
                  </w:r>
                  <w:r>
                    <w:rPr>
                      <w:b/>
                      <w:bCs/>
                    </w:rPr>
                    <w:t>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8" w:type="dxa"/>
                  <w:vMerge w:val="restart"/>
                  <w:tcBorders>
                    <w:top w:val="nil"/>
                    <w:left w:val="single" w:color="auto" w:sz="4" w:space="0"/>
                    <w:bottom w:val="single" w:color="auto" w:sz="4" w:space="0"/>
                    <w:right w:val="single" w:color="auto" w:sz="4" w:space="0"/>
                  </w:tcBorders>
                  <w:vAlign w:val="center"/>
                </w:tcPr>
                <w:p>
                  <w:pPr>
                    <w:pStyle w:val="52"/>
                    <w:rPr>
                      <w:b/>
                    </w:rPr>
                  </w:pPr>
                  <w:r>
                    <w:t>水污染物</w:t>
                  </w:r>
                </w:p>
              </w:tc>
              <w:tc>
                <w:tcPr>
                  <w:tcW w:w="2130" w:type="dxa"/>
                  <w:tcBorders>
                    <w:top w:val="single" w:color="auto" w:sz="4" w:space="0"/>
                    <w:left w:val="single" w:color="auto" w:sz="4" w:space="0"/>
                    <w:bottom w:val="single" w:color="auto" w:sz="4" w:space="0"/>
                    <w:right w:val="single" w:color="auto" w:sz="4" w:space="0"/>
                  </w:tcBorders>
                  <w:vAlign w:val="center"/>
                </w:tcPr>
                <w:p>
                  <w:pPr>
                    <w:pStyle w:val="52"/>
                  </w:pPr>
                  <w:r>
                    <w:t>COD</w:t>
                  </w:r>
                </w:p>
              </w:tc>
              <w:tc>
                <w:tcPr>
                  <w:tcW w:w="2500"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0.1188</w:t>
                  </w:r>
                </w:p>
              </w:tc>
              <w:tc>
                <w:tcPr>
                  <w:tcW w:w="1960"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0.0149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58" w:type="dxa"/>
                  <w:vMerge w:val="continue"/>
                  <w:tcBorders>
                    <w:top w:val="nil"/>
                    <w:left w:val="single" w:color="auto" w:sz="4" w:space="0"/>
                    <w:bottom w:val="single" w:color="auto" w:sz="4" w:space="0"/>
                    <w:right w:val="single" w:color="auto" w:sz="4" w:space="0"/>
                  </w:tcBorders>
                  <w:vAlign w:val="center"/>
                </w:tcPr>
                <w:p>
                  <w:pPr>
                    <w:pStyle w:val="52"/>
                    <w:rPr>
                      <w:b/>
                    </w:rPr>
                  </w:pPr>
                </w:p>
              </w:tc>
              <w:tc>
                <w:tcPr>
                  <w:tcW w:w="2130" w:type="dxa"/>
                  <w:tcBorders>
                    <w:top w:val="single" w:color="auto" w:sz="4" w:space="0"/>
                    <w:left w:val="single" w:color="auto" w:sz="4" w:space="0"/>
                    <w:bottom w:val="single" w:color="auto" w:sz="4" w:space="0"/>
                    <w:right w:val="single" w:color="auto" w:sz="4" w:space="0"/>
                  </w:tcBorders>
                  <w:vAlign w:val="center"/>
                </w:tcPr>
                <w:p>
                  <w:pPr>
                    <w:pStyle w:val="52"/>
                  </w:pPr>
                  <w:r>
                    <w:t>BOD</w:t>
                  </w:r>
                  <w:r>
                    <w:rPr>
                      <w:vertAlign w:val="subscript"/>
                    </w:rPr>
                    <w:t>5</w:t>
                  </w:r>
                </w:p>
              </w:tc>
              <w:tc>
                <w:tcPr>
                  <w:tcW w:w="2500"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0.0594</w:t>
                  </w:r>
                </w:p>
              </w:tc>
              <w:tc>
                <w:tcPr>
                  <w:tcW w:w="1960"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0.0030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8" w:type="dxa"/>
                  <w:vMerge w:val="continue"/>
                  <w:tcBorders>
                    <w:top w:val="nil"/>
                    <w:left w:val="single" w:color="auto" w:sz="4" w:space="0"/>
                    <w:bottom w:val="single" w:color="auto" w:sz="4" w:space="0"/>
                    <w:right w:val="single" w:color="auto" w:sz="4" w:space="0"/>
                  </w:tcBorders>
                  <w:vAlign w:val="center"/>
                </w:tcPr>
                <w:p>
                  <w:pPr>
                    <w:pStyle w:val="52"/>
                    <w:rPr>
                      <w:b/>
                    </w:rPr>
                  </w:pPr>
                </w:p>
              </w:tc>
              <w:tc>
                <w:tcPr>
                  <w:tcW w:w="2130" w:type="dxa"/>
                  <w:tcBorders>
                    <w:top w:val="single" w:color="auto" w:sz="4" w:space="0"/>
                    <w:left w:val="single" w:color="auto" w:sz="4" w:space="0"/>
                    <w:bottom w:val="single" w:color="auto" w:sz="4" w:space="0"/>
                    <w:right w:val="single" w:color="auto" w:sz="4" w:space="0"/>
                  </w:tcBorders>
                  <w:vAlign w:val="center"/>
                </w:tcPr>
                <w:p>
                  <w:pPr>
                    <w:pStyle w:val="52"/>
                  </w:pPr>
                  <w:r>
                    <w:t>SS</w:t>
                  </w:r>
                </w:p>
              </w:tc>
              <w:tc>
                <w:tcPr>
                  <w:tcW w:w="2500"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0.0891</w:t>
                  </w:r>
                </w:p>
              </w:tc>
              <w:tc>
                <w:tcPr>
                  <w:tcW w:w="1960"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0.0030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8" w:type="dxa"/>
                  <w:vMerge w:val="continue"/>
                  <w:tcBorders>
                    <w:top w:val="nil"/>
                    <w:left w:val="single" w:color="auto" w:sz="4" w:space="0"/>
                    <w:bottom w:val="single" w:color="auto" w:sz="4" w:space="0"/>
                    <w:right w:val="single" w:color="auto" w:sz="4" w:space="0"/>
                  </w:tcBorders>
                  <w:vAlign w:val="center"/>
                </w:tcPr>
                <w:p>
                  <w:pPr>
                    <w:pStyle w:val="52"/>
                    <w:rPr>
                      <w:b/>
                    </w:rPr>
                  </w:pPr>
                </w:p>
              </w:tc>
              <w:tc>
                <w:tcPr>
                  <w:tcW w:w="2130" w:type="dxa"/>
                  <w:tcBorders>
                    <w:top w:val="single" w:color="auto" w:sz="4" w:space="0"/>
                    <w:left w:val="single" w:color="auto" w:sz="4" w:space="0"/>
                    <w:bottom w:val="single" w:color="auto" w:sz="4" w:space="0"/>
                    <w:right w:val="single" w:color="auto" w:sz="4" w:space="0"/>
                  </w:tcBorders>
                  <w:vAlign w:val="center"/>
                </w:tcPr>
                <w:p>
                  <w:pPr>
                    <w:pStyle w:val="52"/>
                  </w:pPr>
                  <w:r>
                    <w:t>NH</w:t>
                  </w:r>
                  <w:r>
                    <w:rPr>
                      <w:vertAlign w:val="subscript"/>
                    </w:rPr>
                    <w:t>3</w:t>
                  </w:r>
                  <w:r>
                    <w:t>-N</w:t>
                  </w:r>
                </w:p>
              </w:tc>
              <w:tc>
                <w:tcPr>
                  <w:tcW w:w="2500"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0.0119</w:t>
                  </w:r>
                </w:p>
              </w:tc>
              <w:tc>
                <w:tcPr>
                  <w:tcW w:w="1960"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0.0015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 w:hRule="atLeast"/>
              </w:trPr>
              <w:tc>
                <w:tcPr>
                  <w:tcW w:w="1258" w:type="dxa"/>
                  <w:tcBorders>
                    <w:top w:val="nil"/>
                    <w:left w:val="single" w:color="auto" w:sz="4" w:space="0"/>
                    <w:bottom w:val="single" w:color="auto" w:sz="4" w:space="0"/>
                    <w:right w:val="single" w:color="auto" w:sz="4" w:space="0"/>
                  </w:tcBorders>
                  <w:vAlign w:val="center"/>
                </w:tcPr>
                <w:p>
                  <w:pPr>
                    <w:pStyle w:val="52"/>
                  </w:pPr>
                  <w:r>
                    <w:t>大气污染物</w:t>
                  </w:r>
                </w:p>
              </w:tc>
              <w:tc>
                <w:tcPr>
                  <w:tcW w:w="2130" w:type="dxa"/>
                  <w:tcBorders>
                    <w:top w:val="single" w:color="auto" w:sz="4" w:space="0"/>
                    <w:left w:val="single" w:color="auto" w:sz="4" w:space="0"/>
                    <w:bottom w:val="single" w:color="auto" w:sz="4" w:space="0"/>
                    <w:right w:val="single" w:color="auto" w:sz="4" w:space="0"/>
                  </w:tcBorders>
                  <w:vAlign w:val="center"/>
                </w:tcPr>
                <w:p>
                  <w:pPr>
                    <w:pStyle w:val="52"/>
                  </w:pPr>
                  <w:r>
                    <w:t>非甲烷总烃</w:t>
                  </w:r>
                </w:p>
              </w:tc>
              <w:tc>
                <w:tcPr>
                  <w:tcW w:w="4460" w:type="dxa"/>
                  <w:gridSpan w:val="2"/>
                  <w:tcBorders>
                    <w:top w:val="single" w:color="auto" w:sz="4" w:space="0"/>
                    <w:left w:val="single" w:color="auto" w:sz="4" w:space="0"/>
                    <w:bottom w:val="single" w:color="auto" w:sz="4" w:space="0"/>
                    <w:right w:val="single" w:color="auto" w:sz="4" w:space="0"/>
                  </w:tcBorders>
                  <w:vAlign w:val="center"/>
                </w:tcPr>
                <w:p>
                  <w:pPr>
                    <w:pStyle w:val="52"/>
                  </w:pPr>
                  <w:r>
                    <w:t>0.391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 w:hRule="atLeast"/>
              </w:trPr>
              <w:tc>
                <w:tcPr>
                  <w:tcW w:w="3388" w:type="dxa"/>
                  <w:gridSpan w:val="2"/>
                  <w:tcBorders>
                    <w:top w:val="single" w:color="auto" w:sz="4" w:space="0"/>
                    <w:left w:val="single" w:color="auto" w:sz="4" w:space="0"/>
                    <w:bottom w:val="single" w:color="auto" w:sz="4" w:space="0"/>
                    <w:right w:val="single" w:color="auto" w:sz="4" w:space="0"/>
                  </w:tcBorders>
                  <w:vAlign w:val="center"/>
                </w:tcPr>
                <w:p>
                  <w:pPr>
                    <w:pStyle w:val="52"/>
                  </w:pPr>
                  <w:r>
                    <w:t>一般工业固废</w:t>
                  </w:r>
                </w:p>
              </w:tc>
              <w:tc>
                <w:tcPr>
                  <w:tcW w:w="4460" w:type="dxa"/>
                  <w:gridSpan w:val="2"/>
                  <w:tcBorders>
                    <w:top w:val="single" w:color="auto" w:sz="4" w:space="0"/>
                    <w:left w:val="single" w:color="auto" w:sz="4" w:space="0"/>
                    <w:bottom w:val="single" w:color="auto" w:sz="4" w:space="0"/>
                    <w:right w:val="single" w:color="auto" w:sz="4" w:space="0"/>
                  </w:tcBorders>
                  <w:vAlign w:val="center"/>
                </w:tcPr>
                <w:p>
                  <w:pPr>
                    <w:pStyle w:val="52"/>
                  </w:pPr>
                  <w:r>
                    <w:t>1</w:t>
                  </w:r>
                  <w:r>
                    <w:rPr>
                      <w:rFonts w:hint="eastAsia"/>
                    </w:rPr>
                    <w:t>.</w:t>
                  </w:r>
                  <w: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 w:hRule="atLeast"/>
              </w:trPr>
              <w:tc>
                <w:tcPr>
                  <w:tcW w:w="3388" w:type="dxa"/>
                  <w:gridSpan w:val="2"/>
                  <w:tcBorders>
                    <w:top w:val="single" w:color="auto" w:sz="4" w:space="0"/>
                    <w:left w:val="single" w:color="auto" w:sz="4" w:space="0"/>
                    <w:bottom w:val="single" w:color="auto" w:sz="4" w:space="0"/>
                    <w:right w:val="single" w:color="auto" w:sz="4" w:space="0"/>
                  </w:tcBorders>
                  <w:vAlign w:val="center"/>
                </w:tcPr>
                <w:p>
                  <w:pPr>
                    <w:pStyle w:val="52"/>
                  </w:pPr>
                  <w:r>
                    <w:t>危险废物</w:t>
                  </w:r>
                </w:p>
              </w:tc>
              <w:tc>
                <w:tcPr>
                  <w:tcW w:w="4460" w:type="dxa"/>
                  <w:gridSpan w:val="2"/>
                  <w:tcBorders>
                    <w:top w:val="single" w:color="auto" w:sz="4" w:space="0"/>
                    <w:left w:val="single" w:color="auto" w:sz="4" w:space="0"/>
                    <w:bottom w:val="single" w:color="auto" w:sz="4" w:space="0"/>
                    <w:right w:val="single" w:color="auto" w:sz="4" w:space="0"/>
                  </w:tcBorders>
                  <w:vAlign w:val="center"/>
                </w:tcPr>
                <w:p>
                  <w:pPr>
                    <w:pStyle w:val="52"/>
                  </w:pPr>
                  <w:r>
                    <w:t>44.745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 w:hRule="atLeast"/>
              </w:trPr>
              <w:tc>
                <w:tcPr>
                  <w:tcW w:w="3388" w:type="dxa"/>
                  <w:gridSpan w:val="2"/>
                  <w:tcBorders>
                    <w:top w:val="single" w:color="auto" w:sz="4" w:space="0"/>
                    <w:left w:val="single" w:color="auto" w:sz="4" w:space="0"/>
                    <w:bottom w:val="single" w:color="auto" w:sz="4" w:space="0"/>
                    <w:right w:val="single" w:color="auto" w:sz="4" w:space="0"/>
                  </w:tcBorders>
                  <w:vAlign w:val="center"/>
                </w:tcPr>
                <w:p>
                  <w:pPr>
                    <w:pStyle w:val="52"/>
                  </w:pPr>
                  <w:r>
                    <w:t>生活垃圾</w:t>
                  </w:r>
                </w:p>
              </w:tc>
              <w:tc>
                <w:tcPr>
                  <w:tcW w:w="4460" w:type="dxa"/>
                  <w:gridSpan w:val="2"/>
                  <w:tcBorders>
                    <w:top w:val="single" w:color="auto" w:sz="4" w:space="0"/>
                    <w:left w:val="single" w:color="auto" w:sz="4" w:space="0"/>
                    <w:bottom w:val="single" w:color="auto" w:sz="4" w:space="0"/>
                    <w:right w:val="single" w:color="auto" w:sz="4" w:space="0"/>
                  </w:tcBorders>
                  <w:vAlign w:val="center"/>
                </w:tcPr>
                <w:p>
                  <w:pPr>
                    <w:pStyle w:val="52"/>
                  </w:pPr>
                  <w:r>
                    <w:rPr>
                      <w:rFonts w:hint="eastAsia"/>
                    </w:rPr>
                    <w:t>3</w:t>
                  </w:r>
                  <w:r>
                    <w:t>.3</w:t>
                  </w:r>
                </w:p>
              </w:tc>
            </w:tr>
            <w:bookmarkEnd w:id="12"/>
          </w:tbl>
          <w:p>
            <w:pPr>
              <w:pStyle w:val="85"/>
              <w:ind w:firstLine="420"/>
            </w:pPr>
            <w:r>
              <w:rPr>
                <w:rFonts w:hint="eastAsia"/>
              </w:rPr>
              <w:t>注：固废为产生量。</w:t>
            </w:r>
          </w:p>
        </w:tc>
      </w:tr>
    </w:tbl>
    <w:p>
      <w:pPr>
        <w:pStyle w:val="20"/>
        <w:jc w:val="center"/>
        <w:outlineLvl w:val="0"/>
        <w:rPr>
          <w:rFonts w:ascii="Times New Roman" w:hAnsi="Times New Roman" w:eastAsia="黑体"/>
          <w:snapToGrid w:val="0"/>
          <w:sz w:val="21"/>
          <w:szCs w:val="21"/>
        </w:rPr>
        <w:sectPr>
          <w:pgSz w:w="11907" w:h="16840"/>
          <w:pgMar w:top="1701" w:right="1531" w:bottom="2127" w:left="1531" w:header="851" w:footer="851" w:gutter="0"/>
          <w:cols w:space="720" w:num="1"/>
          <w:docGrid w:linePitch="312" w:charSpace="0"/>
        </w:sectPr>
      </w:pPr>
    </w:p>
    <w:p>
      <w:pPr>
        <w:pStyle w:val="20"/>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四、主要环境影响和保护措施</w:t>
      </w:r>
    </w:p>
    <w:tbl>
      <w:tblPr>
        <w:tblStyle w:val="24"/>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57"/>
        <w:gridCol w:w="835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30" w:hRule="atLeast"/>
          <w:jc w:val="center"/>
        </w:trPr>
        <w:tc>
          <w:tcPr>
            <w:tcW w:w="557" w:type="dxa"/>
            <w:tcMar>
              <w:left w:w="28" w:type="dxa"/>
              <w:right w:w="28" w:type="dxa"/>
            </w:tcMar>
            <w:vAlign w:val="center"/>
          </w:tcPr>
          <w:p>
            <w:pPr>
              <w:pStyle w:val="20"/>
              <w:adjustRightInd w:val="0"/>
              <w:snapToGrid w:val="0"/>
              <w:spacing w:before="0" w:beforeAutospacing="0" w:after="0" w:afterAutospacing="0"/>
              <w:jc w:val="center"/>
              <w:rPr>
                <w:rFonts w:ascii="Times New Roman" w:hAnsi="Times New Roman"/>
                <w:bCs/>
                <w:kern w:val="2"/>
                <w:sz w:val="21"/>
                <w:szCs w:val="21"/>
              </w:rPr>
            </w:pPr>
            <w:r>
              <w:rPr>
                <w:rFonts w:hint="eastAsia" w:ascii="Times New Roman" w:hAnsi="Times New Roman"/>
                <w:kern w:val="2"/>
                <w:sz w:val="21"/>
                <w:szCs w:val="21"/>
              </w:rPr>
              <w:t>运营期环境影响和保护措施</w:t>
            </w:r>
          </w:p>
        </w:tc>
        <w:tc>
          <w:tcPr>
            <w:tcW w:w="8351" w:type="dxa"/>
          </w:tcPr>
          <w:p>
            <w:pPr>
              <w:pStyle w:val="82"/>
              <w:spacing w:line="336" w:lineRule="auto"/>
            </w:pPr>
            <w:r>
              <w:rPr>
                <w:rFonts w:hint="eastAsia"/>
              </w:rPr>
              <w:t>本</w:t>
            </w:r>
            <w:r>
              <w:t>项目</w:t>
            </w:r>
            <w:r>
              <w:rPr>
                <w:rFonts w:hint="eastAsia"/>
              </w:rPr>
              <w:t>系租</w:t>
            </w:r>
            <w:r>
              <w:t>赁</w:t>
            </w:r>
            <w:r>
              <w:rPr>
                <w:rFonts w:hint="eastAsia"/>
              </w:rPr>
              <w:t>由重庆绅鹏商业运营管理有限公司管理的已建闲置厂房建设，不涉及大型土建施工。施工期主要为厂房内部装修、装饰过程和设备安装调试，现场除少量粉尘和建筑垃圾外无其余污染物排放。</w:t>
            </w:r>
          </w:p>
          <w:p>
            <w:pPr>
              <w:pStyle w:val="82"/>
              <w:ind w:firstLine="482"/>
              <w:rPr>
                <w:b/>
                <w:bCs/>
              </w:rPr>
            </w:pPr>
            <w:r>
              <w:rPr>
                <w:b/>
                <w:bCs/>
              </w:rPr>
              <w:t>1</w:t>
            </w:r>
            <w:r>
              <w:rPr>
                <w:rFonts w:hint="eastAsia"/>
                <w:b/>
                <w:bCs/>
              </w:rPr>
              <w:t>、废气</w:t>
            </w:r>
          </w:p>
          <w:p>
            <w:pPr>
              <w:pStyle w:val="82"/>
              <w:spacing w:line="336" w:lineRule="auto"/>
            </w:pPr>
            <w:r>
              <w:rPr>
                <w:rFonts w:hint="eastAsia"/>
              </w:rPr>
              <w:t>施工期主要在现有厂房内进行装修和设备安装。建筑垃圾及建筑材料运输过程中会产生扬尘，扬尘具有流动性、瞬时性和无组织性。施工单位应加强施工现场管理，采用洒水抑尘或遮挡措施，减轻粉尘扩散。</w:t>
            </w:r>
          </w:p>
          <w:p>
            <w:pPr>
              <w:pStyle w:val="82"/>
              <w:spacing w:line="336" w:lineRule="auto"/>
            </w:pPr>
            <w:r>
              <w:rPr>
                <w:rFonts w:hint="eastAsia"/>
              </w:rPr>
              <w:t>为减少室内空气污染，建议装修中应选用符合国家标准的室内装饰和装修材料，以便从源头控制污染源；装修后不宜立即投入使用，应通风换气保持室内空气流通，以使室内污染物释放到不危害人体健康的浓度以下。</w:t>
            </w:r>
          </w:p>
          <w:p>
            <w:pPr>
              <w:pStyle w:val="82"/>
              <w:spacing w:line="336" w:lineRule="auto"/>
            </w:pPr>
            <w:r>
              <w:rPr>
                <w:rFonts w:hint="eastAsia"/>
              </w:rPr>
              <w:t>采用措施后对周围环境的影响较小。</w:t>
            </w:r>
          </w:p>
          <w:p>
            <w:pPr>
              <w:pStyle w:val="82"/>
              <w:ind w:firstLine="482"/>
              <w:rPr>
                <w:b/>
                <w:bCs/>
              </w:rPr>
            </w:pPr>
            <w:r>
              <w:rPr>
                <w:b/>
                <w:bCs/>
              </w:rPr>
              <w:t>2</w:t>
            </w:r>
            <w:r>
              <w:rPr>
                <w:rFonts w:hint="eastAsia"/>
                <w:b/>
                <w:bCs/>
              </w:rPr>
              <w:t>、噪声</w:t>
            </w:r>
          </w:p>
          <w:p>
            <w:pPr>
              <w:pStyle w:val="82"/>
            </w:pPr>
            <w:r>
              <w:rPr>
                <w:rFonts w:hint="eastAsia"/>
              </w:rPr>
              <w:t>施工期间的噪声主要是运输车辆的噪声、设备安装以及室内装修产生的噪声。本项目使用的厂房为已建厂房，设备安装和装修基本位于厂房内部，工期很短，通过厂房自身的隔音效果控制噪声，故施工期噪声对周边环境影响不大。</w:t>
            </w:r>
          </w:p>
          <w:p>
            <w:pPr>
              <w:pStyle w:val="82"/>
              <w:ind w:firstLine="482"/>
              <w:rPr>
                <w:b/>
                <w:bCs/>
              </w:rPr>
            </w:pPr>
            <w:r>
              <w:rPr>
                <w:rFonts w:hint="eastAsia"/>
                <w:b/>
                <w:bCs/>
              </w:rPr>
              <w:t>3、废水</w:t>
            </w:r>
          </w:p>
          <w:p>
            <w:pPr>
              <w:pStyle w:val="82"/>
              <w:rPr>
                <w:spacing w:val="-10"/>
              </w:rPr>
            </w:pPr>
            <w:r>
              <w:rPr>
                <w:rFonts w:hint="eastAsia"/>
              </w:rPr>
              <w:t>施工期废水主要为施工人员产生的生活废水及少量施工废水，依托租赁厂房已有的生化池处理达《污水综合排放标准》（GB8978-1996）三级标准后进行处理后排入市政管网，经蒲吕污水处理厂处理达《城镇污水处理厂污染物排放标准》一级A标准后排入小安溪。</w:t>
            </w:r>
          </w:p>
          <w:p>
            <w:pPr>
              <w:pStyle w:val="82"/>
              <w:ind w:firstLine="482"/>
              <w:rPr>
                <w:b/>
                <w:bCs/>
              </w:rPr>
            </w:pPr>
            <w:r>
              <w:rPr>
                <w:rFonts w:hint="eastAsia"/>
                <w:b/>
                <w:bCs/>
              </w:rPr>
              <w:t>4、固体废物</w:t>
            </w:r>
          </w:p>
          <w:p>
            <w:pPr>
              <w:pStyle w:val="82"/>
            </w:pPr>
            <w:r>
              <w:rPr>
                <w:rFonts w:hint="eastAsia"/>
              </w:rPr>
              <w:t>本项目施工期产生的固体废弃物包括废包装物、木板等建筑垃圾、生活垃圾等。生活垃圾经收集后交由环卫部门处理处置；设备包装废料经收集后外售；建筑材料边角料由建设单位清运至指定渣场处置</w:t>
            </w:r>
            <w:r>
              <w:rPr>
                <w:rFonts w:hint="eastAsia"/>
                <w:spacing w:val="-10"/>
              </w:rPr>
              <w:t>。</w:t>
            </w:r>
            <w:r>
              <w:rPr>
                <w:rFonts w:hint="eastAsia"/>
              </w:rPr>
              <w:t>装修过程中产生的油漆桶等委托有资质单位处置。</w:t>
            </w:r>
          </w:p>
          <w:p>
            <w:pPr>
              <w:pStyle w:val="82"/>
            </w:pPr>
            <w:r>
              <w:rPr>
                <w:rFonts w:hint="eastAsia"/>
              </w:rPr>
              <w:t>本项目施工期工程量小，施工期短，通过采取上述措施后，施工期产生的污染物不会对环境产生不利影响。</w:t>
            </w:r>
          </w:p>
        </w:tc>
      </w:tr>
    </w:tbl>
    <w:p>
      <w:pPr>
        <w:adjustRightInd w:val="0"/>
        <w:snapToGrid w:val="0"/>
        <w:jc w:val="center"/>
        <w:rPr>
          <w:bCs/>
        </w:rPr>
        <w:sectPr>
          <w:pgSz w:w="11907" w:h="16840"/>
          <w:pgMar w:top="1701" w:right="1531" w:bottom="2127" w:left="1531" w:header="851" w:footer="851" w:gutter="0"/>
          <w:cols w:space="720" w:num="1"/>
          <w:docGrid w:linePitch="312" w:charSpace="0"/>
        </w:sectPr>
      </w:pPr>
    </w:p>
    <w:tbl>
      <w:tblPr>
        <w:tblStyle w:val="24"/>
        <w:tblW w:w="505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0"/>
        <w:gridCol w:w="1288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76" w:hRule="atLeast"/>
          <w:jc w:val="center"/>
        </w:trPr>
        <w:tc>
          <w:tcPr>
            <w:tcW w:w="158" w:type="pct"/>
            <w:tcMar>
              <w:left w:w="28" w:type="dxa"/>
              <w:right w:w="28" w:type="dxa"/>
            </w:tcMar>
            <w:vAlign w:val="center"/>
          </w:tcPr>
          <w:p>
            <w:pPr>
              <w:adjustRightInd w:val="0"/>
              <w:snapToGrid w:val="0"/>
              <w:jc w:val="center"/>
              <w:rPr>
                <w:bCs/>
              </w:rPr>
            </w:pPr>
            <w:r>
              <w:rPr>
                <w:bCs/>
              </w:rPr>
              <w:t>运营期环境影响和保护措施</w:t>
            </w:r>
          </w:p>
        </w:tc>
        <w:tc>
          <w:tcPr>
            <w:tcW w:w="4842" w:type="pct"/>
            <w:vAlign w:val="center"/>
          </w:tcPr>
          <w:p>
            <w:pPr>
              <w:pStyle w:val="82"/>
              <w:ind w:firstLine="482"/>
              <w:rPr>
                <w:b/>
                <w:bCs/>
              </w:rPr>
            </w:pPr>
            <w:r>
              <w:rPr>
                <w:b/>
                <w:bCs/>
              </w:rPr>
              <w:t>1</w:t>
            </w:r>
            <w:r>
              <w:rPr>
                <w:rFonts w:hint="eastAsia"/>
                <w:b/>
                <w:bCs/>
              </w:rPr>
              <w:t>、废气</w:t>
            </w:r>
          </w:p>
          <w:p>
            <w:pPr>
              <w:pStyle w:val="82"/>
            </w:pPr>
            <w:r>
              <w:t>营运期产生</w:t>
            </w:r>
            <w:r>
              <w:rPr>
                <w:rFonts w:hint="eastAsia"/>
              </w:rPr>
              <w:t>的</w:t>
            </w:r>
            <w:r>
              <w:t>废气主要为</w:t>
            </w:r>
            <w:r>
              <w:rPr>
                <w:rFonts w:hint="eastAsia"/>
              </w:rPr>
              <w:t>挤出有机废气</w:t>
            </w:r>
            <w:r>
              <w:t>。</w:t>
            </w:r>
          </w:p>
          <w:p>
            <w:pPr>
              <w:pStyle w:val="82"/>
              <w:ind w:firstLine="482"/>
              <w:rPr>
                <w:b/>
                <w:bCs/>
              </w:rPr>
            </w:pPr>
            <w:r>
              <w:rPr>
                <w:rFonts w:hint="eastAsia"/>
                <w:b/>
                <w:bCs/>
              </w:rPr>
              <w:t>（1）</w:t>
            </w:r>
            <w:r>
              <w:rPr>
                <w:b/>
                <w:bCs/>
              </w:rPr>
              <w:t>废气污染源强核算结果及相关参数情况</w:t>
            </w:r>
          </w:p>
          <w:p>
            <w:pPr>
              <w:pStyle w:val="82"/>
            </w:pPr>
            <w:r>
              <w:t>废气污染源强核算结果及相关参数见表4-1。</w:t>
            </w:r>
          </w:p>
          <w:p>
            <w:pPr>
              <w:pStyle w:val="83"/>
            </w:pPr>
            <w:r>
              <w:t>表4-1  废气污染源强核算结果及相关参数一览表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7"/>
              <w:gridCol w:w="709"/>
              <w:gridCol w:w="709"/>
              <w:gridCol w:w="506"/>
              <w:gridCol w:w="855"/>
              <w:gridCol w:w="1012"/>
              <w:gridCol w:w="904"/>
              <w:gridCol w:w="1012"/>
              <w:gridCol w:w="858"/>
              <w:gridCol w:w="858"/>
              <w:gridCol w:w="749"/>
              <w:gridCol w:w="810"/>
              <w:gridCol w:w="909"/>
              <w:gridCol w:w="863"/>
              <w:gridCol w:w="8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 w:hRule="atLeast"/>
              </w:trPr>
              <w:tc>
                <w:tcPr>
                  <w:tcW w:w="402" w:type="pct"/>
                  <w:vMerge w:val="restart"/>
                  <w:tcBorders>
                    <w:top w:val="single" w:color="auto" w:sz="4" w:space="0"/>
                    <w:left w:val="single" w:color="auto" w:sz="4" w:space="0"/>
                    <w:right w:val="single" w:color="auto" w:sz="4" w:space="0"/>
                  </w:tcBorders>
                  <w:vAlign w:val="center"/>
                </w:tcPr>
                <w:p>
                  <w:pPr>
                    <w:pStyle w:val="52"/>
                    <w:rPr>
                      <w:b/>
                      <w:bCs/>
                    </w:rPr>
                  </w:pPr>
                  <w:r>
                    <w:rPr>
                      <w:b/>
                      <w:bCs/>
                    </w:rPr>
                    <w:t>排放编号</w:t>
                  </w:r>
                </w:p>
              </w:tc>
              <w:tc>
                <w:tcPr>
                  <w:tcW w:w="280" w:type="pct"/>
                  <w:vMerge w:val="restart"/>
                  <w:tcBorders>
                    <w:top w:val="single" w:color="auto" w:sz="4" w:space="0"/>
                    <w:left w:val="single" w:color="auto" w:sz="4" w:space="0"/>
                    <w:right w:val="single" w:color="auto" w:sz="4" w:space="0"/>
                  </w:tcBorders>
                  <w:vAlign w:val="center"/>
                </w:tcPr>
                <w:p>
                  <w:pPr>
                    <w:pStyle w:val="52"/>
                    <w:rPr>
                      <w:b/>
                      <w:bCs/>
                    </w:rPr>
                  </w:pPr>
                  <w:r>
                    <w:rPr>
                      <w:b/>
                      <w:bCs/>
                    </w:rPr>
                    <w:t>产污环节</w:t>
                  </w:r>
                </w:p>
              </w:tc>
              <w:tc>
                <w:tcPr>
                  <w:tcW w:w="280" w:type="pct"/>
                  <w:vMerge w:val="restart"/>
                  <w:tcBorders>
                    <w:top w:val="single" w:color="auto" w:sz="4" w:space="0"/>
                    <w:left w:val="single" w:color="auto" w:sz="4" w:space="0"/>
                    <w:right w:val="single" w:color="auto" w:sz="4" w:space="0"/>
                  </w:tcBorders>
                  <w:vAlign w:val="center"/>
                </w:tcPr>
                <w:p>
                  <w:pPr>
                    <w:pStyle w:val="52"/>
                    <w:rPr>
                      <w:b/>
                      <w:bCs/>
                    </w:rPr>
                  </w:pPr>
                  <w:r>
                    <w:rPr>
                      <w:b/>
                      <w:bCs/>
                    </w:rPr>
                    <w:t>污染物种类</w:t>
                  </w:r>
                </w:p>
              </w:tc>
              <w:tc>
                <w:tcPr>
                  <w:tcW w:w="200" w:type="pct"/>
                  <w:vMerge w:val="restart"/>
                  <w:tcBorders>
                    <w:top w:val="single" w:color="auto" w:sz="4" w:space="0"/>
                    <w:left w:val="single" w:color="auto" w:sz="4" w:space="0"/>
                    <w:right w:val="single" w:color="auto" w:sz="4" w:space="0"/>
                  </w:tcBorders>
                  <w:vAlign w:val="center"/>
                </w:tcPr>
                <w:p>
                  <w:pPr>
                    <w:pStyle w:val="52"/>
                    <w:rPr>
                      <w:b/>
                      <w:bCs/>
                    </w:rPr>
                  </w:pPr>
                  <w:r>
                    <w:rPr>
                      <w:b/>
                      <w:bCs/>
                    </w:rPr>
                    <w:t>排放形式</w:t>
                  </w:r>
                </w:p>
              </w:tc>
              <w:tc>
                <w:tcPr>
                  <w:tcW w:w="738" w:type="pct"/>
                  <w:gridSpan w:val="2"/>
                  <w:vMerge w:val="restart"/>
                  <w:tcBorders>
                    <w:top w:val="single" w:color="auto" w:sz="4" w:space="0"/>
                    <w:left w:val="single" w:color="auto" w:sz="4" w:space="0"/>
                    <w:right w:val="single" w:color="auto" w:sz="4" w:space="0"/>
                  </w:tcBorders>
                  <w:vAlign w:val="center"/>
                </w:tcPr>
                <w:p>
                  <w:pPr>
                    <w:pStyle w:val="52"/>
                    <w:rPr>
                      <w:b/>
                      <w:bCs/>
                    </w:rPr>
                  </w:pPr>
                  <w:r>
                    <w:rPr>
                      <w:b/>
                      <w:bCs/>
                    </w:rPr>
                    <w:t>有组织产生情况</w:t>
                  </w:r>
                </w:p>
              </w:tc>
              <w:tc>
                <w:tcPr>
                  <w:tcW w:w="1731" w:type="pct"/>
                  <w:gridSpan w:val="5"/>
                  <w:vMerge w:val="restart"/>
                  <w:tcBorders>
                    <w:top w:val="single" w:color="auto" w:sz="4" w:space="0"/>
                    <w:left w:val="single" w:color="auto" w:sz="4" w:space="0"/>
                    <w:right w:val="single" w:color="auto" w:sz="4" w:space="0"/>
                  </w:tcBorders>
                  <w:vAlign w:val="center"/>
                </w:tcPr>
                <w:p>
                  <w:pPr>
                    <w:pStyle w:val="52"/>
                    <w:rPr>
                      <w:b/>
                      <w:bCs/>
                    </w:rPr>
                  </w:pPr>
                  <w:r>
                    <w:rPr>
                      <w:b/>
                      <w:bCs/>
                    </w:rPr>
                    <w:t>治理设施</w:t>
                  </w:r>
                </w:p>
              </w:tc>
              <w:tc>
                <w:tcPr>
                  <w:tcW w:w="1369" w:type="pct"/>
                  <w:gridSpan w:val="4"/>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污染物排放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 w:hRule="atLeast"/>
              </w:trPr>
              <w:tc>
                <w:tcPr>
                  <w:tcW w:w="402" w:type="pct"/>
                  <w:vMerge w:val="continue"/>
                  <w:tcBorders>
                    <w:top w:val="single" w:color="auto" w:sz="4" w:space="0"/>
                    <w:left w:val="single" w:color="auto" w:sz="4" w:space="0"/>
                    <w:right w:val="single" w:color="auto" w:sz="4" w:space="0"/>
                  </w:tcBorders>
                  <w:vAlign w:val="center"/>
                </w:tcPr>
                <w:p>
                  <w:pPr>
                    <w:pStyle w:val="52"/>
                    <w:rPr>
                      <w:b/>
                      <w:bCs/>
                    </w:rPr>
                  </w:pPr>
                </w:p>
              </w:tc>
              <w:tc>
                <w:tcPr>
                  <w:tcW w:w="280" w:type="pct"/>
                  <w:vMerge w:val="continue"/>
                  <w:tcBorders>
                    <w:top w:val="single" w:color="auto" w:sz="4" w:space="0"/>
                    <w:left w:val="single" w:color="auto" w:sz="4" w:space="0"/>
                    <w:right w:val="single" w:color="auto" w:sz="4" w:space="0"/>
                  </w:tcBorders>
                  <w:vAlign w:val="center"/>
                </w:tcPr>
                <w:p>
                  <w:pPr>
                    <w:pStyle w:val="52"/>
                    <w:rPr>
                      <w:b/>
                      <w:bCs/>
                    </w:rPr>
                  </w:pPr>
                </w:p>
              </w:tc>
              <w:tc>
                <w:tcPr>
                  <w:tcW w:w="280" w:type="pct"/>
                  <w:vMerge w:val="continue"/>
                  <w:tcBorders>
                    <w:top w:val="single" w:color="auto" w:sz="4" w:space="0"/>
                    <w:left w:val="single" w:color="auto" w:sz="4" w:space="0"/>
                    <w:right w:val="single" w:color="auto" w:sz="4" w:space="0"/>
                  </w:tcBorders>
                  <w:vAlign w:val="center"/>
                </w:tcPr>
                <w:p>
                  <w:pPr>
                    <w:pStyle w:val="52"/>
                    <w:rPr>
                      <w:b/>
                      <w:bCs/>
                    </w:rPr>
                  </w:pPr>
                </w:p>
              </w:tc>
              <w:tc>
                <w:tcPr>
                  <w:tcW w:w="200" w:type="pct"/>
                  <w:vMerge w:val="continue"/>
                  <w:tcBorders>
                    <w:top w:val="single" w:color="auto" w:sz="4" w:space="0"/>
                    <w:left w:val="single" w:color="auto" w:sz="4" w:space="0"/>
                    <w:right w:val="single" w:color="auto" w:sz="4" w:space="0"/>
                  </w:tcBorders>
                  <w:vAlign w:val="center"/>
                </w:tcPr>
                <w:p>
                  <w:pPr>
                    <w:pStyle w:val="52"/>
                    <w:rPr>
                      <w:b/>
                      <w:bCs/>
                    </w:rPr>
                  </w:pPr>
                </w:p>
              </w:tc>
              <w:tc>
                <w:tcPr>
                  <w:tcW w:w="738" w:type="pct"/>
                  <w:gridSpan w:val="2"/>
                  <w:vMerge w:val="continue"/>
                  <w:tcBorders>
                    <w:left w:val="single" w:color="auto" w:sz="4" w:space="0"/>
                    <w:bottom w:val="single" w:color="auto" w:sz="4" w:space="0"/>
                    <w:right w:val="single" w:color="auto" w:sz="4" w:space="0"/>
                  </w:tcBorders>
                  <w:vAlign w:val="center"/>
                </w:tcPr>
                <w:p>
                  <w:pPr>
                    <w:pStyle w:val="52"/>
                    <w:rPr>
                      <w:b/>
                      <w:bCs/>
                    </w:rPr>
                  </w:pPr>
                </w:p>
              </w:tc>
              <w:tc>
                <w:tcPr>
                  <w:tcW w:w="1731" w:type="pct"/>
                  <w:gridSpan w:val="5"/>
                  <w:vMerge w:val="continue"/>
                  <w:tcBorders>
                    <w:left w:val="single" w:color="auto" w:sz="4" w:space="0"/>
                    <w:bottom w:val="single" w:color="auto" w:sz="4" w:space="0"/>
                    <w:right w:val="single" w:color="auto" w:sz="4" w:space="0"/>
                  </w:tcBorders>
                  <w:vAlign w:val="center"/>
                </w:tcPr>
                <w:p>
                  <w:pPr>
                    <w:pStyle w:val="52"/>
                    <w:rPr>
                      <w:b/>
                      <w:bCs/>
                    </w:rPr>
                  </w:pPr>
                </w:p>
              </w:tc>
              <w:tc>
                <w:tcPr>
                  <w:tcW w:w="1020" w:type="pct"/>
                  <w:gridSpan w:val="3"/>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有组织排放</w:t>
                  </w:r>
                </w:p>
              </w:tc>
              <w:tc>
                <w:tcPr>
                  <w:tcW w:w="349"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402" w:type="pct"/>
                  <w:vMerge w:val="continue"/>
                  <w:tcBorders>
                    <w:left w:val="single" w:color="auto" w:sz="4" w:space="0"/>
                    <w:bottom w:val="single" w:color="auto" w:sz="4" w:space="0"/>
                    <w:right w:val="single" w:color="auto" w:sz="4" w:space="0"/>
                  </w:tcBorders>
                  <w:vAlign w:val="center"/>
                </w:tcPr>
                <w:p>
                  <w:pPr>
                    <w:pStyle w:val="52"/>
                    <w:rPr>
                      <w:b/>
                      <w:bCs/>
                    </w:rPr>
                  </w:pPr>
                </w:p>
              </w:tc>
              <w:tc>
                <w:tcPr>
                  <w:tcW w:w="280" w:type="pct"/>
                  <w:vMerge w:val="continue"/>
                  <w:tcBorders>
                    <w:left w:val="single" w:color="auto" w:sz="4" w:space="0"/>
                    <w:bottom w:val="single" w:color="auto" w:sz="4" w:space="0"/>
                    <w:right w:val="single" w:color="auto" w:sz="4" w:space="0"/>
                  </w:tcBorders>
                  <w:vAlign w:val="center"/>
                </w:tcPr>
                <w:p>
                  <w:pPr>
                    <w:pStyle w:val="52"/>
                    <w:rPr>
                      <w:b/>
                      <w:bCs/>
                    </w:rPr>
                  </w:pPr>
                </w:p>
              </w:tc>
              <w:tc>
                <w:tcPr>
                  <w:tcW w:w="280" w:type="pct"/>
                  <w:vMerge w:val="continue"/>
                  <w:tcBorders>
                    <w:left w:val="single" w:color="auto" w:sz="4" w:space="0"/>
                    <w:bottom w:val="single" w:color="auto" w:sz="4" w:space="0"/>
                    <w:right w:val="single" w:color="auto" w:sz="4" w:space="0"/>
                  </w:tcBorders>
                  <w:vAlign w:val="center"/>
                </w:tcPr>
                <w:p>
                  <w:pPr>
                    <w:pStyle w:val="52"/>
                    <w:rPr>
                      <w:b/>
                      <w:bCs/>
                    </w:rPr>
                  </w:pPr>
                </w:p>
              </w:tc>
              <w:tc>
                <w:tcPr>
                  <w:tcW w:w="200" w:type="pct"/>
                  <w:vMerge w:val="continue"/>
                  <w:tcBorders>
                    <w:left w:val="single" w:color="auto" w:sz="4" w:space="0"/>
                    <w:bottom w:val="single" w:color="auto" w:sz="4" w:space="0"/>
                    <w:right w:val="single" w:color="auto" w:sz="4" w:space="0"/>
                  </w:tcBorders>
                  <w:vAlign w:val="center"/>
                </w:tcPr>
                <w:p>
                  <w:pPr>
                    <w:pStyle w:val="52"/>
                    <w:rPr>
                      <w:b/>
                      <w:bCs/>
                    </w:rPr>
                  </w:pPr>
                </w:p>
              </w:tc>
              <w:tc>
                <w:tcPr>
                  <w:tcW w:w="338"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产生量t/a</w:t>
                  </w:r>
                </w:p>
              </w:tc>
              <w:tc>
                <w:tcPr>
                  <w:tcW w:w="400"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产生浓度mg/</w:t>
                  </w:r>
                  <w:r>
                    <w:rPr>
                      <w:rFonts w:hint="eastAsia"/>
                      <w:b/>
                      <w:bCs/>
                    </w:rPr>
                    <w:t>m</w:t>
                  </w:r>
                  <w:r>
                    <w:rPr>
                      <w:rFonts w:hint="eastAsia"/>
                      <w:b/>
                      <w:bCs/>
                      <w:vertAlign w:val="superscript"/>
                    </w:rPr>
                    <w:t>3</w:t>
                  </w:r>
                </w:p>
              </w:tc>
              <w:tc>
                <w:tcPr>
                  <w:tcW w:w="357"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治处理工艺</w:t>
                  </w:r>
                </w:p>
              </w:tc>
              <w:tc>
                <w:tcPr>
                  <w:tcW w:w="400"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风机风量</w:t>
                  </w:r>
                  <w:r>
                    <w:rPr>
                      <w:rFonts w:hint="eastAsia"/>
                      <w:b/>
                      <w:bCs/>
                    </w:rPr>
                    <w:t>m</w:t>
                  </w:r>
                  <w:r>
                    <w:rPr>
                      <w:rFonts w:hint="eastAsia"/>
                      <w:b/>
                      <w:bCs/>
                      <w:vertAlign w:val="superscript"/>
                    </w:rPr>
                    <w:t>3</w:t>
                  </w:r>
                  <w:r>
                    <w:rPr>
                      <w:b/>
                      <w:bCs/>
                    </w:rPr>
                    <w:t>/h</w:t>
                  </w:r>
                </w:p>
              </w:tc>
              <w:tc>
                <w:tcPr>
                  <w:tcW w:w="339"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收集效率（%）</w:t>
                  </w:r>
                </w:p>
              </w:tc>
              <w:tc>
                <w:tcPr>
                  <w:tcW w:w="339"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去除效率（%）</w:t>
                  </w:r>
                </w:p>
              </w:tc>
              <w:tc>
                <w:tcPr>
                  <w:tcW w:w="296"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是否为可行技术</w:t>
                  </w:r>
                </w:p>
              </w:tc>
              <w:tc>
                <w:tcPr>
                  <w:tcW w:w="320"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排放</w:t>
                  </w:r>
                </w:p>
                <w:p>
                  <w:pPr>
                    <w:pStyle w:val="52"/>
                    <w:rPr>
                      <w:b/>
                      <w:bCs/>
                    </w:rPr>
                  </w:pPr>
                  <w:r>
                    <w:rPr>
                      <w:b/>
                      <w:bCs/>
                    </w:rPr>
                    <w:t>浓度</w:t>
                  </w:r>
                </w:p>
                <w:p>
                  <w:pPr>
                    <w:pStyle w:val="52"/>
                    <w:rPr>
                      <w:b/>
                      <w:bCs/>
                    </w:rPr>
                  </w:pPr>
                  <w:r>
                    <w:rPr>
                      <w:b/>
                      <w:bCs/>
                    </w:rPr>
                    <w:t>mg/</w:t>
                  </w:r>
                  <w:r>
                    <w:rPr>
                      <w:rFonts w:hint="eastAsia"/>
                      <w:b/>
                      <w:bCs/>
                    </w:rPr>
                    <w:t>m</w:t>
                  </w:r>
                  <w:r>
                    <w:rPr>
                      <w:rFonts w:hint="eastAsia"/>
                      <w:b/>
                      <w:bCs/>
                      <w:vertAlign w:val="superscript"/>
                    </w:rPr>
                    <w:t>3</w:t>
                  </w:r>
                </w:p>
              </w:tc>
              <w:tc>
                <w:tcPr>
                  <w:tcW w:w="359"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排放速率</w:t>
                  </w:r>
                  <w:r>
                    <w:rPr>
                      <w:rFonts w:hint="eastAsia"/>
                      <w:b/>
                      <w:bCs/>
                    </w:rPr>
                    <w:t>k</w:t>
                  </w:r>
                  <w:r>
                    <w:rPr>
                      <w:b/>
                      <w:bCs/>
                    </w:rPr>
                    <w:t>g/h</w:t>
                  </w:r>
                </w:p>
              </w:tc>
              <w:tc>
                <w:tcPr>
                  <w:tcW w:w="341"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排放量t/a</w:t>
                  </w:r>
                </w:p>
              </w:tc>
              <w:tc>
                <w:tcPr>
                  <w:tcW w:w="349"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2" w:hRule="atLeast"/>
              </w:trPr>
              <w:tc>
                <w:tcPr>
                  <w:tcW w:w="402" w:type="pct"/>
                  <w:tcBorders>
                    <w:left w:val="single" w:color="auto" w:sz="4" w:space="0"/>
                    <w:right w:val="single" w:color="auto" w:sz="4" w:space="0"/>
                  </w:tcBorders>
                  <w:vAlign w:val="center"/>
                </w:tcPr>
                <w:p>
                  <w:pPr>
                    <w:pStyle w:val="52"/>
                  </w:pPr>
                  <w:r>
                    <w:rPr>
                      <w:rFonts w:hint="eastAsia"/>
                    </w:rPr>
                    <w:t>DA</w:t>
                  </w:r>
                  <w:r>
                    <w:t>001</w:t>
                  </w:r>
                </w:p>
              </w:tc>
              <w:tc>
                <w:tcPr>
                  <w:tcW w:w="280" w:type="pct"/>
                  <w:tcBorders>
                    <w:left w:val="single" w:color="auto" w:sz="4" w:space="0"/>
                    <w:right w:val="single" w:color="auto" w:sz="4" w:space="0"/>
                  </w:tcBorders>
                  <w:vAlign w:val="center"/>
                </w:tcPr>
                <w:p>
                  <w:pPr>
                    <w:pStyle w:val="52"/>
                  </w:pPr>
                  <w:r>
                    <w:rPr>
                      <w:rFonts w:hint="eastAsia"/>
                    </w:rPr>
                    <w:t>挤出</w:t>
                  </w:r>
                </w:p>
              </w:tc>
              <w:tc>
                <w:tcPr>
                  <w:tcW w:w="280" w:type="pct"/>
                  <w:tcBorders>
                    <w:left w:val="single" w:color="auto" w:sz="4" w:space="0"/>
                    <w:right w:val="single" w:color="auto" w:sz="4" w:space="0"/>
                  </w:tcBorders>
                  <w:vAlign w:val="center"/>
                </w:tcPr>
                <w:p>
                  <w:pPr>
                    <w:pStyle w:val="52"/>
                  </w:pPr>
                  <w:r>
                    <w:rPr>
                      <w:rFonts w:hint="eastAsia"/>
                    </w:rPr>
                    <w:t>非甲烷总烃</w:t>
                  </w:r>
                </w:p>
              </w:tc>
              <w:tc>
                <w:tcPr>
                  <w:tcW w:w="200" w:type="pct"/>
                  <w:tcBorders>
                    <w:left w:val="single" w:color="auto" w:sz="4" w:space="0"/>
                    <w:right w:val="single" w:color="auto" w:sz="4" w:space="0"/>
                  </w:tcBorders>
                  <w:vAlign w:val="center"/>
                </w:tcPr>
                <w:p>
                  <w:pPr>
                    <w:pStyle w:val="52"/>
                  </w:pPr>
                  <w:r>
                    <w:t>有组织</w:t>
                  </w:r>
                </w:p>
              </w:tc>
              <w:tc>
                <w:tcPr>
                  <w:tcW w:w="338" w:type="pct"/>
                  <w:tcBorders>
                    <w:top w:val="single" w:color="auto" w:sz="4" w:space="0"/>
                    <w:left w:val="single" w:color="auto" w:sz="4" w:space="0"/>
                    <w:right w:val="single" w:color="auto" w:sz="4" w:space="0"/>
                  </w:tcBorders>
                  <w:vAlign w:val="center"/>
                </w:tcPr>
                <w:p>
                  <w:pPr>
                    <w:pStyle w:val="52"/>
                    <w:rPr>
                      <w:snapToGrid w:val="0"/>
                      <w:kern w:val="28"/>
                    </w:rPr>
                  </w:pPr>
                  <w:r>
                    <w:rPr>
                      <w:snapToGrid w:val="0"/>
                      <w:kern w:val="28"/>
                    </w:rPr>
                    <w:t>9</w:t>
                  </w:r>
                  <w:r>
                    <w:rPr>
                      <w:rFonts w:hint="eastAsia"/>
                      <w:snapToGrid w:val="0"/>
                      <w:kern w:val="28"/>
                    </w:rPr>
                    <w:t>.</w:t>
                  </w:r>
                  <w:r>
                    <w:rPr>
                      <w:snapToGrid w:val="0"/>
                      <w:kern w:val="28"/>
                    </w:rPr>
                    <w:t>2</w:t>
                  </w:r>
                </w:p>
              </w:tc>
              <w:tc>
                <w:tcPr>
                  <w:tcW w:w="400" w:type="pct"/>
                  <w:tcBorders>
                    <w:top w:val="single" w:color="auto" w:sz="4" w:space="0"/>
                    <w:left w:val="single" w:color="auto" w:sz="4" w:space="0"/>
                    <w:right w:val="single" w:color="auto" w:sz="4" w:space="0"/>
                  </w:tcBorders>
                  <w:vAlign w:val="center"/>
                </w:tcPr>
                <w:p>
                  <w:pPr>
                    <w:pStyle w:val="52"/>
                    <w:rPr>
                      <w:snapToGrid w:val="0"/>
                      <w:kern w:val="28"/>
                    </w:rPr>
                  </w:pPr>
                  <w:r>
                    <w:rPr>
                      <w:snapToGrid w:val="0"/>
                      <w:kern w:val="28"/>
                    </w:rPr>
                    <w:t>173</w:t>
                  </w:r>
                  <w:r>
                    <w:rPr>
                      <w:rFonts w:hint="eastAsia"/>
                      <w:snapToGrid w:val="0"/>
                      <w:kern w:val="28"/>
                    </w:rPr>
                    <w:t>.</w:t>
                  </w:r>
                  <w:r>
                    <w:rPr>
                      <w:snapToGrid w:val="0"/>
                      <w:kern w:val="28"/>
                    </w:rPr>
                    <w:t>78</w:t>
                  </w:r>
                </w:p>
              </w:tc>
              <w:tc>
                <w:tcPr>
                  <w:tcW w:w="357" w:type="pct"/>
                  <w:tcBorders>
                    <w:left w:val="single" w:color="auto" w:sz="4" w:space="0"/>
                    <w:right w:val="single" w:color="auto" w:sz="4" w:space="0"/>
                  </w:tcBorders>
                  <w:vAlign w:val="center"/>
                </w:tcPr>
                <w:p>
                  <w:pPr>
                    <w:pStyle w:val="52"/>
                    <w:wordWrap w:val="0"/>
                  </w:pPr>
                  <w:r>
                    <w:rPr>
                      <w:rFonts w:hint="eastAsia"/>
                    </w:rPr>
                    <w:t>UV光催化+三级活性炭吸附</w:t>
                  </w:r>
                </w:p>
              </w:tc>
              <w:tc>
                <w:tcPr>
                  <w:tcW w:w="400" w:type="pct"/>
                  <w:tcBorders>
                    <w:left w:val="single" w:color="auto" w:sz="4" w:space="0"/>
                    <w:right w:val="single" w:color="auto" w:sz="4" w:space="0"/>
                  </w:tcBorders>
                  <w:vAlign w:val="center"/>
                </w:tcPr>
                <w:p>
                  <w:pPr>
                    <w:pStyle w:val="52"/>
                  </w:pPr>
                  <w:r>
                    <w:t>15000</w:t>
                  </w:r>
                </w:p>
              </w:tc>
              <w:tc>
                <w:tcPr>
                  <w:tcW w:w="339" w:type="pct"/>
                  <w:tcBorders>
                    <w:top w:val="single" w:color="auto" w:sz="4" w:space="0"/>
                    <w:left w:val="single" w:color="auto" w:sz="4" w:space="0"/>
                    <w:right w:val="single" w:color="auto" w:sz="4" w:space="0"/>
                  </w:tcBorders>
                  <w:vAlign w:val="center"/>
                </w:tcPr>
                <w:p>
                  <w:pPr>
                    <w:pStyle w:val="52"/>
                  </w:pPr>
                  <w:r>
                    <w:t>85</w:t>
                  </w:r>
                </w:p>
              </w:tc>
              <w:tc>
                <w:tcPr>
                  <w:tcW w:w="339" w:type="pct"/>
                  <w:tcBorders>
                    <w:top w:val="single" w:color="auto" w:sz="4" w:space="0"/>
                    <w:left w:val="single" w:color="auto" w:sz="4" w:space="0"/>
                    <w:right w:val="single" w:color="auto" w:sz="4" w:space="0"/>
                  </w:tcBorders>
                  <w:vAlign w:val="center"/>
                </w:tcPr>
                <w:p>
                  <w:pPr>
                    <w:pStyle w:val="52"/>
                  </w:pPr>
                  <w:r>
                    <w:t>95</w:t>
                  </w:r>
                </w:p>
              </w:tc>
              <w:tc>
                <w:tcPr>
                  <w:tcW w:w="296" w:type="pct"/>
                  <w:tcBorders>
                    <w:top w:val="single" w:color="auto" w:sz="4" w:space="0"/>
                    <w:left w:val="single" w:color="auto" w:sz="4" w:space="0"/>
                    <w:right w:val="single" w:color="auto" w:sz="4" w:space="0"/>
                  </w:tcBorders>
                  <w:vAlign w:val="center"/>
                </w:tcPr>
                <w:p>
                  <w:pPr>
                    <w:pStyle w:val="52"/>
                  </w:pPr>
                  <w:r>
                    <w:t>是</w:t>
                  </w:r>
                </w:p>
              </w:tc>
              <w:tc>
                <w:tcPr>
                  <w:tcW w:w="320" w:type="pct"/>
                  <w:tcBorders>
                    <w:top w:val="single" w:color="auto" w:sz="4" w:space="0"/>
                    <w:left w:val="single" w:color="auto" w:sz="4" w:space="0"/>
                    <w:right w:val="single" w:color="auto" w:sz="4" w:space="0"/>
                  </w:tcBorders>
                  <w:vAlign w:val="center"/>
                </w:tcPr>
                <w:p>
                  <w:pPr>
                    <w:pStyle w:val="52"/>
                    <w:rPr>
                      <w:snapToGrid w:val="0"/>
                      <w:kern w:val="28"/>
                    </w:rPr>
                  </w:pPr>
                  <w:r>
                    <w:rPr>
                      <w:snapToGrid w:val="0"/>
                      <w:kern w:val="28"/>
                    </w:rPr>
                    <w:t>8</w:t>
                  </w:r>
                  <w:r>
                    <w:rPr>
                      <w:rFonts w:hint="eastAsia"/>
                      <w:snapToGrid w:val="0"/>
                      <w:kern w:val="28"/>
                    </w:rPr>
                    <w:t>.</w:t>
                  </w:r>
                  <w:r>
                    <w:rPr>
                      <w:snapToGrid w:val="0"/>
                      <w:kern w:val="28"/>
                    </w:rPr>
                    <w:t>689</w:t>
                  </w:r>
                </w:p>
              </w:tc>
              <w:tc>
                <w:tcPr>
                  <w:tcW w:w="359" w:type="pct"/>
                  <w:tcBorders>
                    <w:top w:val="single" w:color="auto" w:sz="4" w:space="0"/>
                    <w:left w:val="single" w:color="auto" w:sz="4" w:space="0"/>
                    <w:right w:val="single" w:color="auto" w:sz="4" w:space="0"/>
                  </w:tcBorders>
                  <w:vAlign w:val="center"/>
                </w:tcPr>
                <w:p>
                  <w:pPr>
                    <w:pStyle w:val="52"/>
                    <w:rPr>
                      <w:snapToGrid w:val="0"/>
                      <w:kern w:val="28"/>
                    </w:rPr>
                  </w:pPr>
                  <w:r>
                    <w:rPr>
                      <w:snapToGrid w:val="0"/>
                      <w:kern w:val="28"/>
                    </w:rPr>
                    <w:t>0.130</w:t>
                  </w:r>
                </w:p>
              </w:tc>
              <w:tc>
                <w:tcPr>
                  <w:tcW w:w="341" w:type="pct"/>
                  <w:tcBorders>
                    <w:top w:val="single" w:color="auto" w:sz="4" w:space="0"/>
                    <w:left w:val="single" w:color="auto" w:sz="4" w:space="0"/>
                    <w:right w:val="single" w:color="auto" w:sz="4" w:space="0"/>
                  </w:tcBorders>
                  <w:vAlign w:val="center"/>
                </w:tcPr>
                <w:p>
                  <w:pPr>
                    <w:pStyle w:val="52"/>
                    <w:rPr>
                      <w:snapToGrid w:val="0"/>
                      <w:kern w:val="28"/>
                    </w:rPr>
                  </w:pPr>
                  <w:r>
                    <w:rPr>
                      <w:snapToGrid w:val="0"/>
                      <w:kern w:val="28"/>
                    </w:rPr>
                    <w:t>0.391</w:t>
                  </w:r>
                </w:p>
              </w:tc>
              <w:tc>
                <w:tcPr>
                  <w:tcW w:w="349" w:type="pct"/>
                  <w:tcBorders>
                    <w:top w:val="single" w:color="auto" w:sz="4" w:space="0"/>
                    <w:left w:val="single" w:color="auto" w:sz="4" w:space="0"/>
                    <w:right w:val="single" w:color="auto" w:sz="4" w:space="0"/>
                  </w:tcBorders>
                  <w:vAlign w:val="center"/>
                </w:tcPr>
                <w:p>
                  <w:pPr>
                    <w:pStyle w:val="52"/>
                    <w:rPr>
                      <w:snapToGrid w:val="0"/>
                      <w:kern w:val="28"/>
                    </w:rPr>
                  </w:pPr>
                  <w:r>
                    <w:rPr>
                      <w:snapToGrid w:val="0"/>
                      <w:kern w:val="28"/>
                    </w:rPr>
                    <w:t>1.38</w:t>
                  </w:r>
                </w:p>
              </w:tc>
            </w:tr>
          </w:tbl>
          <w:p>
            <w:pPr>
              <w:pStyle w:val="82"/>
            </w:pPr>
          </w:p>
        </w:tc>
      </w:tr>
    </w:tbl>
    <w:p>
      <w:pPr>
        <w:adjustRightInd w:val="0"/>
        <w:snapToGrid w:val="0"/>
        <w:spacing w:line="360" w:lineRule="auto"/>
        <w:rPr>
          <w:b/>
          <w:kern w:val="0"/>
          <w:sz w:val="28"/>
          <w:szCs w:val="28"/>
        </w:rPr>
        <w:sectPr>
          <w:pgSz w:w="16840" w:h="11907" w:orient="landscape"/>
          <w:pgMar w:top="1531" w:right="1701" w:bottom="1531" w:left="2127" w:header="851" w:footer="851" w:gutter="0"/>
          <w:cols w:space="720" w:num="1"/>
          <w:docGrid w:linePitch="312" w:charSpace="0"/>
        </w:sectPr>
      </w:pP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16"/>
        <w:gridCol w:w="840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94" w:hRule="atLeast"/>
          <w:jc w:val="center"/>
        </w:trPr>
        <w:tc>
          <w:tcPr>
            <w:tcW w:w="416" w:type="dxa"/>
            <w:tcMar>
              <w:left w:w="28" w:type="dxa"/>
              <w:right w:w="28" w:type="dxa"/>
            </w:tcMar>
            <w:vAlign w:val="center"/>
          </w:tcPr>
          <w:p>
            <w:pPr>
              <w:adjustRightInd w:val="0"/>
              <w:snapToGrid w:val="0"/>
              <w:jc w:val="center"/>
              <w:rPr>
                <w:bCs/>
              </w:rPr>
            </w:pPr>
            <w:r>
              <w:rPr>
                <w:bCs/>
              </w:rPr>
              <w:t>运营期环境影响和保护措施</w:t>
            </w:r>
          </w:p>
        </w:tc>
        <w:tc>
          <w:tcPr>
            <w:tcW w:w="8408" w:type="dxa"/>
            <w:vAlign w:val="center"/>
          </w:tcPr>
          <w:p>
            <w:pPr>
              <w:pStyle w:val="82"/>
              <w:ind w:firstLine="482"/>
            </w:pPr>
            <w:r>
              <w:rPr>
                <w:rFonts w:hint="eastAsia"/>
                <w:b/>
                <w:bCs/>
              </w:rPr>
              <w:t>源强核算阐述：</w:t>
            </w:r>
          </w:p>
          <w:p>
            <w:pPr>
              <w:pStyle w:val="82"/>
            </w:pPr>
            <w:r>
              <w:rPr>
                <w:rFonts w:hint="eastAsia"/>
              </w:rPr>
              <w:t>本项目功能母粒采用挤出机</w:t>
            </w:r>
            <w:r>
              <w:t>+</w:t>
            </w:r>
            <w:r>
              <w:rPr>
                <w:rFonts w:hint="eastAsia"/>
              </w:rPr>
              <w:t>切粒机进行生产，挤出机的加工温度为1</w:t>
            </w:r>
            <w:r>
              <w:t>80~220</w:t>
            </w:r>
            <w:r>
              <w:rPr>
                <w:rFonts w:hint="eastAsia"/>
              </w:rPr>
              <w:t>℃，未达到原材料分解温度，且该过程为物理混合过程未有化学反应发生，但原料熔化会产生一定量的有机废气，以非甲烷总烃计，参考《排放源统计调查产排污核算方法和系数手册》（生态环境部，2021年第24号）“292 塑料制品行业系数手册”，改性粒料在造粒过程中产生的非甲烷总烃产污系数为</w:t>
            </w:r>
            <w:r>
              <w:t>4.6</w:t>
            </w:r>
            <w:r>
              <w:rPr>
                <w:rFonts w:hint="eastAsia"/>
              </w:rPr>
              <w:t>kg/吨·产品，本项目功能母粒产量为</w:t>
            </w:r>
            <w:r>
              <w:t>20</w:t>
            </w:r>
            <w:r>
              <w:rPr>
                <w:rFonts w:hint="eastAsia"/>
              </w:rPr>
              <w:t>00t/a，则产生的非甲烷总烃量为</w:t>
            </w:r>
            <w:r>
              <w:t>9</w:t>
            </w:r>
            <w:r>
              <w:rPr>
                <w:rFonts w:hint="eastAsia"/>
              </w:rPr>
              <w:t>.</w:t>
            </w:r>
            <w:r>
              <w:t>2</w:t>
            </w:r>
            <w:r>
              <w:rPr>
                <w:rFonts w:hint="eastAsia"/>
              </w:rPr>
              <w:t>t</w:t>
            </w:r>
            <w:r>
              <w:t>/</w:t>
            </w:r>
            <w:r>
              <w:rPr>
                <w:rFonts w:hint="eastAsia"/>
              </w:rPr>
              <w:t>a。在每个挤出机挤出口上方设置集气罩，通过管道抽气装置负压引至有机废气处理系统（UV光催化+三级活性炭吸附，综合处理效率</w:t>
            </w:r>
            <w:r>
              <w:t>95</w:t>
            </w:r>
            <w:r>
              <w:rPr>
                <w:rFonts w:hint="eastAsia"/>
              </w:rPr>
              <w:t>%）处理后，由15m高排气筒（DA001）排放。挤出废气收集效率按</w:t>
            </w:r>
            <w:r>
              <w:t>8</w:t>
            </w:r>
            <w:r>
              <w:rPr>
                <w:rFonts w:hint="eastAsia"/>
              </w:rPr>
              <w:t>5.0%计，未被收集的有机废气无组织排放。</w:t>
            </w:r>
          </w:p>
          <w:p>
            <w:pPr>
              <w:pStyle w:val="82"/>
              <w:ind w:firstLine="482"/>
            </w:pPr>
            <w:r>
              <w:rPr>
                <w:b/>
              </w:rPr>
              <w:t>集气罩风量核算：</w:t>
            </w:r>
          </w:p>
          <w:p>
            <w:pPr>
              <w:pStyle w:val="82"/>
              <w:jc w:val="center"/>
            </w:pPr>
            <w:r>
              <w:t>L=V</w:t>
            </w:r>
            <w:r>
              <w:rPr>
                <w:vertAlign w:val="subscript"/>
              </w:rPr>
              <w:t>0</w:t>
            </w:r>
            <w:r>
              <w:t>F=(10x</w:t>
            </w:r>
            <w:r>
              <w:rPr>
                <w:vertAlign w:val="superscript"/>
              </w:rPr>
              <w:t>2</w:t>
            </w:r>
            <w:r>
              <w:t>+F)V</w:t>
            </w:r>
            <w:r>
              <w:rPr>
                <w:vertAlign w:val="subscript"/>
              </w:rPr>
              <w:t>x</w:t>
            </w:r>
          </w:p>
          <w:p>
            <w:pPr>
              <w:pStyle w:val="82"/>
            </w:pPr>
            <w:r>
              <w:rPr>
                <w:rFonts w:ascii="宋体" w:hAnsi="宋体"/>
              </w:rPr>
              <w:t>式中：</w:t>
            </w:r>
            <w:r>
              <w:t>L——</w:t>
            </w:r>
            <w:r>
              <w:rPr>
                <w:rFonts w:ascii="宋体" w:hAnsi="宋体"/>
              </w:rPr>
              <w:t>集气罩风量，</w:t>
            </w:r>
            <w:r>
              <w:t>m</w:t>
            </w:r>
            <w:r>
              <w:rPr>
                <w:vertAlign w:val="superscript"/>
              </w:rPr>
              <w:t>3</w:t>
            </w:r>
            <w:r>
              <w:t>/s</w:t>
            </w:r>
            <w:r>
              <w:rPr>
                <w:rFonts w:ascii="宋体" w:hAnsi="宋体"/>
              </w:rPr>
              <w:t>；</w:t>
            </w:r>
          </w:p>
          <w:p>
            <w:pPr>
              <w:pStyle w:val="82"/>
              <w:ind w:firstLine="1200" w:firstLineChars="500"/>
            </w:pPr>
            <w:r>
              <w:t>V</w:t>
            </w:r>
            <w:r>
              <w:rPr>
                <w:vertAlign w:val="subscript"/>
              </w:rPr>
              <w:t>0</w:t>
            </w:r>
            <w:r>
              <w:t>——</w:t>
            </w:r>
            <w:r>
              <w:rPr>
                <w:rFonts w:ascii="宋体" w:hAnsi="宋体"/>
              </w:rPr>
              <w:t>吸气口的平均风速，</w:t>
            </w:r>
            <w:r>
              <w:t>m/s</w:t>
            </w:r>
            <w:r>
              <w:rPr>
                <w:rFonts w:ascii="宋体" w:hAnsi="宋体"/>
              </w:rPr>
              <w:t>；</w:t>
            </w:r>
          </w:p>
          <w:p>
            <w:pPr>
              <w:pStyle w:val="82"/>
              <w:ind w:firstLine="1200" w:firstLineChars="500"/>
            </w:pPr>
            <w:r>
              <w:t>V</w:t>
            </w:r>
            <w:r>
              <w:rPr>
                <w:vertAlign w:val="subscript"/>
              </w:rPr>
              <w:t>x</w:t>
            </w:r>
            <w:r>
              <w:t>——</w:t>
            </w:r>
            <w:r>
              <w:rPr>
                <w:rFonts w:ascii="宋体" w:hAnsi="宋体"/>
              </w:rPr>
              <w:t>控制点的吸入风速，</w:t>
            </w:r>
            <w:r>
              <w:t>m/s</w:t>
            </w:r>
            <w:r>
              <w:rPr>
                <w:rFonts w:ascii="宋体" w:hAnsi="宋体"/>
              </w:rPr>
              <w:t>；</w:t>
            </w:r>
          </w:p>
          <w:p>
            <w:pPr>
              <w:pStyle w:val="82"/>
              <w:ind w:firstLine="1200" w:firstLineChars="500"/>
            </w:pPr>
            <w:r>
              <w:t>F——</w:t>
            </w:r>
            <w:r>
              <w:rPr>
                <w:rFonts w:ascii="宋体" w:hAnsi="宋体"/>
              </w:rPr>
              <w:t>集气罩面积，</w:t>
            </w:r>
            <w:r>
              <w:t>m</w:t>
            </w:r>
            <w:r>
              <w:rPr>
                <w:vertAlign w:val="superscript"/>
              </w:rPr>
              <w:t>2</w:t>
            </w:r>
            <w:r>
              <w:rPr>
                <w:rFonts w:ascii="宋体" w:hAnsi="宋体"/>
              </w:rPr>
              <w:t>；</w:t>
            </w:r>
          </w:p>
          <w:p>
            <w:pPr>
              <w:pStyle w:val="82"/>
              <w:ind w:firstLine="1200" w:firstLineChars="500"/>
            </w:pPr>
            <w:r>
              <w:t>x——控制点到吸气口的距离，m。</w:t>
            </w:r>
          </w:p>
          <w:p>
            <w:pPr>
              <w:pStyle w:val="82"/>
            </w:pPr>
            <w:r>
              <w:rPr>
                <w:rFonts w:hint="eastAsia"/>
              </w:rPr>
              <w:t>1）拟建项目挤出机挤出口</w:t>
            </w:r>
            <w:r>
              <w:t>集气罩距废气散发点距离（x）可控制在</w:t>
            </w:r>
            <w:r>
              <w:rPr>
                <w:rFonts w:hint="eastAsia"/>
              </w:rPr>
              <w:t>0</w:t>
            </w:r>
            <w:r>
              <w:t>.3m</w:t>
            </w:r>
            <w:r>
              <w:rPr>
                <w:rFonts w:hint="eastAsia"/>
              </w:rPr>
              <w:t>，</w:t>
            </w:r>
            <w:r>
              <w:t>集气罩面积（F）约0.8m</w:t>
            </w:r>
            <w:r>
              <w:rPr>
                <w:vertAlign w:val="superscript"/>
              </w:rPr>
              <w:t>2</w:t>
            </w:r>
            <w:r>
              <w:t>；根据《大气污染控制工程》中对控制点吸入风速的要求，项目污染物放散情况按“以较低的初速度放散到尚属平静的空气中”考虑，最小控制风速为0.5~1.0m/s，拟建项目V</w:t>
            </w:r>
            <w:r>
              <w:rPr>
                <w:vertAlign w:val="subscript"/>
              </w:rPr>
              <w:t>x</w:t>
            </w:r>
            <w:r>
              <w:t>取</w:t>
            </w:r>
            <w:r>
              <w:rPr>
                <w:rFonts w:hint="eastAsia"/>
              </w:rPr>
              <w:t>0</w:t>
            </w:r>
            <w:r>
              <w:t>.5m/s；计算得单</w:t>
            </w:r>
            <w:r>
              <w:rPr>
                <w:rFonts w:hint="eastAsia"/>
              </w:rPr>
              <w:t>个</w:t>
            </w:r>
            <w:r>
              <w:t>集气罩要求的最小风量为0.85m</w:t>
            </w:r>
            <w:r>
              <w:rPr>
                <w:vertAlign w:val="superscript"/>
              </w:rPr>
              <w:t>3</w:t>
            </w:r>
            <w:r>
              <w:t>/s，即3060m</w:t>
            </w:r>
            <w:r>
              <w:rPr>
                <w:vertAlign w:val="superscript"/>
              </w:rPr>
              <w:t>3</w:t>
            </w:r>
            <w:r>
              <w:t>/h。</w:t>
            </w:r>
            <w:r>
              <w:rPr>
                <w:rFonts w:hint="eastAsia"/>
              </w:rPr>
              <w:t>则</w:t>
            </w:r>
            <w:r>
              <w:t>4</w:t>
            </w:r>
            <w:r>
              <w:rPr>
                <w:rFonts w:hint="eastAsia"/>
              </w:rPr>
              <w:t>台挤出机所需总风量最小为</w:t>
            </w:r>
            <w:r>
              <w:t>12240m</w:t>
            </w:r>
            <w:r>
              <w:rPr>
                <w:vertAlign w:val="superscript"/>
              </w:rPr>
              <w:t>3</w:t>
            </w:r>
            <w:r>
              <w:t>/h</w:t>
            </w:r>
            <w:r>
              <w:rPr>
                <w:rFonts w:hint="eastAsia"/>
              </w:rPr>
              <w:t>，考虑风阻等因素，设计总风量为</w:t>
            </w:r>
            <w:r>
              <w:t>15000m</w:t>
            </w:r>
            <w:r>
              <w:rPr>
                <w:vertAlign w:val="superscript"/>
              </w:rPr>
              <w:t>3</w:t>
            </w:r>
            <w:r>
              <w:t>/h</w:t>
            </w:r>
            <w:r>
              <w:rPr>
                <w:rFonts w:hint="eastAsia"/>
              </w:rPr>
              <w:t>。</w:t>
            </w:r>
          </w:p>
          <w:p>
            <w:pPr>
              <w:pStyle w:val="82"/>
            </w:pPr>
            <w:r>
              <w:rPr>
                <w:rFonts w:hint="eastAsia"/>
              </w:rPr>
              <w:t>项目主要的恶臭为挤出过程散发的气味，以臭气浓度为表征，本评价不做定量分析。项目挤出过程中产生的臭气与有机废气难以分离，臭气伴随着有机废气一同收集后引至“UV光催化+三级活性炭吸附”装置处理后经15m高排气筒排放，有组织排放可满足《恶臭污染物排放标准》（GB14554-93）表2排放限值要求；少量未被收集的臭气通过车间稀释扩散后无组织排放。</w:t>
            </w:r>
          </w:p>
          <w:p>
            <w:pPr>
              <w:pStyle w:val="82"/>
              <w:ind w:firstLine="482"/>
              <w:rPr>
                <w:b/>
                <w:bCs/>
              </w:rPr>
            </w:pPr>
            <w:r>
              <w:rPr>
                <w:rFonts w:hint="eastAsia"/>
                <w:b/>
                <w:bCs/>
              </w:rPr>
              <w:t>（2）排放口基本情况</w:t>
            </w:r>
          </w:p>
          <w:p>
            <w:pPr>
              <w:pStyle w:val="82"/>
            </w:pPr>
            <w:r>
              <w:t>废气排放口基本情况见表4-2。</w:t>
            </w:r>
          </w:p>
          <w:p>
            <w:pPr>
              <w:pStyle w:val="83"/>
              <w:rPr>
                <w:snapToGrid w:val="0"/>
              </w:rPr>
            </w:pPr>
            <w:r>
              <w:rPr>
                <w:snapToGrid w:val="0"/>
              </w:rPr>
              <w:t>表4-2  废气排放口基本情况一览表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5"/>
              <w:gridCol w:w="941"/>
              <w:gridCol w:w="2054"/>
              <w:gridCol w:w="2054"/>
              <w:gridCol w:w="566"/>
              <w:gridCol w:w="576"/>
              <w:gridCol w:w="578"/>
              <w:gridCol w:w="5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510" w:type="pct"/>
                  <w:vMerge w:val="restart"/>
                  <w:vAlign w:val="center"/>
                </w:tcPr>
                <w:p>
                  <w:pPr>
                    <w:pStyle w:val="52"/>
                    <w:rPr>
                      <w:b/>
                      <w:bCs/>
                    </w:rPr>
                  </w:pPr>
                  <w:r>
                    <w:rPr>
                      <w:b/>
                      <w:bCs/>
                    </w:rPr>
                    <w:t>排放口编号</w:t>
                  </w:r>
                </w:p>
              </w:tc>
              <w:tc>
                <w:tcPr>
                  <w:tcW w:w="738" w:type="pct"/>
                  <w:vMerge w:val="restart"/>
                  <w:vAlign w:val="center"/>
                </w:tcPr>
                <w:p>
                  <w:pPr>
                    <w:pStyle w:val="52"/>
                    <w:rPr>
                      <w:b/>
                      <w:bCs/>
                    </w:rPr>
                  </w:pPr>
                  <w:r>
                    <w:rPr>
                      <w:b/>
                      <w:bCs/>
                    </w:rPr>
                    <w:t>排放口名称</w:t>
                  </w:r>
                </w:p>
              </w:tc>
              <w:tc>
                <w:tcPr>
                  <w:tcW w:w="1696" w:type="pct"/>
                  <w:gridSpan w:val="2"/>
                  <w:vAlign w:val="center"/>
                </w:tcPr>
                <w:p>
                  <w:pPr>
                    <w:pStyle w:val="52"/>
                    <w:rPr>
                      <w:b/>
                      <w:bCs/>
                    </w:rPr>
                  </w:pPr>
                  <w:r>
                    <w:rPr>
                      <w:b/>
                      <w:bCs/>
                    </w:rPr>
                    <w:t>排放口地理坐标</w:t>
                  </w:r>
                </w:p>
              </w:tc>
              <w:tc>
                <w:tcPr>
                  <w:tcW w:w="509" w:type="pct"/>
                  <w:vMerge w:val="restart"/>
                  <w:vAlign w:val="center"/>
                </w:tcPr>
                <w:p>
                  <w:pPr>
                    <w:pStyle w:val="52"/>
                    <w:rPr>
                      <w:b/>
                      <w:bCs/>
                    </w:rPr>
                  </w:pPr>
                  <w:r>
                    <w:rPr>
                      <w:b/>
                      <w:bCs/>
                    </w:rPr>
                    <w:t>排放口类型</w:t>
                  </w:r>
                </w:p>
              </w:tc>
              <w:tc>
                <w:tcPr>
                  <w:tcW w:w="515" w:type="pct"/>
                  <w:vMerge w:val="restart"/>
                  <w:vAlign w:val="center"/>
                </w:tcPr>
                <w:p>
                  <w:pPr>
                    <w:pStyle w:val="52"/>
                    <w:rPr>
                      <w:b/>
                      <w:bCs/>
                    </w:rPr>
                  </w:pPr>
                  <w:r>
                    <w:rPr>
                      <w:b/>
                      <w:bCs/>
                    </w:rPr>
                    <w:t>排气筒高度(m)</w:t>
                  </w:r>
                </w:p>
              </w:tc>
              <w:tc>
                <w:tcPr>
                  <w:tcW w:w="516" w:type="pct"/>
                  <w:vMerge w:val="restart"/>
                  <w:vAlign w:val="center"/>
                </w:tcPr>
                <w:p>
                  <w:pPr>
                    <w:pStyle w:val="52"/>
                    <w:rPr>
                      <w:b/>
                      <w:bCs/>
                    </w:rPr>
                  </w:pPr>
                  <w:r>
                    <w:rPr>
                      <w:b/>
                      <w:bCs/>
                    </w:rPr>
                    <w:t>排气筒内径(m)</w:t>
                  </w:r>
                </w:p>
              </w:tc>
              <w:tc>
                <w:tcPr>
                  <w:tcW w:w="516" w:type="pct"/>
                  <w:vMerge w:val="restart"/>
                  <w:vAlign w:val="center"/>
                </w:tcPr>
                <w:p>
                  <w:pPr>
                    <w:pStyle w:val="52"/>
                    <w:rPr>
                      <w:b/>
                      <w:bCs/>
                    </w:rPr>
                  </w:pPr>
                  <w:r>
                    <w:rPr>
                      <w:b/>
                      <w:bCs/>
                    </w:rPr>
                    <w:t>排气温度(℃)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510" w:type="pct"/>
                  <w:vMerge w:val="continue"/>
                  <w:vAlign w:val="center"/>
                </w:tcPr>
                <w:p>
                  <w:pPr>
                    <w:pStyle w:val="52"/>
                  </w:pPr>
                </w:p>
              </w:tc>
              <w:tc>
                <w:tcPr>
                  <w:tcW w:w="738" w:type="pct"/>
                  <w:vMerge w:val="continue"/>
                  <w:vAlign w:val="center"/>
                </w:tcPr>
                <w:p>
                  <w:pPr>
                    <w:pStyle w:val="52"/>
                  </w:pPr>
                </w:p>
              </w:tc>
              <w:tc>
                <w:tcPr>
                  <w:tcW w:w="824" w:type="pct"/>
                  <w:vAlign w:val="center"/>
                </w:tcPr>
                <w:p>
                  <w:pPr>
                    <w:pStyle w:val="52"/>
                  </w:pPr>
                  <w:r>
                    <w:t>经度/°</w:t>
                  </w:r>
                </w:p>
              </w:tc>
              <w:tc>
                <w:tcPr>
                  <w:tcW w:w="872" w:type="pct"/>
                  <w:vAlign w:val="center"/>
                </w:tcPr>
                <w:p>
                  <w:pPr>
                    <w:pStyle w:val="52"/>
                  </w:pPr>
                  <w:r>
                    <w:t>纬度/°</w:t>
                  </w:r>
                </w:p>
              </w:tc>
              <w:tc>
                <w:tcPr>
                  <w:tcW w:w="509" w:type="pct"/>
                  <w:vMerge w:val="continue"/>
                  <w:vAlign w:val="center"/>
                </w:tcPr>
                <w:p>
                  <w:pPr>
                    <w:pStyle w:val="52"/>
                  </w:pPr>
                </w:p>
              </w:tc>
              <w:tc>
                <w:tcPr>
                  <w:tcW w:w="515" w:type="pct"/>
                  <w:vMerge w:val="continue"/>
                  <w:vAlign w:val="center"/>
                </w:tcPr>
                <w:p>
                  <w:pPr>
                    <w:pStyle w:val="52"/>
                  </w:pPr>
                </w:p>
              </w:tc>
              <w:tc>
                <w:tcPr>
                  <w:tcW w:w="516" w:type="pct"/>
                  <w:vMerge w:val="continue"/>
                  <w:vAlign w:val="center"/>
                </w:tcPr>
                <w:p>
                  <w:pPr>
                    <w:pStyle w:val="52"/>
                  </w:pPr>
                </w:p>
              </w:tc>
              <w:tc>
                <w:tcPr>
                  <w:tcW w:w="516" w:type="pct"/>
                  <w:vMerge w:val="continue"/>
                  <w:vAlign w:val="center"/>
                </w:tcPr>
                <w:p>
                  <w:pPr>
                    <w:pStyle w:val="5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trPr>
              <w:tc>
                <w:tcPr>
                  <w:tcW w:w="510" w:type="pct"/>
                  <w:vAlign w:val="center"/>
                </w:tcPr>
                <w:p>
                  <w:pPr>
                    <w:pStyle w:val="52"/>
                  </w:pPr>
                  <w:r>
                    <w:rPr>
                      <w:rFonts w:hint="eastAsia"/>
                    </w:rPr>
                    <w:t>DA</w:t>
                  </w:r>
                  <w:r>
                    <w:t>001</w:t>
                  </w:r>
                </w:p>
              </w:tc>
              <w:tc>
                <w:tcPr>
                  <w:tcW w:w="738" w:type="pct"/>
                  <w:vAlign w:val="center"/>
                </w:tcPr>
                <w:p>
                  <w:pPr>
                    <w:pStyle w:val="52"/>
                  </w:pPr>
                  <w:r>
                    <w:rPr>
                      <w:rFonts w:hint="eastAsia"/>
                    </w:rPr>
                    <w:t>有机</w:t>
                  </w:r>
                  <w:r>
                    <w:t>废气排放口</w:t>
                  </w:r>
                </w:p>
              </w:tc>
              <w:tc>
                <w:tcPr>
                  <w:tcW w:w="824" w:type="pct"/>
                  <w:vAlign w:val="center"/>
                </w:tcPr>
                <w:p>
                  <w:pPr>
                    <w:pStyle w:val="52"/>
                  </w:pPr>
                  <w:r>
                    <w:rPr>
                      <w:rFonts w:hint="eastAsia"/>
                    </w:rPr>
                    <w:t>106°9′46.04745″</w:t>
                  </w:r>
                </w:p>
              </w:tc>
              <w:tc>
                <w:tcPr>
                  <w:tcW w:w="872" w:type="pct"/>
                  <w:vAlign w:val="center"/>
                </w:tcPr>
                <w:p>
                  <w:pPr>
                    <w:pStyle w:val="52"/>
                  </w:pPr>
                  <w:r>
                    <w:rPr>
                      <w:rFonts w:hint="eastAsia"/>
                    </w:rPr>
                    <w:t>29°48′35.25612″</w:t>
                  </w:r>
                </w:p>
              </w:tc>
              <w:tc>
                <w:tcPr>
                  <w:tcW w:w="509" w:type="pct"/>
                  <w:vAlign w:val="center"/>
                </w:tcPr>
                <w:p>
                  <w:pPr>
                    <w:pStyle w:val="52"/>
                  </w:pPr>
                  <w:r>
                    <w:t>一般排放口</w:t>
                  </w:r>
                </w:p>
              </w:tc>
              <w:tc>
                <w:tcPr>
                  <w:tcW w:w="515" w:type="pct"/>
                  <w:vAlign w:val="center"/>
                </w:tcPr>
                <w:p>
                  <w:pPr>
                    <w:pStyle w:val="52"/>
                  </w:pPr>
                  <w:r>
                    <w:t>15</w:t>
                  </w:r>
                </w:p>
              </w:tc>
              <w:tc>
                <w:tcPr>
                  <w:tcW w:w="516" w:type="pct"/>
                  <w:vAlign w:val="center"/>
                </w:tcPr>
                <w:p>
                  <w:pPr>
                    <w:pStyle w:val="52"/>
                  </w:pPr>
                  <w:r>
                    <w:t>0.6</w:t>
                  </w:r>
                </w:p>
              </w:tc>
              <w:tc>
                <w:tcPr>
                  <w:tcW w:w="516" w:type="pct"/>
                  <w:vAlign w:val="center"/>
                </w:tcPr>
                <w:p>
                  <w:pPr>
                    <w:pStyle w:val="52"/>
                  </w:pPr>
                  <w:r>
                    <w:t>25</w:t>
                  </w:r>
                </w:p>
              </w:tc>
            </w:tr>
          </w:tbl>
          <w:p>
            <w:pPr>
              <w:pStyle w:val="82"/>
              <w:ind w:firstLine="482"/>
              <w:rPr>
                <w:b/>
                <w:bCs/>
              </w:rPr>
            </w:pPr>
            <w:r>
              <w:rPr>
                <w:rFonts w:hint="eastAsia"/>
                <w:b/>
                <w:bCs/>
              </w:rPr>
              <w:t>（3）排放标准</w:t>
            </w:r>
          </w:p>
          <w:p>
            <w:pPr>
              <w:pStyle w:val="82"/>
            </w:pPr>
            <w:r>
              <w:t>废气污染物排放执行标准见表4-3。</w:t>
            </w:r>
          </w:p>
          <w:p>
            <w:pPr>
              <w:pStyle w:val="83"/>
              <w:rPr>
                <w:snapToGrid w:val="0"/>
              </w:rPr>
            </w:pPr>
            <w:r>
              <w:rPr>
                <w:snapToGrid w:val="0"/>
              </w:rPr>
              <w:t>表4-3  废气污染物排放执行标准一览表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5"/>
              <w:gridCol w:w="973"/>
              <w:gridCol w:w="1081"/>
              <w:gridCol w:w="1843"/>
              <w:gridCol w:w="753"/>
              <w:gridCol w:w="939"/>
              <w:gridCol w:w="730"/>
              <w:gridCol w:w="10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0" w:type="pct"/>
                  <w:vMerge w:val="restart"/>
                  <w:vAlign w:val="center"/>
                </w:tcPr>
                <w:p>
                  <w:pPr>
                    <w:pStyle w:val="52"/>
                    <w:rPr>
                      <w:b/>
                      <w:bCs/>
                    </w:rPr>
                  </w:pPr>
                  <w:r>
                    <w:rPr>
                      <w:b/>
                      <w:bCs/>
                    </w:rPr>
                    <w:t>排放口编号</w:t>
                  </w:r>
                </w:p>
              </w:tc>
              <w:tc>
                <w:tcPr>
                  <w:tcW w:w="595" w:type="pct"/>
                  <w:vMerge w:val="restart"/>
                  <w:vAlign w:val="center"/>
                </w:tcPr>
                <w:p>
                  <w:pPr>
                    <w:pStyle w:val="52"/>
                    <w:rPr>
                      <w:b/>
                      <w:bCs/>
                    </w:rPr>
                  </w:pPr>
                  <w:r>
                    <w:rPr>
                      <w:b/>
                      <w:bCs/>
                    </w:rPr>
                    <w:t>排放口</w:t>
                  </w:r>
                </w:p>
                <w:p>
                  <w:pPr>
                    <w:pStyle w:val="52"/>
                    <w:rPr>
                      <w:b/>
                      <w:bCs/>
                    </w:rPr>
                  </w:pPr>
                  <w:r>
                    <w:rPr>
                      <w:b/>
                      <w:bCs/>
                    </w:rPr>
                    <w:t>名称</w:t>
                  </w:r>
                </w:p>
              </w:tc>
              <w:tc>
                <w:tcPr>
                  <w:tcW w:w="661" w:type="pct"/>
                  <w:vMerge w:val="restart"/>
                  <w:vAlign w:val="center"/>
                </w:tcPr>
                <w:p>
                  <w:pPr>
                    <w:pStyle w:val="52"/>
                    <w:rPr>
                      <w:b/>
                      <w:bCs/>
                    </w:rPr>
                  </w:pPr>
                  <w:r>
                    <w:rPr>
                      <w:b/>
                      <w:bCs/>
                    </w:rPr>
                    <w:t>污染物种类</w:t>
                  </w:r>
                </w:p>
              </w:tc>
              <w:tc>
                <w:tcPr>
                  <w:tcW w:w="3235" w:type="pct"/>
                  <w:gridSpan w:val="5"/>
                  <w:vAlign w:val="center"/>
                </w:tcPr>
                <w:p>
                  <w:pPr>
                    <w:pStyle w:val="52"/>
                    <w:rPr>
                      <w:b/>
                      <w:bCs/>
                    </w:rPr>
                  </w:pPr>
                  <w:r>
                    <w:rPr>
                      <w:b/>
                      <w:bCs/>
                    </w:rPr>
                    <w:t>国家或地方污染物排放标准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0" w:type="pct"/>
                  <w:vMerge w:val="continue"/>
                  <w:vAlign w:val="center"/>
                </w:tcPr>
                <w:p>
                  <w:pPr>
                    <w:pStyle w:val="52"/>
                    <w:rPr>
                      <w:b/>
                      <w:bCs/>
                    </w:rPr>
                  </w:pPr>
                </w:p>
              </w:tc>
              <w:tc>
                <w:tcPr>
                  <w:tcW w:w="595" w:type="pct"/>
                  <w:vMerge w:val="continue"/>
                  <w:vAlign w:val="center"/>
                </w:tcPr>
                <w:p>
                  <w:pPr>
                    <w:pStyle w:val="52"/>
                    <w:rPr>
                      <w:b/>
                      <w:bCs/>
                    </w:rPr>
                  </w:pPr>
                </w:p>
              </w:tc>
              <w:tc>
                <w:tcPr>
                  <w:tcW w:w="661" w:type="pct"/>
                  <w:vMerge w:val="continue"/>
                  <w:vAlign w:val="center"/>
                </w:tcPr>
                <w:p>
                  <w:pPr>
                    <w:pStyle w:val="52"/>
                    <w:rPr>
                      <w:b/>
                      <w:bCs/>
                    </w:rPr>
                  </w:pPr>
                </w:p>
              </w:tc>
              <w:tc>
                <w:tcPr>
                  <w:tcW w:w="1126" w:type="pct"/>
                  <w:vMerge w:val="restart"/>
                  <w:vAlign w:val="center"/>
                </w:tcPr>
                <w:p>
                  <w:pPr>
                    <w:pStyle w:val="52"/>
                    <w:rPr>
                      <w:b/>
                      <w:bCs/>
                    </w:rPr>
                  </w:pPr>
                  <w:r>
                    <w:rPr>
                      <w:b/>
                      <w:bCs/>
                    </w:rPr>
                    <w:t>排放标准及标准号</w:t>
                  </w:r>
                </w:p>
              </w:tc>
              <w:tc>
                <w:tcPr>
                  <w:tcW w:w="460" w:type="pct"/>
                  <w:vMerge w:val="restart"/>
                  <w:tcBorders>
                    <w:right w:val="single" w:color="auto" w:sz="4" w:space="0"/>
                  </w:tcBorders>
                  <w:vAlign w:val="center"/>
                </w:tcPr>
                <w:p>
                  <w:pPr>
                    <w:pStyle w:val="52"/>
                    <w:rPr>
                      <w:b/>
                      <w:bCs/>
                    </w:rPr>
                  </w:pPr>
                  <w:r>
                    <w:rPr>
                      <w:b/>
                      <w:bCs/>
                    </w:rPr>
                    <w:t>速</w:t>
                  </w:r>
                  <w:r>
                    <w:rPr>
                      <w:rFonts w:hint="eastAsia"/>
                      <w:b/>
                      <w:bCs/>
                    </w:rPr>
                    <w:t>率</w:t>
                  </w:r>
                  <w:r>
                    <w:rPr>
                      <w:b/>
                      <w:bCs/>
                    </w:rPr>
                    <w:t>限值</w:t>
                  </w:r>
                </w:p>
                <w:p>
                  <w:pPr>
                    <w:pStyle w:val="52"/>
                    <w:rPr>
                      <w:b/>
                      <w:bCs/>
                    </w:rPr>
                  </w:pPr>
                  <w:r>
                    <w:rPr>
                      <w:b/>
                      <w:bCs/>
                    </w:rPr>
                    <w:t>(kg/h)</w:t>
                  </w:r>
                </w:p>
              </w:tc>
              <w:tc>
                <w:tcPr>
                  <w:tcW w:w="574" w:type="pct"/>
                  <w:vMerge w:val="restart"/>
                  <w:tcBorders>
                    <w:left w:val="single" w:color="auto" w:sz="4" w:space="0"/>
                  </w:tcBorders>
                  <w:vAlign w:val="center"/>
                </w:tcPr>
                <w:p>
                  <w:pPr>
                    <w:pStyle w:val="52"/>
                    <w:rPr>
                      <w:b/>
                      <w:bCs/>
                    </w:rPr>
                  </w:pPr>
                  <w:r>
                    <w:rPr>
                      <w:b/>
                      <w:bCs/>
                    </w:rPr>
                    <w:t>浓</w:t>
                  </w:r>
                  <w:r>
                    <w:rPr>
                      <w:rFonts w:hint="eastAsia"/>
                      <w:b/>
                      <w:bCs/>
                    </w:rPr>
                    <w:t>度</w:t>
                  </w:r>
                  <w:r>
                    <w:rPr>
                      <w:b/>
                      <w:bCs/>
                    </w:rPr>
                    <w:t>限值(mg/m</w:t>
                  </w:r>
                  <w:r>
                    <w:rPr>
                      <w:b/>
                      <w:bCs/>
                      <w:vertAlign w:val="superscript"/>
                    </w:rPr>
                    <w:t>3</w:t>
                  </w:r>
                  <w:r>
                    <w:rPr>
                      <w:b/>
                      <w:bCs/>
                    </w:rPr>
                    <w:t>)</w:t>
                  </w:r>
                </w:p>
              </w:tc>
              <w:tc>
                <w:tcPr>
                  <w:tcW w:w="1074" w:type="pct"/>
                  <w:gridSpan w:val="2"/>
                  <w:tcBorders>
                    <w:bottom w:val="single" w:color="auto" w:sz="4" w:space="0"/>
                  </w:tcBorders>
                  <w:vAlign w:val="center"/>
                </w:tcPr>
                <w:p>
                  <w:pPr>
                    <w:pStyle w:val="52"/>
                    <w:rPr>
                      <w:b/>
                      <w:bCs/>
                    </w:rPr>
                  </w:pPr>
                  <w:r>
                    <w:rPr>
                      <w:b/>
                      <w:bCs/>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510" w:type="pct"/>
                  <w:vMerge w:val="continue"/>
                  <w:vAlign w:val="center"/>
                </w:tcPr>
                <w:p>
                  <w:pPr>
                    <w:pStyle w:val="52"/>
                    <w:rPr>
                      <w:b/>
                      <w:bCs/>
                    </w:rPr>
                  </w:pPr>
                </w:p>
              </w:tc>
              <w:tc>
                <w:tcPr>
                  <w:tcW w:w="595" w:type="pct"/>
                  <w:vMerge w:val="continue"/>
                  <w:vAlign w:val="center"/>
                </w:tcPr>
                <w:p>
                  <w:pPr>
                    <w:pStyle w:val="52"/>
                    <w:rPr>
                      <w:b/>
                      <w:bCs/>
                    </w:rPr>
                  </w:pPr>
                </w:p>
              </w:tc>
              <w:tc>
                <w:tcPr>
                  <w:tcW w:w="661" w:type="pct"/>
                  <w:vMerge w:val="continue"/>
                  <w:vAlign w:val="center"/>
                </w:tcPr>
                <w:p>
                  <w:pPr>
                    <w:pStyle w:val="52"/>
                    <w:rPr>
                      <w:b/>
                      <w:bCs/>
                    </w:rPr>
                  </w:pPr>
                </w:p>
              </w:tc>
              <w:tc>
                <w:tcPr>
                  <w:tcW w:w="1126" w:type="pct"/>
                  <w:vMerge w:val="continue"/>
                  <w:vAlign w:val="center"/>
                </w:tcPr>
                <w:p>
                  <w:pPr>
                    <w:pStyle w:val="52"/>
                    <w:rPr>
                      <w:b/>
                      <w:bCs/>
                    </w:rPr>
                  </w:pPr>
                </w:p>
              </w:tc>
              <w:tc>
                <w:tcPr>
                  <w:tcW w:w="460" w:type="pct"/>
                  <w:vMerge w:val="continue"/>
                  <w:tcBorders>
                    <w:right w:val="single" w:color="auto" w:sz="4" w:space="0"/>
                  </w:tcBorders>
                  <w:vAlign w:val="center"/>
                </w:tcPr>
                <w:p>
                  <w:pPr>
                    <w:pStyle w:val="52"/>
                    <w:rPr>
                      <w:b/>
                      <w:bCs/>
                    </w:rPr>
                  </w:pPr>
                </w:p>
              </w:tc>
              <w:tc>
                <w:tcPr>
                  <w:tcW w:w="574" w:type="pct"/>
                  <w:vMerge w:val="continue"/>
                  <w:tcBorders>
                    <w:left w:val="single" w:color="auto" w:sz="4" w:space="0"/>
                  </w:tcBorders>
                  <w:vAlign w:val="center"/>
                </w:tcPr>
                <w:p>
                  <w:pPr>
                    <w:pStyle w:val="52"/>
                    <w:rPr>
                      <w:b/>
                      <w:bCs/>
                    </w:rPr>
                  </w:pPr>
                </w:p>
              </w:tc>
              <w:tc>
                <w:tcPr>
                  <w:tcW w:w="446" w:type="pct"/>
                  <w:tcBorders>
                    <w:top w:val="single" w:color="auto" w:sz="4" w:space="0"/>
                  </w:tcBorders>
                  <w:vAlign w:val="center"/>
                </w:tcPr>
                <w:p>
                  <w:pPr>
                    <w:pStyle w:val="52"/>
                    <w:rPr>
                      <w:b/>
                      <w:bCs/>
                    </w:rPr>
                  </w:pPr>
                  <w:r>
                    <w:rPr>
                      <w:b/>
                      <w:bCs/>
                    </w:rPr>
                    <w:t>监控点</w:t>
                  </w:r>
                </w:p>
              </w:tc>
              <w:tc>
                <w:tcPr>
                  <w:tcW w:w="628" w:type="pct"/>
                  <w:tcBorders>
                    <w:top w:val="single" w:color="auto" w:sz="4" w:space="0"/>
                  </w:tcBorders>
                  <w:vAlign w:val="center"/>
                </w:tcPr>
                <w:p>
                  <w:pPr>
                    <w:pStyle w:val="52"/>
                    <w:rPr>
                      <w:b/>
                      <w:bCs/>
                    </w:rPr>
                  </w:pPr>
                  <w:r>
                    <w:rPr>
                      <w:b/>
                      <w:bCs/>
                    </w:rPr>
                    <w:t>浓度(mg/m</w:t>
                  </w:r>
                  <w:r>
                    <w:rPr>
                      <w:b/>
                      <w:bCs/>
                      <w:vertAlign w:val="superscript"/>
                    </w:rPr>
                    <w:t>3</w:t>
                  </w:r>
                  <w:r>
                    <w:rPr>
                      <w:b/>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0" w:type="pct"/>
                  <w:vMerge w:val="restart"/>
                  <w:vAlign w:val="center"/>
                </w:tcPr>
                <w:p>
                  <w:pPr>
                    <w:pStyle w:val="52"/>
                  </w:pPr>
                  <w:r>
                    <w:rPr>
                      <w:rFonts w:hint="eastAsia"/>
                    </w:rPr>
                    <w:t>DA</w:t>
                  </w:r>
                  <w:r>
                    <w:t>001</w:t>
                  </w:r>
                </w:p>
              </w:tc>
              <w:tc>
                <w:tcPr>
                  <w:tcW w:w="595" w:type="pct"/>
                  <w:vMerge w:val="restart"/>
                  <w:vAlign w:val="center"/>
                </w:tcPr>
                <w:p>
                  <w:pPr>
                    <w:pStyle w:val="52"/>
                  </w:pPr>
                  <w:r>
                    <w:rPr>
                      <w:rFonts w:hint="eastAsia"/>
                    </w:rPr>
                    <w:t>有机</w:t>
                  </w:r>
                  <w:r>
                    <w:t>废气排放口</w:t>
                  </w:r>
                </w:p>
              </w:tc>
              <w:tc>
                <w:tcPr>
                  <w:tcW w:w="661" w:type="pct"/>
                  <w:vAlign w:val="center"/>
                </w:tcPr>
                <w:p>
                  <w:pPr>
                    <w:pStyle w:val="52"/>
                  </w:pPr>
                  <w:r>
                    <w:t>非甲烷总烃</w:t>
                  </w:r>
                </w:p>
              </w:tc>
              <w:tc>
                <w:tcPr>
                  <w:tcW w:w="1126" w:type="pct"/>
                  <w:vAlign w:val="center"/>
                </w:tcPr>
                <w:p>
                  <w:pPr>
                    <w:pStyle w:val="52"/>
                  </w:pPr>
                  <w:r>
                    <w:rPr>
                      <w:rFonts w:hint="eastAsia"/>
                    </w:rPr>
                    <w:t>《合成树脂工业污染物排放标准》（GB 31572-2015）</w:t>
                  </w:r>
                </w:p>
              </w:tc>
              <w:tc>
                <w:tcPr>
                  <w:tcW w:w="460" w:type="pct"/>
                  <w:tcBorders>
                    <w:right w:val="single" w:color="auto" w:sz="4" w:space="0"/>
                  </w:tcBorders>
                  <w:vAlign w:val="center"/>
                </w:tcPr>
                <w:p>
                  <w:pPr>
                    <w:pStyle w:val="52"/>
                  </w:pPr>
                  <w:r>
                    <w:rPr>
                      <w:rFonts w:hint="eastAsia"/>
                    </w:rPr>
                    <w:t>/</w:t>
                  </w:r>
                </w:p>
              </w:tc>
              <w:tc>
                <w:tcPr>
                  <w:tcW w:w="574" w:type="pct"/>
                  <w:tcBorders>
                    <w:left w:val="single" w:color="auto" w:sz="4" w:space="0"/>
                  </w:tcBorders>
                  <w:vAlign w:val="center"/>
                </w:tcPr>
                <w:p>
                  <w:pPr>
                    <w:pStyle w:val="52"/>
                  </w:pPr>
                  <w:r>
                    <w:t>6</w:t>
                  </w:r>
                  <w:r>
                    <w:rPr>
                      <w:rFonts w:hint="eastAsia"/>
                    </w:rPr>
                    <w:t>0</w:t>
                  </w:r>
                </w:p>
              </w:tc>
              <w:tc>
                <w:tcPr>
                  <w:tcW w:w="446" w:type="pct"/>
                  <w:tcBorders>
                    <w:top w:val="single" w:color="auto" w:sz="4" w:space="0"/>
                    <w:bottom w:val="single" w:color="auto" w:sz="4" w:space="0"/>
                  </w:tcBorders>
                  <w:vAlign w:val="center"/>
                </w:tcPr>
                <w:p>
                  <w:pPr>
                    <w:pStyle w:val="52"/>
                  </w:pPr>
                  <w:r>
                    <w:rPr>
                      <w:rFonts w:hint="eastAsia"/>
                    </w:rPr>
                    <w:t>企业边界</w:t>
                  </w:r>
                </w:p>
              </w:tc>
              <w:tc>
                <w:tcPr>
                  <w:tcW w:w="628" w:type="pct"/>
                  <w:tcBorders>
                    <w:top w:val="single" w:color="auto" w:sz="4" w:space="0"/>
                    <w:bottom w:val="single" w:color="auto" w:sz="4" w:space="0"/>
                  </w:tcBorders>
                  <w:vAlign w:val="center"/>
                </w:tcPr>
                <w:p>
                  <w:pPr>
                    <w:pStyle w:val="52"/>
                  </w:pPr>
                  <w: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0" w:type="pct"/>
                  <w:vMerge w:val="continue"/>
                  <w:vAlign w:val="center"/>
                </w:tcPr>
                <w:p>
                  <w:pPr>
                    <w:pStyle w:val="52"/>
                  </w:pPr>
                </w:p>
              </w:tc>
              <w:tc>
                <w:tcPr>
                  <w:tcW w:w="595" w:type="pct"/>
                  <w:vMerge w:val="continue"/>
                  <w:vAlign w:val="center"/>
                </w:tcPr>
                <w:p>
                  <w:pPr>
                    <w:pStyle w:val="52"/>
                  </w:pPr>
                </w:p>
              </w:tc>
              <w:tc>
                <w:tcPr>
                  <w:tcW w:w="661" w:type="pct"/>
                  <w:vAlign w:val="center"/>
                </w:tcPr>
                <w:p>
                  <w:pPr>
                    <w:pStyle w:val="52"/>
                  </w:pPr>
                  <w:r>
                    <w:rPr>
                      <w:rFonts w:hint="eastAsia"/>
                    </w:rPr>
                    <w:t>臭气浓度</w:t>
                  </w:r>
                </w:p>
              </w:tc>
              <w:tc>
                <w:tcPr>
                  <w:tcW w:w="1126" w:type="pct"/>
                  <w:vAlign w:val="center"/>
                </w:tcPr>
                <w:p>
                  <w:pPr>
                    <w:pStyle w:val="52"/>
                  </w:pPr>
                  <w:r>
                    <w:rPr>
                      <w:rFonts w:hint="eastAsia"/>
                    </w:rPr>
                    <w:t>《恶臭污染物排放标准》（GB14554-93）</w:t>
                  </w:r>
                </w:p>
              </w:tc>
              <w:tc>
                <w:tcPr>
                  <w:tcW w:w="460" w:type="pct"/>
                  <w:tcBorders>
                    <w:right w:val="single" w:color="auto" w:sz="4" w:space="0"/>
                  </w:tcBorders>
                  <w:vAlign w:val="center"/>
                </w:tcPr>
                <w:p>
                  <w:pPr>
                    <w:pStyle w:val="52"/>
                  </w:pPr>
                  <w:r>
                    <w:rPr>
                      <w:rFonts w:hint="eastAsia"/>
                    </w:rPr>
                    <w:t>/</w:t>
                  </w:r>
                </w:p>
              </w:tc>
              <w:tc>
                <w:tcPr>
                  <w:tcW w:w="574" w:type="pct"/>
                  <w:tcBorders>
                    <w:left w:val="single" w:color="auto" w:sz="4" w:space="0"/>
                  </w:tcBorders>
                  <w:vAlign w:val="center"/>
                </w:tcPr>
                <w:p>
                  <w:pPr>
                    <w:pStyle w:val="52"/>
                  </w:pPr>
                  <w:r>
                    <w:rPr>
                      <w:rFonts w:hint="eastAsia"/>
                    </w:rPr>
                    <w:t>2</w:t>
                  </w:r>
                  <w:r>
                    <w:t>000</w:t>
                  </w:r>
                  <w:r>
                    <w:rPr>
                      <w:rFonts w:hint="eastAsia"/>
                    </w:rPr>
                    <w:t>（无量纲）</w:t>
                  </w:r>
                </w:p>
              </w:tc>
              <w:tc>
                <w:tcPr>
                  <w:tcW w:w="446" w:type="pct"/>
                  <w:tcBorders>
                    <w:top w:val="single" w:color="auto" w:sz="4" w:space="0"/>
                    <w:bottom w:val="single" w:color="auto" w:sz="4" w:space="0"/>
                  </w:tcBorders>
                  <w:vAlign w:val="center"/>
                </w:tcPr>
                <w:p>
                  <w:pPr>
                    <w:pStyle w:val="52"/>
                  </w:pPr>
                  <w:r>
                    <w:rPr>
                      <w:rFonts w:hint="eastAsia"/>
                    </w:rPr>
                    <w:t>企业边界</w:t>
                  </w:r>
                </w:p>
              </w:tc>
              <w:tc>
                <w:tcPr>
                  <w:tcW w:w="628" w:type="pct"/>
                  <w:tcBorders>
                    <w:top w:val="single" w:color="auto" w:sz="4" w:space="0"/>
                    <w:bottom w:val="single" w:color="auto" w:sz="4" w:space="0"/>
                  </w:tcBorders>
                  <w:vAlign w:val="center"/>
                </w:tcPr>
                <w:p>
                  <w:pPr>
                    <w:pStyle w:val="52"/>
                  </w:pPr>
                  <w:r>
                    <w:rPr>
                      <w:rFonts w:hint="eastAsia"/>
                    </w:rPr>
                    <w:t>2</w:t>
                  </w:r>
                  <w:r>
                    <w:t>0</w:t>
                  </w:r>
                  <w:r>
                    <w:rPr>
                      <w:rFonts w:hint="eastAsia"/>
                    </w:rPr>
                    <w:t>（无量纲）</w:t>
                  </w:r>
                </w:p>
              </w:tc>
            </w:tr>
          </w:tbl>
          <w:p>
            <w:pPr>
              <w:pStyle w:val="82"/>
              <w:ind w:firstLine="482"/>
              <w:rPr>
                <w:b/>
                <w:bCs/>
              </w:rPr>
            </w:pPr>
            <w:r>
              <w:rPr>
                <w:rFonts w:hint="eastAsia"/>
                <w:b/>
                <w:bCs/>
              </w:rPr>
              <w:t>（4）监测要求</w:t>
            </w:r>
          </w:p>
          <w:p>
            <w:pPr>
              <w:pStyle w:val="82"/>
            </w:pPr>
            <w:r>
              <w:rPr>
                <w:rFonts w:hint="eastAsia"/>
              </w:rPr>
              <w:t>根据《排污单位自行监测技术指南 总则》（HJ</w:t>
            </w:r>
            <w:r>
              <w:t xml:space="preserve"> </w:t>
            </w:r>
            <w:r>
              <w:rPr>
                <w:rFonts w:hint="eastAsia"/>
              </w:rPr>
              <w:t>819-2017）、《排污许可证申请与核发技术规范 橡胶和塑料制品工业》（HJ</w:t>
            </w:r>
            <w:r>
              <w:t xml:space="preserve"> </w:t>
            </w:r>
            <w:r>
              <w:rPr>
                <w:rFonts w:hint="eastAsia"/>
              </w:rPr>
              <w:t>1</w:t>
            </w:r>
            <w:r>
              <w:t>122-</w:t>
            </w:r>
            <w:r>
              <w:rPr>
                <w:rFonts w:hint="eastAsia"/>
              </w:rPr>
              <w:t>2019）以及《排污单位自行监测技术指南 橡胶和塑料制品》（HJ 1207-2021），本项目废气监测要求如下表。</w:t>
            </w:r>
          </w:p>
          <w:p>
            <w:pPr>
              <w:pStyle w:val="83"/>
            </w:pPr>
            <w:r>
              <w:rPr>
                <w:rFonts w:hint="eastAsia"/>
              </w:rPr>
              <w:t>表4-</w:t>
            </w:r>
            <w:r>
              <w:t>4</w:t>
            </w:r>
            <w:r>
              <w:rPr>
                <w:rFonts w:hint="eastAsia"/>
              </w:rPr>
              <w:t xml:space="preserve">  废气污染源监测点位、监测因子及监测频率一览表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8"/>
              <w:gridCol w:w="2456"/>
              <w:gridCol w:w="1090"/>
              <w:gridCol w:w="31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934" w:type="pct"/>
                  <w:vAlign w:val="center"/>
                </w:tcPr>
                <w:p>
                  <w:pPr>
                    <w:widowControl/>
                    <w:tabs>
                      <w:tab w:val="left" w:pos="3435"/>
                    </w:tabs>
                    <w:spacing w:line="320" w:lineRule="exact"/>
                    <w:jc w:val="center"/>
                    <w:rPr>
                      <w:b/>
                      <w:bCs/>
                      <w:kern w:val="0"/>
                    </w:rPr>
                  </w:pPr>
                  <w:r>
                    <w:rPr>
                      <w:b/>
                      <w:bCs/>
                      <w:kern w:val="0"/>
                    </w:rPr>
                    <w:t>监测点位</w:t>
                  </w:r>
                </w:p>
              </w:tc>
              <w:tc>
                <w:tcPr>
                  <w:tcW w:w="1501" w:type="pct"/>
                  <w:vAlign w:val="center"/>
                </w:tcPr>
                <w:p>
                  <w:pPr>
                    <w:widowControl/>
                    <w:tabs>
                      <w:tab w:val="left" w:pos="3435"/>
                    </w:tabs>
                    <w:spacing w:line="320" w:lineRule="exact"/>
                    <w:jc w:val="center"/>
                    <w:rPr>
                      <w:b/>
                      <w:bCs/>
                      <w:kern w:val="0"/>
                    </w:rPr>
                  </w:pPr>
                  <w:r>
                    <w:rPr>
                      <w:b/>
                      <w:bCs/>
                      <w:kern w:val="0"/>
                    </w:rPr>
                    <w:t>监测因子</w:t>
                  </w:r>
                </w:p>
              </w:tc>
              <w:tc>
                <w:tcPr>
                  <w:tcW w:w="666" w:type="pct"/>
                  <w:vAlign w:val="center"/>
                </w:tcPr>
                <w:p>
                  <w:pPr>
                    <w:widowControl/>
                    <w:tabs>
                      <w:tab w:val="left" w:pos="3435"/>
                    </w:tabs>
                    <w:spacing w:line="320" w:lineRule="exact"/>
                    <w:jc w:val="center"/>
                    <w:rPr>
                      <w:b/>
                      <w:bCs/>
                      <w:kern w:val="0"/>
                    </w:rPr>
                  </w:pPr>
                  <w:r>
                    <w:rPr>
                      <w:b/>
                      <w:bCs/>
                      <w:kern w:val="0"/>
                    </w:rPr>
                    <w:t>监测频率</w:t>
                  </w:r>
                </w:p>
              </w:tc>
              <w:tc>
                <w:tcPr>
                  <w:tcW w:w="1899" w:type="pct"/>
                  <w:vAlign w:val="center"/>
                </w:tcPr>
                <w:p>
                  <w:pPr>
                    <w:widowControl/>
                    <w:tabs>
                      <w:tab w:val="left" w:pos="3435"/>
                    </w:tabs>
                    <w:spacing w:line="320" w:lineRule="exact"/>
                    <w:jc w:val="center"/>
                    <w:rPr>
                      <w:b/>
                      <w:bCs/>
                      <w:kern w:val="0"/>
                    </w:rPr>
                  </w:pPr>
                  <w:r>
                    <w:rPr>
                      <w:b/>
                      <w:bCs/>
                      <w:kern w:val="0"/>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934" w:type="pct"/>
                  <w:vMerge w:val="restart"/>
                  <w:vAlign w:val="center"/>
                </w:tcPr>
                <w:p>
                  <w:pPr>
                    <w:widowControl/>
                    <w:tabs>
                      <w:tab w:val="left" w:pos="3435"/>
                    </w:tabs>
                    <w:spacing w:line="320" w:lineRule="exact"/>
                    <w:jc w:val="center"/>
                    <w:rPr>
                      <w:kern w:val="0"/>
                    </w:rPr>
                  </w:pPr>
                  <w:r>
                    <w:rPr>
                      <w:rFonts w:hint="eastAsia"/>
                      <w:kern w:val="0"/>
                    </w:rPr>
                    <w:t>DA</w:t>
                  </w:r>
                  <w:r>
                    <w:rPr>
                      <w:kern w:val="0"/>
                    </w:rPr>
                    <w:t>001</w:t>
                  </w:r>
                  <w:r>
                    <w:rPr>
                      <w:rFonts w:hint="eastAsia"/>
                      <w:kern w:val="0"/>
                    </w:rPr>
                    <w:t>排气筒</w:t>
                  </w:r>
                </w:p>
              </w:tc>
              <w:tc>
                <w:tcPr>
                  <w:tcW w:w="1501" w:type="pct"/>
                  <w:vAlign w:val="center"/>
                </w:tcPr>
                <w:p>
                  <w:pPr>
                    <w:widowControl/>
                    <w:tabs>
                      <w:tab w:val="left" w:pos="3435"/>
                    </w:tabs>
                    <w:spacing w:line="320" w:lineRule="exact"/>
                    <w:jc w:val="center"/>
                    <w:rPr>
                      <w:kern w:val="0"/>
                    </w:rPr>
                  </w:pPr>
                  <w:r>
                    <w:rPr>
                      <w:kern w:val="0"/>
                    </w:rPr>
                    <w:t>非甲烷总烃</w:t>
                  </w:r>
                </w:p>
              </w:tc>
              <w:tc>
                <w:tcPr>
                  <w:tcW w:w="666" w:type="pct"/>
                  <w:vAlign w:val="center"/>
                </w:tcPr>
                <w:p>
                  <w:pPr>
                    <w:widowControl/>
                    <w:tabs>
                      <w:tab w:val="left" w:pos="3435"/>
                    </w:tabs>
                    <w:spacing w:line="320" w:lineRule="exact"/>
                    <w:jc w:val="center"/>
                    <w:rPr>
                      <w:kern w:val="0"/>
                    </w:rPr>
                  </w:pPr>
                  <w:r>
                    <w:rPr>
                      <w:kern w:val="0"/>
                    </w:rPr>
                    <w:t>1次/</w:t>
                  </w:r>
                  <w:r>
                    <w:rPr>
                      <w:rFonts w:hint="eastAsia"/>
                      <w:kern w:val="0"/>
                    </w:rPr>
                    <w:t>半年</w:t>
                  </w:r>
                </w:p>
              </w:tc>
              <w:tc>
                <w:tcPr>
                  <w:tcW w:w="1899" w:type="pct"/>
                  <w:vMerge w:val="restart"/>
                  <w:vAlign w:val="center"/>
                </w:tcPr>
                <w:p>
                  <w:pPr>
                    <w:pStyle w:val="52"/>
                  </w:pPr>
                  <w:r>
                    <w:rPr>
                      <w:rFonts w:hint="eastAsia"/>
                    </w:rPr>
                    <w:t>《合成树脂工业污染物排放标准》（GB31572-2015）</w:t>
                  </w:r>
                </w:p>
                <w:p>
                  <w:pPr>
                    <w:pStyle w:val="52"/>
                  </w:pPr>
                  <w:r>
                    <w:rPr>
                      <w:rFonts w:hint="eastAsia"/>
                    </w:rPr>
                    <w:t>《恶臭污染物排放标准》（GB14554-93）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934" w:type="pct"/>
                  <w:vMerge w:val="continue"/>
                  <w:vAlign w:val="center"/>
                </w:tcPr>
                <w:p>
                  <w:pPr>
                    <w:widowControl/>
                    <w:tabs>
                      <w:tab w:val="left" w:pos="3435"/>
                    </w:tabs>
                    <w:spacing w:line="320" w:lineRule="exact"/>
                    <w:jc w:val="center"/>
                    <w:rPr>
                      <w:kern w:val="0"/>
                    </w:rPr>
                  </w:pPr>
                </w:p>
              </w:tc>
              <w:tc>
                <w:tcPr>
                  <w:tcW w:w="1501" w:type="pct"/>
                  <w:vAlign w:val="center"/>
                </w:tcPr>
                <w:p>
                  <w:pPr>
                    <w:widowControl/>
                    <w:tabs>
                      <w:tab w:val="left" w:pos="3435"/>
                    </w:tabs>
                    <w:spacing w:line="320" w:lineRule="exact"/>
                    <w:jc w:val="center"/>
                    <w:rPr>
                      <w:kern w:val="0"/>
                    </w:rPr>
                  </w:pPr>
                  <w:r>
                    <w:rPr>
                      <w:rFonts w:hint="eastAsia"/>
                      <w:kern w:val="0"/>
                    </w:rPr>
                    <w:t>臭气浓度</w:t>
                  </w:r>
                </w:p>
              </w:tc>
              <w:tc>
                <w:tcPr>
                  <w:tcW w:w="666" w:type="pct"/>
                  <w:vAlign w:val="center"/>
                </w:tcPr>
                <w:p>
                  <w:pPr>
                    <w:widowControl/>
                    <w:tabs>
                      <w:tab w:val="left" w:pos="3435"/>
                    </w:tabs>
                    <w:spacing w:line="320" w:lineRule="exact"/>
                    <w:jc w:val="center"/>
                    <w:rPr>
                      <w:kern w:val="0"/>
                    </w:rPr>
                  </w:pPr>
                  <w:r>
                    <w:rPr>
                      <w:kern w:val="0"/>
                    </w:rPr>
                    <w:t>1次/年</w:t>
                  </w:r>
                </w:p>
              </w:tc>
              <w:tc>
                <w:tcPr>
                  <w:tcW w:w="1899" w:type="pct"/>
                  <w:vMerge w:val="continue"/>
                  <w:vAlign w:val="center"/>
                </w:tcPr>
                <w:p>
                  <w:pPr>
                    <w:pStyle w:val="5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934" w:type="pct"/>
                  <w:vAlign w:val="center"/>
                </w:tcPr>
                <w:p>
                  <w:pPr>
                    <w:widowControl/>
                    <w:tabs>
                      <w:tab w:val="left" w:pos="3435"/>
                    </w:tabs>
                    <w:spacing w:line="320" w:lineRule="exact"/>
                    <w:jc w:val="center"/>
                    <w:rPr>
                      <w:kern w:val="0"/>
                    </w:rPr>
                  </w:pPr>
                  <w:r>
                    <w:rPr>
                      <w:kern w:val="0"/>
                    </w:rPr>
                    <w:t>无组织(厂界外上、下风向各设1处)</w:t>
                  </w:r>
                </w:p>
              </w:tc>
              <w:tc>
                <w:tcPr>
                  <w:tcW w:w="1501" w:type="pct"/>
                  <w:vAlign w:val="center"/>
                </w:tcPr>
                <w:p>
                  <w:pPr>
                    <w:widowControl/>
                    <w:tabs>
                      <w:tab w:val="left" w:pos="3435"/>
                    </w:tabs>
                    <w:spacing w:line="320" w:lineRule="exact"/>
                    <w:jc w:val="center"/>
                    <w:rPr>
                      <w:kern w:val="0"/>
                    </w:rPr>
                  </w:pPr>
                  <w:r>
                    <w:rPr>
                      <w:kern w:val="0"/>
                    </w:rPr>
                    <w:t>非甲烷总烃</w:t>
                  </w:r>
                  <w:r>
                    <w:rPr>
                      <w:rFonts w:hint="eastAsia"/>
                      <w:kern w:val="0"/>
                    </w:rPr>
                    <w:t>、臭气浓度</w:t>
                  </w:r>
                </w:p>
              </w:tc>
              <w:tc>
                <w:tcPr>
                  <w:tcW w:w="666" w:type="pct"/>
                  <w:vAlign w:val="center"/>
                </w:tcPr>
                <w:p>
                  <w:pPr>
                    <w:widowControl/>
                    <w:tabs>
                      <w:tab w:val="left" w:pos="3435"/>
                    </w:tabs>
                    <w:spacing w:line="320" w:lineRule="exact"/>
                    <w:jc w:val="center"/>
                    <w:rPr>
                      <w:kern w:val="0"/>
                    </w:rPr>
                  </w:pPr>
                  <w:r>
                    <w:rPr>
                      <w:kern w:val="0"/>
                    </w:rPr>
                    <w:t>1次/年</w:t>
                  </w:r>
                </w:p>
              </w:tc>
              <w:tc>
                <w:tcPr>
                  <w:tcW w:w="1899" w:type="pct"/>
                  <w:vAlign w:val="center"/>
                </w:tcPr>
                <w:p>
                  <w:pPr>
                    <w:pStyle w:val="52"/>
                  </w:pPr>
                  <w:r>
                    <w:rPr>
                      <w:rFonts w:hint="eastAsia"/>
                    </w:rPr>
                    <w:t>《合成树脂工业污染物排放标准》（GB31572-2015）</w:t>
                  </w:r>
                </w:p>
                <w:p>
                  <w:pPr>
                    <w:widowControl/>
                    <w:tabs>
                      <w:tab w:val="left" w:pos="3435"/>
                    </w:tabs>
                    <w:jc w:val="center"/>
                    <w:rPr>
                      <w:kern w:val="0"/>
                    </w:rPr>
                  </w:pPr>
                  <w:r>
                    <w:rPr>
                      <w:rFonts w:hint="eastAsia"/>
                    </w:rPr>
                    <w:t>《恶臭污染物排放标准》（GB14554-93</w:t>
                  </w:r>
                  <w:r>
                    <w:rPr>
                      <w:rFonts w:hint="eastAsia"/>
                      <w:kern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934" w:type="pct"/>
                  <w:vAlign w:val="center"/>
                </w:tcPr>
                <w:p>
                  <w:pPr>
                    <w:widowControl/>
                    <w:tabs>
                      <w:tab w:val="left" w:pos="3435"/>
                    </w:tabs>
                    <w:spacing w:line="320" w:lineRule="exact"/>
                    <w:jc w:val="center"/>
                    <w:rPr>
                      <w:kern w:val="0"/>
                    </w:rPr>
                  </w:pPr>
                  <w:r>
                    <w:rPr>
                      <w:rFonts w:hint="eastAsia"/>
                      <w:kern w:val="0"/>
                    </w:rPr>
                    <w:t>厂区内设置监控点</w:t>
                  </w:r>
                </w:p>
              </w:tc>
              <w:tc>
                <w:tcPr>
                  <w:tcW w:w="1501" w:type="pct"/>
                  <w:vAlign w:val="center"/>
                </w:tcPr>
                <w:p>
                  <w:pPr>
                    <w:widowControl/>
                    <w:tabs>
                      <w:tab w:val="left" w:pos="3435"/>
                    </w:tabs>
                    <w:spacing w:line="320" w:lineRule="exact"/>
                    <w:jc w:val="center"/>
                    <w:rPr>
                      <w:kern w:val="0"/>
                    </w:rPr>
                  </w:pPr>
                  <w:r>
                    <w:rPr>
                      <w:kern w:val="0"/>
                    </w:rPr>
                    <w:t>非甲烷总烃</w:t>
                  </w:r>
                </w:p>
              </w:tc>
              <w:tc>
                <w:tcPr>
                  <w:tcW w:w="666" w:type="pct"/>
                  <w:vAlign w:val="center"/>
                </w:tcPr>
                <w:p>
                  <w:pPr>
                    <w:widowControl/>
                    <w:tabs>
                      <w:tab w:val="left" w:pos="3435"/>
                    </w:tabs>
                    <w:spacing w:line="320" w:lineRule="exact"/>
                    <w:jc w:val="center"/>
                    <w:rPr>
                      <w:kern w:val="0"/>
                    </w:rPr>
                  </w:pPr>
                  <w:r>
                    <w:rPr>
                      <w:kern w:val="0"/>
                    </w:rPr>
                    <w:t>1次/年</w:t>
                  </w:r>
                </w:p>
              </w:tc>
              <w:tc>
                <w:tcPr>
                  <w:tcW w:w="1899" w:type="pct"/>
                  <w:vAlign w:val="center"/>
                </w:tcPr>
                <w:p>
                  <w:pPr>
                    <w:widowControl/>
                    <w:adjustRightInd w:val="0"/>
                    <w:snapToGrid w:val="0"/>
                    <w:spacing w:line="320" w:lineRule="exact"/>
                    <w:jc w:val="center"/>
                    <w:rPr>
                      <w:kern w:val="0"/>
                    </w:rPr>
                  </w:pPr>
                  <w:r>
                    <w:t>《挥发性有机物无组织排放控制标准》（GB37822-2019）</w:t>
                  </w:r>
                </w:p>
              </w:tc>
            </w:tr>
          </w:tbl>
          <w:p>
            <w:pPr>
              <w:pStyle w:val="82"/>
              <w:ind w:firstLine="482"/>
              <w:rPr>
                <w:b/>
                <w:bCs/>
              </w:rPr>
            </w:pPr>
            <w:r>
              <w:rPr>
                <w:rFonts w:hint="eastAsia"/>
                <w:b/>
                <w:bCs/>
              </w:rPr>
              <w:t>（5）</w:t>
            </w:r>
            <w:r>
              <w:rPr>
                <w:b/>
                <w:bCs/>
              </w:rPr>
              <w:t>达标情况分析</w:t>
            </w:r>
          </w:p>
          <w:p>
            <w:pPr>
              <w:pStyle w:val="82"/>
            </w:pPr>
            <w:r>
              <w:t>项目废气排气筒排放达标情况见表4-5。</w:t>
            </w:r>
          </w:p>
          <w:p>
            <w:pPr>
              <w:pStyle w:val="83"/>
            </w:pPr>
            <w:r>
              <w:t>表4-5  排气筒达标情况统计表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3"/>
              <w:gridCol w:w="1267"/>
              <w:gridCol w:w="813"/>
              <w:gridCol w:w="1093"/>
              <w:gridCol w:w="1095"/>
              <w:gridCol w:w="1100"/>
              <w:gridCol w:w="1034"/>
              <w:gridCol w:w="6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705" w:type="pct"/>
                  <w:vMerge w:val="restart"/>
                  <w:tcBorders>
                    <w:top w:val="single" w:color="auto" w:sz="4" w:space="0"/>
                    <w:left w:val="single" w:color="auto" w:sz="4" w:space="0"/>
                    <w:right w:val="single" w:color="auto" w:sz="4" w:space="0"/>
                  </w:tcBorders>
                  <w:vAlign w:val="center"/>
                </w:tcPr>
                <w:p>
                  <w:pPr>
                    <w:pStyle w:val="52"/>
                    <w:rPr>
                      <w:b/>
                      <w:bCs/>
                    </w:rPr>
                  </w:pPr>
                  <w:r>
                    <w:rPr>
                      <w:b/>
                      <w:bCs/>
                    </w:rPr>
                    <w:t>名称</w:t>
                  </w:r>
                </w:p>
              </w:tc>
              <w:tc>
                <w:tcPr>
                  <w:tcW w:w="774" w:type="pct"/>
                  <w:vMerge w:val="restart"/>
                  <w:tcBorders>
                    <w:top w:val="single" w:color="auto" w:sz="4" w:space="0"/>
                    <w:left w:val="single" w:color="auto" w:sz="4" w:space="0"/>
                    <w:right w:val="single" w:color="auto" w:sz="4" w:space="0"/>
                  </w:tcBorders>
                  <w:vAlign w:val="center"/>
                </w:tcPr>
                <w:p>
                  <w:pPr>
                    <w:pStyle w:val="52"/>
                    <w:rPr>
                      <w:b/>
                      <w:bCs/>
                    </w:rPr>
                  </w:pPr>
                  <w:r>
                    <w:rPr>
                      <w:b/>
                      <w:bCs/>
                    </w:rPr>
                    <w:t>污染物</w:t>
                  </w:r>
                </w:p>
              </w:tc>
              <w:tc>
                <w:tcPr>
                  <w:tcW w:w="497" w:type="pct"/>
                  <w:vMerge w:val="restart"/>
                  <w:tcBorders>
                    <w:top w:val="single" w:color="auto" w:sz="4" w:space="0"/>
                    <w:left w:val="single" w:color="auto" w:sz="4" w:space="0"/>
                    <w:right w:val="single" w:color="auto" w:sz="4" w:space="0"/>
                  </w:tcBorders>
                  <w:vAlign w:val="center"/>
                </w:tcPr>
                <w:p>
                  <w:pPr>
                    <w:pStyle w:val="52"/>
                    <w:rPr>
                      <w:b/>
                      <w:bCs/>
                    </w:rPr>
                  </w:pPr>
                  <w:r>
                    <w:rPr>
                      <w:b/>
                      <w:bCs/>
                    </w:rPr>
                    <w:t>高度（m）</w:t>
                  </w:r>
                </w:p>
              </w:tc>
              <w:tc>
                <w:tcPr>
                  <w:tcW w:w="1337" w:type="pct"/>
                  <w:gridSpan w:val="2"/>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有组织排放</w:t>
                  </w:r>
                </w:p>
              </w:tc>
              <w:tc>
                <w:tcPr>
                  <w:tcW w:w="1304" w:type="pct"/>
                  <w:gridSpan w:val="2"/>
                  <w:tcBorders>
                    <w:top w:val="single" w:color="auto" w:sz="4" w:space="0"/>
                    <w:left w:val="single" w:color="auto" w:sz="4" w:space="0"/>
                    <w:right w:val="single" w:color="auto" w:sz="4" w:space="0"/>
                  </w:tcBorders>
                  <w:vAlign w:val="center"/>
                </w:tcPr>
                <w:p>
                  <w:pPr>
                    <w:pStyle w:val="52"/>
                    <w:rPr>
                      <w:b/>
                      <w:bCs/>
                    </w:rPr>
                  </w:pPr>
                  <w:r>
                    <w:rPr>
                      <w:b/>
                      <w:bCs/>
                    </w:rPr>
                    <w:t>标准限值</w:t>
                  </w:r>
                </w:p>
              </w:tc>
              <w:tc>
                <w:tcPr>
                  <w:tcW w:w="383" w:type="pct"/>
                  <w:vMerge w:val="restart"/>
                  <w:tcBorders>
                    <w:top w:val="single" w:color="auto" w:sz="4" w:space="0"/>
                    <w:left w:val="single" w:color="auto" w:sz="4" w:space="0"/>
                    <w:right w:val="single" w:color="auto" w:sz="4" w:space="0"/>
                  </w:tcBorders>
                  <w:vAlign w:val="center"/>
                </w:tcPr>
                <w:p>
                  <w:pPr>
                    <w:pStyle w:val="52"/>
                    <w:rPr>
                      <w:b/>
                      <w:bCs/>
                    </w:rPr>
                  </w:pPr>
                  <w:r>
                    <w:rPr>
                      <w:b/>
                      <w:bCs/>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705" w:type="pct"/>
                  <w:vMerge w:val="continue"/>
                  <w:tcBorders>
                    <w:left w:val="single" w:color="auto" w:sz="4" w:space="0"/>
                    <w:bottom w:val="single" w:color="auto" w:sz="4" w:space="0"/>
                    <w:right w:val="single" w:color="auto" w:sz="4" w:space="0"/>
                  </w:tcBorders>
                  <w:vAlign w:val="center"/>
                </w:tcPr>
                <w:p>
                  <w:pPr>
                    <w:pStyle w:val="52"/>
                  </w:pPr>
                </w:p>
              </w:tc>
              <w:tc>
                <w:tcPr>
                  <w:tcW w:w="774" w:type="pct"/>
                  <w:vMerge w:val="continue"/>
                  <w:tcBorders>
                    <w:left w:val="single" w:color="auto" w:sz="4" w:space="0"/>
                    <w:bottom w:val="single" w:color="auto" w:sz="4" w:space="0"/>
                    <w:right w:val="single" w:color="auto" w:sz="4" w:space="0"/>
                  </w:tcBorders>
                  <w:vAlign w:val="center"/>
                </w:tcPr>
                <w:p>
                  <w:pPr>
                    <w:pStyle w:val="52"/>
                  </w:pPr>
                </w:p>
              </w:tc>
              <w:tc>
                <w:tcPr>
                  <w:tcW w:w="497" w:type="pct"/>
                  <w:vMerge w:val="continue"/>
                  <w:tcBorders>
                    <w:left w:val="single" w:color="auto" w:sz="4" w:space="0"/>
                    <w:bottom w:val="single" w:color="auto" w:sz="4" w:space="0"/>
                    <w:right w:val="single" w:color="auto" w:sz="4" w:space="0"/>
                  </w:tcBorders>
                  <w:vAlign w:val="center"/>
                </w:tcPr>
                <w:p>
                  <w:pPr>
                    <w:pStyle w:val="52"/>
                  </w:pPr>
                </w:p>
              </w:tc>
              <w:tc>
                <w:tcPr>
                  <w:tcW w:w="668" w:type="pct"/>
                  <w:tcBorders>
                    <w:top w:val="single" w:color="auto" w:sz="4" w:space="0"/>
                    <w:left w:val="single" w:color="auto" w:sz="4" w:space="0"/>
                    <w:bottom w:val="single" w:color="auto" w:sz="4" w:space="0"/>
                    <w:right w:val="single" w:color="auto" w:sz="4" w:space="0"/>
                  </w:tcBorders>
                  <w:vAlign w:val="center"/>
                </w:tcPr>
                <w:p>
                  <w:pPr>
                    <w:pStyle w:val="52"/>
                  </w:pPr>
                  <w:r>
                    <w:t>排放浓度(mg/m</w:t>
                  </w:r>
                  <w:r>
                    <w:rPr>
                      <w:vertAlign w:val="superscript"/>
                    </w:rPr>
                    <w:t>3</w:t>
                  </w:r>
                  <w:r>
                    <w:t>)</w:t>
                  </w:r>
                </w:p>
              </w:tc>
              <w:tc>
                <w:tcPr>
                  <w:tcW w:w="669" w:type="pct"/>
                  <w:tcBorders>
                    <w:top w:val="single" w:color="auto" w:sz="4" w:space="0"/>
                    <w:left w:val="single" w:color="auto" w:sz="4" w:space="0"/>
                    <w:bottom w:val="single" w:color="auto" w:sz="4" w:space="0"/>
                    <w:right w:val="single" w:color="auto" w:sz="4" w:space="0"/>
                  </w:tcBorders>
                  <w:vAlign w:val="center"/>
                </w:tcPr>
                <w:p>
                  <w:pPr>
                    <w:pStyle w:val="52"/>
                  </w:pPr>
                  <w:r>
                    <w:t>排放速率（kg/h）</w:t>
                  </w:r>
                </w:p>
              </w:tc>
              <w:tc>
                <w:tcPr>
                  <w:tcW w:w="672" w:type="pct"/>
                  <w:tcBorders>
                    <w:top w:val="single" w:color="auto" w:sz="4" w:space="0"/>
                    <w:left w:val="single" w:color="auto" w:sz="4" w:space="0"/>
                    <w:right w:val="single" w:color="auto" w:sz="4" w:space="0"/>
                  </w:tcBorders>
                  <w:vAlign w:val="center"/>
                </w:tcPr>
                <w:p>
                  <w:pPr>
                    <w:pStyle w:val="52"/>
                  </w:pPr>
                  <w:r>
                    <w:t>排放浓度(mg/m</w:t>
                  </w:r>
                  <w:r>
                    <w:rPr>
                      <w:vertAlign w:val="superscript"/>
                    </w:rPr>
                    <w:t>3)</w:t>
                  </w:r>
                </w:p>
              </w:tc>
              <w:tc>
                <w:tcPr>
                  <w:tcW w:w="632" w:type="pct"/>
                  <w:tcBorders>
                    <w:top w:val="single" w:color="auto" w:sz="4" w:space="0"/>
                    <w:left w:val="single" w:color="auto" w:sz="4" w:space="0"/>
                    <w:right w:val="single" w:color="auto" w:sz="4" w:space="0"/>
                  </w:tcBorders>
                  <w:vAlign w:val="center"/>
                </w:tcPr>
                <w:p>
                  <w:pPr>
                    <w:pStyle w:val="52"/>
                  </w:pPr>
                  <w:r>
                    <w:t>排放速率（kg/h）</w:t>
                  </w:r>
                </w:p>
              </w:tc>
              <w:tc>
                <w:tcPr>
                  <w:tcW w:w="383" w:type="pct"/>
                  <w:vMerge w:val="continue"/>
                  <w:tcBorders>
                    <w:left w:val="single" w:color="auto" w:sz="4" w:space="0"/>
                    <w:bottom w:val="single" w:color="auto" w:sz="4" w:space="0"/>
                    <w:right w:val="single" w:color="auto" w:sz="4" w:space="0"/>
                  </w:tcBorders>
                  <w:vAlign w:val="center"/>
                </w:tcPr>
                <w:p>
                  <w:pPr>
                    <w:pStyle w:val="5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705" w:type="pct"/>
                  <w:tcBorders>
                    <w:left w:val="single" w:color="auto" w:sz="4" w:space="0"/>
                    <w:right w:val="single" w:color="auto" w:sz="4" w:space="0"/>
                  </w:tcBorders>
                  <w:vAlign w:val="center"/>
                </w:tcPr>
                <w:p>
                  <w:pPr>
                    <w:pStyle w:val="52"/>
                  </w:pPr>
                  <w:r>
                    <w:rPr>
                      <w:rFonts w:hint="eastAsia"/>
                    </w:rPr>
                    <w:t>DA</w:t>
                  </w:r>
                  <w:r>
                    <w:t>001排气筒</w:t>
                  </w:r>
                </w:p>
              </w:tc>
              <w:tc>
                <w:tcPr>
                  <w:tcW w:w="774" w:type="pct"/>
                  <w:tcBorders>
                    <w:left w:val="single" w:color="auto" w:sz="4" w:space="0"/>
                    <w:right w:val="single" w:color="auto" w:sz="4" w:space="0"/>
                  </w:tcBorders>
                  <w:vAlign w:val="center"/>
                </w:tcPr>
                <w:p>
                  <w:pPr>
                    <w:pStyle w:val="52"/>
                  </w:pPr>
                  <w:r>
                    <w:t>非甲烷总烃</w:t>
                  </w:r>
                </w:p>
              </w:tc>
              <w:tc>
                <w:tcPr>
                  <w:tcW w:w="497" w:type="pct"/>
                  <w:tcBorders>
                    <w:left w:val="single" w:color="auto" w:sz="4" w:space="0"/>
                    <w:right w:val="single" w:color="auto" w:sz="4" w:space="0"/>
                  </w:tcBorders>
                  <w:vAlign w:val="center"/>
                </w:tcPr>
                <w:p>
                  <w:pPr>
                    <w:pStyle w:val="52"/>
                  </w:pPr>
                  <w:r>
                    <w:t>15</w:t>
                  </w:r>
                </w:p>
              </w:tc>
              <w:tc>
                <w:tcPr>
                  <w:tcW w:w="668" w:type="pct"/>
                  <w:tcBorders>
                    <w:top w:val="single" w:color="auto" w:sz="4" w:space="0"/>
                    <w:left w:val="single" w:color="auto" w:sz="4" w:space="0"/>
                    <w:bottom w:val="single" w:color="auto" w:sz="4" w:space="0"/>
                    <w:right w:val="single" w:color="auto" w:sz="4" w:space="0"/>
                  </w:tcBorders>
                  <w:vAlign w:val="center"/>
                </w:tcPr>
                <w:p>
                  <w:pPr>
                    <w:pStyle w:val="52"/>
                  </w:pPr>
                  <w:r>
                    <w:rPr>
                      <w:snapToGrid w:val="0"/>
                      <w:kern w:val="28"/>
                    </w:rPr>
                    <w:t>8</w:t>
                  </w:r>
                  <w:r>
                    <w:rPr>
                      <w:rFonts w:hint="eastAsia"/>
                      <w:snapToGrid w:val="0"/>
                      <w:kern w:val="28"/>
                    </w:rPr>
                    <w:t>.</w:t>
                  </w:r>
                  <w:r>
                    <w:rPr>
                      <w:snapToGrid w:val="0"/>
                      <w:kern w:val="28"/>
                    </w:rPr>
                    <w:t>689</w:t>
                  </w:r>
                </w:p>
              </w:tc>
              <w:tc>
                <w:tcPr>
                  <w:tcW w:w="669" w:type="pct"/>
                  <w:tcBorders>
                    <w:top w:val="single" w:color="auto" w:sz="4" w:space="0"/>
                    <w:left w:val="single" w:color="auto" w:sz="4" w:space="0"/>
                    <w:bottom w:val="single" w:color="auto" w:sz="4" w:space="0"/>
                    <w:right w:val="single" w:color="auto" w:sz="4" w:space="0"/>
                  </w:tcBorders>
                  <w:vAlign w:val="center"/>
                </w:tcPr>
                <w:p>
                  <w:pPr>
                    <w:pStyle w:val="52"/>
                  </w:pPr>
                  <w:r>
                    <w:rPr>
                      <w:snapToGrid w:val="0"/>
                      <w:kern w:val="28"/>
                    </w:rPr>
                    <w:t>0.130</w:t>
                  </w:r>
                </w:p>
              </w:tc>
              <w:tc>
                <w:tcPr>
                  <w:tcW w:w="672" w:type="pct"/>
                  <w:tcBorders>
                    <w:top w:val="single" w:color="auto" w:sz="4" w:space="0"/>
                    <w:left w:val="single" w:color="auto" w:sz="4" w:space="0"/>
                    <w:bottom w:val="single" w:color="auto" w:sz="4" w:space="0"/>
                    <w:right w:val="single" w:color="auto" w:sz="4" w:space="0"/>
                  </w:tcBorders>
                  <w:vAlign w:val="center"/>
                </w:tcPr>
                <w:p>
                  <w:pPr>
                    <w:pStyle w:val="52"/>
                  </w:pPr>
                  <w:r>
                    <w:t>60</w:t>
                  </w:r>
                </w:p>
              </w:tc>
              <w:tc>
                <w:tcPr>
                  <w:tcW w:w="632"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w:t>
                  </w:r>
                </w:p>
              </w:tc>
              <w:tc>
                <w:tcPr>
                  <w:tcW w:w="383" w:type="pct"/>
                  <w:tcBorders>
                    <w:left w:val="single" w:color="auto" w:sz="4" w:space="0"/>
                    <w:right w:val="single" w:color="auto" w:sz="4" w:space="0"/>
                  </w:tcBorders>
                  <w:vAlign w:val="center"/>
                </w:tcPr>
                <w:p>
                  <w:pPr>
                    <w:pStyle w:val="52"/>
                  </w:pPr>
                  <w:r>
                    <w:t>达标</w:t>
                  </w:r>
                </w:p>
              </w:tc>
            </w:tr>
          </w:tbl>
          <w:p>
            <w:pPr>
              <w:pStyle w:val="77"/>
              <w:ind w:firstLine="480"/>
            </w:pPr>
            <w:r>
              <w:rPr>
                <w:rFonts w:hint="eastAsia"/>
              </w:rPr>
              <w:t>根据《合成树脂工业污染排放标准》（GB31572-2015），对项目各生产线单位产品排放的污染物排放量达标分析如下表：</w:t>
            </w:r>
          </w:p>
          <w:p>
            <w:pPr>
              <w:pStyle w:val="83"/>
            </w:pPr>
            <w:r>
              <w:t>表4-6  项</w:t>
            </w:r>
            <w:r>
              <w:rPr>
                <w:rFonts w:hint="eastAsia"/>
              </w:rPr>
              <w:t>目各生产线单位产品非甲烷总烃排放量达标分析</w:t>
            </w:r>
          </w:p>
          <w:tbl>
            <w:tblPr>
              <w:tblStyle w:val="24"/>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47"/>
              <w:gridCol w:w="1267"/>
              <w:gridCol w:w="929"/>
              <w:gridCol w:w="2410"/>
              <w:gridCol w:w="1556"/>
              <w:gridCol w:w="107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9" w:type="pct"/>
                  <w:vAlign w:val="center"/>
                </w:tcPr>
                <w:p>
                  <w:pPr>
                    <w:pStyle w:val="52"/>
                    <w:rPr>
                      <w:b/>
                      <w:bCs/>
                    </w:rPr>
                  </w:pPr>
                  <w:r>
                    <w:rPr>
                      <w:rFonts w:hint="eastAsia"/>
                      <w:b/>
                      <w:bCs/>
                    </w:rPr>
                    <w:t>排气筒编号</w:t>
                  </w:r>
                </w:p>
              </w:tc>
              <w:tc>
                <w:tcPr>
                  <w:tcW w:w="774" w:type="pct"/>
                  <w:vAlign w:val="center"/>
                </w:tcPr>
                <w:p>
                  <w:pPr>
                    <w:pStyle w:val="52"/>
                    <w:rPr>
                      <w:b/>
                      <w:bCs/>
                    </w:rPr>
                  </w:pPr>
                  <w:r>
                    <w:rPr>
                      <w:rFonts w:hint="eastAsia"/>
                      <w:b/>
                      <w:bCs/>
                    </w:rPr>
                    <w:t>生产线名称</w:t>
                  </w:r>
                </w:p>
              </w:tc>
              <w:tc>
                <w:tcPr>
                  <w:tcW w:w="568" w:type="pct"/>
                  <w:vAlign w:val="center"/>
                </w:tcPr>
                <w:p>
                  <w:pPr>
                    <w:pStyle w:val="52"/>
                    <w:rPr>
                      <w:b/>
                      <w:bCs/>
                    </w:rPr>
                  </w:pPr>
                  <w:r>
                    <w:rPr>
                      <w:rFonts w:hint="eastAsia"/>
                      <w:b/>
                      <w:bCs/>
                    </w:rPr>
                    <w:t>年产量（t）</w:t>
                  </w:r>
                </w:p>
              </w:tc>
              <w:tc>
                <w:tcPr>
                  <w:tcW w:w="1473" w:type="pct"/>
                  <w:vAlign w:val="center"/>
                </w:tcPr>
                <w:p>
                  <w:pPr>
                    <w:pStyle w:val="52"/>
                    <w:rPr>
                      <w:b/>
                      <w:bCs/>
                    </w:rPr>
                  </w:pPr>
                  <w:r>
                    <w:rPr>
                      <w:rFonts w:hint="eastAsia"/>
                      <w:b/>
                      <w:bCs/>
                    </w:rPr>
                    <w:t>单位产品的非甲烷总烃排放量（</w:t>
                  </w:r>
                  <w:r>
                    <w:rPr>
                      <w:b/>
                      <w:bCs/>
                    </w:rPr>
                    <w:t>kg/t</w:t>
                  </w:r>
                  <w:r>
                    <w:rPr>
                      <w:rFonts w:hint="eastAsia"/>
                      <w:b/>
                      <w:bCs/>
                    </w:rPr>
                    <w:t>产品）</w:t>
                  </w:r>
                </w:p>
              </w:tc>
              <w:tc>
                <w:tcPr>
                  <w:tcW w:w="951" w:type="pct"/>
                  <w:vAlign w:val="center"/>
                </w:tcPr>
                <w:p>
                  <w:pPr>
                    <w:pStyle w:val="52"/>
                    <w:rPr>
                      <w:b/>
                      <w:bCs/>
                    </w:rPr>
                  </w:pPr>
                  <w:r>
                    <w:rPr>
                      <w:rFonts w:hint="eastAsia"/>
                      <w:b/>
                      <w:bCs/>
                    </w:rPr>
                    <w:t>标准限值要求（</w:t>
                  </w:r>
                  <w:r>
                    <w:rPr>
                      <w:b/>
                      <w:bCs/>
                    </w:rPr>
                    <w:t>kg/t</w:t>
                  </w:r>
                  <w:r>
                    <w:rPr>
                      <w:rFonts w:hint="eastAsia"/>
                      <w:b/>
                      <w:bCs/>
                    </w:rPr>
                    <w:t>产品）</w:t>
                  </w:r>
                </w:p>
              </w:tc>
              <w:tc>
                <w:tcPr>
                  <w:tcW w:w="655" w:type="pct"/>
                  <w:vAlign w:val="center"/>
                </w:tcPr>
                <w:p>
                  <w:pPr>
                    <w:pStyle w:val="52"/>
                    <w:rPr>
                      <w:b/>
                      <w:bCs/>
                    </w:rPr>
                  </w:pPr>
                  <w:r>
                    <w:rPr>
                      <w:rFonts w:hint="eastAsia"/>
                      <w:b/>
                      <w:bCs/>
                    </w:rPr>
                    <w:t>达标分析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9" w:type="pct"/>
                  <w:vAlign w:val="center"/>
                </w:tcPr>
                <w:p>
                  <w:pPr>
                    <w:pStyle w:val="52"/>
                  </w:pPr>
                  <w:r>
                    <w:rPr>
                      <w:rFonts w:hint="eastAsia"/>
                    </w:rPr>
                    <w:t>DA</w:t>
                  </w:r>
                  <w:r>
                    <w:t>001</w:t>
                  </w:r>
                </w:p>
              </w:tc>
              <w:tc>
                <w:tcPr>
                  <w:tcW w:w="774" w:type="pct"/>
                  <w:vAlign w:val="center"/>
                </w:tcPr>
                <w:p>
                  <w:pPr>
                    <w:pStyle w:val="52"/>
                  </w:pPr>
                  <w:r>
                    <w:rPr>
                      <w:rFonts w:hint="eastAsia"/>
                    </w:rPr>
                    <w:t>功能母粒生产线</w:t>
                  </w:r>
                </w:p>
              </w:tc>
              <w:tc>
                <w:tcPr>
                  <w:tcW w:w="568" w:type="pct"/>
                  <w:vAlign w:val="center"/>
                </w:tcPr>
                <w:p>
                  <w:pPr>
                    <w:pStyle w:val="52"/>
                  </w:pPr>
                  <w:r>
                    <w:t>2000</w:t>
                  </w:r>
                </w:p>
              </w:tc>
              <w:tc>
                <w:tcPr>
                  <w:tcW w:w="1473" w:type="pct"/>
                  <w:vAlign w:val="center"/>
                </w:tcPr>
                <w:p>
                  <w:pPr>
                    <w:pStyle w:val="52"/>
                  </w:pPr>
                  <w:r>
                    <w:rPr>
                      <w:rFonts w:hint="eastAsia"/>
                    </w:rPr>
                    <w:t>0</w:t>
                  </w:r>
                  <w:r>
                    <w:t>.1955</w:t>
                  </w:r>
                </w:p>
              </w:tc>
              <w:tc>
                <w:tcPr>
                  <w:tcW w:w="951" w:type="pct"/>
                  <w:vAlign w:val="center"/>
                </w:tcPr>
                <w:p>
                  <w:pPr>
                    <w:pStyle w:val="52"/>
                  </w:pPr>
                  <w:r>
                    <w:rPr>
                      <w:rFonts w:hint="eastAsia"/>
                    </w:rPr>
                    <w:t>0</w:t>
                  </w:r>
                  <w:r>
                    <w:t>.3</w:t>
                  </w:r>
                </w:p>
              </w:tc>
              <w:tc>
                <w:tcPr>
                  <w:tcW w:w="655" w:type="pct"/>
                  <w:vAlign w:val="center"/>
                </w:tcPr>
                <w:p>
                  <w:pPr>
                    <w:pStyle w:val="52"/>
                  </w:pPr>
                  <w:r>
                    <w:rPr>
                      <w:rFonts w:hint="eastAsia"/>
                    </w:rPr>
                    <w:t>达标</w:t>
                  </w:r>
                </w:p>
              </w:tc>
            </w:tr>
          </w:tbl>
          <w:p>
            <w:pPr>
              <w:pStyle w:val="77"/>
              <w:ind w:firstLine="482"/>
              <w:rPr>
                <w:b/>
                <w:bCs w:val="0"/>
              </w:rPr>
            </w:pPr>
            <w:r>
              <w:rPr>
                <w:rFonts w:hint="eastAsia"/>
                <w:b/>
                <w:bCs w:val="0"/>
              </w:rPr>
              <w:t>（</w:t>
            </w:r>
            <w:r>
              <w:rPr>
                <w:b/>
                <w:bCs w:val="0"/>
              </w:rPr>
              <w:t>6</w:t>
            </w:r>
            <w:r>
              <w:rPr>
                <w:rFonts w:hint="eastAsia"/>
                <w:b/>
                <w:bCs w:val="0"/>
              </w:rPr>
              <w:t>）</w:t>
            </w:r>
            <w:r>
              <w:rPr>
                <w:b/>
                <w:bCs w:val="0"/>
              </w:rPr>
              <w:t>措施可行性分析</w:t>
            </w:r>
          </w:p>
          <w:p>
            <w:pPr>
              <w:pStyle w:val="77"/>
              <w:ind w:firstLine="480"/>
            </w:pPr>
            <w:r>
              <w:t>本次评价项目废气治理技术可行性技术要求</w:t>
            </w:r>
            <w:r>
              <w:rPr>
                <w:rFonts w:hint="eastAsia"/>
              </w:rPr>
              <w:t>按照《排污许可证申请与核发技术规范 橡胶和塑料制品工业</w:t>
            </w:r>
            <w:r>
              <w:t>》（HJ1066—2019）对废气进行分析，校核见表4-7。</w:t>
            </w:r>
          </w:p>
          <w:p>
            <w:pPr>
              <w:pStyle w:val="83"/>
            </w:pPr>
            <w:r>
              <w:t>表4-7  项目废气治理技术可行性技术要求校核</w:t>
            </w:r>
          </w:p>
          <w:tbl>
            <w:tblPr>
              <w:tblStyle w:val="24"/>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13"/>
              <w:gridCol w:w="954"/>
              <w:gridCol w:w="817"/>
              <w:gridCol w:w="1638"/>
              <w:gridCol w:w="1363"/>
              <w:gridCol w:w="682"/>
              <w:gridCol w:w="1091"/>
              <w:gridCol w:w="92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36" w:type="pct"/>
                  <w:vAlign w:val="center"/>
                </w:tcPr>
                <w:p>
                  <w:pPr>
                    <w:pStyle w:val="52"/>
                    <w:rPr>
                      <w:b/>
                      <w:bCs/>
                    </w:rPr>
                  </w:pPr>
                  <w:r>
                    <w:rPr>
                      <w:b/>
                      <w:bCs/>
                    </w:rPr>
                    <w:t>生产单元</w:t>
                  </w:r>
                </w:p>
              </w:tc>
              <w:tc>
                <w:tcPr>
                  <w:tcW w:w="583" w:type="pct"/>
                  <w:vAlign w:val="center"/>
                </w:tcPr>
                <w:p>
                  <w:pPr>
                    <w:pStyle w:val="52"/>
                    <w:rPr>
                      <w:b/>
                      <w:bCs/>
                    </w:rPr>
                  </w:pPr>
                  <w:r>
                    <w:rPr>
                      <w:b/>
                      <w:bCs/>
                    </w:rPr>
                    <w:t>主要生产设施</w:t>
                  </w:r>
                </w:p>
              </w:tc>
              <w:tc>
                <w:tcPr>
                  <w:tcW w:w="499" w:type="pct"/>
                  <w:vAlign w:val="center"/>
                </w:tcPr>
                <w:p>
                  <w:pPr>
                    <w:pStyle w:val="52"/>
                    <w:rPr>
                      <w:b/>
                      <w:bCs/>
                    </w:rPr>
                  </w:pPr>
                  <w:r>
                    <w:rPr>
                      <w:b/>
                      <w:bCs/>
                    </w:rPr>
                    <w:t>主要污染物</w:t>
                  </w:r>
                </w:p>
              </w:tc>
              <w:tc>
                <w:tcPr>
                  <w:tcW w:w="1001" w:type="pct"/>
                  <w:vAlign w:val="center"/>
                </w:tcPr>
                <w:p>
                  <w:pPr>
                    <w:pStyle w:val="52"/>
                    <w:rPr>
                      <w:b/>
                      <w:bCs/>
                    </w:rPr>
                  </w:pPr>
                  <w:r>
                    <w:rPr>
                      <w:b/>
                      <w:bCs/>
                    </w:rPr>
                    <w:t>推荐可行技术</w:t>
                  </w:r>
                </w:p>
              </w:tc>
              <w:tc>
                <w:tcPr>
                  <w:tcW w:w="833" w:type="pct"/>
                  <w:vAlign w:val="center"/>
                </w:tcPr>
                <w:p>
                  <w:pPr>
                    <w:pStyle w:val="52"/>
                    <w:rPr>
                      <w:b/>
                      <w:bCs/>
                    </w:rPr>
                  </w:pPr>
                  <w:r>
                    <w:rPr>
                      <w:b/>
                      <w:bCs/>
                    </w:rPr>
                    <w:t>项目采用技术</w:t>
                  </w:r>
                </w:p>
              </w:tc>
              <w:tc>
                <w:tcPr>
                  <w:tcW w:w="417" w:type="pct"/>
                  <w:vAlign w:val="center"/>
                </w:tcPr>
                <w:p>
                  <w:pPr>
                    <w:pStyle w:val="52"/>
                    <w:rPr>
                      <w:b/>
                      <w:bCs/>
                    </w:rPr>
                  </w:pPr>
                  <w:r>
                    <w:rPr>
                      <w:b/>
                      <w:bCs/>
                    </w:rPr>
                    <w:t>是否推荐技术</w:t>
                  </w:r>
                </w:p>
              </w:tc>
              <w:tc>
                <w:tcPr>
                  <w:tcW w:w="667" w:type="pct"/>
                  <w:vAlign w:val="center"/>
                </w:tcPr>
                <w:p>
                  <w:pPr>
                    <w:pStyle w:val="52"/>
                    <w:rPr>
                      <w:b/>
                      <w:bCs/>
                      <w:spacing w:val="-10"/>
                    </w:rPr>
                  </w:pPr>
                  <w:r>
                    <w:rPr>
                      <w:b/>
                      <w:bCs/>
                      <w:spacing w:val="-10"/>
                    </w:rPr>
                    <w:t>是否需加强自行监测台账记录</w:t>
                  </w:r>
                </w:p>
              </w:tc>
              <w:tc>
                <w:tcPr>
                  <w:tcW w:w="564" w:type="pct"/>
                  <w:vAlign w:val="center"/>
                </w:tcPr>
                <w:p>
                  <w:pPr>
                    <w:pStyle w:val="52"/>
                    <w:rPr>
                      <w:b/>
                      <w:bCs/>
                    </w:rPr>
                  </w:pPr>
                  <w:r>
                    <w:rPr>
                      <w:b/>
                      <w:bCs/>
                    </w:rPr>
                    <w:t>排污口类型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36" w:type="pct"/>
                  <w:vAlign w:val="center"/>
                </w:tcPr>
                <w:p>
                  <w:pPr>
                    <w:pStyle w:val="52"/>
                  </w:pPr>
                  <w:r>
                    <w:rPr>
                      <w:rFonts w:hint="eastAsia"/>
                    </w:rPr>
                    <w:t>挤出</w:t>
                  </w:r>
                </w:p>
              </w:tc>
              <w:tc>
                <w:tcPr>
                  <w:tcW w:w="583" w:type="pct"/>
                  <w:vAlign w:val="center"/>
                </w:tcPr>
                <w:p>
                  <w:pPr>
                    <w:pStyle w:val="52"/>
                  </w:pPr>
                  <w:r>
                    <w:rPr>
                      <w:rFonts w:hint="eastAsia"/>
                    </w:rPr>
                    <w:t>挤出机</w:t>
                  </w:r>
                </w:p>
              </w:tc>
              <w:tc>
                <w:tcPr>
                  <w:tcW w:w="499" w:type="pct"/>
                  <w:vAlign w:val="center"/>
                </w:tcPr>
                <w:p>
                  <w:pPr>
                    <w:pStyle w:val="52"/>
                  </w:pPr>
                  <w:r>
                    <w:t>非甲烷总烃</w:t>
                  </w:r>
                </w:p>
              </w:tc>
              <w:tc>
                <w:tcPr>
                  <w:tcW w:w="1001" w:type="pct"/>
                  <w:vAlign w:val="center"/>
                </w:tcPr>
                <w:p>
                  <w:pPr>
                    <w:pStyle w:val="52"/>
                  </w:pPr>
                  <w:r>
                    <w:rPr>
                      <w:rFonts w:hint="eastAsia"/>
                    </w:rPr>
                    <w:t>除尘、喷淋、吸附、热力燃烧、催化燃烧、低温等离子体、UV光氧化/光催化、生物法、以上组合技术</w:t>
                  </w:r>
                </w:p>
              </w:tc>
              <w:tc>
                <w:tcPr>
                  <w:tcW w:w="833" w:type="pct"/>
                  <w:vAlign w:val="center"/>
                </w:tcPr>
                <w:p>
                  <w:pPr>
                    <w:pStyle w:val="52"/>
                  </w:pPr>
                  <w:r>
                    <w:rPr>
                      <w:rFonts w:hint="eastAsia"/>
                    </w:rPr>
                    <w:t>UV光催化+三级活性炭吸附</w:t>
                  </w:r>
                </w:p>
              </w:tc>
              <w:tc>
                <w:tcPr>
                  <w:tcW w:w="417" w:type="pct"/>
                  <w:vAlign w:val="center"/>
                </w:tcPr>
                <w:p>
                  <w:pPr>
                    <w:pStyle w:val="52"/>
                  </w:pPr>
                  <w:r>
                    <w:t>是</w:t>
                  </w:r>
                </w:p>
              </w:tc>
              <w:tc>
                <w:tcPr>
                  <w:tcW w:w="667" w:type="pct"/>
                  <w:vAlign w:val="center"/>
                </w:tcPr>
                <w:p>
                  <w:pPr>
                    <w:pStyle w:val="52"/>
                  </w:pPr>
                  <w:r>
                    <w:t>否</w:t>
                  </w:r>
                </w:p>
              </w:tc>
              <w:tc>
                <w:tcPr>
                  <w:tcW w:w="564" w:type="pct"/>
                  <w:vAlign w:val="center"/>
                </w:tcPr>
                <w:p>
                  <w:pPr>
                    <w:pStyle w:val="52"/>
                  </w:pPr>
                  <w:r>
                    <w:t>一般排放口</w:t>
                  </w:r>
                </w:p>
              </w:tc>
            </w:tr>
          </w:tbl>
          <w:p>
            <w:pPr>
              <w:pStyle w:val="82"/>
              <w:ind w:firstLine="482"/>
              <w:rPr>
                <w:b/>
                <w:bCs/>
              </w:rPr>
            </w:pPr>
            <w:r>
              <w:rPr>
                <w:rFonts w:hint="eastAsia"/>
                <w:b/>
                <w:bCs/>
              </w:rPr>
              <w:t>（7）非正常工况</w:t>
            </w:r>
          </w:p>
          <w:p>
            <w:pPr>
              <w:pStyle w:val="82"/>
            </w:pPr>
            <w:r>
              <w:t>非正常排放是指项目生产运行阶段的检修、一般性事故和发生泄漏时的污染物的不正常排放。本次评价非正常工况按各废气治理设施</w:t>
            </w:r>
            <w:r>
              <w:rPr>
                <w:rFonts w:hint="eastAsia"/>
              </w:rPr>
              <w:t>失效</w:t>
            </w:r>
            <w:r>
              <w:t>去除效率</w:t>
            </w:r>
            <w:r>
              <w:rPr>
                <w:rFonts w:hint="eastAsia"/>
              </w:rPr>
              <w:t>为</w:t>
            </w:r>
            <w:r>
              <w:t>0考虑。在非正常工况下，污染物有组织排放情况见表4-8。</w:t>
            </w:r>
          </w:p>
          <w:p>
            <w:pPr>
              <w:pStyle w:val="83"/>
            </w:pPr>
            <w:r>
              <w:t>表4-8  非正常工况废气排放情况</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5"/>
              <w:gridCol w:w="1041"/>
              <w:gridCol w:w="1276"/>
              <w:gridCol w:w="1257"/>
              <w:gridCol w:w="1258"/>
              <w:gridCol w:w="1258"/>
              <w:gridCol w:w="12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510" w:type="pct"/>
                  <w:vMerge w:val="restar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污染源</w:t>
                  </w:r>
                </w:p>
              </w:tc>
              <w:tc>
                <w:tcPr>
                  <w:tcW w:w="636" w:type="pct"/>
                  <w:vMerge w:val="restar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污染物</w:t>
                  </w:r>
                </w:p>
              </w:tc>
              <w:tc>
                <w:tcPr>
                  <w:tcW w:w="780" w:type="pct"/>
                  <w:vMerge w:val="restar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废气量</w:t>
                  </w:r>
                </w:p>
                <w:p>
                  <w:pPr>
                    <w:pStyle w:val="52"/>
                    <w:rPr>
                      <w:b/>
                      <w:bCs/>
                    </w:rPr>
                  </w:pPr>
                  <w:r>
                    <w:rPr>
                      <w:b/>
                      <w:bCs/>
                    </w:rPr>
                    <w:t>（m</w:t>
                  </w:r>
                  <w:r>
                    <w:rPr>
                      <w:b/>
                      <w:bCs/>
                      <w:vertAlign w:val="superscript"/>
                    </w:rPr>
                    <w:t>3</w:t>
                  </w:r>
                  <w:r>
                    <w:rPr>
                      <w:b/>
                      <w:bCs/>
                    </w:rPr>
                    <w:t>/h）</w:t>
                  </w:r>
                </w:p>
              </w:tc>
              <w:tc>
                <w:tcPr>
                  <w:tcW w:w="1537" w:type="pct"/>
                  <w:gridSpan w:val="2"/>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非正常工况</w:t>
                  </w:r>
                </w:p>
              </w:tc>
              <w:tc>
                <w:tcPr>
                  <w:tcW w:w="1537" w:type="pct"/>
                  <w:gridSpan w:val="2"/>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510" w:type="pct"/>
                  <w:vMerge w:val="continue"/>
                  <w:tcBorders>
                    <w:top w:val="single" w:color="auto" w:sz="4" w:space="0"/>
                    <w:left w:val="single" w:color="auto" w:sz="4" w:space="0"/>
                    <w:bottom w:val="single" w:color="auto" w:sz="4" w:space="0"/>
                    <w:right w:val="single" w:color="auto" w:sz="4" w:space="0"/>
                  </w:tcBorders>
                  <w:vAlign w:val="center"/>
                </w:tcPr>
                <w:p>
                  <w:pPr>
                    <w:pStyle w:val="52"/>
                    <w:rPr>
                      <w:b/>
                      <w:bCs/>
                    </w:rPr>
                  </w:pPr>
                </w:p>
              </w:tc>
              <w:tc>
                <w:tcPr>
                  <w:tcW w:w="636" w:type="pct"/>
                  <w:vMerge w:val="continue"/>
                  <w:tcBorders>
                    <w:top w:val="single" w:color="auto" w:sz="4" w:space="0"/>
                    <w:left w:val="single" w:color="auto" w:sz="4" w:space="0"/>
                    <w:bottom w:val="single" w:color="auto" w:sz="4" w:space="0"/>
                    <w:right w:val="single" w:color="auto" w:sz="4" w:space="0"/>
                  </w:tcBorders>
                  <w:vAlign w:val="center"/>
                </w:tcPr>
                <w:p>
                  <w:pPr>
                    <w:pStyle w:val="52"/>
                    <w:rPr>
                      <w:b/>
                      <w:bCs/>
                    </w:rPr>
                  </w:pPr>
                </w:p>
              </w:tc>
              <w:tc>
                <w:tcPr>
                  <w:tcW w:w="780" w:type="pct"/>
                  <w:vMerge w:val="continue"/>
                  <w:tcBorders>
                    <w:top w:val="single" w:color="auto" w:sz="4" w:space="0"/>
                    <w:left w:val="single" w:color="auto" w:sz="4" w:space="0"/>
                    <w:bottom w:val="single" w:color="auto" w:sz="4" w:space="0"/>
                    <w:right w:val="single" w:color="auto" w:sz="4" w:space="0"/>
                  </w:tcBorders>
                  <w:vAlign w:val="center"/>
                </w:tcPr>
                <w:p>
                  <w:pPr>
                    <w:pStyle w:val="52"/>
                    <w:rPr>
                      <w:b/>
                      <w:bCs/>
                    </w:rPr>
                  </w:pPr>
                </w:p>
              </w:tc>
              <w:tc>
                <w:tcPr>
                  <w:tcW w:w="768"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排放浓度（mg/m</w:t>
                  </w:r>
                  <w:r>
                    <w:rPr>
                      <w:b/>
                      <w:bCs/>
                      <w:vertAlign w:val="superscript"/>
                    </w:rPr>
                    <w:t>3</w:t>
                  </w:r>
                  <w:r>
                    <w:rPr>
                      <w:b/>
                      <w:bCs/>
                    </w:rPr>
                    <w:t>）</w:t>
                  </w:r>
                </w:p>
              </w:tc>
              <w:tc>
                <w:tcPr>
                  <w:tcW w:w="769"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排放速率</w:t>
                  </w:r>
                </w:p>
                <w:p>
                  <w:pPr>
                    <w:pStyle w:val="52"/>
                    <w:rPr>
                      <w:b/>
                      <w:bCs/>
                    </w:rPr>
                  </w:pPr>
                  <w:r>
                    <w:rPr>
                      <w:b/>
                      <w:bCs/>
                    </w:rPr>
                    <w:t>（kg/h）</w:t>
                  </w:r>
                </w:p>
              </w:tc>
              <w:tc>
                <w:tcPr>
                  <w:tcW w:w="769"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排放浓度</w:t>
                  </w:r>
                </w:p>
                <w:p>
                  <w:pPr>
                    <w:pStyle w:val="52"/>
                    <w:rPr>
                      <w:b/>
                      <w:bCs/>
                    </w:rPr>
                  </w:pPr>
                  <w:r>
                    <w:rPr>
                      <w:b/>
                      <w:bCs/>
                    </w:rPr>
                    <w:t>（mg/m</w:t>
                  </w:r>
                  <w:r>
                    <w:rPr>
                      <w:b/>
                      <w:bCs/>
                      <w:vertAlign w:val="superscript"/>
                    </w:rPr>
                    <w:t>3</w:t>
                  </w:r>
                  <w:r>
                    <w:rPr>
                      <w:b/>
                      <w:bCs/>
                    </w:rPr>
                    <w:t>）</w:t>
                  </w:r>
                </w:p>
              </w:tc>
              <w:tc>
                <w:tcPr>
                  <w:tcW w:w="768" w:type="pct"/>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排放速率</w:t>
                  </w:r>
                </w:p>
                <w:p>
                  <w:pPr>
                    <w:pStyle w:val="52"/>
                    <w:rPr>
                      <w:b/>
                      <w:bCs/>
                    </w:rPr>
                  </w:pPr>
                  <w:r>
                    <w:rPr>
                      <w:b/>
                      <w:bCs/>
                    </w:rPr>
                    <w:t>（kg/h）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510"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DA</w:t>
                  </w:r>
                  <w:r>
                    <w:t>001</w:t>
                  </w:r>
                </w:p>
              </w:tc>
              <w:tc>
                <w:tcPr>
                  <w:tcW w:w="636" w:type="pct"/>
                  <w:tcBorders>
                    <w:top w:val="single" w:color="auto" w:sz="4" w:space="0"/>
                    <w:left w:val="single" w:color="auto" w:sz="4" w:space="0"/>
                    <w:bottom w:val="single" w:color="auto" w:sz="4" w:space="0"/>
                    <w:right w:val="single" w:color="auto" w:sz="4" w:space="0"/>
                  </w:tcBorders>
                  <w:vAlign w:val="center"/>
                </w:tcPr>
                <w:p>
                  <w:pPr>
                    <w:pStyle w:val="52"/>
                    <w:rPr>
                      <w:szCs w:val="18"/>
                    </w:rPr>
                  </w:pPr>
                  <w:r>
                    <w:rPr>
                      <w:szCs w:val="18"/>
                    </w:rPr>
                    <w:t>非甲烷总烃</w:t>
                  </w:r>
                </w:p>
              </w:tc>
              <w:tc>
                <w:tcPr>
                  <w:tcW w:w="780" w:type="pct"/>
                  <w:tcBorders>
                    <w:top w:val="single" w:color="auto" w:sz="4" w:space="0"/>
                    <w:left w:val="single" w:color="auto" w:sz="4" w:space="0"/>
                    <w:bottom w:val="single" w:color="auto" w:sz="4" w:space="0"/>
                    <w:right w:val="single" w:color="auto" w:sz="4" w:space="0"/>
                  </w:tcBorders>
                  <w:vAlign w:val="center"/>
                </w:tcPr>
                <w:p>
                  <w:pPr>
                    <w:pStyle w:val="52"/>
                  </w:pPr>
                  <w:r>
                    <w:t>15000</w:t>
                  </w:r>
                </w:p>
              </w:tc>
              <w:tc>
                <w:tcPr>
                  <w:tcW w:w="768"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1</w:t>
                  </w:r>
                  <w:r>
                    <w:t>73</w:t>
                  </w:r>
                  <w:r>
                    <w:rPr>
                      <w:rFonts w:hint="eastAsia"/>
                    </w:rPr>
                    <w:t>.</w:t>
                  </w:r>
                  <w:r>
                    <w:t>78</w:t>
                  </w:r>
                </w:p>
              </w:tc>
              <w:tc>
                <w:tcPr>
                  <w:tcW w:w="769" w:type="pct"/>
                  <w:tcBorders>
                    <w:top w:val="single" w:color="auto" w:sz="4" w:space="0"/>
                    <w:left w:val="single" w:color="auto" w:sz="4" w:space="0"/>
                    <w:bottom w:val="single" w:color="auto" w:sz="4" w:space="0"/>
                    <w:right w:val="single" w:color="auto" w:sz="4" w:space="0"/>
                  </w:tcBorders>
                  <w:vAlign w:val="center"/>
                </w:tcPr>
                <w:p>
                  <w:pPr>
                    <w:pStyle w:val="52"/>
                  </w:pPr>
                  <w:r>
                    <w:t>2.607</w:t>
                  </w:r>
                </w:p>
              </w:tc>
              <w:tc>
                <w:tcPr>
                  <w:tcW w:w="769" w:type="pct"/>
                  <w:tcBorders>
                    <w:top w:val="single" w:color="auto" w:sz="4" w:space="0"/>
                    <w:left w:val="single" w:color="auto" w:sz="4" w:space="0"/>
                    <w:bottom w:val="single" w:color="auto" w:sz="4" w:space="0"/>
                    <w:right w:val="single" w:color="auto" w:sz="4" w:space="0"/>
                  </w:tcBorders>
                  <w:vAlign w:val="center"/>
                </w:tcPr>
                <w:p>
                  <w:pPr>
                    <w:pStyle w:val="52"/>
                  </w:pPr>
                  <w:r>
                    <w:t>6</w:t>
                  </w:r>
                  <w:r>
                    <w:rPr>
                      <w:rFonts w:hint="eastAsia"/>
                    </w:rPr>
                    <w:t>0</w:t>
                  </w:r>
                </w:p>
              </w:tc>
              <w:tc>
                <w:tcPr>
                  <w:tcW w:w="768" w:type="pct"/>
                  <w:tcBorders>
                    <w:top w:val="single" w:color="auto" w:sz="4" w:space="0"/>
                    <w:left w:val="single" w:color="auto" w:sz="4" w:space="0"/>
                    <w:bottom w:val="single" w:color="auto" w:sz="4" w:space="0"/>
                    <w:right w:val="single" w:color="auto" w:sz="4" w:space="0"/>
                  </w:tcBorders>
                  <w:vAlign w:val="center"/>
                </w:tcPr>
                <w:p>
                  <w:pPr>
                    <w:pStyle w:val="52"/>
                  </w:pPr>
                  <w:r>
                    <w:rPr>
                      <w:rFonts w:hint="eastAsia"/>
                    </w:rPr>
                    <w:t>/</w:t>
                  </w:r>
                </w:p>
              </w:tc>
            </w:tr>
          </w:tbl>
          <w:p>
            <w:pPr>
              <w:pStyle w:val="82"/>
            </w:pPr>
            <w:r>
              <w:rPr>
                <w:rFonts w:hint="eastAsia"/>
              </w:rPr>
              <w:t>根据上表可知，拟建项目非正常工况下污染物排放浓度较大，对周边环境影响较大。环评要求项目一旦发生非正常排放，必须立即停产，对废气处理设施进行及时检修。为杜绝废气非正常排放，应采取以下措施确保废气达标排放：</w:t>
            </w:r>
          </w:p>
          <w:p>
            <w:pPr>
              <w:pStyle w:val="82"/>
            </w:pPr>
            <w:r>
              <w:rPr>
                <w:rFonts w:hint="eastAsia"/>
              </w:rPr>
              <w:t>①安排专人负责环保设备的日常维护和管理，每个固定时间检查、汇报情况，及时发现废气处理设备的隐患，确保废气处理系统正常运行；</w:t>
            </w:r>
          </w:p>
          <w:p>
            <w:pPr>
              <w:pStyle w:val="82"/>
            </w:pPr>
            <w:r>
              <w:rPr>
                <w:rFonts w:hint="eastAsia"/>
              </w:rPr>
              <w:t>②建立健全的环保管理机构，对环保管理人员和技术人员进行岗位培训，委托具有专业资质的环境检测单位对项目排放的各类污染物进行定期检测；</w:t>
            </w:r>
          </w:p>
          <w:p>
            <w:pPr>
              <w:pStyle w:val="82"/>
            </w:pPr>
            <w:r>
              <w:rPr>
                <w:rFonts w:hint="eastAsia"/>
              </w:rPr>
              <w:t>③应定期维护、检修废气处理装置，以保持废气处理设施等设备的处理效率。</w:t>
            </w:r>
          </w:p>
          <w:p>
            <w:pPr>
              <w:pStyle w:val="82"/>
              <w:ind w:firstLine="482"/>
              <w:rPr>
                <w:b/>
                <w:bCs/>
              </w:rPr>
            </w:pPr>
            <w:r>
              <w:rPr>
                <w:rFonts w:hint="eastAsia"/>
                <w:b/>
                <w:bCs/>
              </w:rPr>
              <w:t>（8）环境影响分析</w:t>
            </w:r>
          </w:p>
          <w:p>
            <w:pPr>
              <w:pStyle w:val="82"/>
            </w:pPr>
            <w:r>
              <w:rPr>
                <w:rFonts w:hint="eastAsia"/>
              </w:rPr>
              <w:t>项目位于重庆市铜梁高新区蒲吕片区，所在地环境空气功能区划为二类区，厂界5</w:t>
            </w:r>
            <w:r>
              <w:t>00</w:t>
            </w:r>
            <w:r>
              <w:rPr>
                <w:rFonts w:hint="eastAsia"/>
              </w:rPr>
              <w:t>m范围内无大气环境保护目标。项目生产过程中产生的有机废气经“UV光催化+三级活性炭吸附”处理达《合成树脂工业污染物排放标准》（GB 31572-2015）中限值后通过15m高DA</w:t>
            </w:r>
            <w:r>
              <w:t>001</w:t>
            </w:r>
            <w:r>
              <w:rPr>
                <w:rFonts w:hint="eastAsia"/>
              </w:rPr>
              <w:t>排气筒排放；</w:t>
            </w:r>
          </w:p>
          <w:p>
            <w:pPr>
              <w:pStyle w:val="82"/>
            </w:pPr>
            <w:r>
              <w:rPr>
                <w:rFonts w:hint="eastAsia"/>
              </w:rPr>
              <w:t>综上，拟建项目生产过程中产生废气采取有效措施治理后实现达标排放，</w:t>
            </w:r>
            <w:r>
              <w:t>对区域环境空气质量的影响可以接受，对周边的环境影响较小。</w:t>
            </w:r>
          </w:p>
        </w:tc>
      </w:tr>
    </w:tbl>
    <w:p>
      <w:pPr>
        <w:adjustRightInd w:val="0"/>
        <w:snapToGrid w:val="0"/>
        <w:spacing w:line="460" w:lineRule="exact"/>
        <w:ind w:firstLine="442" w:firstLineChars="200"/>
        <w:rPr>
          <w:b/>
          <w:bCs/>
          <w:spacing w:val="-10"/>
          <w:sz w:val="24"/>
        </w:rPr>
        <w:sectPr>
          <w:type w:val="continuous"/>
          <w:pgSz w:w="11906" w:h="16838"/>
          <w:pgMar w:top="1701" w:right="1531" w:bottom="1701" w:left="1531" w:header="851" w:footer="851" w:gutter="0"/>
          <w:cols w:space="720" w:num="1"/>
          <w:docGrid w:linePitch="312" w:charSpace="0"/>
        </w:sectPr>
      </w:pPr>
    </w:p>
    <w:tbl>
      <w:tblPr>
        <w:tblStyle w:val="2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1"/>
        <w:gridCol w:w="1315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34" w:hRule="atLeast"/>
          <w:jc w:val="center"/>
        </w:trPr>
        <w:tc>
          <w:tcPr>
            <w:tcW w:w="155" w:type="pct"/>
            <w:tcMar>
              <w:left w:w="28" w:type="dxa"/>
              <w:right w:w="28" w:type="dxa"/>
            </w:tcMar>
            <w:vAlign w:val="center"/>
          </w:tcPr>
          <w:p>
            <w:pPr>
              <w:adjustRightInd w:val="0"/>
              <w:snapToGrid w:val="0"/>
              <w:jc w:val="center"/>
              <w:rPr>
                <w:bCs/>
              </w:rPr>
            </w:pPr>
            <w:r>
              <w:rPr>
                <w:bCs/>
              </w:rPr>
              <w:t>运营</w:t>
            </w:r>
          </w:p>
          <w:p>
            <w:pPr>
              <w:adjustRightInd w:val="0"/>
              <w:snapToGrid w:val="0"/>
              <w:jc w:val="center"/>
              <w:rPr>
                <w:bCs/>
              </w:rPr>
            </w:pPr>
            <w:r>
              <w:rPr>
                <w:bCs/>
              </w:rPr>
              <w:t>期环</w:t>
            </w:r>
          </w:p>
          <w:p>
            <w:pPr>
              <w:adjustRightInd w:val="0"/>
              <w:snapToGrid w:val="0"/>
              <w:jc w:val="center"/>
              <w:rPr>
                <w:bCs/>
              </w:rPr>
            </w:pPr>
            <w:r>
              <w:rPr>
                <w:bCs/>
              </w:rPr>
              <w:t>境影</w:t>
            </w:r>
          </w:p>
          <w:p>
            <w:pPr>
              <w:adjustRightInd w:val="0"/>
              <w:snapToGrid w:val="0"/>
              <w:jc w:val="center"/>
              <w:rPr>
                <w:bCs/>
              </w:rPr>
            </w:pPr>
            <w:r>
              <w:rPr>
                <w:bCs/>
              </w:rPr>
              <w:t>响和</w:t>
            </w:r>
          </w:p>
          <w:p>
            <w:pPr>
              <w:adjustRightInd w:val="0"/>
              <w:snapToGrid w:val="0"/>
              <w:jc w:val="center"/>
              <w:rPr>
                <w:bCs/>
              </w:rPr>
            </w:pPr>
            <w:r>
              <w:rPr>
                <w:bCs/>
              </w:rPr>
              <w:t>保护</w:t>
            </w:r>
          </w:p>
          <w:p>
            <w:pPr>
              <w:adjustRightInd w:val="0"/>
              <w:snapToGrid w:val="0"/>
              <w:jc w:val="center"/>
              <w:rPr>
                <w:bCs/>
              </w:rPr>
            </w:pPr>
            <w:r>
              <w:rPr>
                <w:bCs/>
              </w:rPr>
              <w:t>措施</w:t>
            </w:r>
          </w:p>
        </w:tc>
        <w:tc>
          <w:tcPr>
            <w:tcW w:w="4845" w:type="pct"/>
            <w:vAlign w:val="center"/>
          </w:tcPr>
          <w:p>
            <w:pPr>
              <w:pStyle w:val="82"/>
              <w:ind w:firstLine="482"/>
              <w:rPr>
                <w:b/>
                <w:bCs/>
              </w:rPr>
            </w:pPr>
            <w:r>
              <w:rPr>
                <w:b/>
                <w:bCs/>
              </w:rPr>
              <w:t>2</w:t>
            </w:r>
            <w:r>
              <w:rPr>
                <w:rFonts w:hint="eastAsia"/>
                <w:b/>
                <w:bCs/>
              </w:rPr>
              <w:t>、</w:t>
            </w:r>
            <w:r>
              <w:rPr>
                <w:b/>
                <w:bCs/>
              </w:rPr>
              <w:t>废水</w:t>
            </w:r>
          </w:p>
          <w:p>
            <w:pPr>
              <w:pStyle w:val="82"/>
            </w:pPr>
            <w:r>
              <w:t>项目运营期废水仅包括生活污水</w:t>
            </w:r>
            <w:r>
              <w:rPr>
                <w:rFonts w:hint="eastAsia"/>
              </w:rPr>
              <w:t>。</w:t>
            </w:r>
          </w:p>
          <w:p>
            <w:pPr>
              <w:pStyle w:val="82"/>
              <w:ind w:firstLine="482"/>
              <w:rPr>
                <w:b/>
                <w:bCs/>
                <w:snapToGrid w:val="0"/>
                <w:szCs w:val="24"/>
              </w:rPr>
            </w:pPr>
            <w:r>
              <w:rPr>
                <w:rFonts w:hint="eastAsia"/>
                <w:b/>
                <w:bCs/>
                <w:snapToGrid w:val="0"/>
                <w:szCs w:val="24"/>
              </w:rPr>
              <w:t>（1）</w:t>
            </w:r>
            <w:r>
              <w:rPr>
                <w:b/>
                <w:bCs/>
                <w:snapToGrid w:val="0"/>
                <w:szCs w:val="24"/>
              </w:rPr>
              <w:t>废水污染物排放信息</w:t>
            </w:r>
          </w:p>
          <w:p>
            <w:pPr>
              <w:pStyle w:val="82"/>
              <w:rPr>
                <w:snapToGrid w:val="0"/>
                <w:szCs w:val="24"/>
              </w:rPr>
            </w:pPr>
            <w:r>
              <w:t>废水类别、污染物、产排情况及治理设施信息</w:t>
            </w:r>
            <w:r>
              <w:rPr>
                <w:snapToGrid w:val="0"/>
                <w:szCs w:val="24"/>
              </w:rPr>
              <w:t>见表4-9。</w:t>
            </w:r>
          </w:p>
          <w:p>
            <w:pPr>
              <w:pStyle w:val="83"/>
              <w:rPr>
                <w:snapToGrid w:val="0"/>
                <w:szCs w:val="24"/>
              </w:rPr>
            </w:pPr>
            <w:r>
              <w:rPr>
                <w:snapToGrid w:val="0"/>
                <w:szCs w:val="24"/>
              </w:rPr>
              <w:t xml:space="preserve">表4-9  </w:t>
            </w:r>
            <w:r>
              <w:t>废水类别、污染物、产排情况及治理设施信息一览表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7"/>
              <w:gridCol w:w="530"/>
              <w:gridCol w:w="496"/>
              <w:gridCol w:w="889"/>
              <w:gridCol w:w="1158"/>
              <w:gridCol w:w="1269"/>
              <w:gridCol w:w="1132"/>
              <w:gridCol w:w="1153"/>
              <w:gridCol w:w="530"/>
              <w:gridCol w:w="858"/>
              <w:gridCol w:w="781"/>
              <w:gridCol w:w="1158"/>
              <w:gridCol w:w="1269"/>
              <w:gridCol w:w="11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vMerge w:val="restart"/>
                  <w:vAlign w:val="center"/>
                </w:tcPr>
                <w:p>
                  <w:pPr>
                    <w:pStyle w:val="52"/>
                    <w:rPr>
                      <w:b/>
                      <w:bCs/>
                    </w:rPr>
                  </w:pPr>
                  <w:r>
                    <w:rPr>
                      <w:b/>
                      <w:bCs/>
                    </w:rPr>
                    <w:t>排放口名称</w:t>
                  </w:r>
                </w:p>
              </w:tc>
              <w:tc>
                <w:tcPr>
                  <w:tcW w:w="205" w:type="pct"/>
                  <w:vMerge w:val="restart"/>
                  <w:vAlign w:val="center"/>
                </w:tcPr>
                <w:p>
                  <w:pPr>
                    <w:pStyle w:val="52"/>
                    <w:rPr>
                      <w:b/>
                      <w:bCs/>
                    </w:rPr>
                  </w:pPr>
                  <w:r>
                    <w:rPr>
                      <w:b/>
                      <w:bCs/>
                    </w:rPr>
                    <w:t>产污环节</w:t>
                  </w:r>
                </w:p>
              </w:tc>
              <w:tc>
                <w:tcPr>
                  <w:tcW w:w="192" w:type="pct"/>
                  <w:vMerge w:val="restart"/>
                  <w:vAlign w:val="center"/>
                </w:tcPr>
                <w:p>
                  <w:pPr>
                    <w:pStyle w:val="52"/>
                    <w:rPr>
                      <w:b/>
                      <w:bCs/>
                    </w:rPr>
                  </w:pPr>
                  <w:r>
                    <w:rPr>
                      <w:b/>
                      <w:bCs/>
                    </w:rPr>
                    <w:t>废水类别</w:t>
                  </w:r>
                </w:p>
              </w:tc>
              <w:tc>
                <w:tcPr>
                  <w:tcW w:w="344" w:type="pct"/>
                  <w:vMerge w:val="restart"/>
                  <w:vAlign w:val="center"/>
                </w:tcPr>
                <w:p>
                  <w:pPr>
                    <w:pStyle w:val="52"/>
                    <w:rPr>
                      <w:b/>
                      <w:bCs/>
                    </w:rPr>
                  </w:pPr>
                  <w:r>
                    <w:rPr>
                      <w:b/>
                      <w:bCs/>
                    </w:rPr>
                    <w:t>污染物种类</w:t>
                  </w:r>
                </w:p>
              </w:tc>
              <w:tc>
                <w:tcPr>
                  <w:tcW w:w="1377" w:type="pct"/>
                  <w:gridSpan w:val="3"/>
                  <w:vAlign w:val="center"/>
                </w:tcPr>
                <w:p>
                  <w:pPr>
                    <w:pStyle w:val="52"/>
                    <w:rPr>
                      <w:b/>
                      <w:bCs/>
                    </w:rPr>
                  </w:pPr>
                  <w:r>
                    <w:rPr>
                      <w:b/>
                      <w:bCs/>
                    </w:rPr>
                    <w:t>产生情况</w:t>
                  </w:r>
                </w:p>
              </w:tc>
              <w:tc>
                <w:tcPr>
                  <w:tcW w:w="1285" w:type="pct"/>
                  <w:gridSpan w:val="4"/>
                  <w:vAlign w:val="center"/>
                </w:tcPr>
                <w:p>
                  <w:pPr>
                    <w:pStyle w:val="52"/>
                    <w:rPr>
                      <w:b/>
                      <w:bCs/>
                    </w:rPr>
                  </w:pPr>
                  <w:r>
                    <w:rPr>
                      <w:b/>
                      <w:bCs/>
                    </w:rPr>
                    <w:t>治理设施</w:t>
                  </w:r>
                </w:p>
              </w:tc>
              <w:tc>
                <w:tcPr>
                  <w:tcW w:w="1393" w:type="pct"/>
                  <w:gridSpan w:val="3"/>
                  <w:vAlign w:val="center"/>
                </w:tcPr>
                <w:p>
                  <w:pPr>
                    <w:pStyle w:val="52"/>
                    <w:rPr>
                      <w:b/>
                      <w:bCs/>
                    </w:rPr>
                  </w:pPr>
                  <w:r>
                    <w:rPr>
                      <w:b/>
                      <w:bCs/>
                    </w:rPr>
                    <w:t>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vMerge w:val="continue"/>
                  <w:vAlign w:val="center"/>
                </w:tcPr>
                <w:p>
                  <w:pPr>
                    <w:pStyle w:val="52"/>
                    <w:rPr>
                      <w:b/>
                      <w:bCs/>
                    </w:rPr>
                  </w:pPr>
                </w:p>
              </w:tc>
              <w:tc>
                <w:tcPr>
                  <w:tcW w:w="205" w:type="pct"/>
                  <w:vMerge w:val="continue"/>
                  <w:vAlign w:val="center"/>
                </w:tcPr>
                <w:p>
                  <w:pPr>
                    <w:pStyle w:val="52"/>
                    <w:rPr>
                      <w:b/>
                      <w:bCs/>
                    </w:rPr>
                  </w:pPr>
                </w:p>
              </w:tc>
              <w:tc>
                <w:tcPr>
                  <w:tcW w:w="192" w:type="pct"/>
                  <w:vMerge w:val="continue"/>
                  <w:vAlign w:val="center"/>
                </w:tcPr>
                <w:p>
                  <w:pPr>
                    <w:pStyle w:val="52"/>
                    <w:rPr>
                      <w:b/>
                      <w:bCs/>
                    </w:rPr>
                  </w:pPr>
                </w:p>
              </w:tc>
              <w:tc>
                <w:tcPr>
                  <w:tcW w:w="344" w:type="pct"/>
                  <w:vMerge w:val="continue"/>
                  <w:vAlign w:val="center"/>
                </w:tcPr>
                <w:p>
                  <w:pPr>
                    <w:pStyle w:val="52"/>
                    <w:rPr>
                      <w:b/>
                      <w:bCs/>
                    </w:rPr>
                  </w:pPr>
                </w:p>
              </w:tc>
              <w:tc>
                <w:tcPr>
                  <w:tcW w:w="448" w:type="pct"/>
                  <w:vMerge w:val="restart"/>
                  <w:vAlign w:val="center"/>
                </w:tcPr>
                <w:p>
                  <w:pPr>
                    <w:pStyle w:val="52"/>
                    <w:rPr>
                      <w:b/>
                      <w:bCs/>
                    </w:rPr>
                  </w:pPr>
                  <w:r>
                    <w:rPr>
                      <w:b/>
                      <w:bCs/>
                    </w:rPr>
                    <w:t>废水产生量（</w:t>
                  </w:r>
                  <w:r>
                    <w:rPr>
                      <w:rFonts w:hint="eastAsia"/>
                      <w:b/>
                      <w:bCs/>
                    </w:rPr>
                    <w:t>m</w:t>
                  </w:r>
                  <w:r>
                    <w:rPr>
                      <w:rFonts w:hint="eastAsia"/>
                      <w:b/>
                      <w:bCs/>
                      <w:vertAlign w:val="superscript"/>
                    </w:rPr>
                    <w:t>3</w:t>
                  </w:r>
                  <w:r>
                    <w:rPr>
                      <w:b/>
                      <w:bCs/>
                    </w:rPr>
                    <w:t>/a）</w:t>
                  </w:r>
                </w:p>
              </w:tc>
              <w:tc>
                <w:tcPr>
                  <w:tcW w:w="491" w:type="pct"/>
                  <w:vMerge w:val="restart"/>
                  <w:vAlign w:val="center"/>
                </w:tcPr>
                <w:p>
                  <w:pPr>
                    <w:pStyle w:val="52"/>
                    <w:rPr>
                      <w:b/>
                      <w:bCs/>
                    </w:rPr>
                  </w:pPr>
                  <w:r>
                    <w:rPr>
                      <w:b/>
                      <w:bCs/>
                    </w:rPr>
                    <w:t>污染物产生浓度（mg/L）</w:t>
                  </w:r>
                </w:p>
              </w:tc>
              <w:tc>
                <w:tcPr>
                  <w:tcW w:w="438" w:type="pct"/>
                  <w:vAlign w:val="center"/>
                </w:tcPr>
                <w:p>
                  <w:pPr>
                    <w:pStyle w:val="52"/>
                    <w:rPr>
                      <w:b/>
                      <w:bCs/>
                    </w:rPr>
                  </w:pPr>
                  <w:r>
                    <w:rPr>
                      <w:b/>
                      <w:bCs/>
                    </w:rPr>
                    <w:t>污染物</w:t>
                  </w:r>
                </w:p>
              </w:tc>
              <w:tc>
                <w:tcPr>
                  <w:tcW w:w="446" w:type="pct"/>
                  <w:vMerge w:val="restart"/>
                  <w:vAlign w:val="center"/>
                </w:tcPr>
                <w:p>
                  <w:pPr>
                    <w:pStyle w:val="52"/>
                    <w:rPr>
                      <w:b/>
                      <w:bCs/>
                    </w:rPr>
                  </w:pPr>
                  <w:r>
                    <w:rPr>
                      <w:b/>
                      <w:bCs/>
                    </w:rPr>
                    <w:t>处理能力（</w:t>
                  </w:r>
                  <w:r>
                    <w:rPr>
                      <w:rFonts w:hint="eastAsia"/>
                      <w:b/>
                      <w:bCs/>
                    </w:rPr>
                    <w:t>m</w:t>
                  </w:r>
                  <w:r>
                    <w:rPr>
                      <w:rFonts w:hint="eastAsia"/>
                      <w:b/>
                      <w:bCs/>
                      <w:vertAlign w:val="superscript"/>
                    </w:rPr>
                    <w:t>3</w:t>
                  </w:r>
                  <w:r>
                    <w:rPr>
                      <w:b/>
                      <w:bCs/>
                    </w:rPr>
                    <w:t>/d）</w:t>
                  </w:r>
                </w:p>
              </w:tc>
              <w:tc>
                <w:tcPr>
                  <w:tcW w:w="205" w:type="pct"/>
                  <w:vMerge w:val="restart"/>
                  <w:vAlign w:val="center"/>
                </w:tcPr>
                <w:p>
                  <w:pPr>
                    <w:pStyle w:val="52"/>
                    <w:rPr>
                      <w:b/>
                      <w:bCs/>
                    </w:rPr>
                  </w:pPr>
                  <w:r>
                    <w:rPr>
                      <w:b/>
                      <w:bCs/>
                    </w:rPr>
                    <w:t>治理工艺</w:t>
                  </w:r>
                </w:p>
              </w:tc>
              <w:tc>
                <w:tcPr>
                  <w:tcW w:w="332" w:type="pct"/>
                  <w:vMerge w:val="restart"/>
                  <w:vAlign w:val="center"/>
                </w:tcPr>
                <w:p>
                  <w:pPr>
                    <w:pStyle w:val="52"/>
                    <w:rPr>
                      <w:b/>
                      <w:bCs/>
                    </w:rPr>
                  </w:pPr>
                  <w:r>
                    <w:rPr>
                      <w:b/>
                      <w:bCs/>
                    </w:rPr>
                    <w:t>治理效率（%）</w:t>
                  </w:r>
                </w:p>
              </w:tc>
              <w:tc>
                <w:tcPr>
                  <w:tcW w:w="302" w:type="pct"/>
                  <w:vMerge w:val="restart"/>
                  <w:vAlign w:val="center"/>
                </w:tcPr>
                <w:p>
                  <w:pPr>
                    <w:pStyle w:val="52"/>
                    <w:rPr>
                      <w:b/>
                      <w:bCs/>
                    </w:rPr>
                  </w:pPr>
                  <w:r>
                    <w:rPr>
                      <w:b/>
                      <w:bCs/>
                    </w:rPr>
                    <w:t>是否为可行技术</w:t>
                  </w:r>
                </w:p>
              </w:tc>
              <w:tc>
                <w:tcPr>
                  <w:tcW w:w="448" w:type="pct"/>
                  <w:vMerge w:val="restart"/>
                  <w:vAlign w:val="center"/>
                </w:tcPr>
                <w:p>
                  <w:pPr>
                    <w:pStyle w:val="52"/>
                    <w:rPr>
                      <w:b/>
                      <w:bCs/>
                    </w:rPr>
                  </w:pPr>
                  <w:r>
                    <w:rPr>
                      <w:b/>
                      <w:bCs/>
                    </w:rPr>
                    <w:t>废水排放量（</w:t>
                  </w:r>
                  <w:r>
                    <w:rPr>
                      <w:rFonts w:hint="eastAsia"/>
                      <w:b/>
                      <w:bCs/>
                    </w:rPr>
                    <w:t>m</w:t>
                  </w:r>
                  <w:r>
                    <w:rPr>
                      <w:rFonts w:hint="eastAsia"/>
                      <w:b/>
                      <w:bCs/>
                      <w:vertAlign w:val="superscript"/>
                    </w:rPr>
                    <w:t>3</w:t>
                  </w:r>
                  <w:r>
                    <w:rPr>
                      <w:b/>
                      <w:bCs/>
                    </w:rPr>
                    <w:t>/a）</w:t>
                  </w:r>
                </w:p>
              </w:tc>
              <w:tc>
                <w:tcPr>
                  <w:tcW w:w="491" w:type="pct"/>
                  <w:vMerge w:val="restart"/>
                  <w:vAlign w:val="center"/>
                </w:tcPr>
                <w:p>
                  <w:pPr>
                    <w:pStyle w:val="52"/>
                    <w:rPr>
                      <w:b/>
                      <w:bCs/>
                    </w:rPr>
                  </w:pPr>
                  <w:r>
                    <w:rPr>
                      <w:b/>
                      <w:bCs/>
                    </w:rPr>
                    <w:t>污染物排放浓度（mg/L）</w:t>
                  </w:r>
                </w:p>
              </w:tc>
              <w:tc>
                <w:tcPr>
                  <w:tcW w:w="454" w:type="pct"/>
                  <w:vMerge w:val="restart"/>
                  <w:vAlign w:val="center"/>
                </w:tcPr>
                <w:p>
                  <w:pPr>
                    <w:pStyle w:val="52"/>
                    <w:rPr>
                      <w:b/>
                      <w:bCs/>
                    </w:rPr>
                  </w:pPr>
                  <w:r>
                    <w:rPr>
                      <w:b/>
                      <w:bCs/>
                    </w:rPr>
                    <w:t>污染物排放量（t/a）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vMerge w:val="continue"/>
                  <w:vAlign w:val="center"/>
                </w:tcPr>
                <w:p>
                  <w:pPr>
                    <w:pStyle w:val="52"/>
                  </w:pPr>
                </w:p>
              </w:tc>
              <w:tc>
                <w:tcPr>
                  <w:tcW w:w="205" w:type="pct"/>
                  <w:vMerge w:val="continue"/>
                  <w:vAlign w:val="center"/>
                </w:tcPr>
                <w:p>
                  <w:pPr>
                    <w:pStyle w:val="52"/>
                  </w:pPr>
                </w:p>
              </w:tc>
              <w:tc>
                <w:tcPr>
                  <w:tcW w:w="192" w:type="pct"/>
                  <w:vMerge w:val="continue"/>
                  <w:vAlign w:val="center"/>
                </w:tcPr>
                <w:p>
                  <w:pPr>
                    <w:pStyle w:val="52"/>
                  </w:pPr>
                </w:p>
              </w:tc>
              <w:tc>
                <w:tcPr>
                  <w:tcW w:w="344" w:type="pct"/>
                  <w:vMerge w:val="continue"/>
                  <w:vAlign w:val="center"/>
                </w:tcPr>
                <w:p>
                  <w:pPr>
                    <w:pStyle w:val="52"/>
                  </w:pPr>
                </w:p>
              </w:tc>
              <w:tc>
                <w:tcPr>
                  <w:tcW w:w="448" w:type="pct"/>
                  <w:vMerge w:val="continue"/>
                  <w:vAlign w:val="center"/>
                </w:tcPr>
                <w:p>
                  <w:pPr>
                    <w:pStyle w:val="52"/>
                  </w:pPr>
                </w:p>
              </w:tc>
              <w:tc>
                <w:tcPr>
                  <w:tcW w:w="491" w:type="pct"/>
                  <w:vMerge w:val="continue"/>
                  <w:vAlign w:val="center"/>
                </w:tcPr>
                <w:p>
                  <w:pPr>
                    <w:pStyle w:val="52"/>
                  </w:pPr>
                </w:p>
              </w:tc>
              <w:tc>
                <w:tcPr>
                  <w:tcW w:w="438" w:type="pct"/>
                  <w:vAlign w:val="center"/>
                </w:tcPr>
                <w:p>
                  <w:pPr>
                    <w:pStyle w:val="52"/>
                  </w:pPr>
                  <w:r>
                    <w:t>产生量（t/a）</w:t>
                  </w:r>
                </w:p>
              </w:tc>
              <w:tc>
                <w:tcPr>
                  <w:tcW w:w="446" w:type="pct"/>
                  <w:vMerge w:val="continue"/>
                  <w:vAlign w:val="center"/>
                </w:tcPr>
                <w:p>
                  <w:pPr>
                    <w:pStyle w:val="52"/>
                  </w:pPr>
                </w:p>
              </w:tc>
              <w:tc>
                <w:tcPr>
                  <w:tcW w:w="205" w:type="pct"/>
                  <w:vMerge w:val="continue"/>
                  <w:vAlign w:val="center"/>
                </w:tcPr>
                <w:p>
                  <w:pPr>
                    <w:pStyle w:val="52"/>
                  </w:pPr>
                </w:p>
              </w:tc>
              <w:tc>
                <w:tcPr>
                  <w:tcW w:w="332" w:type="pct"/>
                  <w:vMerge w:val="continue"/>
                  <w:vAlign w:val="center"/>
                </w:tcPr>
                <w:p>
                  <w:pPr>
                    <w:pStyle w:val="52"/>
                  </w:pPr>
                </w:p>
              </w:tc>
              <w:tc>
                <w:tcPr>
                  <w:tcW w:w="302" w:type="pct"/>
                  <w:vMerge w:val="continue"/>
                  <w:vAlign w:val="center"/>
                </w:tcPr>
                <w:p>
                  <w:pPr>
                    <w:pStyle w:val="52"/>
                  </w:pPr>
                </w:p>
              </w:tc>
              <w:tc>
                <w:tcPr>
                  <w:tcW w:w="448" w:type="pct"/>
                  <w:vMerge w:val="continue"/>
                  <w:vAlign w:val="center"/>
                </w:tcPr>
                <w:p>
                  <w:pPr>
                    <w:pStyle w:val="52"/>
                  </w:pPr>
                </w:p>
              </w:tc>
              <w:tc>
                <w:tcPr>
                  <w:tcW w:w="491" w:type="pct"/>
                  <w:vMerge w:val="continue"/>
                  <w:vAlign w:val="center"/>
                </w:tcPr>
                <w:p>
                  <w:pPr>
                    <w:pStyle w:val="52"/>
                  </w:pPr>
                </w:p>
              </w:tc>
              <w:tc>
                <w:tcPr>
                  <w:tcW w:w="454" w:type="pct"/>
                  <w:vMerge w:val="continue"/>
                  <w:vAlign w:val="center"/>
                </w:tcPr>
                <w:p>
                  <w:pPr>
                    <w:pStyle w:val="5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204" w:type="pct"/>
                  <w:vMerge w:val="restart"/>
                  <w:vAlign w:val="center"/>
                </w:tcPr>
                <w:p>
                  <w:pPr>
                    <w:pStyle w:val="52"/>
                  </w:pPr>
                  <w:r>
                    <w:t>生化池总排口</w:t>
                  </w:r>
                </w:p>
              </w:tc>
              <w:tc>
                <w:tcPr>
                  <w:tcW w:w="205" w:type="pct"/>
                  <w:vMerge w:val="restart"/>
                  <w:vAlign w:val="center"/>
                </w:tcPr>
                <w:p>
                  <w:pPr>
                    <w:pStyle w:val="52"/>
                  </w:pPr>
                  <w:r>
                    <w:t>员工生活污水</w:t>
                  </w:r>
                </w:p>
              </w:tc>
              <w:tc>
                <w:tcPr>
                  <w:tcW w:w="192" w:type="pct"/>
                  <w:vMerge w:val="restart"/>
                  <w:vAlign w:val="center"/>
                </w:tcPr>
                <w:p>
                  <w:pPr>
                    <w:pStyle w:val="52"/>
                  </w:pPr>
                  <w:r>
                    <w:t>生活污水</w:t>
                  </w:r>
                </w:p>
              </w:tc>
              <w:tc>
                <w:tcPr>
                  <w:tcW w:w="344" w:type="pct"/>
                  <w:vAlign w:val="center"/>
                </w:tcPr>
                <w:p>
                  <w:pPr>
                    <w:pStyle w:val="52"/>
                  </w:pPr>
                  <w:r>
                    <w:t>COD</w:t>
                  </w:r>
                </w:p>
              </w:tc>
              <w:tc>
                <w:tcPr>
                  <w:tcW w:w="448" w:type="pct"/>
                  <w:vMerge w:val="restart"/>
                  <w:vAlign w:val="center"/>
                </w:tcPr>
                <w:p>
                  <w:pPr>
                    <w:pStyle w:val="52"/>
                  </w:pPr>
                  <w:r>
                    <w:t>297</w:t>
                  </w:r>
                </w:p>
              </w:tc>
              <w:tc>
                <w:tcPr>
                  <w:tcW w:w="491" w:type="pct"/>
                  <w:vAlign w:val="center"/>
                </w:tcPr>
                <w:p>
                  <w:pPr>
                    <w:pStyle w:val="52"/>
                  </w:pPr>
                  <w:r>
                    <w:t>450</w:t>
                  </w:r>
                </w:p>
              </w:tc>
              <w:tc>
                <w:tcPr>
                  <w:tcW w:w="438" w:type="pct"/>
                  <w:vAlign w:val="center"/>
                </w:tcPr>
                <w:p>
                  <w:pPr>
                    <w:pStyle w:val="52"/>
                  </w:pPr>
                  <w:r>
                    <w:rPr>
                      <w:rFonts w:hint="eastAsia"/>
                    </w:rPr>
                    <w:t>0.1337</w:t>
                  </w:r>
                </w:p>
              </w:tc>
              <w:tc>
                <w:tcPr>
                  <w:tcW w:w="446" w:type="pct"/>
                  <w:vMerge w:val="restart"/>
                  <w:vAlign w:val="center"/>
                </w:tcPr>
                <w:p>
                  <w:pPr>
                    <w:pStyle w:val="52"/>
                  </w:pPr>
                  <w:r>
                    <w:t>100</w:t>
                  </w:r>
                </w:p>
              </w:tc>
              <w:tc>
                <w:tcPr>
                  <w:tcW w:w="205" w:type="pct"/>
                  <w:vMerge w:val="restart"/>
                  <w:vAlign w:val="center"/>
                </w:tcPr>
                <w:p>
                  <w:pPr>
                    <w:pStyle w:val="52"/>
                  </w:pPr>
                  <w:r>
                    <w:t>生物厌氧处理</w:t>
                  </w:r>
                </w:p>
              </w:tc>
              <w:tc>
                <w:tcPr>
                  <w:tcW w:w="332" w:type="pct"/>
                  <w:vAlign w:val="center"/>
                </w:tcPr>
                <w:p>
                  <w:pPr>
                    <w:pStyle w:val="52"/>
                  </w:pPr>
                  <w:r>
                    <w:t>11.11</w:t>
                  </w:r>
                </w:p>
              </w:tc>
              <w:tc>
                <w:tcPr>
                  <w:tcW w:w="302" w:type="pct"/>
                  <w:vMerge w:val="restart"/>
                  <w:vAlign w:val="center"/>
                </w:tcPr>
                <w:p>
                  <w:pPr>
                    <w:pStyle w:val="52"/>
                  </w:pPr>
                  <w:r>
                    <w:t>是</w:t>
                  </w:r>
                </w:p>
              </w:tc>
              <w:tc>
                <w:tcPr>
                  <w:tcW w:w="448" w:type="pct"/>
                  <w:vMerge w:val="restart"/>
                  <w:vAlign w:val="center"/>
                </w:tcPr>
                <w:p>
                  <w:pPr>
                    <w:pStyle w:val="52"/>
                  </w:pPr>
                  <w:r>
                    <w:t>297</w:t>
                  </w:r>
                </w:p>
              </w:tc>
              <w:tc>
                <w:tcPr>
                  <w:tcW w:w="491" w:type="pct"/>
                  <w:vAlign w:val="center"/>
                </w:tcPr>
                <w:p>
                  <w:pPr>
                    <w:pStyle w:val="52"/>
                  </w:pPr>
                  <w:r>
                    <w:t>400</w:t>
                  </w:r>
                </w:p>
              </w:tc>
              <w:tc>
                <w:tcPr>
                  <w:tcW w:w="454" w:type="pct"/>
                  <w:vAlign w:val="center"/>
                </w:tcPr>
                <w:p>
                  <w:pPr>
                    <w:pStyle w:val="52"/>
                  </w:pPr>
                  <w:r>
                    <w:rPr>
                      <w:rFonts w:hint="eastAsia"/>
                    </w:rPr>
                    <w:t>0.1188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204" w:type="pct"/>
                  <w:vMerge w:val="continue"/>
                  <w:vAlign w:val="center"/>
                </w:tcPr>
                <w:p>
                  <w:pPr>
                    <w:pStyle w:val="52"/>
                  </w:pPr>
                </w:p>
              </w:tc>
              <w:tc>
                <w:tcPr>
                  <w:tcW w:w="205" w:type="pct"/>
                  <w:vMerge w:val="continue"/>
                  <w:vAlign w:val="center"/>
                </w:tcPr>
                <w:p>
                  <w:pPr>
                    <w:pStyle w:val="52"/>
                  </w:pPr>
                </w:p>
              </w:tc>
              <w:tc>
                <w:tcPr>
                  <w:tcW w:w="192" w:type="pct"/>
                  <w:vMerge w:val="continue"/>
                  <w:vAlign w:val="center"/>
                </w:tcPr>
                <w:p>
                  <w:pPr>
                    <w:pStyle w:val="52"/>
                  </w:pPr>
                </w:p>
              </w:tc>
              <w:tc>
                <w:tcPr>
                  <w:tcW w:w="344" w:type="pct"/>
                  <w:vAlign w:val="center"/>
                </w:tcPr>
                <w:p>
                  <w:pPr>
                    <w:pStyle w:val="52"/>
                  </w:pPr>
                  <w:r>
                    <w:t>BOD</w:t>
                  </w:r>
                  <w:r>
                    <w:rPr>
                      <w:vertAlign w:val="subscript"/>
                    </w:rPr>
                    <w:t>5</w:t>
                  </w:r>
                </w:p>
              </w:tc>
              <w:tc>
                <w:tcPr>
                  <w:tcW w:w="448" w:type="pct"/>
                  <w:vMerge w:val="continue"/>
                  <w:vAlign w:val="center"/>
                </w:tcPr>
                <w:p>
                  <w:pPr>
                    <w:pStyle w:val="52"/>
                  </w:pPr>
                </w:p>
              </w:tc>
              <w:tc>
                <w:tcPr>
                  <w:tcW w:w="491" w:type="pct"/>
                  <w:vAlign w:val="center"/>
                </w:tcPr>
                <w:p>
                  <w:pPr>
                    <w:pStyle w:val="52"/>
                  </w:pPr>
                  <w:r>
                    <w:t>250</w:t>
                  </w:r>
                </w:p>
              </w:tc>
              <w:tc>
                <w:tcPr>
                  <w:tcW w:w="438" w:type="pct"/>
                  <w:vAlign w:val="center"/>
                </w:tcPr>
                <w:p>
                  <w:pPr>
                    <w:pStyle w:val="52"/>
                  </w:pPr>
                  <w:r>
                    <w:rPr>
                      <w:rFonts w:hint="eastAsia"/>
                    </w:rPr>
                    <w:t>0.0743</w:t>
                  </w:r>
                </w:p>
              </w:tc>
              <w:tc>
                <w:tcPr>
                  <w:tcW w:w="446" w:type="pct"/>
                  <w:vMerge w:val="continue"/>
                  <w:vAlign w:val="center"/>
                </w:tcPr>
                <w:p>
                  <w:pPr>
                    <w:pStyle w:val="52"/>
                  </w:pPr>
                </w:p>
              </w:tc>
              <w:tc>
                <w:tcPr>
                  <w:tcW w:w="205" w:type="pct"/>
                  <w:vMerge w:val="continue"/>
                  <w:vAlign w:val="center"/>
                </w:tcPr>
                <w:p>
                  <w:pPr>
                    <w:pStyle w:val="52"/>
                  </w:pPr>
                </w:p>
              </w:tc>
              <w:tc>
                <w:tcPr>
                  <w:tcW w:w="332" w:type="pct"/>
                  <w:vAlign w:val="center"/>
                </w:tcPr>
                <w:p>
                  <w:pPr>
                    <w:pStyle w:val="52"/>
                  </w:pPr>
                  <w:r>
                    <w:t>20.00</w:t>
                  </w:r>
                </w:p>
              </w:tc>
              <w:tc>
                <w:tcPr>
                  <w:tcW w:w="302" w:type="pct"/>
                  <w:vMerge w:val="continue"/>
                  <w:vAlign w:val="center"/>
                </w:tcPr>
                <w:p>
                  <w:pPr>
                    <w:pStyle w:val="52"/>
                  </w:pPr>
                </w:p>
              </w:tc>
              <w:tc>
                <w:tcPr>
                  <w:tcW w:w="448" w:type="pct"/>
                  <w:vMerge w:val="continue"/>
                  <w:vAlign w:val="center"/>
                </w:tcPr>
                <w:p>
                  <w:pPr>
                    <w:pStyle w:val="52"/>
                  </w:pPr>
                </w:p>
              </w:tc>
              <w:tc>
                <w:tcPr>
                  <w:tcW w:w="491" w:type="pct"/>
                  <w:vAlign w:val="center"/>
                </w:tcPr>
                <w:p>
                  <w:pPr>
                    <w:pStyle w:val="52"/>
                  </w:pPr>
                  <w:r>
                    <w:t>200</w:t>
                  </w:r>
                </w:p>
              </w:tc>
              <w:tc>
                <w:tcPr>
                  <w:tcW w:w="454" w:type="pct"/>
                  <w:vAlign w:val="center"/>
                </w:tcPr>
                <w:p>
                  <w:pPr>
                    <w:pStyle w:val="52"/>
                  </w:pPr>
                  <w:r>
                    <w:rPr>
                      <w:rFonts w:hint="eastAsia"/>
                    </w:rPr>
                    <w:t>0.0594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204" w:type="pct"/>
                  <w:vMerge w:val="continue"/>
                  <w:vAlign w:val="center"/>
                </w:tcPr>
                <w:p>
                  <w:pPr>
                    <w:pStyle w:val="52"/>
                  </w:pPr>
                </w:p>
              </w:tc>
              <w:tc>
                <w:tcPr>
                  <w:tcW w:w="205" w:type="pct"/>
                  <w:vMerge w:val="continue"/>
                  <w:vAlign w:val="center"/>
                </w:tcPr>
                <w:p>
                  <w:pPr>
                    <w:pStyle w:val="52"/>
                  </w:pPr>
                </w:p>
              </w:tc>
              <w:tc>
                <w:tcPr>
                  <w:tcW w:w="192" w:type="pct"/>
                  <w:vMerge w:val="continue"/>
                  <w:vAlign w:val="center"/>
                </w:tcPr>
                <w:p>
                  <w:pPr>
                    <w:pStyle w:val="52"/>
                  </w:pPr>
                </w:p>
              </w:tc>
              <w:tc>
                <w:tcPr>
                  <w:tcW w:w="344" w:type="pct"/>
                  <w:vAlign w:val="center"/>
                </w:tcPr>
                <w:p>
                  <w:pPr>
                    <w:pStyle w:val="52"/>
                  </w:pPr>
                  <w:r>
                    <w:t>SS</w:t>
                  </w:r>
                </w:p>
              </w:tc>
              <w:tc>
                <w:tcPr>
                  <w:tcW w:w="448" w:type="pct"/>
                  <w:vMerge w:val="continue"/>
                  <w:vAlign w:val="center"/>
                </w:tcPr>
                <w:p>
                  <w:pPr>
                    <w:pStyle w:val="52"/>
                  </w:pPr>
                </w:p>
              </w:tc>
              <w:tc>
                <w:tcPr>
                  <w:tcW w:w="491" w:type="pct"/>
                  <w:vAlign w:val="center"/>
                </w:tcPr>
                <w:p>
                  <w:pPr>
                    <w:pStyle w:val="52"/>
                  </w:pPr>
                  <w:r>
                    <w:t>350</w:t>
                  </w:r>
                </w:p>
              </w:tc>
              <w:tc>
                <w:tcPr>
                  <w:tcW w:w="438" w:type="pct"/>
                  <w:vAlign w:val="center"/>
                </w:tcPr>
                <w:p>
                  <w:pPr>
                    <w:pStyle w:val="52"/>
                  </w:pPr>
                  <w:r>
                    <w:rPr>
                      <w:rFonts w:hint="eastAsia"/>
                    </w:rPr>
                    <w:t>0.1040</w:t>
                  </w:r>
                </w:p>
              </w:tc>
              <w:tc>
                <w:tcPr>
                  <w:tcW w:w="446" w:type="pct"/>
                  <w:vMerge w:val="continue"/>
                  <w:vAlign w:val="center"/>
                </w:tcPr>
                <w:p>
                  <w:pPr>
                    <w:pStyle w:val="52"/>
                  </w:pPr>
                </w:p>
              </w:tc>
              <w:tc>
                <w:tcPr>
                  <w:tcW w:w="205" w:type="pct"/>
                  <w:vMerge w:val="continue"/>
                  <w:vAlign w:val="center"/>
                </w:tcPr>
                <w:p>
                  <w:pPr>
                    <w:pStyle w:val="52"/>
                  </w:pPr>
                </w:p>
              </w:tc>
              <w:tc>
                <w:tcPr>
                  <w:tcW w:w="332" w:type="pct"/>
                  <w:vAlign w:val="center"/>
                </w:tcPr>
                <w:p>
                  <w:pPr>
                    <w:pStyle w:val="52"/>
                  </w:pPr>
                  <w:r>
                    <w:t>14.29</w:t>
                  </w:r>
                </w:p>
              </w:tc>
              <w:tc>
                <w:tcPr>
                  <w:tcW w:w="302" w:type="pct"/>
                  <w:vMerge w:val="continue"/>
                  <w:vAlign w:val="center"/>
                </w:tcPr>
                <w:p>
                  <w:pPr>
                    <w:pStyle w:val="52"/>
                  </w:pPr>
                </w:p>
              </w:tc>
              <w:tc>
                <w:tcPr>
                  <w:tcW w:w="448" w:type="pct"/>
                  <w:vMerge w:val="continue"/>
                  <w:vAlign w:val="center"/>
                </w:tcPr>
                <w:p>
                  <w:pPr>
                    <w:pStyle w:val="52"/>
                  </w:pPr>
                </w:p>
              </w:tc>
              <w:tc>
                <w:tcPr>
                  <w:tcW w:w="491" w:type="pct"/>
                  <w:vAlign w:val="center"/>
                </w:tcPr>
                <w:p>
                  <w:pPr>
                    <w:pStyle w:val="52"/>
                  </w:pPr>
                  <w:r>
                    <w:t>300</w:t>
                  </w:r>
                </w:p>
              </w:tc>
              <w:tc>
                <w:tcPr>
                  <w:tcW w:w="454" w:type="pct"/>
                  <w:vAlign w:val="center"/>
                </w:tcPr>
                <w:p>
                  <w:pPr>
                    <w:pStyle w:val="52"/>
                  </w:pPr>
                  <w:r>
                    <w:rPr>
                      <w:rFonts w:hint="eastAsia"/>
                    </w:rPr>
                    <w:t>0.0891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204" w:type="pct"/>
                  <w:vMerge w:val="continue"/>
                  <w:vAlign w:val="center"/>
                </w:tcPr>
                <w:p>
                  <w:pPr>
                    <w:pStyle w:val="52"/>
                  </w:pPr>
                </w:p>
              </w:tc>
              <w:tc>
                <w:tcPr>
                  <w:tcW w:w="205" w:type="pct"/>
                  <w:vMerge w:val="continue"/>
                  <w:vAlign w:val="center"/>
                </w:tcPr>
                <w:p>
                  <w:pPr>
                    <w:pStyle w:val="52"/>
                  </w:pPr>
                </w:p>
              </w:tc>
              <w:tc>
                <w:tcPr>
                  <w:tcW w:w="192" w:type="pct"/>
                  <w:vMerge w:val="continue"/>
                  <w:vAlign w:val="center"/>
                </w:tcPr>
                <w:p>
                  <w:pPr>
                    <w:pStyle w:val="52"/>
                  </w:pPr>
                </w:p>
              </w:tc>
              <w:tc>
                <w:tcPr>
                  <w:tcW w:w="344" w:type="pct"/>
                  <w:vAlign w:val="center"/>
                </w:tcPr>
                <w:p>
                  <w:pPr>
                    <w:pStyle w:val="52"/>
                  </w:pPr>
                  <w:r>
                    <w:t>NH</w:t>
                  </w:r>
                  <w:r>
                    <w:rPr>
                      <w:vertAlign w:val="subscript"/>
                    </w:rPr>
                    <w:t>3</w:t>
                  </w:r>
                  <w:r>
                    <w:t>-N</w:t>
                  </w:r>
                </w:p>
              </w:tc>
              <w:tc>
                <w:tcPr>
                  <w:tcW w:w="448" w:type="pct"/>
                  <w:vMerge w:val="continue"/>
                  <w:vAlign w:val="center"/>
                </w:tcPr>
                <w:p>
                  <w:pPr>
                    <w:pStyle w:val="52"/>
                  </w:pPr>
                </w:p>
              </w:tc>
              <w:tc>
                <w:tcPr>
                  <w:tcW w:w="491" w:type="pct"/>
                  <w:vAlign w:val="center"/>
                </w:tcPr>
                <w:p>
                  <w:pPr>
                    <w:pStyle w:val="52"/>
                  </w:pPr>
                  <w:r>
                    <w:t>45</w:t>
                  </w:r>
                </w:p>
              </w:tc>
              <w:tc>
                <w:tcPr>
                  <w:tcW w:w="438" w:type="pct"/>
                  <w:vAlign w:val="center"/>
                </w:tcPr>
                <w:p>
                  <w:pPr>
                    <w:pStyle w:val="52"/>
                  </w:pPr>
                  <w:r>
                    <w:rPr>
                      <w:rFonts w:hint="eastAsia"/>
                    </w:rPr>
                    <w:t>0.0134</w:t>
                  </w:r>
                </w:p>
              </w:tc>
              <w:tc>
                <w:tcPr>
                  <w:tcW w:w="446" w:type="pct"/>
                  <w:vMerge w:val="continue"/>
                  <w:vAlign w:val="center"/>
                </w:tcPr>
                <w:p>
                  <w:pPr>
                    <w:pStyle w:val="52"/>
                  </w:pPr>
                </w:p>
              </w:tc>
              <w:tc>
                <w:tcPr>
                  <w:tcW w:w="205" w:type="pct"/>
                  <w:vMerge w:val="continue"/>
                  <w:vAlign w:val="center"/>
                </w:tcPr>
                <w:p>
                  <w:pPr>
                    <w:pStyle w:val="52"/>
                  </w:pPr>
                </w:p>
              </w:tc>
              <w:tc>
                <w:tcPr>
                  <w:tcW w:w="332" w:type="pct"/>
                  <w:vAlign w:val="center"/>
                </w:tcPr>
                <w:p>
                  <w:pPr>
                    <w:pStyle w:val="52"/>
                  </w:pPr>
                  <w:r>
                    <w:t>11.11</w:t>
                  </w:r>
                </w:p>
              </w:tc>
              <w:tc>
                <w:tcPr>
                  <w:tcW w:w="302" w:type="pct"/>
                  <w:vMerge w:val="continue"/>
                  <w:vAlign w:val="center"/>
                </w:tcPr>
                <w:p>
                  <w:pPr>
                    <w:pStyle w:val="52"/>
                  </w:pPr>
                </w:p>
              </w:tc>
              <w:tc>
                <w:tcPr>
                  <w:tcW w:w="448" w:type="pct"/>
                  <w:vMerge w:val="continue"/>
                  <w:vAlign w:val="center"/>
                </w:tcPr>
                <w:p>
                  <w:pPr>
                    <w:pStyle w:val="52"/>
                  </w:pPr>
                </w:p>
              </w:tc>
              <w:tc>
                <w:tcPr>
                  <w:tcW w:w="491" w:type="pct"/>
                  <w:vAlign w:val="center"/>
                </w:tcPr>
                <w:p>
                  <w:pPr>
                    <w:pStyle w:val="52"/>
                  </w:pPr>
                  <w:r>
                    <w:t>40</w:t>
                  </w:r>
                </w:p>
              </w:tc>
              <w:tc>
                <w:tcPr>
                  <w:tcW w:w="454" w:type="pct"/>
                  <w:vAlign w:val="center"/>
                </w:tcPr>
                <w:p>
                  <w:pPr>
                    <w:pStyle w:val="52"/>
                  </w:pPr>
                  <w:r>
                    <w:rPr>
                      <w:rFonts w:hint="eastAsia"/>
                    </w:rPr>
                    <w:t>0.0119</w:t>
                  </w:r>
                </w:p>
              </w:tc>
            </w:tr>
          </w:tbl>
          <w:p>
            <w:pPr>
              <w:pStyle w:val="20"/>
              <w:spacing w:before="0" w:beforeAutospacing="0" w:after="0" w:afterAutospacing="0" w:line="460" w:lineRule="exact"/>
              <w:ind w:firstLine="482" w:firstLineChars="200"/>
              <w:outlineLvl w:val="0"/>
              <w:rPr>
                <w:rFonts w:ascii="Times New Roman" w:hAnsi="Times New Roman"/>
                <w:b/>
                <w:snapToGrid w:val="0"/>
                <w:szCs w:val="24"/>
              </w:rPr>
            </w:pPr>
            <w:r>
              <w:rPr>
                <w:rFonts w:hint="eastAsia" w:ascii="Times New Roman" w:hAnsi="Times New Roman"/>
                <w:b/>
                <w:snapToGrid w:val="0"/>
                <w:szCs w:val="24"/>
              </w:rPr>
              <w:t>（2）</w:t>
            </w:r>
            <w:r>
              <w:rPr>
                <w:rFonts w:ascii="Times New Roman" w:hAnsi="Times New Roman"/>
                <w:b/>
                <w:snapToGrid w:val="0"/>
                <w:szCs w:val="24"/>
              </w:rPr>
              <w:t>排放口基本情况</w:t>
            </w:r>
          </w:p>
          <w:p>
            <w:pPr>
              <w:pStyle w:val="83"/>
              <w:rPr>
                <w:snapToGrid w:val="0"/>
              </w:rPr>
            </w:pPr>
            <w:r>
              <w:rPr>
                <w:snapToGrid w:val="0"/>
              </w:rPr>
              <w:t>表4-10  废水排放口基本情况表</w:t>
            </w:r>
          </w:p>
          <w:tbl>
            <w:tblPr>
              <w:tblStyle w:val="24"/>
              <w:tblW w:w="4999"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515"/>
              <w:gridCol w:w="881"/>
              <w:gridCol w:w="1469"/>
              <w:gridCol w:w="1557"/>
              <w:gridCol w:w="921"/>
              <w:gridCol w:w="965"/>
              <w:gridCol w:w="1743"/>
              <w:gridCol w:w="518"/>
              <w:gridCol w:w="789"/>
              <w:gridCol w:w="993"/>
              <w:gridCol w:w="1001"/>
              <w:gridCol w:w="156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00" w:type="pct"/>
                  <w:vMerge w:val="restart"/>
                  <w:tcBorders>
                    <w:top w:val="single" w:color="auto" w:sz="6" w:space="0"/>
                    <w:left w:val="single" w:color="auto" w:sz="6" w:space="0"/>
                    <w:bottom w:val="single" w:color="auto" w:sz="6" w:space="0"/>
                    <w:right w:val="single" w:color="auto" w:sz="6" w:space="0"/>
                  </w:tcBorders>
                  <w:vAlign w:val="center"/>
                </w:tcPr>
                <w:p>
                  <w:pPr>
                    <w:pStyle w:val="31"/>
                    <w:jc w:val="center"/>
                    <w:rPr>
                      <w:rFonts w:ascii="Times New Roman" w:cs="Times New Roman"/>
                      <w:b/>
                      <w:color w:val="auto"/>
                      <w:sz w:val="21"/>
                      <w:szCs w:val="21"/>
                    </w:rPr>
                  </w:pPr>
                  <w:r>
                    <w:rPr>
                      <w:rFonts w:ascii="Times New Roman" w:cs="Times New Roman"/>
                      <w:b/>
                      <w:color w:val="auto"/>
                      <w:sz w:val="21"/>
                      <w:szCs w:val="21"/>
                    </w:rPr>
                    <w:t>序号</w:t>
                  </w:r>
                </w:p>
              </w:tc>
              <w:tc>
                <w:tcPr>
                  <w:tcW w:w="333" w:type="pct"/>
                  <w:vMerge w:val="restart"/>
                  <w:tcBorders>
                    <w:top w:val="single" w:color="auto" w:sz="6" w:space="0"/>
                    <w:left w:val="single" w:color="auto" w:sz="6" w:space="0"/>
                    <w:bottom w:val="single" w:color="auto" w:sz="6" w:space="0"/>
                    <w:right w:val="single" w:color="auto" w:sz="6" w:space="0"/>
                  </w:tcBorders>
                  <w:vAlign w:val="center"/>
                </w:tcPr>
                <w:p>
                  <w:pPr>
                    <w:pStyle w:val="31"/>
                    <w:jc w:val="center"/>
                    <w:rPr>
                      <w:rFonts w:ascii="Times New Roman" w:cs="Times New Roman"/>
                      <w:b/>
                      <w:color w:val="auto"/>
                      <w:sz w:val="21"/>
                      <w:szCs w:val="21"/>
                    </w:rPr>
                  </w:pPr>
                  <w:r>
                    <w:rPr>
                      <w:rFonts w:ascii="Times New Roman" w:cs="Times New Roman"/>
                      <w:b/>
                      <w:color w:val="auto"/>
                      <w:sz w:val="21"/>
                      <w:szCs w:val="21"/>
                    </w:rPr>
                    <w:t>排放口编号</w:t>
                  </w:r>
                </w:p>
              </w:tc>
              <w:tc>
                <w:tcPr>
                  <w:tcW w:w="1172" w:type="pct"/>
                  <w:gridSpan w:val="2"/>
                  <w:tcBorders>
                    <w:top w:val="single" w:color="auto" w:sz="6" w:space="0"/>
                    <w:left w:val="single" w:color="auto" w:sz="6" w:space="0"/>
                    <w:bottom w:val="single" w:color="auto" w:sz="6" w:space="0"/>
                    <w:right w:val="single" w:color="auto" w:sz="6" w:space="0"/>
                  </w:tcBorders>
                  <w:vAlign w:val="center"/>
                </w:tcPr>
                <w:p>
                  <w:pPr>
                    <w:pStyle w:val="31"/>
                    <w:jc w:val="center"/>
                    <w:rPr>
                      <w:rFonts w:ascii="Times New Roman" w:cs="Times New Roman"/>
                      <w:b/>
                      <w:color w:val="auto"/>
                      <w:sz w:val="21"/>
                      <w:szCs w:val="21"/>
                    </w:rPr>
                  </w:pPr>
                  <w:r>
                    <w:rPr>
                      <w:rFonts w:ascii="Times New Roman" w:cs="Times New Roman"/>
                      <w:b/>
                      <w:color w:val="auto"/>
                      <w:sz w:val="21"/>
                      <w:szCs w:val="21"/>
                    </w:rPr>
                    <w:t>排放口地理坐标</w:t>
                  </w:r>
                </w:p>
              </w:tc>
              <w:tc>
                <w:tcPr>
                  <w:tcW w:w="357" w:type="pct"/>
                  <w:vMerge w:val="restart"/>
                  <w:tcBorders>
                    <w:top w:val="single" w:color="auto" w:sz="6" w:space="0"/>
                    <w:left w:val="single" w:color="auto" w:sz="6" w:space="0"/>
                    <w:bottom w:val="single" w:color="auto" w:sz="6" w:space="0"/>
                    <w:right w:val="single" w:color="auto" w:sz="6" w:space="0"/>
                  </w:tcBorders>
                  <w:vAlign w:val="center"/>
                </w:tcPr>
                <w:p>
                  <w:pPr>
                    <w:pStyle w:val="31"/>
                    <w:jc w:val="center"/>
                    <w:rPr>
                      <w:rFonts w:ascii="Times New Roman" w:cs="Times New Roman"/>
                      <w:b/>
                      <w:color w:val="auto"/>
                      <w:sz w:val="21"/>
                      <w:szCs w:val="21"/>
                    </w:rPr>
                  </w:pPr>
                  <w:r>
                    <w:rPr>
                      <w:rFonts w:ascii="Times New Roman" w:cs="Times New Roman"/>
                      <w:b/>
                      <w:color w:val="auto"/>
                      <w:sz w:val="21"/>
                      <w:szCs w:val="21"/>
                    </w:rPr>
                    <w:t>废水排放量（t/a）</w:t>
                  </w:r>
                </w:p>
              </w:tc>
              <w:tc>
                <w:tcPr>
                  <w:tcW w:w="374" w:type="pct"/>
                  <w:vMerge w:val="restart"/>
                  <w:tcBorders>
                    <w:top w:val="single" w:color="auto" w:sz="6" w:space="0"/>
                    <w:left w:val="single" w:color="auto" w:sz="6" w:space="0"/>
                    <w:right w:val="single" w:color="auto" w:sz="6" w:space="0"/>
                  </w:tcBorders>
                  <w:vAlign w:val="center"/>
                </w:tcPr>
                <w:p>
                  <w:pPr>
                    <w:pStyle w:val="31"/>
                    <w:jc w:val="center"/>
                    <w:rPr>
                      <w:rFonts w:ascii="Times New Roman" w:cs="Times New Roman"/>
                      <w:b/>
                      <w:color w:val="auto"/>
                      <w:sz w:val="21"/>
                      <w:szCs w:val="21"/>
                    </w:rPr>
                  </w:pPr>
                  <w:r>
                    <w:rPr>
                      <w:rFonts w:ascii="Times New Roman" w:cs="Times New Roman"/>
                      <w:b/>
                      <w:color w:val="auto"/>
                      <w:sz w:val="21"/>
                      <w:szCs w:val="21"/>
                    </w:rPr>
                    <w:t>排放方式</w:t>
                  </w:r>
                </w:p>
              </w:tc>
              <w:tc>
                <w:tcPr>
                  <w:tcW w:w="675" w:type="pct"/>
                  <w:vMerge w:val="restart"/>
                  <w:tcBorders>
                    <w:top w:val="single" w:color="auto" w:sz="6" w:space="0"/>
                    <w:left w:val="single" w:color="auto" w:sz="6" w:space="0"/>
                    <w:bottom w:val="single" w:color="auto" w:sz="6" w:space="0"/>
                    <w:right w:val="single" w:color="auto" w:sz="6" w:space="0"/>
                  </w:tcBorders>
                  <w:vAlign w:val="center"/>
                </w:tcPr>
                <w:p>
                  <w:pPr>
                    <w:pStyle w:val="31"/>
                    <w:jc w:val="center"/>
                    <w:rPr>
                      <w:rFonts w:ascii="Times New Roman" w:cs="Times New Roman"/>
                      <w:b/>
                      <w:color w:val="auto"/>
                      <w:sz w:val="21"/>
                      <w:szCs w:val="21"/>
                    </w:rPr>
                  </w:pPr>
                  <w:r>
                    <w:rPr>
                      <w:rFonts w:ascii="Times New Roman" w:cs="Times New Roman"/>
                      <w:b/>
                      <w:color w:val="auto"/>
                      <w:sz w:val="21"/>
                      <w:szCs w:val="21"/>
                    </w:rPr>
                    <w:t>排放去向</w:t>
                  </w:r>
                </w:p>
              </w:tc>
              <w:tc>
                <w:tcPr>
                  <w:tcW w:w="201" w:type="pct"/>
                  <w:vMerge w:val="restart"/>
                  <w:tcBorders>
                    <w:top w:val="single" w:color="auto" w:sz="6" w:space="0"/>
                    <w:left w:val="single" w:color="auto" w:sz="6" w:space="0"/>
                    <w:bottom w:val="single" w:color="auto" w:sz="6" w:space="0"/>
                    <w:right w:val="single" w:color="auto" w:sz="6" w:space="0"/>
                  </w:tcBorders>
                  <w:vAlign w:val="center"/>
                </w:tcPr>
                <w:p>
                  <w:pPr>
                    <w:pStyle w:val="31"/>
                    <w:jc w:val="center"/>
                    <w:rPr>
                      <w:rFonts w:ascii="Times New Roman" w:cs="Times New Roman"/>
                      <w:b/>
                      <w:color w:val="auto"/>
                      <w:sz w:val="21"/>
                      <w:szCs w:val="21"/>
                    </w:rPr>
                  </w:pPr>
                  <w:r>
                    <w:rPr>
                      <w:rFonts w:ascii="Times New Roman" w:cs="Times New Roman"/>
                      <w:b/>
                      <w:color w:val="auto"/>
                      <w:sz w:val="21"/>
                      <w:szCs w:val="21"/>
                    </w:rPr>
                    <w:t>规律</w:t>
                  </w:r>
                </w:p>
              </w:tc>
              <w:tc>
                <w:tcPr>
                  <w:tcW w:w="306" w:type="pct"/>
                  <w:vMerge w:val="restart"/>
                  <w:tcBorders>
                    <w:top w:val="single" w:color="auto" w:sz="6" w:space="0"/>
                    <w:left w:val="single" w:color="auto" w:sz="6" w:space="0"/>
                    <w:bottom w:val="single" w:color="auto" w:sz="6" w:space="0"/>
                    <w:right w:val="single" w:color="auto" w:sz="6" w:space="0"/>
                  </w:tcBorders>
                  <w:vAlign w:val="center"/>
                </w:tcPr>
                <w:p>
                  <w:pPr>
                    <w:pStyle w:val="31"/>
                    <w:jc w:val="center"/>
                    <w:rPr>
                      <w:rFonts w:ascii="Times New Roman" w:cs="Times New Roman"/>
                      <w:b/>
                      <w:color w:val="auto"/>
                      <w:sz w:val="21"/>
                      <w:szCs w:val="21"/>
                    </w:rPr>
                  </w:pPr>
                  <w:r>
                    <w:rPr>
                      <w:rFonts w:ascii="Times New Roman" w:cs="Times New Roman"/>
                      <w:b/>
                      <w:color w:val="auto"/>
                      <w:sz w:val="21"/>
                      <w:szCs w:val="21"/>
                    </w:rPr>
                    <w:t>间歇排放时段</w:t>
                  </w:r>
                </w:p>
              </w:tc>
              <w:tc>
                <w:tcPr>
                  <w:tcW w:w="1379" w:type="pct"/>
                  <w:gridSpan w:val="3"/>
                  <w:tcBorders>
                    <w:top w:val="single" w:color="auto" w:sz="6" w:space="0"/>
                    <w:left w:val="single" w:color="auto" w:sz="6" w:space="0"/>
                    <w:bottom w:val="single" w:color="auto" w:sz="6" w:space="0"/>
                    <w:right w:val="single" w:color="auto" w:sz="6" w:space="0"/>
                  </w:tcBorders>
                  <w:vAlign w:val="center"/>
                </w:tcPr>
                <w:p>
                  <w:pPr>
                    <w:pStyle w:val="31"/>
                    <w:jc w:val="center"/>
                    <w:rPr>
                      <w:rFonts w:ascii="Times New Roman" w:cs="Times New Roman"/>
                      <w:b/>
                      <w:color w:val="auto"/>
                      <w:sz w:val="21"/>
                      <w:szCs w:val="21"/>
                    </w:rPr>
                  </w:pPr>
                  <w:r>
                    <w:rPr>
                      <w:rFonts w:ascii="Times New Roman" w:cs="Times New Roman"/>
                      <w:b/>
                      <w:color w:val="auto"/>
                      <w:sz w:val="21"/>
                      <w:szCs w:val="21"/>
                    </w:rPr>
                    <w:t>受纳污水处理厂信息</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00" w:type="pct"/>
                  <w:vMerge w:val="continue"/>
                  <w:tcBorders>
                    <w:top w:val="single" w:color="auto" w:sz="6" w:space="0"/>
                    <w:left w:val="single" w:color="auto" w:sz="6" w:space="0"/>
                    <w:bottom w:val="single" w:color="auto" w:sz="6" w:space="0"/>
                    <w:right w:val="single" w:color="auto" w:sz="6" w:space="0"/>
                  </w:tcBorders>
                  <w:vAlign w:val="center"/>
                </w:tcPr>
                <w:p>
                  <w:pPr>
                    <w:widowControl/>
                    <w:jc w:val="center"/>
                    <w:rPr>
                      <w:b/>
                    </w:rPr>
                  </w:pPr>
                </w:p>
              </w:tc>
              <w:tc>
                <w:tcPr>
                  <w:tcW w:w="333" w:type="pct"/>
                  <w:vMerge w:val="continue"/>
                  <w:tcBorders>
                    <w:top w:val="single" w:color="auto" w:sz="6" w:space="0"/>
                    <w:left w:val="single" w:color="auto" w:sz="6" w:space="0"/>
                    <w:bottom w:val="single" w:color="auto" w:sz="6" w:space="0"/>
                    <w:right w:val="single" w:color="auto" w:sz="6" w:space="0"/>
                  </w:tcBorders>
                  <w:vAlign w:val="center"/>
                </w:tcPr>
                <w:p>
                  <w:pPr>
                    <w:widowControl/>
                    <w:jc w:val="center"/>
                    <w:rPr>
                      <w:b/>
                    </w:rPr>
                  </w:pPr>
                </w:p>
              </w:tc>
              <w:tc>
                <w:tcPr>
                  <w:tcW w:w="569" w:type="pct"/>
                  <w:tcBorders>
                    <w:top w:val="single" w:color="auto" w:sz="6" w:space="0"/>
                    <w:left w:val="single" w:color="auto" w:sz="6" w:space="0"/>
                    <w:right w:val="single" w:color="auto" w:sz="6" w:space="0"/>
                  </w:tcBorders>
                  <w:vAlign w:val="center"/>
                </w:tcPr>
                <w:p>
                  <w:pPr>
                    <w:jc w:val="center"/>
                    <w:rPr>
                      <w:b/>
                      <w:kern w:val="0"/>
                    </w:rPr>
                  </w:pPr>
                  <w:r>
                    <w:rPr>
                      <w:b/>
                      <w:kern w:val="0"/>
                    </w:rPr>
                    <w:t>经度</w:t>
                  </w:r>
                  <w:r>
                    <w:rPr>
                      <w:rFonts w:hint="eastAsia"/>
                      <w:b/>
                      <w:kern w:val="0"/>
                    </w:rPr>
                    <w:t>°</w:t>
                  </w:r>
                </w:p>
              </w:tc>
              <w:tc>
                <w:tcPr>
                  <w:tcW w:w="603" w:type="pct"/>
                  <w:tcBorders>
                    <w:top w:val="single" w:color="auto" w:sz="6" w:space="0"/>
                    <w:left w:val="single" w:color="auto" w:sz="6" w:space="0"/>
                    <w:bottom w:val="single" w:color="auto" w:sz="6" w:space="0"/>
                    <w:right w:val="single" w:color="auto" w:sz="6" w:space="0"/>
                  </w:tcBorders>
                  <w:vAlign w:val="center"/>
                </w:tcPr>
                <w:p>
                  <w:pPr>
                    <w:jc w:val="center"/>
                    <w:rPr>
                      <w:b/>
                      <w:kern w:val="0"/>
                    </w:rPr>
                  </w:pPr>
                  <w:r>
                    <w:rPr>
                      <w:b/>
                      <w:kern w:val="0"/>
                    </w:rPr>
                    <w:t>纬度</w:t>
                  </w:r>
                  <w:r>
                    <w:rPr>
                      <w:rFonts w:hint="eastAsia"/>
                      <w:b/>
                      <w:kern w:val="0"/>
                    </w:rPr>
                    <w:t>°</w:t>
                  </w:r>
                </w:p>
              </w:tc>
              <w:tc>
                <w:tcPr>
                  <w:tcW w:w="357" w:type="pct"/>
                  <w:vMerge w:val="continue"/>
                  <w:tcBorders>
                    <w:top w:val="single" w:color="auto" w:sz="6" w:space="0"/>
                    <w:left w:val="single" w:color="auto" w:sz="6" w:space="0"/>
                    <w:bottom w:val="single" w:color="auto" w:sz="6" w:space="0"/>
                    <w:right w:val="single" w:color="auto" w:sz="6" w:space="0"/>
                  </w:tcBorders>
                  <w:vAlign w:val="center"/>
                </w:tcPr>
                <w:p>
                  <w:pPr>
                    <w:widowControl/>
                    <w:jc w:val="center"/>
                    <w:rPr>
                      <w:b/>
                    </w:rPr>
                  </w:pPr>
                </w:p>
              </w:tc>
              <w:tc>
                <w:tcPr>
                  <w:tcW w:w="374" w:type="pct"/>
                  <w:vMerge w:val="continue"/>
                  <w:tcBorders>
                    <w:left w:val="single" w:color="auto" w:sz="6" w:space="0"/>
                    <w:right w:val="single" w:color="auto" w:sz="6" w:space="0"/>
                  </w:tcBorders>
                  <w:vAlign w:val="center"/>
                </w:tcPr>
                <w:p>
                  <w:pPr>
                    <w:widowControl/>
                    <w:jc w:val="center"/>
                    <w:rPr>
                      <w:b/>
                    </w:rPr>
                  </w:pPr>
                </w:p>
              </w:tc>
              <w:tc>
                <w:tcPr>
                  <w:tcW w:w="675" w:type="pct"/>
                  <w:vMerge w:val="continue"/>
                  <w:tcBorders>
                    <w:top w:val="single" w:color="auto" w:sz="6" w:space="0"/>
                    <w:left w:val="single" w:color="auto" w:sz="6" w:space="0"/>
                    <w:bottom w:val="single" w:color="auto" w:sz="6" w:space="0"/>
                    <w:right w:val="single" w:color="auto" w:sz="6" w:space="0"/>
                  </w:tcBorders>
                  <w:vAlign w:val="center"/>
                </w:tcPr>
                <w:p>
                  <w:pPr>
                    <w:widowControl/>
                    <w:jc w:val="center"/>
                    <w:rPr>
                      <w:b/>
                    </w:rPr>
                  </w:pPr>
                </w:p>
              </w:tc>
              <w:tc>
                <w:tcPr>
                  <w:tcW w:w="201" w:type="pct"/>
                  <w:vMerge w:val="continue"/>
                  <w:tcBorders>
                    <w:top w:val="single" w:color="auto" w:sz="6" w:space="0"/>
                    <w:left w:val="single" w:color="auto" w:sz="6" w:space="0"/>
                    <w:bottom w:val="single" w:color="auto" w:sz="6" w:space="0"/>
                    <w:right w:val="single" w:color="auto" w:sz="6" w:space="0"/>
                  </w:tcBorders>
                  <w:vAlign w:val="center"/>
                </w:tcPr>
                <w:p>
                  <w:pPr>
                    <w:widowControl/>
                    <w:jc w:val="center"/>
                    <w:rPr>
                      <w:b/>
                    </w:rPr>
                  </w:pPr>
                </w:p>
              </w:tc>
              <w:tc>
                <w:tcPr>
                  <w:tcW w:w="306" w:type="pct"/>
                  <w:vMerge w:val="continue"/>
                  <w:tcBorders>
                    <w:top w:val="single" w:color="auto" w:sz="6" w:space="0"/>
                    <w:left w:val="single" w:color="auto" w:sz="6" w:space="0"/>
                    <w:bottom w:val="single" w:color="auto" w:sz="6" w:space="0"/>
                    <w:right w:val="single" w:color="auto" w:sz="6" w:space="0"/>
                  </w:tcBorders>
                  <w:vAlign w:val="center"/>
                </w:tcPr>
                <w:p>
                  <w:pPr>
                    <w:widowControl/>
                    <w:jc w:val="center"/>
                    <w:rPr>
                      <w:b/>
                    </w:rPr>
                  </w:pPr>
                </w:p>
              </w:tc>
              <w:tc>
                <w:tcPr>
                  <w:tcW w:w="385" w:type="pct"/>
                  <w:tcBorders>
                    <w:top w:val="single" w:color="auto" w:sz="6" w:space="0"/>
                    <w:left w:val="single" w:color="auto" w:sz="6" w:space="0"/>
                    <w:bottom w:val="single" w:color="auto" w:sz="6" w:space="0"/>
                    <w:right w:val="single" w:color="auto" w:sz="6" w:space="0"/>
                  </w:tcBorders>
                  <w:vAlign w:val="center"/>
                </w:tcPr>
                <w:p>
                  <w:pPr>
                    <w:pStyle w:val="31"/>
                    <w:jc w:val="center"/>
                    <w:rPr>
                      <w:rFonts w:ascii="Times New Roman" w:cs="Times New Roman"/>
                      <w:b/>
                      <w:color w:val="auto"/>
                      <w:sz w:val="21"/>
                      <w:szCs w:val="21"/>
                    </w:rPr>
                  </w:pPr>
                  <w:r>
                    <w:rPr>
                      <w:rFonts w:ascii="Times New Roman" w:cs="Times New Roman"/>
                      <w:b/>
                      <w:color w:val="auto"/>
                      <w:sz w:val="21"/>
                      <w:szCs w:val="21"/>
                    </w:rPr>
                    <w:t>名称</w:t>
                  </w:r>
                </w:p>
              </w:tc>
              <w:tc>
                <w:tcPr>
                  <w:tcW w:w="388" w:type="pct"/>
                  <w:tcBorders>
                    <w:top w:val="single" w:color="auto" w:sz="6" w:space="0"/>
                    <w:left w:val="single" w:color="auto" w:sz="6" w:space="0"/>
                    <w:bottom w:val="single" w:color="auto" w:sz="6" w:space="0"/>
                    <w:right w:val="single" w:color="auto" w:sz="6" w:space="0"/>
                  </w:tcBorders>
                  <w:vAlign w:val="center"/>
                </w:tcPr>
                <w:p>
                  <w:pPr>
                    <w:pStyle w:val="31"/>
                    <w:jc w:val="center"/>
                    <w:rPr>
                      <w:rFonts w:ascii="Times New Roman" w:cs="Times New Roman"/>
                      <w:b/>
                      <w:color w:val="auto"/>
                      <w:sz w:val="21"/>
                      <w:szCs w:val="21"/>
                    </w:rPr>
                  </w:pPr>
                  <w:r>
                    <w:rPr>
                      <w:rFonts w:ascii="Times New Roman" w:cs="Times New Roman"/>
                      <w:b/>
                      <w:color w:val="auto"/>
                      <w:sz w:val="21"/>
                      <w:szCs w:val="21"/>
                    </w:rPr>
                    <w:t>污染物种类</w:t>
                  </w:r>
                </w:p>
              </w:tc>
              <w:tc>
                <w:tcPr>
                  <w:tcW w:w="605" w:type="pct"/>
                  <w:tcBorders>
                    <w:top w:val="single" w:color="auto" w:sz="6" w:space="0"/>
                    <w:left w:val="single" w:color="auto" w:sz="6" w:space="0"/>
                    <w:bottom w:val="single" w:color="auto" w:sz="6" w:space="0"/>
                    <w:right w:val="single" w:color="auto" w:sz="6" w:space="0"/>
                  </w:tcBorders>
                  <w:vAlign w:val="center"/>
                </w:tcPr>
                <w:p>
                  <w:pPr>
                    <w:pStyle w:val="31"/>
                    <w:jc w:val="center"/>
                    <w:rPr>
                      <w:rFonts w:ascii="Times New Roman" w:cs="Times New Roman"/>
                      <w:b/>
                      <w:color w:val="auto"/>
                      <w:sz w:val="21"/>
                      <w:szCs w:val="21"/>
                    </w:rPr>
                  </w:pPr>
                  <w:r>
                    <w:rPr>
                      <w:rFonts w:ascii="Times New Roman" w:cs="Times New Roman"/>
                      <w:b/>
                      <w:color w:val="auto"/>
                      <w:sz w:val="21"/>
                      <w:szCs w:val="21"/>
                    </w:rPr>
                    <w:t>排放标准限值（mg/L）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00" w:type="pct"/>
                  <w:vMerge w:val="restart"/>
                  <w:tcBorders>
                    <w:top w:val="single" w:color="auto" w:sz="6" w:space="0"/>
                    <w:left w:val="single" w:color="auto" w:sz="6" w:space="0"/>
                    <w:right w:val="single" w:color="auto" w:sz="6" w:space="0"/>
                  </w:tcBorders>
                  <w:vAlign w:val="center"/>
                </w:tcPr>
                <w:p>
                  <w:pPr>
                    <w:pStyle w:val="31"/>
                    <w:jc w:val="center"/>
                    <w:rPr>
                      <w:rFonts w:ascii="Times New Roman" w:cs="Times New Roman"/>
                      <w:color w:val="auto"/>
                      <w:sz w:val="21"/>
                      <w:szCs w:val="21"/>
                    </w:rPr>
                  </w:pPr>
                  <w:r>
                    <w:rPr>
                      <w:rFonts w:ascii="Times New Roman" w:cs="Times New Roman"/>
                      <w:color w:val="auto"/>
                      <w:sz w:val="21"/>
                      <w:szCs w:val="21"/>
                    </w:rPr>
                    <w:t>1</w:t>
                  </w:r>
                </w:p>
              </w:tc>
              <w:tc>
                <w:tcPr>
                  <w:tcW w:w="333" w:type="pct"/>
                  <w:vMerge w:val="restart"/>
                  <w:tcBorders>
                    <w:top w:val="single" w:color="auto" w:sz="6" w:space="0"/>
                    <w:left w:val="single" w:color="auto" w:sz="6" w:space="0"/>
                    <w:right w:val="single" w:color="auto" w:sz="6" w:space="0"/>
                  </w:tcBorders>
                  <w:vAlign w:val="center"/>
                </w:tcPr>
                <w:p>
                  <w:pPr>
                    <w:pStyle w:val="31"/>
                    <w:jc w:val="center"/>
                    <w:rPr>
                      <w:rFonts w:ascii="Times New Roman" w:cs="Times New Roman"/>
                      <w:color w:val="auto"/>
                      <w:sz w:val="21"/>
                      <w:szCs w:val="21"/>
                    </w:rPr>
                  </w:pPr>
                  <w:r>
                    <w:rPr>
                      <w:rFonts w:hint="eastAsia" w:ascii="Times New Roman" w:cs="Times New Roman"/>
                      <w:color w:val="auto"/>
                      <w:sz w:val="21"/>
                      <w:szCs w:val="21"/>
                    </w:rPr>
                    <w:t>DW</w:t>
                  </w:r>
                  <w:r>
                    <w:rPr>
                      <w:rFonts w:ascii="Times New Roman" w:cs="Times New Roman"/>
                      <w:color w:val="auto"/>
                      <w:sz w:val="21"/>
                      <w:szCs w:val="21"/>
                    </w:rPr>
                    <w:t>001</w:t>
                  </w:r>
                </w:p>
              </w:tc>
              <w:tc>
                <w:tcPr>
                  <w:tcW w:w="569" w:type="pct"/>
                  <w:vMerge w:val="restart"/>
                  <w:tcBorders>
                    <w:top w:val="single" w:color="auto" w:sz="6" w:space="0"/>
                    <w:left w:val="single" w:color="auto" w:sz="6" w:space="0"/>
                    <w:right w:val="single" w:color="auto" w:sz="6" w:space="0"/>
                  </w:tcBorders>
                  <w:vAlign w:val="center"/>
                </w:tcPr>
                <w:p>
                  <w:pPr>
                    <w:pStyle w:val="57"/>
                    <w:rPr>
                      <w:kern w:val="2"/>
                    </w:rPr>
                  </w:pPr>
                  <w:r>
                    <w:rPr>
                      <w:kern w:val="2"/>
                    </w:rPr>
                    <w:t>106</w:t>
                  </w:r>
                  <w:r>
                    <w:rPr>
                      <w:rFonts w:hint="eastAsia"/>
                      <w:kern w:val="2"/>
                    </w:rPr>
                    <w:t>.</w:t>
                  </w:r>
                  <w:r>
                    <w:rPr>
                      <w:kern w:val="2"/>
                    </w:rPr>
                    <w:t>161948</w:t>
                  </w:r>
                </w:p>
              </w:tc>
              <w:tc>
                <w:tcPr>
                  <w:tcW w:w="603" w:type="pct"/>
                  <w:vMerge w:val="restart"/>
                  <w:tcBorders>
                    <w:top w:val="single" w:color="auto" w:sz="6" w:space="0"/>
                    <w:left w:val="single" w:color="auto" w:sz="6" w:space="0"/>
                    <w:right w:val="single" w:color="auto" w:sz="6" w:space="0"/>
                  </w:tcBorders>
                  <w:vAlign w:val="center"/>
                </w:tcPr>
                <w:p>
                  <w:pPr>
                    <w:pStyle w:val="57"/>
                    <w:rPr>
                      <w:kern w:val="2"/>
                    </w:rPr>
                  </w:pPr>
                  <w:r>
                    <w:rPr>
                      <w:kern w:val="2"/>
                    </w:rPr>
                    <w:t>29</w:t>
                  </w:r>
                  <w:r>
                    <w:rPr>
                      <w:rFonts w:hint="eastAsia"/>
                      <w:kern w:val="2"/>
                    </w:rPr>
                    <w:t>.</w:t>
                  </w:r>
                  <w:r>
                    <w:rPr>
                      <w:kern w:val="2"/>
                    </w:rPr>
                    <w:t>810228</w:t>
                  </w:r>
                </w:p>
              </w:tc>
              <w:tc>
                <w:tcPr>
                  <w:tcW w:w="357" w:type="pct"/>
                  <w:vMerge w:val="restart"/>
                  <w:tcBorders>
                    <w:top w:val="single" w:color="auto" w:sz="6" w:space="0"/>
                    <w:left w:val="single" w:color="auto" w:sz="6" w:space="0"/>
                    <w:right w:val="single" w:color="auto" w:sz="6" w:space="0"/>
                  </w:tcBorders>
                  <w:vAlign w:val="center"/>
                </w:tcPr>
                <w:p>
                  <w:pPr>
                    <w:pStyle w:val="31"/>
                    <w:jc w:val="center"/>
                    <w:rPr>
                      <w:rFonts w:ascii="Times New Roman" w:cs="Times New Roman"/>
                      <w:color w:val="auto"/>
                      <w:sz w:val="21"/>
                      <w:szCs w:val="21"/>
                    </w:rPr>
                  </w:pPr>
                  <w:r>
                    <w:rPr>
                      <w:rFonts w:ascii="Times New Roman" w:cs="Times New Roman"/>
                      <w:color w:val="auto"/>
                      <w:sz w:val="21"/>
                      <w:szCs w:val="21"/>
                    </w:rPr>
                    <w:t>297</w:t>
                  </w:r>
                </w:p>
              </w:tc>
              <w:tc>
                <w:tcPr>
                  <w:tcW w:w="374" w:type="pct"/>
                  <w:vMerge w:val="restart"/>
                  <w:tcBorders>
                    <w:top w:val="single" w:color="auto" w:sz="6" w:space="0"/>
                    <w:left w:val="single" w:color="auto" w:sz="6" w:space="0"/>
                    <w:right w:val="single" w:color="auto" w:sz="6" w:space="0"/>
                  </w:tcBorders>
                  <w:vAlign w:val="center"/>
                </w:tcPr>
                <w:p>
                  <w:pPr>
                    <w:pStyle w:val="31"/>
                    <w:jc w:val="center"/>
                    <w:rPr>
                      <w:rFonts w:ascii="Times New Roman" w:cs="Times New Roman"/>
                      <w:color w:val="auto"/>
                      <w:sz w:val="21"/>
                      <w:szCs w:val="21"/>
                    </w:rPr>
                  </w:pPr>
                  <w:r>
                    <w:rPr>
                      <w:rFonts w:ascii="Times New Roman" w:cs="Times New Roman"/>
                      <w:color w:val="auto"/>
                      <w:sz w:val="21"/>
                      <w:szCs w:val="21"/>
                    </w:rPr>
                    <w:t>间接排放</w:t>
                  </w:r>
                </w:p>
              </w:tc>
              <w:tc>
                <w:tcPr>
                  <w:tcW w:w="675" w:type="pct"/>
                  <w:vMerge w:val="restart"/>
                  <w:tcBorders>
                    <w:top w:val="single" w:color="auto" w:sz="6" w:space="0"/>
                    <w:left w:val="single" w:color="auto" w:sz="6" w:space="0"/>
                    <w:right w:val="single" w:color="auto" w:sz="6" w:space="0"/>
                  </w:tcBorders>
                  <w:vAlign w:val="center"/>
                </w:tcPr>
                <w:p>
                  <w:pPr>
                    <w:pStyle w:val="31"/>
                    <w:jc w:val="center"/>
                    <w:rPr>
                      <w:rFonts w:ascii="Times New Roman" w:cs="Times New Roman"/>
                      <w:color w:val="auto"/>
                      <w:sz w:val="21"/>
                      <w:szCs w:val="21"/>
                    </w:rPr>
                  </w:pPr>
                  <w:r>
                    <w:rPr>
                      <w:rFonts w:ascii="Times New Roman" w:cs="Times New Roman"/>
                      <w:color w:val="auto"/>
                      <w:sz w:val="21"/>
                      <w:szCs w:val="21"/>
                    </w:rPr>
                    <w:t>市政污水管网→</w:t>
                  </w:r>
                  <w:r>
                    <w:rPr>
                      <w:rFonts w:hint="eastAsia" w:ascii="Times New Roman" w:cs="Times New Roman"/>
                      <w:color w:val="auto"/>
                      <w:sz w:val="21"/>
                      <w:szCs w:val="21"/>
                    </w:rPr>
                    <w:t>蒲吕</w:t>
                  </w:r>
                  <w:r>
                    <w:rPr>
                      <w:rFonts w:ascii="Times New Roman" w:cs="Times New Roman"/>
                      <w:color w:val="auto"/>
                      <w:sz w:val="21"/>
                      <w:szCs w:val="21"/>
                    </w:rPr>
                    <w:t>污水处理厂→</w:t>
                  </w:r>
                  <w:r>
                    <w:rPr>
                      <w:rFonts w:hint="eastAsia" w:ascii="Times New Roman" w:cs="Times New Roman"/>
                      <w:color w:val="auto"/>
                      <w:sz w:val="21"/>
                      <w:szCs w:val="21"/>
                    </w:rPr>
                    <w:t>小安溪</w:t>
                  </w:r>
                  <w:r>
                    <w:rPr>
                      <w:rFonts w:ascii="Times New Roman" w:cs="Times New Roman"/>
                      <w:color w:val="auto"/>
                      <w:sz w:val="21"/>
                      <w:szCs w:val="21"/>
                    </w:rPr>
                    <w:t>河</w:t>
                  </w:r>
                </w:p>
              </w:tc>
              <w:tc>
                <w:tcPr>
                  <w:tcW w:w="201" w:type="pct"/>
                  <w:vMerge w:val="restart"/>
                  <w:tcBorders>
                    <w:top w:val="single" w:color="auto" w:sz="6" w:space="0"/>
                    <w:left w:val="single" w:color="auto" w:sz="6" w:space="0"/>
                    <w:right w:val="single" w:color="auto" w:sz="6" w:space="0"/>
                  </w:tcBorders>
                  <w:vAlign w:val="center"/>
                </w:tcPr>
                <w:p>
                  <w:pPr>
                    <w:pStyle w:val="31"/>
                    <w:jc w:val="center"/>
                    <w:rPr>
                      <w:rFonts w:ascii="Times New Roman" w:cs="Times New Roman"/>
                      <w:color w:val="auto"/>
                      <w:sz w:val="21"/>
                      <w:szCs w:val="21"/>
                    </w:rPr>
                  </w:pPr>
                  <w:r>
                    <w:rPr>
                      <w:rFonts w:ascii="Times New Roman" w:cs="Times New Roman"/>
                      <w:color w:val="auto"/>
                      <w:sz w:val="21"/>
                      <w:szCs w:val="21"/>
                    </w:rPr>
                    <w:t>间断</w:t>
                  </w:r>
                </w:p>
              </w:tc>
              <w:tc>
                <w:tcPr>
                  <w:tcW w:w="306" w:type="pct"/>
                  <w:vMerge w:val="restart"/>
                  <w:tcBorders>
                    <w:top w:val="single" w:color="auto" w:sz="6" w:space="0"/>
                    <w:left w:val="single" w:color="auto" w:sz="6" w:space="0"/>
                    <w:right w:val="single" w:color="auto" w:sz="6" w:space="0"/>
                  </w:tcBorders>
                  <w:vAlign w:val="center"/>
                </w:tcPr>
                <w:p>
                  <w:pPr>
                    <w:pStyle w:val="31"/>
                    <w:jc w:val="center"/>
                    <w:rPr>
                      <w:rFonts w:ascii="Times New Roman" w:cs="Times New Roman"/>
                      <w:color w:val="auto"/>
                      <w:sz w:val="21"/>
                      <w:szCs w:val="21"/>
                    </w:rPr>
                  </w:pPr>
                  <w:r>
                    <w:rPr>
                      <w:rFonts w:ascii="Times New Roman" w:cs="Times New Roman"/>
                      <w:color w:val="auto"/>
                      <w:sz w:val="21"/>
                      <w:szCs w:val="21"/>
                    </w:rPr>
                    <w:t>/</w:t>
                  </w:r>
                </w:p>
              </w:tc>
              <w:tc>
                <w:tcPr>
                  <w:tcW w:w="385" w:type="pct"/>
                  <w:vMerge w:val="restart"/>
                  <w:tcBorders>
                    <w:top w:val="single" w:color="auto" w:sz="6" w:space="0"/>
                    <w:left w:val="single" w:color="auto" w:sz="6" w:space="0"/>
                    <w:right w:val="single" w:color="auto" w:sz="6" w:space="0"/>
                  </w:tcBorders>
                  <w:vAlign w:val="center"/>
                </w:tcPr>
                <w:p>
                  <w:pPr>
                    <w:pStyle w:val="31"/>
                    <w:jc w:val="center"/>
                    <w:rPr>
                      <w:rFonts w:ascii="Times New Roman" w:cs="Times New Roman"/>
                      <w:color w:val="auto"/>
                      <w:sz w:val="21"/>
                      <w:szCs w:val="21"/>
                    </w:rPr>
                  </w:pPr>
                  <w:r>
                    <w:rPr>
                      <w:rFonts w:hint="eastAsia" w:ascii="Times New Roman" w:cs="Times New Roman"/>
                      <w:color w:val="auto"/>
                      <w:sz w:val="21"/>
                      <w:szCs w:val="21"/>
                    </w:rPr>
                    <w:t>蒲吕</w:t>
                  </w:r>
                  <w:r>
                    <w:rPr>
                      <w:rFonts w:ascii="Times New Roman" w:cs="Times New Roman"/>
                      <w:color w:val="auto"/>
                      <w:sz w:val="21"/>
                      <w:szCs w:val="21"/>
                    </w:rPr>
                    <w:t>污水处理厂</w:t>
                  </w:r>
                </w:p>
              </w:tc>
              <w:tc>
                <w:tcPr>
                  <w:tcW w:w="388" w:type="pct"/>
                  <w:tcBorders>
                    <w:top w:val="single" w:color="auto" w:sz="6" w:space="0"/>
                    <w:left w:val="single" w:color="auto" w:sz="6" w:space="0"/>
                    <w:bottom w:val="single" w:color="auto" w:sz="6" w:space="0"/>
                    <w:right w:val="single" w:color="auto" w:sz="6" w:space="0"/>
                  </w:tcBorders>
                  <w:vAlign w:val="center"/>
                </w:tcPr>
                <w:p>
                  <w:pPr>
                    <w:jc w:val="center"/>
                  </w:pPr>
                  <w:r>
                    <w:t>COD</w:t>
                  </w:r>
                </w:p>
              </w:tc>
              <w:tc>
                <w:tcPr>
                  <w:tcW w:w="605" w:type="pct"/>
                  <w:tcBorders>
                    <w:top w:val="single" w:color="auto" w:sz="6" w:space="0"/>
                    <w:left w:val="single" w:color="auto" w:sz="6" w:space="0"/>
                    <w:bottom w:val="single" w:color="auto" w:sz="6" w:space="0"/>
                    <w:right w:val="single" w:color="auto" w:sz="6" w:space="0"/>
                  </w:tcBorders>
                  <w:vAlign w:val="center"/>
                </w:tcPr>
                <w:p>
                  <w:pPr>
                    <w:jc w:val="center"/>
                  </w:pPr>
                  <w:r>
                    <w:t>50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00" w:type="pct"/>
                  <w:vMerge w:val="continue"/>
                  <w:tcBorders>
                    <w:left w:val="single" w:color="auto" w:sz="6" w:space="0"/>
                    <w:right w:val="single" w:color="auto" w:sz="6" w:space="0"/>
                  </w:tcBorders>
                  <w:vAlign w:val="center"/>
                </w:tcPr>
                <w:p>
                  <w:pPr>
                    <w:pStyle w:val="31"/>
                    <w:jc w:val="center"/>
                    <w:rPr>
                      <w:rFonts w:ascii="Times New Roman" w:cs="Times New Roman"/>
                      <w:color w:val="auto"/>
                      <w:sz w:val="21"/>
                      <w:szCs w:val="21"/>
                    </w:rPr>
                  </w:pPr>
                </w:p>
              </w:tc>
              <w:tc>
                <w:tcPr>
                  <w:tcW w:w="333" w:type="pct"/>
                  <w:vMerge w:val="continue"/>
                  <w:tcBorders>
                    <w:left w:val="single" w:color="auto" w:sz="6" w:space="0"/>
                    <w:right w:val="single" w:color="auto" w:sz="6" w:space="0"/>
                  </w:tcBorders>
                  <w:vAlign w:val="center"/>
                </w:tcPr>
                <w:p>
                  <w:pPr>
                    <w:pStyle w:val="31"/>
                    <w:jc w:val="center"/>
                    <w:rPr>
                      <w:rFonts w:ascii="Times New Roman" w:cs="Times New Roman"/>
                      <w:color w:val="auto"/>
                      <w:sz w:val="21"/>
                      <w:szCs w:val="21"/>
                    </w:rPr>
                  </w:pPr>
                </w:p>
              </w:tc>
              <w:tc>
                <w:tcPr>
                  <w:tcW w:w="569" w:type="pct"/>
                  <w:vMerge w:val="continue"/>
                  <w:tcBorders>
                    <w:left w:val="single" w:color="auto" w:sz="6" w:space="0"/>
                    <w:right w:val="single" w:color="auto" w:sz="6" w:space="0"/>
                  </w:tcBorders>
                  <w:vAlign w:val="center"/>
                </w:tcPr>
                <w:p>
                  <w:pPr>
                    <w:pStyle w:val="31"/>
                    <w:jc w:val="center"/>
                    <w:rPr>
                      <w:rFonts w:ascii="Times New Roman" w:cs="Times New Roman"/>
                      <w:color w:val="auto"/>
                      <w:sz w:val="21"/>
                      <w:szCs w:val="21"/>
                    </w:rPr>
                  </w:pPr>
                </w:p>
              </w:tc>
              <w:tc>
                <w:tcPr>
                  <w:tcW w:w="603" w:type="pct"/>
                  <w:vMerge w:val="continue"/>
                  <w:tcBorders>
                    <w:left w:val="single" w:color="auto" w:sz="6" w:space="0"/>
                    <w:right w:val="single" w:color="auto" w:sz="6" w:space="0"/>
                  </w:tcBorders>
                  <w:vAlign w:val="center"/>
                </w:tcPr>
                <w:p>
                  <w:pPr>
                    <w:pStyle w:val="31"/>
                    <w:jc w:val="center"/>
                    <w:rPr>
                      <w:rFonts w:ascii="Times New Roman" w:cs="Times New Roman"/>
                      <w:color w:val="auto"/>
                      <w:sz w:val="21"/>
                      <w:szCs w:val="21"/>
                    </w:rPr>
                  </w:pPr>
                </w:p>
              </w:tc>
              <w:tc>
                <w:tcPr>
                  <w:tcW w:w="357" w:type="pct"/>
                  <w:vMerge w:val="continue"/>
                  <w:tcBorders>
                    <w:left w:val="single" w:color="auto" w:sz="6" w:space="0"/>
                    <w:right w:val="single" w:color="auto" w:sz="6" w:space="0"/>
                  </w:tcBorders>
                  <w:vAlign w:val="center"/>
                </w:tcPr>
                <w:p>
                  <w:pPr>
                    <w:pStyle w:val="31"/>
                    <w:jc w:val="center"/>
                    <w:rPr>
                      <w:rFonts w:ascii="Times New Roman" w:cs="Times New Roman"/>
                      <w:color w:val="auto"/>
                      <w:sz w:val="21"/>
                      <w:szCs w:val="21"/>
                    </w:rPr>
                  </w:pPr>
                </w:p>
              </w:tc>
              <w:tc>
                <w:tcPr>
                  <w:tcW w:w="374" w:type="pct"/>
                  <w:vMerge w:val="continue"/>
                  <w:tcBorders>
                    <w:left w:val="single" w:color="auto" w:sz="6" w:space="0"/>
                    <w:right w:val="single" w:color="auto" w:sz="6" w:space="0"/>
                  </w:tcBorders>
                  <w:vAlign w:val="center"/>
                </w:tcPr>
                <w:p>
                  <w:pPr>
                    <w:pStyle w:val="31"/>
                    <w:jc w:val="center"/>
                    <w:rPr>
                      <w:rFonts w:ascii="Times New Roman" w:cs="Times New Roman"/>
                      <w:color w:val="auto"/>
                      <w:sz w:val="21"/>
                      <w:szCs w:val="21"/>
                    </w:rPr>
                  </w:pPr>
                </w:p>
              </w:tc>
              <w:tc>
                <w:tcPr>
                  <w:tcW w:w="675" w:type="pct"/>
                  <w:vMerge w:val="continue"/>
                  <w:tcBorders>
                    <w:left w:val="single" w:color="auto" w:sz="6" w:space="0"/>
                    <w:right w:val="single" w:color="auto" w:sz="6" w:space="0"/>
                  </w:tcBorders>
                  <w:vAlign w:val="center"/>
                </w:tcPr>
                <w:p>
                  <w:pPr>
                    <w:pStyle w:val="31"/>
                    <w:jc w:val="center"/>
                    <w:rPr>
                      <w:rFonts w:ascii="Times New Roman" w:cs="Times New Roman"/>
                      <w:color w:val="auto"/>
                      <w:sz w:val="21"/>
                      <w:szCs w:val="21"/>
                    </w:rPr>
                  </w:pPr>
                </w:p>
              </w:tc>
              <w:tc>
                <w:tcPr>
                  <w:tcW w:w="201" w:type="pct"/>
                  <w:vMerge w:val="continue"/>
                  <w:tcBorders>
                    <w:left w:val="single" w:color="auto" w:sz="6" w:space="0"/>
                    <w:right w:val="single" w:color="auto" w:sz="6" w:space="0"/>
                  </w:tcBorders>
                  <w:vAlign w:val="center"/>
                </w:tcPr>
                <w:p>
                  <w:pPr>
                    <w:pStyle w:val="31"/>
                    <w:jc w:val="center"/>
                    <w:rPr>
                      <w:rFonts w:ascii="Times New Roman" w:cs="Times New Roman"/>
                      <w:color w:val="auto"/>
                      <w:sz w:val="21"/>
                      <w:szCs w:val="21"/>
                    </w:rPr>
                  </w:pPr>
                </w:p>
              </w:tc>
              <w:tc>
                <w:tcPr>
                  <w:tcW w:w="306" w:type="pct"/>
                  <w:vMerge w:val="continue"/>
                  <w:tcBorders>
                    <w:left w:val="single" w:color="auto" w:sz="6" w:space="0"/>
                    <w:right w:val="single" w:color="auto" w:sz="6" w:space="0"/>
                  </w:tcBorders>
                  <w:vAlign w:val="center"/>
                </w:tcPr>
                <w:p>
                  <w:pPr>
                    <w:pStyle w:val="31"/>
                    <w:jc w:val="center"/>
                    <w:rPr>
                      <w:rFonts w:ascii="Times New Roman" w:cs="Times New Roman"/>
                      <w:color w:val="auto"/>
                      <w:sz w:val="21"/>
                      <w:szCs w:val="21"/>
                    </w:rPr>
                  </w:pPr>
                </w:p>
              </w:tc>
              <w:tc>
                <w:tcPr>
                  <w:tcW w:w="385" w:type="pct"/>
                  <w:vMerge w:val="continue"/>
                  <w:tcBorders>
                    <w:left w:val="single" w:color="auto" w:sz="6" w:space="0"/>
                    <w:right w:val="single" w:color="auto" w:sz="6" w:space="0"/>
                  </w:tcBorders>
                  <w:vAlign w:val="center"/>
                </w:tcPr>
                <w:p>
                  <w:pPr>
                    <w:pStyle w:val="31"/>
                    <w:jc w:val="center"/>
                    <w:rPr>
                      <w:rFonts w:ascii="Times New Roman" w:cs="Times New Roman"/>
                      <w:color w:val="auto"/>
                      <w:sz w:val="21"/>
                      <w:szCs w:val="21"/>
                    </w:rPr>
                  </w:pPr>
                </w:p>
              </w:tc>
              <w:tc>
                <w:tcPr>
                  <w:tcW w:w="388" w:type="pct"/>
                  <w:tcBorders>
                    <w:top w:val="single" w:color="auto" w:sz="6" w:space="0"/>
                    <w:left w:val="single" w:color="auto" w:sz="6" w:space="0"/>
                    <w:bottom w:val="single" w:color="auto" w:sz="6" w:space="0"/>
                    <w:right w:val="single" w:color="auto" w:sz="6" w:space="0"/>
                  </w:tcBorders>
                  <w:vAlign w:val="center"/>
                </w:tcPr>
                <w:p>
                  <w:pPr>
                    <w:jc w:val="center"/>
                  </w:pPr>
                  <w:r>
                    <w:t>BOD</w:t>
                  </w:r>
                  <w:r>
                    <w:rPr>
                      <w:vertAlign w:val="subscript"/>
                    </w:rPr>
                    <w:t>5</w:t>
                  </w:r>
                </w:p>
              </w:tc>
              <w:tc>
                <w:tcPr>
                  <w:tcW w:w="605" w:type="pct"/>
                  <w:tcBorders>
                    <w:top w:val="single" w:color="auto" w:sz="6" w:space="0"/>
                    <w:left w:val="single" w:color="auto" w:sz="6" w:space="0"/>
                    <w:bottom w:val="single" w:color="auto" w:sz="6" w:space="0"/>
                    <w:right w:val="single" w:color="auto" w:sz="6" w:space="0"/>
                  </w:tcBorders>
                  <w:vAlign w:val="center"/>
                </w:tcPr>
                <w:p>
                  <w:pPr>
                    <w:jc w:val="center"/>
                  </w:pPr>
                  <w:r>
                    <w:t>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200" w:type="pct"/>
                  <w:vMerge w:val="continue"/>
                  <w:tcBorders>
                    <w:left w:val="single" w:color="auto" w:sz="6" w:space="0"/>
                    <w:right w:val="single" w:color="auto" w:sz="6" w:space="0"/>
                  </w:tcBorders>
                  <w:vAlign w:val="center"/>
                </w:tcPr>
                <w:p>
                  <w:pPr>
                    <w:widowControl/>
                    <w:jc w:val="center"/>
                  </w:pPr>
                </w:p>
              </w:tc>
              <w:tc>
                <w:tcPr>
                  <w:tcW w:w="333" w:type="pct"/>
                  <w:vMerge w:val="continue"/>
                  <w:tcBorders>
                    <w:left w:val="single" w:color="auto" w:sz="6" w:space="0"/>
                    <w:right w:val="single" w:color="auto" w:sz="6" w:space="0"/>
                  </w:tcBorders>
                  <w:vAlign w:val="center"/>
                </w:tcPr>
                <w:p>
                  <w:pPr>
                    <w:widowControl/>
                    <w:jc w:val="center"/>
                  </w:pPr>
                </w:p>
              </w:tc>
              <w:tc>
                <w:tcPr>
                  <w:tcW w:w="569" w:type="pct"/>
                  <w:vMerge w:val="continue"/>
                  <w:tcBorders>
                    <w:left w:val="single" w:color="auto" w:sz="6" w:space="0"/>
                    <w:right w:val="single" w:color="auto" w:sz="6" w:space="0"/>
                  </w:tcBorders>
                  <w:vAlign w:val="center"/>
                </w:tcPr>
                <w:p>
                  <w:pPr>
                    <w:widowControl/>
                    <w:jc w:val="center"/>
                  </w:pPr>
                </w:p>
              </w:tc>
              <w:tc>
                <w:tcPr>
                  <w:tcW w:w="603" w:type="pct"/>
                  <w:vMerge w:val="continue"/>
                  <w:tcBorders>
                    <w:left w:val="single" w:color="auto" w:sz="6" w:space="0"/>
                    <w:right w:val="single" w:color="auto" w:sz="6" w:space="0"/>
                  </w:tcBorders>
                  <w:vAlign w:val="center"/>
                </w:tcPr>
                <w:p>
                  <w:pPr>
                    <w:widowControl/>
                    <w:jc w:val="center"/>
                  </w:pPr>
                </w:p>
              </w:tc>
              <w:tc>
                <w:tcPr>
                  <w:tcW w:w="357" w:type="pct"/>
                  <w:vMerge w:val="continue"/>
                  <w:tcBorders>
                    <w:left w:val="single" w:color="auto" w:sz="6" w:space="0"/>
                    <w:right w:val="single" w:color="auto" w:sz="6" w:space="0"/>
                  </w:tcBorders>
                  <w:vAlign w:val="center"/>
                </w:tcPr>
                <w:p>
                  <w:pPr>
                    <w:widowControl/>
                    <w:jc w:val="center"/>
                  </w:pPr>
                </w:p>
              </w:tc>
              <w:tc>
                <w:tcPr>
                  <w:tcW w:w="374" w:type="pct"/>
                  <w:vMerge w:val="continue"/>
                  <w:tcBorders>
                    <w:left w:val="single" w:color="auto" w:sz="6" w:space="0"/>
                    <w:right w:val="single" w:color="auto" w:sz="6" w:space="0"/>
                  </w:tcBorders>
                  <w:vAlign w:val="center"/>
                </w:tcPr>
                <w:p>
                  <w:pPr>
                    <w:widowControl/>
                    <w:jc w:val="center"/>
                  </w:pPr>
                </w:p>
              </w:tc>
              <w:tc>
                <w:tcPr>
                  <w:tcW w:w="675" w:type="pct"/>
                  <w:vMerge w:val="continue"/>
                  <w:tcBorders>
                    <w:left w:val="single" w:color="auto" w:sz="6" w:space="0"/>
                    <w:right w:val="single" w:color="auto" w:sz="6" w:space="0"/>
                  </w:tcBorders>
                  <w:vAlign w:val="center"/>
                </w:tcPr>
                <w:p>
                  <w:pPr>
                    <w:widowControl/>
                    <w:jc w:val="center"/>
                  </w:pPr>
                </w:p>
              </w:tc>
              <w:tc>
                <w:tcPr>
                  <w:tcW w:w="201" w:type="pct"/>
                  <w:vMerge w:val="continue"/>
                  <w:tcBorders>
                    <w:left w:val="single" w:color="auto" w:sz="6" w:space="0"/>
                    <w:right w:val="single" w:color="auto" w:sz="6" w:space="0"/>
                  </w:tcBorders>
                  <w:vAlign w:val="center"/>
                </w:tcPr>
                <w:p>
                  <w:pPr>
                    <w:widowControl/>
                    <w:jc w:val="center"/>
                  </w:pPr>
                </w:p>
              </w:tc>
              <w:tc>
                <w:tcPr>
                  <w:tcW w:w="306" w:type="pct"/>
                  <w:vMerge w:val="continue"/>
                  <w:tcBorders>
                    <w:left w:val="single" w:color="auto" w:sz="6" w:space="0"/>
                    <w:right w:val="single" w:color="auto" w:sz="6" w:space="0"/>
                  </w:tcBorders>
                  <w:vAlign w:val="center"/>
                </w:tcPr>
                <w:p>
                  <w:pPr>
                    <w:widowControl/>
                    <w:jc w:val="center"/>
                  </w:pPr>
                </w:p>
              </w:tc>
              <w:tc>
                <w:tcPr>
                  <w:tcW w:w="385" w:type="pct"/>
                  <w:vMerge w:val="continue"/>
                  <w:tcBorders>
                    <w:left w:val="single" w:color="auto" w:sz="6" w:space="0"/>
                    <w:right w:val="single" w:color="auto" w:sz="6" w:space="0"/>
                  </w:tcBorders>
                  <w:vAlign w:val="center"/>
                </w:tcPr>
                <w:p>
                  <w:pPr>
                    <w:widowControl/>
                    <w:jc w:val="center"/>
                  </w:pPr>
                </w:p>
              </w:tc>
              <w:tc>
                <w:tcPr>
                  <w:tcW w:w="388" w:type="pct"/>
                  <w:tcBorders>
                    <w:top w:val="single" w:color="auto" w:sz="6" w:space="0"/>
                    <w:left w:val="single" w:color="auto" w:sz="6" w:space="0"/>
                    <w:bottom w:val="single" w:color="auto" w:sz="6" w:space="0"/>
                    <w:right w:val="single" w:color="auto" w:sz="6" w:space="0"/>
                  </w:tcBorders>
                  <w:vAlign w:val="center"/>
                </w:tcPr>
                <w:p>
                  <w:pPr>
                    <w:jc w:val="center"/>
                  </w:pPr>
                  <w:r>
                    <w:t>SS</w:t>
                  </w:r>
                </w:p>
              </w:tc>
              <w:tc>
                <w:tcPr>
                  <w:tcW w:w="605" w:type="pct"/>
                  <w:tcBorders>
                    <w:top w:val="single" w:color="auto" w:sz="6" w:space="0"/>
                    <w:left w:val="single" w:color="auto" w:sz="6" w:space="0"/>
                    <w:bottom w:val="single" w:color="auto" w:sz="6" w:space="0"/>
                    <w:right w:val="single" w:color="auto" w:sz="6" w:space="0"/>
                  </w:tcBorders>
                  <w:vAlign w:val="center"/>
                </w:tcPr>
                <w:p>
                  <w:pPr>
                    <w:jc w:val="center"/>
                  </w:pPr>
                  <w:r>
                    <w:t>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 w:hRule="atLeast"/>
              </w:trPr>
              <w:tc>
                <w:tcPr>
                  <w:tcW w:w="200" w:type="pct"/>
                  <w:vMerge w:val="continue"/>
                  <w:tcBorders>
                    <w:left w:val="single" w:color="auto" w:sz="6" w:space="0"/>
                    <w:right w:val="single" w:color="auto" w:sz="6" w:space="0"/>
                  </w:tcBorders>
                  <w:vAlign w:val="center"/>
                </w:tcPr>
                <w:p>
                  <w:pPr>
                    <w:widowControl/>
                    <w:jc w:val="center"/>
                  </w:pPr>
                </w:p>
              </w:tc>
              <w:tc>
                <w:tcPr>
                  <w:tcW w:w="333" w:type="pct"/>
                  <w:vMerge w:val="continue"/>
                  <w:tcBorders>
                    <w:left w:val="single" w:color="auto" w:sz="6" w:space="0"/>
                    <w:right w:val="single" w:color="auto" w:sz="6" w:space="0"/>
                  </w:tcBorders>
                  <w:vAlign w:val="center"/>
                </w:tcPr>
                <w:p>
                  <w:pPr>
                    <w:widowControl/>
                    <w:jc w:val="center"/>
                  </w:pPr>
                </w:p>
              </w:tc>
              <w:tc>
                <w:tcPr>
                  <w:tcW w:w="569" w:type="pct"/>
                  <w:vMerge w:val="continue"/>
                  <w:tcBorders>
                    <w:left w:val="single" w:color="auto" w:sz="6" w:space="0"/>
                    <w:right w:val="single" w:color="auto" w:sz="6" w:space="0"/>
                  </w:tcBorders>
                  <w:vAlign w:val="center"/>
                </w:tcPr>
                <w:p>
                  <w:pPr>
                    <w:widowControl/>
                    <w:jc w:val="center"/>
                  </w:pPr>
                </w:p>
              </w:tc>
              <w:tc>
                <w:tcPr>
                  <w:tcW w:w="603" w:type="pct"/>
                  <w:vMerge w:val="continue"/>
                  <w:tcBorders>
                    <w:left w:val="single" w:color="auto" w:sz="6" w:space="0"/>
                    <w:right w:val="single" w:color="auto" w:sz="6" w:space="0"/>
                  </w:tcBorders>
                  <w:vAlign w:val="center"/>
                </w:tcPr>
                <w:p>
                  <w:pPr>
                    <w:widowControl/>
                    <w:jc w:val="center"/>
                  </w:pPr>
                </w:p>
              </w:tc>
              <w:tc>
                <w:tcPr>
                  <w:tcW w:w="357" w:type="pct"/>
                  <w:vMerge w:val="continue"/>
                  <w:tcBorders>
                    <w:left w:val="single" w:color="auto" w:sz="6" w:space="0"/>
                    <w:right w:val="single" w:color="auto" w:sz="6" w:space="0"/>
                  </w:tcBorders>
                  <w:vAlign w:val="center"/>
                </w:tcPr>
                <w:p>
                  <w:pPr>
                    <w:widowControl/>
                    <w:jc w:val="center"/>
                  </w:pPr>
                </w:p>
              </w:tc>
              <w:tc>
                <w:tcPr>
                  <w:tcW w:w="374" w:type="pct"/>
                  <w:vMerge w:val="continue"/>
                  <w:tcBorders>
                    <w:left w:val="single" w:color="auto" w:sz="6" w:space="0"/>
                    <w:right w:val="single" w:color="auto" w:sz="6" w:space="0"/>
                  </w:tcBorders>
                  <w:vAlign w:val="center"/>
                </w:tcPr>
                <w:p>
                  <w:pPr>
                    <w:widowControl/>
                    <w:jc w:val="center"/>
                  </w:pPr>
                </w:p>
              </w:tc>
              <w:tc>
                <w:tcPr>
                  <w:tcW w:w="675" w:type="pct"/>
                  <w:vMerge w:val="continue"/>
                  <w:tcBorders>
                    <w:left w:val="single" w:color="auto" w:sz="6" w:space="0"/>
                    <w:right w:val="single" w:color="auto" w:sz="6" w:space="0"/>
                  </w:tcBorders>
                  <w:vAlign w:val="center"/>
                </w:tcPr>
                <w:p>
                  <w:pPr>
                    <w:widowControl/>
                    <w:jc w:val="center"/>
                  </w:pPr>
                </w:p>
              </w:tc>
              <w:tc>
                <w:tcPr>
                  <w:tcW w:w="201" w:type="pct"/>
                  <w:vMerge w:val="continue"/>
                  <w:tcBorders>
                    <w:left w:val="single" w:color="auto" w:sz="6" w:space="0"/>
                    <w:right w:val="single" w:color="auto" w:sz="6" w:space="0"/>
                  </w:tcBorders>
                  <w:vAlign w:val="center"/>
                </w:tcPr>
                <w:p>
                  <w:pPr>
                    <w:widowControl/>
                    <w:jc w:val="center"/>
                  </w:pPr>
                </w:p>
              </w:tc>
              <w:tc>
                <w:tcPr>
                  <w:tcW w:w="306" w:type="pct"/>
                  <w:vMerge w:val="continue"/>
                  <w:tcBorders>
                    <w:left w:val="single" w:color="auto" w:sz="6" w:space="0"/>
                    <w:right w:val="single" w:color="auto" w:sz="6" w:space="0"/>
                  </w:tcBorders>
                  <w:vAlign w:val="center"/>
                </w:tcPr>
                <w:p>
                  <w:pPr>
                    <w:widowControl/>
                    <w:jc w:val="center"/>
                  </w:pPr>
                </w:p>
              </w:tc>
              <w:tc>
                <w:tcPr>
                  <w:tcW w:w="385" w:type="pct"/>
                  <w:vMerge w:val="continue"/>
                  <w:tcBorders>
                    <w:left w:val="single" w:color="auto" w:sz="6" w:space="0"/>
                    <w:right w:val="single" w:color="auto" w:sz="6" w:space="0"/>
                  </w:tcBorders>
                  <w:vAlign w:val="center"/>
                </w:tcPr>
                <w:p>
                  <w:pPr>
                    <w:widowControl/>
                    <w:jc w:val="center"/>
                  </w:pPr>
                </w:p>
              </w:tc>
              <w:tc>
                <w:tcPr>
                  <w:tcW w:w="388" w:type="pct"/>
                  <w:tcBorders>
                    <w:top w:val="single" w:color="auto" w:sz="6" w:space="0"/>
                    <w:left w:val="single" w:color="auto" w:sz="6" w:space="0"/>
                    <w:bottom w:val="single" w:color="auto" w:sz="6" w:space="0"/>
                    <w:right w:val="single" w:color="auto" w:sz="6" w:space="0"/>
                  </w:tcBorders>
                  <w:vAlign w:val="center"/>
                </w:tcPr>
                <w:p>
                  <w:pPr>
                    <w:jc w:val="center"/>
                  </w:pPr>
                  <w:r>
                    <w:t>NH</w:t>
                  </w:r>
                  <w:r>
                    <w:rPr>
                      <w:vertAlign w:val="subscript"/>
                    </w:rPr>
                    <w:t>3</w:t>
                  </w:r>
                  <w:r>
                    <w:t>-N</w:t>
                  </w:r>
                </w:p>
              </w:tc>
              <w:tc>
                <w:tcPr>
                  <w:tcW w:w="605" w:type="pct"/>
                  <w:tcBorders>
                    <w:top w:val="single" w:color="auto" w:sz="6" w:space="0"/>
                    <w:left w:val="single" w:color="auto" w:sz="6" w:space="0"/>
                    <w:bottom w:val="single" w:color="auto" w:sz="6" w:space="0"/>
                    <w:right w:val="single" w:color="auto" w:sz="6" w:space="0"/>
                  </w:tcBorders>
                  <w:vAlign w:val="center"/>
                </w:tcPr>
                <w:p>
                  <w:pPr>
                    <w:jc w:val="center"/>
                  </w:pPr>
                  <w:r>
                    <w:t>5</w:t>
                  </w:r>
                </w:p>
              </w:tc>
            </w:tr>
          </w:tbl>
          <w:p>
            <w:pPr>
              <w:spacing w:line="460" w:lineRule="exact"/>
              <w:jc w:val="left"/>
              <w:rPr>
                <w:bCs/>
                <w:spacing w:val="-10"/>
              </w:rPr>
            </w:pPr>
          </w:p>
        </w:tc>
      </w:tr>
    </w:tbl>
    <w:p>
      <w:pPr>
        <w:adjustRightInd w:val="0"/>
        <w:snapToGrid w:val="0"/>
        <w:jc w:val="center"/>
        <w:rPr>
          <w:bCs/>
        </w:rPr>
        <w:sectPr>
          <w:pgSz w:w="16838" w:h="11906" w:orient="landscape"/>
          <w:pgMar w:top="1531" w:right="1701" w:bottom="1531" w:left="1701" w:header="851" w:footer="851" w:gutter="0"/>
          <w:cols w:space="720" w:num="1"/>
          <w:docGrid w:linePitch="312" w:charSpace="0"/>
        </w:sectPr>
      </w:pPr>
    </w:p>
    <w:tbl>
      <w:tblPr>
        <w:tblStyle w:val="2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4"/>
        <w:gridCol w:w="855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42" w:hRule="atLeast"/>
          <w:jc w:val="center"/>
        </w:trPr>
        <w:tc>
          <w:tcPr>
            <w:tcW w:w="236" w:type="pct"/>
            <w:tcMar>
              <w:left w:w="28" w:type="dxa"/>
              <w:right w:w="28" w:type="dxa"/>
            </w:tcMar>
            <w:vAlign w:val="center"/>
          </w:tcPr>
          <w:p>
            <w:pPr>
              <w:adjustRightInd w:val="0"/>
              <w:snapToGrid w:val="0"/>
              <w:jc w:val="center"/>
              <w:rPr>
                <w:bCs/>
              </w:rPr>
            </w:pPr>
            <w:r>
              <w:rPr>
                <w:bCs/>
              </w:rPr>
              <w:t>运营</w:t>
            </w:r>
          </w:p>
          <w:p>
            <w:pPr>
              <w:adjustRightInd w:val="0"/>
              <w:snapToGrid w:val="0"/>
              <w:jc w:val="center"/>
              <w:rPr>
                <w:bCs/>
              </w:rPr>
            </w:pPr>
            <w:r>
              <w:rPr>
                <w:bCs/>
              </w:rPr>
              <w:t>期环</w:t>
            </w:r>
          </w:p>
          <w:p>
            <w:pPr>
              <w:adjustRightInd w:val="0"/>
              <w:snapToGrid w:val="0"/>
              <w:jc w:val="center"/>
              <w:rPr>
                <w:bCs/>
              </w:rPr>
            </w:pPr>
            <w:r>
              <w:rPr>
                <w:bCs/>
              </w:rPr>
              <w:t>境影</w:t>
            </w:r>
          </w:p>
          <w:p>
            <w:pPr>
              <w:adjustRightInd w:val="0"/>
              <w:snapToGrid w:val="0"/>
              <w:jc w:val="center"/>
              <w:rPr>
                <w:bCs/>
              </w:rPr>
            </w:pPr>
            <w:r>
              <w:rPr>
                <w:bCs/>
              </w:rPr>
              <w:t>响和</w:t>
            </w:r>
          </w:p>
          <w:p>
            <w:pPr>
              <w:adjustRightInd w:val="0"/>
              <w:snapToGrid w:val="0"/>
              <w:jc w:val="center"/>
              <w:rPr>
                <w:bCs/>
              </w:rPr>
            </w:pPr>
            <w:r>
              <w:rPr>
                <w:bCs/>
              </w:rPr>
              <w:t>保护</w:t>
            </w:r>
          </w:p>
          <w:p>
            <w:pPr>
              <w:adjustRightInd w:val="0"/>
              <w:snapToGrid w:val="0"/>
              <w:jc w:val="center"/>
              <w:rPr>
                <w:bCs/>
              </w:rPr>
            </w:pPr>
            <w:r>
              <w:rPr>
                <w:bCs/>
              </w:rPr>
              <w:t>措施</w:t>
            </w:r>
          </w:p>
        </w:tc>
        <w:tc>
          <w:tcPr>
            <w:tcW w:w="4764" w:type="pct"/>
          </w:tcPr>
          <w:p>
            <w:pPr>
              <w:pStyle w:val="82"/>
              <w:ind w:firstLine="482"/>
              <w:rPr>
                <w:b/>
                <w:bCs/>
              </w:rPr>
            </w:pPr>
            <w:r>
              <w:rPr>
                <w:rFonts w:hint="eastAsia"/>
                <w:b/>
                <w:bCs/>
              </w:rPr>
              <w:t>（3）排放标准</w:t>
            </w:r>
          </w:p>
          <w:p>
            <w:pPr>
              <w:pStyle w:val="82"/>
            </w:pPr>
            <w:r>
              <w:rPr>
                <w:rFonts w:hint="eastAsia"/>
              </w:rPr>
              <w:t>废水污染物排放执行标准见表4-1</w:t>
            </w:r>
            <w:r>
              <w:t>1</w:t>
            </w:r>
            <w:r>
              <w:rPr>
                <w:rFonts w:hint="eastAsia"/>
              </w:rPr>
              <w:t>。</w:t>
            </w:r>
          </w:p>
          <w:p>
            <w:pPr>
              <w:pStyle w:val="83"/>
            </w:pPr>
            <w:r>
              <w:rPr>
                <w:rFonts w:hint="eastAsia"/>
              </w:rPr>
              <w:t>表4-1</w:t>
            </w:r>
            <w:r>
              <w:t>1</w:t>
            </w:r>
            <w:r>
              <w:rPr>
                <w:rFonts w:hint="eastAsia"/>
              </w:rPr>
              <w:t xml:space="preserve">  废水污染物排放执行标准表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6"/>
              <w:gridCol w:w="1411"/>
              <w:gridCol w:w="931"/>
              <w:gridCol w:w="1754"/>
              <w:gridCol w:w="1748"/>
              <w:gridCol w:w="19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40" w:type="pct"/>
                  <w:tcBorders>
                    <w:top w:val="single" w:color="auto" w:sz="4" w:space="0"/>
                    <w:left w:val="single" w:color="auto" w:sz="4" w:space="0"/>
                    <w:bottom w:val="single" w:color="auto" w:sz="4" w:space="0"/>
                    <w:right w:val="single" w:color="auto" w:sz="4" w:space="0"/>
                  </w:tcBorders>
                  <w:vAlign w:val="center"/>
                </w:tcPr>
                <w:p>
                  <w:pPr>
                    <w:pStyle w:val="52"/>
                    <w:rPr>
                      <w:b/>
                      <w:bCs/>
                      <w:kern w:val="2"/>
                    </w:rPr>
                  </w:pPr>
                  <w:r>
                    <w:rPr>
                      <w:b/>
                      <w:bCs/>
                    </w:rPr>
                    <w:t>序号</w:t>
                  </w:r>
                </w:p>
              </w:tc>
              <w:tc>
                <w:tcPr>
                  <w:tcW w:w="847" w:type="pct"/>
                  <w:tcBorders>
                    <w:top w:val="single" w:color="auto" w:sz="4" w:space="0"/>
                    <w:left w:val="nil"/>
                    <w:bottom w:val="single" w:color="auto" w:sz="4" w:space="0"/>
                    <w:right w:val="single" w:color="auto" w:sz="4" w:space="0"/>
                  </w:tcBorders>
                  <w:vAlign w:val="center"/>
                </w:tcPr>
                <w:p>
                  <w:pPr>
                    <w:pStyle w:val="52"/>
                    <w:rPr>
                      <w:b/>
                      <w:bCs/>
                    </w:rPr>
                  </w:pPr>
                  <w:r>
                    <w:rPr>
                      <w:b/>
                      <w:bCs/>
                    </w:rPr>
                    <w:t>排放口编号</w:t>
                  </w:r>
                </w:p>
              </w:tc>
              <w:tc>
                <w:tcPr>
                  <w:tcW w:w="559" w:type="pct"/>
                  <w:tcBorders>
                    <w:top w:val="single" w:color="auto" w:sz="4" w:space="0"/>
                    <w:left w:val="nil"/>
                    <w:bottom w:val="single" w:color="auto" w:sz="4" w:space="0"/>
                    <w:right w:val="single" w:color="auto" w:sz="4" w:space="0"/>
                  </w:tcBorders>
                  <w:vAlign w:val="center"/>
                </w:tcPr>
                <w:p>
                  <w:pPr>
                    <w:pStyle w:val="52"/>
                    <w:rPr>
                      <w:b/>
                      <w:bCs/>
                    </w:rPr>
                  </w:pPr>
                  <w:r>
                    <w:rPr>
                      <w:b/>
                      <w:bCs/>
                    </w:rPr>
                    <w:t>污染物</w:t>
                  </w:r>
                </w:p>
                <w:p>
                  <w:pPr>
                    <w:pStyle w:val="52"/>
                    <w:rPr>
                      <w:b/>
                      <w:bCs/>
                    </w:rPr>
                  </w:pPr>
                  <w:r>
                    <w:rPr>
                      <w:b/>
                      <w:bCs/>
                    </w:rPr>
                    <w:t>种类</w:t>
                  </w:r>
                </w:p>
              </w:tc>
              <w:tc>
                <w:tcPr>
                  <w:tcW w:w="1053" w:type="pct"/>
                  <w:tcBorders>
                    <w:top w:val="single" w:color="auto" w:sz="4" w:space="0"/>
                    <w:left w:val="nil"/>
                    <w:bottom w:val="single" w:color="auto" w:sz="4" w:space="0"/>
                    <w:right w:val="single" w:color="auto" w:sz="4" w:space="0"/>
                  </w:tcBorders>
                  <w:vAlign w:val="center"/>
                </w:tcPr>
                <w:p>
                  <w:pPr>
                    <w:pStyle w:val="52"/>
                    <w:rPr>
                      <w:b/>
                      <w:bCs/>
                    </w:rPr>
                  </w:pPr>
                  <w:r>
                    <w:rPr>
                      <w:b/>
                      <w:bCs/>
                    </w:rPr>
                    <w:t>名称</w:t>
                  </w:r>
                </w:p>
              </w:tc>
              <w:tc>
                <w:tcPr>
                  <w:tcW w:w="1049" w:type="pct"/>
                  <w:tcBorders>
                    <w:top w:val="single" w:color="auto" w:sz="4" w:space="0"/>
                    <w:left w:val="nil"/>
                    <w:bottom w:val="single" w:color="auto" w:sz="4" w:space="0"/>
                    <w:right w:val="single" w:color="auto" w:sz="4" w:space="0"/>
                  </w:tcBorders>
                  <w:vAlign w:val="center"/>
                </w:tcPr>
                <w:p>
                  <w:pPr>
                    <w:pStyle w:val="52"/>
                    <w:rPr>
                      <w:b/>
                      <w:bCs/>
                    </w:rPr>
                  </w:pPr>
                  <w:r>
                    <w:rPr>
                      <w:b/>
                      <w:bCs/>
                    </w:rPr>
                    <w:t>浓度限值（mg/L）</w:t>
                  </w:r>
                </w:p>
              </w:tc>
              <w:tc>
                <w:tcPr>
                  <w:tcW w:w="1152" w:type="pct"/>
                  <w:tcBorders>
                    <w:top w:val="single" w:color="auto" w:sz="4" w:space="0"/>
                    <w:left w:val="nil"/>
                    <w:bottom w:val="single" w:color="auto" w:sz="4" w:space="0"/>
                    <w:right w:val="single" w:color="auto" w:sz="4" w:space="0"/>
                  </w:tcBorders>
                  <w:vAlign w:val="center"/>
                </w:tcPr>
                <w:p>
                  <w:pPr>
                    <w:pStyle w:val="52"/>
                    <w:rPr>
                      <w:b/>
                      <w:bCs/>
                    </w:rPr>
                  </w:pPr>
                  <w:r>
                    <w:rPr>
                      <w:b/>
                      <w:bCs/>
                    </w:rP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40" w:type="pct"/>
                  <w:vMerge w:val="restart"/>
                  <w:tcBorders>
                    <w:top w:val="nil"/>
                    <w:left w:val="single" w:color="auto" w:sz="4" w:space="0"/>
                    <w:bottom w:val="single" w:color="auto" w:sz="4" w:space="0"/>
                    <w:right w:val="single" w:color="auto" w:sz="4" w:space="0"/>
                  </w:tcBorders>
                  <w:vAlign w:val="center"/>
                </w:tcPr>
                <w:p>
                  <w:pPr>
                    <w:pStyle w:val="52"/>
                  </w:pPr>
                  <w:r>
                    <w:t>1</w:t>
                  </w:r>
                </w:p>
              </w:tc>
              <w:tc>
                <w:tcPr>
                  <w:tcW w:w="847" w:type="pct"/>
                  <w:vMerge w:val="restart"/>
                  <w:tcBorders>
                    <w:top w:val="nil"/>
                    <w:left w:val="nil"/>
                    <w:bottom w:val="single" w:color="auto" w:sz="4" w:space="0"/>
                    <w:right w:val="single" w:color="auto" w:sz="4" w:space="0"/>
                  </w:tcBorders>
                  <w:vAlign w:val="center"/>
                </w:tcPr>
                <w:p>
                  <w:pPr>
                    <w:pStyle w:val="52"/>
                  </w:pPr>
                  <w:r>
                    <w:t>生化池排放口</w:t>
                  </w:r>
                </w:p>
              </w:tc>
              <w:tc>
                <w:tcPr>
                  <w:tcW w:w="559" w:type="pct"/>
                  <w:vMerge w:val="restart"/>
                  <w:tcBorders>
                    <w:top w:val="nil"/>
                    <w:left w:val="nil"/>
                    <w:bottom w:val="single" w:color="auto" w:sz="4" w:space="0"/>
                    <w:right w:val="single" w:color="auto" w:sz="4" w:space="0"/>
                  </w:tcBorders>
                  <w:vAlign w:val="center"/>
                </w:tcPr>
                <w:p>
                  <w:pPr>
                    <w:pStyle w:val="52"/>
                  </w:pPr>
                  <w:r>
                    <w:t>第二类</w:t>
                  </w:r>
                </w:p>
                <w:p>
                  <w:pPr>
                    <w:pStyle w:val="52"/>
                  </w:pPr>
                  <w:r>
                    <w:t>污染物</w:t>
                  </w:r>
                </w:p>
              </w:tc>
              <w:tc>
                <w:tcPr>
                  <w:tcW w:w="1053" w:type="pct"/>
                  <w:tcBorders>
                    <w:top w:val="single" w:color="auto" w:sz="4" w:space="0"/>
                    <w:left w:val="nil"/>
                    <w:bottom w:val="single" w:color="auto" w:sz="4" w:space="0"/>
                    <w:right w:val="single" w:color="auto" w:sz="4" w:space="0"/>
                  </w:tcBorders>
                  <w:vAlign w:val="center"/>
                </w:tcPr>
                <w:p>
                  <w:pPr>
                    <w:pStyle w:val="52"/>
                  </w:pPr>
                  <w:r>
                    <w:rPr>
                      <w:rFonts w:hint="eastAsia"/>
                    </w:rPr>
                    <w:t>pH（无量纲）</w:t>
                  </w:r>
                </w:p>
              </w:tc>
              <w:tc>
                <w:tcPr>
                  <w:tcW w:w="1049" w:type="pct"/>
                  <w:tcBorders>
                    <w:top w:val="single" w:color="auto" w:sz="4" w:space="0"/>
                    <w:left w:val="nil"/>
                    <w:bottom w:val="single" w:color="auto" w:sz="4" w:space="0"/>
                    <w:right w:val="single" w:color="auto" w:sz="4" w:space="0"/>
                  </w:tcBorders>
                  <w:vAlign w:val="center"/>
                </w:tcPr>
                <w:p>
                  <w:pPr>
                    <w:pStyle w:val="52"/>
                  </w:pPr>
                  <w:r>
                    <w:rPr>
                      <w:rFonts w:hint="eastAsia"/>
                    </w:rPr>
                    <w:t>6</w:t>
                  </w:r>
                  <w:r>
                    <w:t>~9</w:t>
                  </w:r>
                </w:p>
              </w:tc>
              <w:tc>
                <w:tcPr>
                  <w:tcW w:w="1152" w:type="pct"/>
                  <w:vMerge w:val="restart"/>
                  <w:tcBorders>
                    <w:top w:val="nil"/>
                    <w:left w:val="nil"/>
                    <w:bottom w:val="single" w:color="auto" w:sz="4" w:space="0"/>
                    <w:right w:val="single" w:color="auto" w:sz="4" w:space="0"/>
                  </w:tcBorders>
                  <w:vAlign w:val="center"/>
                </w:tcPr>
                <w:p>
                  <w:pPr>
                    <w:pStyle w:val="52"/>
                  </w:pPr>
                  <w:r>
                    <w:t>《污水综合排放标准》（GB8978-1996）三级标准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0" w:type="auto"/>
                  <w:vMerge w:val="continue"/>
                  <w:tcBorders>
                    <w:top w:val="nil"/>
                    <w:left w:val="single" w:color="auto" w:sz="4" w:space="0"/>
                    <w:bottom w:val="single" w:color="auto" w:sz="4" w:space="0"/>
                    <w:right w:val="single" w:color="auto" w:sz="4" w:space="0"/>
                  </w:tcBorders>
                  <w:vAlign w:val="center"/>
                </w:tcPr>
                <w:p>
                  <w:pPr>
                    <w:pStyle w:val="52"/>
                    <w:rPr>
                      <w:kern w:val="2"/>
                    </w:rPr>
                  </w:pPr>
                </w:p>
              </w:tc>
              <w:tc>
                <w:tcPr>
                  <w:tcW w:w="0" w:type="auto"/>
                  <w:vMerge w:val="continue"/>
                  <w:tcBorders>
                    <w:top w:val="nil"/>
                    <w:left w:val="nil"/>
                    <w:bottom w:val="single" w:color="auto" w:sz="4" w:space="0"/>
                    <w:right w:val="single" w:color="auto" w:sz="4" w:space="0"/>
                  </w:tcBorders>
                  <w:vAlign w:val="center"/>
                </w:tcPr>
                <w:p>
                  <w:pPr>
                    <w:pStyle w:val="52"/>
                    <w:rPr>
                      <w:kern w:val="2"/>
                    </w:rPr>
                  </w:pPr>
                </w:p>
              </w:tc>
              <w:tc>
                <w:tcPr>
                  <w:tcW w:w="0" w:type="auto"/>
                  <w:vMerge w:val="continue"/>
                  <w:tcBorders>
                    <w:top w:val="nil"/>
                    <w:left w:val="nil"/>
                    <w:bottom w:val="single" w:color="auto" w:sz="4" w:space="0"/>
                    <w:right w:val="single" w:color="auto" w:sz="4" w:space="0"/>
                  </w:tcBorders>
                  <w:vAlign w:val="center"/>
                </w:tcPr>
                <w:p>
                  <w:pPr>
                    <w:pStyle w:val="52"/>
                    <w:rPr>
                      <w:kern w:val="2"/>
                    </w:rPr>
                  </w:pPr>
                </w:p>
              </w:tc>
              <w:tc>
                <w:tcPr>
                  <w:tcW w:w="1053" w:type="pct"/>
                  <w:tcBorders>
                    <w:top w:val="single" w:color="auto" w:sz="4" w:space="0"/>
                    <w:left w:val="nil"/>
                    <w:bottom w:val="single" w:color="auto" w:sz="4" w:space="0"/>
                    <w:right w:val="single" w:color="auto" w:sz="4" w:space="0"/>
                  </w:tcBorders>
                  <w:vAlign w:val="center"/>
                </w:tcPr>
                <w:p>
                  <w:pPr>
                    <w:pStyle w:val="52"/>
                  </w:pPr>
                  <w:r>
                    <w:t>COD</w:t>
                  </w:r>
                </w:p>
              </w:tc>
              <w:tc>
                <w:tcPr>
                  <w:tcW w:w="1049" w:type="pct"/>
                  <w:tcBorders>
                    <w:top w:val="single" w:color="auto" w:sz="4" w:space="0"/>
                    <w:left w:val="nil"/>
                    <w:bottom w:val="single" w:color="auto" w:sz="4" w:space="0"/>
                    <w:right w:val="single" w:color="auto" w:sz="4" w:space="0"/>
                  </w:tcBorders>
                  <w:vAlign w:val="center"/>
                </w:tcPr>
                <w:p>
                  <w:pPr>
                    <w:pStyle w:val="52"/>
                  </w:pPr>
                  <w:r>
                    <w:t>500</w:t>
                  </w:r>
                </w:p>
              </w:tc>
              <w:tc>
                <w:tcPr>
                  <w:tcW w:w="0" w:type="auto"/>
                  <w:vMerge w:val="continue"/>
                  <w:tcBorders>
                    <w:top w:val="nil"/>
                    <w:left w:val="nil"/>
                    <w:bottom w:val="single" w:color="auto" w:sz="4" w:space="0"/>
                    <w:right w:val="single" w:color="auto" w:sz="4" w:space="0"/>
                  </w:tcBorders>
                  <w:vAlign w:val="center"/>
                </w:tcPr>
                <w:p>
                  <w:pPr>
                    <w:pStyle w:val="52"/>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0" w:type="auto"/>
                  <w:vMerge w:val="continue"/>
                  <w:tcBorders>
                    <w:top w:val="nil"/>
                    <w:left w:val="single" w:color="auto" w:sz="4" w:space="0"/>
                    <w:bottom w:val="single" w:color="auto" w:sz="4" w:space="0"/>
                    <w:right w:val="single" w:color="auto" w:sz="4" w:space="0"/>
                  </w:tcBorders>
                  <w:vAlign w:val="center"/>
                </w:tcPr>
                <w:p>
                  <w:pPr>
                    <w:pStyle w:val="52"/>
                    <w:rPr>
                      <w:kern w:val="2"/>
                    </w:rPr>
                  </w:pPr>
                </w:p>
              </w:tc>
              <w:tc>
                <w:tcPr>
                  <w:tcW w:w="0" w:type="auto"/>
                  <w:vMerge w:val="continue"/>
                  <w:tcBorders>
                    <w:top w:val="nil"/>
                    <w:left w:val="nil"/>
                    <w:bottom w:val="single" w:color="auto" w:sz="4" w:space="0"/>
                    <w:right w:val="single" w:color="auto" w:sz="4" w:space="0"/>
                  </w:tcBorders>
                  <w:vAlign w:val="center"/>
                </w:tcPr>
                <w:p>
                  <w:pPr>
                    <w:pStyle w:val="52"/>
                    <w:rPr>
                      <w:kern w:val="2"/>
                    </w:rPr>
                  </w:pPr>
                </w:p>
              </w:tc>
              <w:tc>
                <w:tcPr>
                  <w:tcW w:w="0" w:type="auto"/>
                  <w:vMerge w:val="continue"/>
                  <w:tcBorders>
                    <w:top w:val="nil"/>
                    <w:left w:val="nil"/>
                    <w:bottom w:val="single" w:color="auto" w:sz="4" w:space="0"/>
                    <w:right w:val="single" w:color="auto" w:sz="4" w:space="0"/>
                  </w:tcBorders>
                  <w:vAlign w:val="center"/>
                </w:tcPr>
                <w:p>
                  <w:pPr>
                    <w:pStyle w:val="52"/>
                    <w:rPr>
                      <w:kern w:val="2"/>
                    </w:rPr>
                  </w:pPr>
                </w:p>
              </w:tc>
              <w:tc>
                <w:tcPr>
                  <w:tcW w:w="1053" w:type="pct"/>
                  <w:tcBorders>
                    <w:top w:val="single" w:color="auto" w:sz="4" w:space="0"/>
                    <w:left w:val="nil"/>
                    <w:bottom w:val="single" w:color="auto" w:sz="4" w:space="0"/>
                    <w:right w:val="single" w:color="auto" w:sz="4" w:space="0"/>
                  </w:tcBorders>
                  <w:vAlign w:val="center"/>
                </w:tcPr>
                <w:p>
                  <w:pPr>
                    <w:pStyle w:val="52"/>
                  </w:pPr>
                  <w:r>
                    <w:t>BOD</w:t>
                  </w:r>
                  <w:r>
                    <w:rPr>
                      <w:vertAlign w:val="subscript"/>
                    </w:rPr>
                    <w:t>5</w:t>
                  </w:r>
                </w:p>
              </w:tc>
              <w:tc>
                <w:tcPr>
                  <w:tcW w:w="1049" w:type="pct"/>
                  <w:tcBorders>
                    <w:top w:val="single" w:color="auto" w:sz="4" w:space="0"/>
                    <w:left w:val="nil"/>
                    <w:bottom w:val="single" w:color="auto" w:sz="4" w:space="0"/>
                    <w:right w:val="single" w:color="auto" w:sz="4" w:space="0"/>
                  </w:tcBorders>
                  <w:vAlign w:val="center"/>
                </w:tcPr>
                <w:p>
                  <w:pPr>
                    <w:pStyle w:val="52"/>
                  </w:pPr>
                  <w:r>
                    <w:t>300</w:t>
                  </w:r>
                </w:p>
              </w:tc>
              <w:tc>
                <w:tcPr>
                  <w:tcW w:w="0" w:type="auto"/>
                  <w:vMerge w:val="continue"/>
                  <w:tcBorders>
                    <w:top w:val="nil"/>
                    <w:left w:val="nil"/>
                    <w:bottom w:val="single" w:color="auto" w:sz="4" w:space="0"/>
                    <w:right w:val="single" w:color="auto" w:sz="4" w:space="0"/>
                  </w:tcBorders>
                  <w:vAlign w:val="center"/>
                </w:tcPr>
                <w:p>
                  <w:pPr>
                    <w:pStyle w:val="52"/>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0" w:type="auto"/>
                  <w:vMerge w:val="continue"/>
                  <w:tcBorders>
                    <w:top w:val="nil"/>
                    <w:left w:val="single" w:color="auto" w:sz="4" w:space="0"/>
                    <w:bottom w:val="single" w:color="auto" w:sz="4" w:space="0"/>
                    <w:right w:val="single" w:color="auto" w:sz="4" w:space="0"/>
                  </w:tcBorders>
                  <w:vAlign w:val="center"/>
                </w:tcPr>
                <w:p>
                  <w:pPr>
                    <w:pStyle w:val="52"/>
                    <w:rPr>
                      <w:kern w:val="2"/>
                    </w:rPr>
                  </w:pPr>
                </w:p>
              </w:tc>
              <w:tc>
                <w:tcPr>
                  <w:tcW w:w="0" w:type="auto"/>
                  <w:vMerge w:val="continue"/>
                  <w:tcBorders>
                    <w:top w:val="nil"/>
                    <w:left w:val="nil"/>
                    <w:bottom w:val="single" w:color="auto" w:sz="4" w:space="0"/>
                    <w:right w:val="single" w:color="auto" w:sz="4" w:space="0"/>
                  </w:tcBorders>
                  <w:vAlign w:val="center"/>
                </w:tcPr>
                <w:p>
                  <w:pPr>
                    <w:pStyle w:val="52"/>
                    <w:rPr>
                      <w:kern w:val="2"/>
                    </w:rPr>
                  </w:pPr>
                </w:p>
              </w:tc>
              <w:tc>
                <w:tcPr>
                  <w:tcW w:w="0" w:type="auto"/>
                  <w:vMerge w:val="continue"/>
                  <w:tcBorders>
                    <w:top w:val="nil"/>
                    <w:left w:val="nil"/>
                    <w:bottom w:val="single" w:color="auto" w:sz="4" w:space="0"/>
                    <w:right w:val="single" w:color="auto" w:sz="4" w:space="0"/>
                  </w:tcBorders>
                  <w:vAlign w:val="center"/>
                </w:tcPr>
                <w:p>
                  <w:pPr>
                    <w:pStyle w:val="52"/>
                    <w:rPr>
                      <w:kern w:val="2"/>
                    </w:rPr>
                  </w:pPr>
                </w:p>
              </w:tc>
              <w:tc>
                <w:tcPr>
                  <w:tcW w:w="1053" w:type="pct"/>
                  <w:tcBorders>
                    <w:top w:val="single" w:color="auto" w:sz="4" w:space="0"/>
                    <w:left w:val="nil"/>
                    <w:bottom w:val="single" w:color="auto" w:sz="4" w:space="0"/>
                    <w:right w:val="single" w:color="auto" w:sz="4" w:space="0"/>
                  </w:tcBorders>
                  <w:vAlign w:val="center"/>
                </w:tcPr>
                <w:p>
                  <w:pPr>
                    <w:pStyle w:val="52"/>
                  </w:pPr>
                  <w:r>
                    <w:t>NH</w:t>
                  </w:r>
                  <w:r>
                    <w:rPr>
                      <w:vertAlign w:val="subscript"/>
                    </w:rPr>
                    <w:t>3</w:t>
                  </w:r>
                  <w:r>
                    <w:t>-N*</w:t>
                  </w:r>
                </w:p>
              </w:tc>
              <w:tc>
                <w:tcPr>
                  <w:tcW w:w="1049" w:type="pct"/>
                  <w:tcBorders>
                    <w:top w:val="single" w:color="auto" w:sz="4" w:space="0"/>
                    <w:left w:val="nil"/>
                    <w:bottom w:val="single" w:color="auto" w:sz="4" w:space="0"/>
                    <w:right w:val="single" w:color="auto" w:sz="4" w:space="0"/>
                  </w:tcBorders>
                  <w:vAlign w:val="center"/>
                </w:tcPr>
                <w:p>
                  <w:pPr>
                    <w:pStyle w:val="52"/>
                  </w:pPr>
                  <w:r>
                    <w:t>45</w:t>
                  </w:r>
                </w:p>
              </w:tc>
              <w:tc>
                <w:tcPr>
                  <w:tcW w:w="0" w:type="auto"/>
                  <w:vMerge w:val="continue"/>
                  <w:tcBorders>
                    <w:top w:val="nil"/>
                    <w:left w:val="nil"/>
                    <w:bottom w:val="single" w:color="auto" w:sz="4" w:space="0"/>
                    <w:right w:val="single" w:color="auto" w:sz="4" w:space="0"/>
                  </w:tcBorders>
                  <w:vAlign w:val="center"/>
                </w:tcPr>
                <w:p>
                  <w:pPr>
                    <w:pStyle w:val="52"/>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0" w:type="auto"/>
                  <w:vMerge w:val="continue"/>
                  <w:tcBorders>
                    <w:top w:val="nil"/>
                    <w:left w:val="single" w:color="auto" w:sz="4" w:space="0"/>
                    <w:bottom w:val="single" w:color="auto" w:sz="4" w:space="0"/>
                    <w:right w:val="single" w:color="auto" w:sz="4" w:space="0"/>
                  </w:tcBorders>
                  <w:vAlign w:val="center"/>
                </w:tcPr>
                <w:p>
                  <w:pPr>
                    <w:pStyle w:val="52"/>
                    <w:rPr>
                      <w:kern w:val="2"/>
                    </w:rPr>
                  </w:pPr>
                </w:p>
              </w:tc>
              <w:tc>
                <w:tcPr>
                  <w:tcW w:w="0" w:type="auto"/>
                  <w:vMerge w:val="continue"/>
                  <w:tcBorders>
                    <w:top w:val="nil"/>
                    <w:left w:val="nil"/>
                    <w:bottom w:val="single" w:color="auto" w:sz="4" w:space="0"/>
                    <w:right w:val="single" w:color="auto" w:sz="4" w:space="0"/>
                  </w:tcBorders>
                  <w:vAlign w:val="center"/>
                </w:tcPr>
                <w:p>
                  <w:pPr>
                    <w:pStyle w:val="52"/>
                    <w:rPr>
                      <w:kern w:val="2"/>
                    </w:rPr>
                  </w:pPr>
                </w:p>
              </w:tc>
              <w:tc>
                <w:tcPr>
                  <w:tcW w:w="0" w:type="auto"/>
                  <w:vMerge w:val="continue"/>
                  <w:tcBorders>
                    <w:top w:val="nil"/>
                    <w:left w:val="nil"/>
                    <w:bottom w:val="single" w:color="auto" w:sz="4" w:space="0"/>
                    <w:right w:val="single" w:color="auto" w:sz="4" w:space="0"/>
                  </w:tcBorders>
                  <w:vAlign w:val="center"/>
                </w:tcPr>
                <w:p>
                  <w:pPr>
                    <w:pStyle w:val="52"/>
                    <w:rPr>
                      <w:kern w:val="2"/>
                    </w:rPr>
                  </w:pPr>
                </w:p>
              </w:tc>
              <w:tc>
                <w:tcPr>
                  <w:tcW w:w="1053" w:type="pct"/>
                  <w:tcBorders>
                    <w:top w:val="single" w:color="auto" w:sz="4" w:space="0"/>
                    <w:left w:val="nil"/>
                    <w:bottom w:val="single" w:color="auto" w:sz="4" w:space="0"/>
                    <w:right w:val="single" w:color="auto" w:sz="4" w:space="0"/>
                  </w:tcBorders>
                  <w:vAlign w:val="center"/>
                </w:tcPr>
                <w:p>
                  <w:pPr>
                    <w:pStyle w:val="52"/>
                  </w:pPr>
                  <w:r>
                    <w:t>SS</w:t>
                  </w:r>
                </w:p>
              </w:tc>
              <w:tc>
                <w:tcPr>
                  <w:tcW w:w="1049" w:type="pct"/>
                  <w:tcBorders>
                    <w:top w:val="single" w:color="auto" w:sz="4" w:space="0"/>
                    <w:left w:val="nil"/>
                    <w:bottom w:val="single" w:color="auto" w:sz="4" w:space="0"/>
                    <w:right w:val="single" w:color="auto" w:sz="4" w:space="0"/>
                  </w:tcBorders>
                  <w:vAlign w:val="center"/>
                </w:tcPr>
                <w:p>
                  <w:pPr>
                    <w:pStyle w:val="52"/>
                  </w:pPr>
                  <w:r>
                    <w:rPr>
                      <w:rFonts w:hint="eastAsia"/>
                    </w:rPr>
                    <w:t>4</w:t>
                  </w:r>
                  <w:r>
                    <w:t>00</w:t>
                  </w:r>
                </w:p>
              </w:tc>
              <w:tc>
                <w:tcPr>
                  <w:tcW w:w="0" w:type="auto"/>
                  <w:vMerge w:val="continue"/>
                  <w:tcBorders>
                    <w:top w:val="nil"/>
                    <w:left w:val="nil"/>
                    <w:bottom w:val="single" w:color="auto" w:sz="4" w:space="0"/>
                    <w:right w:val="single" w:color="auto" w:sz="4" w:space="0"/>
                  </w:tcBorders>
                  <w:vAlign w:val="center"/>
                </w:tcPr>
                <w:p>
                  <w:pPr>
                    <w:pStyle w:val="52"/>
                    <w:rPr>
                      <w:kern w:val="2"/>
                    </w:rPr>
                  </w:pPr>
                </w:p>
              </w:tc>
            </w:tr>
          </w:tbl>
          <w:p>
            <w:pPr>
              <w:pStyle w:val="85"/>
              <w:ind w:firstLine="420"/>
            </w:pPr>
            <w:r>
              <w:rPr>
                <w:rFonts w:hint="eastAsia"/>
              </w:rPr>
              <w:t>注：*根据《国家环境保护总局关于纳污管排污单位氨氮执行标准的复函》（环函[2005]454号），氨氮执行《污水排入城镇地下水道水质标准》（GB/T31962-2015）表1中B等级标准。</w:t>
            </w:r>
          </w:p>
          <w:p>
            <w:pPr>
              <w:pStyle w:val="82"/>
              <w:ind w:firstLine="442"/>
              <w:rPr>
                <w:b/>
                <w:spacing w:val="-10"/>
              </w:rPr>
            </w:pPr>
            <w:r>
              <w:rPr>
                <w:rFonts w:hint="eastAsia"/>
                <w:b/>
                <w:spacing w:val="-10"/>
              </w:rPr>
              <w:t>（4）监测要求</w:t>
            </w:r>
          </w:p>
          <w:p>
            <w:pPr>
              <w:pStyle w:val="82"/>
              <w:rPr>
                <w:snapToGrid w:val="0"/>
                <w:szCs w:val="24"/>
              </w:rPr>
            </w:pPr>
            <w:r>
              <w:t>根据《排污单位自行监测技术指南 总则》（HJ 819-2017），</w:t>
            </w:r>
            <w:r>
              <w:rPr>
                <w:snapToGrid w:val="0"/>
                <w:szCs w:val="24"/>
              </w:rPr>
              <w:t>本项目废水监测要求见表4-12</w:t>
            </w:r>
            <w:r>
              <w:rPr>
                <w:rFonts w:hint="eastAsia"/>
                <w:snapToGrid w:val="0"/>
                <w:szCs w:val="24"/>
              </w:rPr>
              <w:t>。</w:t>
            </w:r>
          </w:p>
          <w:p>
            <w:pPr>
              <w:pStyle w:val="83"/>
              <w:rPr>
                <w:snapToGrid w:val="0"/>
              </w:rPr>
            </w:pPr>
            <w:r>
              <w:rPr>
                <w:snapToGrid w:val="0"/>
              </w:rPr>
              <w:t>表4-12  废水监测要求一览表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06"/>
              <w:gridCol w:w="2299"/>
              <w:gridCol w:w="1321"/>
              <w:gridCol w:w="27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04" w:type="pct"/>
                  <w:vAlign w:val="center"/>
                </w:tcPr>
                <w:p>
                  <w:pPr>
                    <w:pStyle w:val="52"/>
                    <w:rPr>
                      <w:b/>
                      <w:bCs/>
                    </w:rPr>
                  </w:pPr>
                  <w:r>
                    <w:rPr>
                      <w:b/>
                      <w:bCs/>
                    </w:rPr>
                    <w:t>监测点位</w:t>
                  </w:r>
                </w:p>
              </w:tc>
              <w:tc>
                <w:tcPr>
                  <w:tcW w:w="1380" w:type="pct"/>
                  <w:vAlign w:val="center"/>
                </w:tcPr>
                <w:p>
                  <w:pPr>
                    <w:pStyle w:val="52"/>
                    <w:rPr>
                      <w:b/>
                      <w:bCs/>
                    </w:rPr>
                  </w:pPr>
                  <w:r>
                    <w:rPr>
                      <w:b/>
                      <w:bCs/>
                    </w:rPr>
                    <w:t>监测因子</w:t>
                  </w:r>
                </w:p>
              </w:tc>
              <w:tc>
                <w:tcPr>
                  <w:tcW w:w="793" w:type="pct"/>
                  <w:vAlign w:val="center"/>
                </w:tcPr>
                <w:p>
                  <w:pPr>
                    <w:pStyle w:val="52"/>
                    <w:rPr>
                      <w:b/>
                      <w:bCs/>
                    </w:rPr>
                  </w:pPr>
                  <w:r>
                    <w:rPr>
                      <w:b/>
                      <w:bCs/>
                    </w:rPr>
                    <w:t>监测频率</w:t>
                  </w:r>
                </w:p>
              </w:tc>
              <w:tc>
                <w:tcPr>
                  <w:tcW w:w="1623" w:type="pct"/>
                  <w:vAlign w:val="center"/>
                </w:tcPr>
                <w:p>
                  <w:pPr>
                    <w:pStyle w:val="52"/>
                    <w:rPr>
                      <w:b/>
                      <w:bCs/>
                    </w:rPr>
                  </w:pPr>
                  <w:r>
                    <w:rPr>
                      <w:b/>
                      <w:bCs/>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04" w:type="pct"/>
                  <w:vAlign w:val="center"/>
                </w:tcPr>
                <w:p>
                  <w:pPr>
                    <w:pStyle w:val="52"/>
                  </w:pPr>
                  <w:r>
                    <w:t>生化池废水总排放口</w:t>
                  </w:r>
                </w:p>
              </w:tc>
              <w:tc>
                <w:tcPr>
                  <w:tcW w:w="1380" w:type="pct"/>
                  <w:vAlign w:val="center"/>
                </w:tcPr>
                <w:p>
                  <w:pPr>
                    <w:pStyle w:val="52"/>
                  </w:pPr>
                  <w:r>
                    <w:rPr>
                      <w:rFonts w:hint="eastAsia"/>
                    </w:rPr>
                    <w:t>pH、</w:t>
                  </w:r>
                  <w:r>
                    <w:t>COD、BOD</w:t>
                  </w:r>
                  <w:r>
                    <w:rPr>
                      <w:vertAlign w:val="subscript"/>
                    </w:rPr>
                    <w:t>5</w:t>
                  </w:r>
                  <w:r>
                    <w:t>、SS、NH</w:t>
                  </w:r>
                  <w:r>
                    <w:rPr>
                      <w:vertAlign w:val="subscript"/>
                    </w:rPr>
                    <w:t>3</w:t>
                  </w:r>
                  <w:r>
                    <w:t>-N</w:t>
                  </w:r>
                </w:p>
              </w:tc>
              <w:tc>
                <w:tcPr>
                  <w:tcW w:w="793" w:type="pct"/>
                  <w:vAlign w:val="center"/>
                </w:tcPr>
                <w:p>
                  <w:pPr>
                    <w:pStyle w:val="52"/>
                  </w:pPr>
                  <w:r>
                    <w:t>验收时</w:t>
                  </w:r>
                  <w:r>
                    <w:rPr>
                      <w:rFonts w:hint="eastAsia"/>
                    </w:rPr>
                    <w:t>监</w:t>
                  </w:r>
                  <w:r>
                    <w:t>测1次</w:t>
                  </w:r>
                </w:p>
              </w:tc>
              <w:tc>
                <w:tcPr>
                  <w:tcW w:w="1623" w:type="pct"/>
                  <w:vAlign w:val="center"/>
                </w:tcPr>
                <w:p>
                  <w:pPr>
                    <w:pStyle w:val="52"/>
                  </w:pPr>
                  <w:r>
                    <w:t>《污水综合排放标准》（GB8978-1996）三级标准</w:t>
                  </w:r>
                </w:p>
              </w:tc>
            </w:tr>
          </w:tbl>
          <w:p>
            <w:pPr>
              <w:pStyle w:val="82"/>
              <w:ind w:firstLine="442"/>
              <w:rPr>
                <w:b/>
                <w:spacing w:val="-10"/>
              </w:rPr>
            </w:pPr>
            <w:r>
              <w:rPr>
                <w:rFonts w:hint="eastAsia"/>
                <w:b/>
                <w:spacing w:val="-10"/>
              </w:rPr>
              <w:t>（5）达标情况分析</w:t>
            </w:r>
          </w:p>
          <w:p>
            <w:pPr>
              <w:pStyle w:val="82"/>
              <w:rPr>
                <w:snapToGrid w:val="0"/>
                <w:szCs w:val="24"/>
              </w:rPr>
            </w:pPr>
            <w:r>
              <w:rPr>
                <w:snapToGrid w:val="0"/>
                <w:szCs w:val="24"/>
              </w:rPr>
              <w:t>本项目废水排放达标情况见表4-13</w:t>
            </w:r>
            <w:r>
              <w:rPr>
                <w:rFonts w:hint="eastAsia"/>
                <w:snapToGrid w:val="0"/>
                <w:szCs w:val="24"/>
              </w:rPr>
              <w:t>。</w:t>
            </w:r>
          </w:p>
          <w:p>
            <w:pPr>
              <w:pStyle w:val="83"/>
              <w:rPr>
                <w:snapToGrid w:val="0"/>
              </w:rPr>
            </w:pPr>
            <w:r>
              <w:rPr>
                <w:snapToGrid w:val="0"/>
              </w:rPr>
              <w:t>表4-13  废水排放达标情况一览表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1"/>
              <w:gridCol w:w="1254"/>
              <w:gridCol w:w="1135"/>
              <w:gridCol w:w="1703"/>
              <w:gridCol w:w="1726"/>
              <w:gridCol w:w="11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11" w:type="pct"/>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rPr>
                  </w:pPr>
                  <w:r>
                    <w:rPr>
                      <w:kern w:val="0"/>
                    </w:rPr>
                    <w:t>排放口名称</w:t>
                  </w:r>
                </w:p>
              </w:tc>
              <w:tc>
                <w:tcPr>
                  <w:tcW w:w="753" w:type="pct"/>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rPr>
                  </w:pPr>
                  <w:r>
                    <w:rPr>
                      <w:kern w:val="0"/>
                    </w:rPr>
                    <w:t>污染物名称</w:t>
                  </w:r>
                </w:p>
              </w:tc>
              <w:tc>
                <w:tcPr>
                  <w:tcW w:w="681" w:type="pct"/>
                  <w:vMerge w:val="restart"/>
                  <w:tcBorders>
                    <w:top w:val="single" w:color="auto" w:sz="4" w:space="0"/>
                    <w:left w:val="single" w:color="auto" w:sz="4" w:space="0"/>
                    <w:right w:val="single" w:color="auto" w:sz="4" w:space="0"/>
                  </w:tcBorders>
                  <w:vAlign w:val="center"/>
                </w:tcPr>
                <w:p>
                  <w:pPr>
                    <w:snapToGrid w:val="0"/>
                    <w:jc w:val="center"/>
                    <w:rPr>
                      <w:lang w:val="zh-CN"/>
                    </w:rPr>
                  </w:pPr>
                  <w:r>
                    <w:rPr>
                      <w:bCs/>
                      <w:lang w:val="zh-CN"/>
                    </w:rPr>
                    <w:t>排放浓度mg/L</w:t>
                  </w:r>
                </w:p>
              </w:tc>
              <w:tc>
                <w:tcPr>
                  <w:tcW w:w="1022" w:type="pct"/>
                  <w:vMerge w:val="restart"/>
                  <w:tcBorders>
                    <w:top w:val="single" w:color="auto" w:sz="4" w:space="0"/>
                    <w:left w:val="single" w:color="auto" w:sz="4" w:space="0"/>
                    <w:right w:val="single" w:color="auto" w:sz="4" w:space="0"/>
                  </w:tcBorders>
                  <w:vAlign w:val="center"/>
                </w:tcPr>
                <w:p>
                  <w:pPr>
                    <w:widowControl/>
                    <w:adjustRightInd w:val="0"/>
                    <w:snapToGrid w:val="0"/>
                    <w:jc w:val="center"/>
                    <w:rPr>
                      <w:kern w:val="0"/>
                    </w:rPr>
                  </w:pPr>
                  <w:r>
                    <w:rPr>
                      <w:kern w:val="0"/>
                    </w:rPr>
                    <w:t>治理工艺</w:t>
                  </w:r>
                </w:p>
              </w:tc>
              <w:tc>
                <w:tcPr>
                  <w:tcW w:w="1036"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rPr>
                  </w:pPr>
                  <w:r>
                    <w:rPr>
                      <w:kern w:val="0"/>
                    </w:rPr>
                    <w:t>排放标准</w:t>
                  </w:r>
                </w:p>
              </w:tc>
              <w:tc>
                <w:tcPr>
                  <w:tcW w:w="697" w:type="pct"/>
                  <w:vMerge w:val="restart"/>
                  <w:tcBorders>
                    <w:top w:val="single" w:color="auto" w:sz="4" w:space="0"/>
                    <w:left w:val="single" w:color="auto" w:sz="4" w:space="0"/>
                    <w:right w:val="single" w:color="auto" w:sz="4" w:space="0"/>
                  </w:tcBorders>
                  <w:vAlign w:val="center"/>
                </w:tcPr>
                <w:p>
                  <w:pPr>
                    <w:widowControl/>
                    <w:adjustRightInd w:val="0"/>
                    <w:snapToGrid w:val="0"/>
                    <w:jc w:val="center"/>
                    <w:rPr>
                      <w:kern w:val="0"/>
                    </w:rPr>
                  </w:pPr>
                  <w:r>
                    <w:rPr>
                      <w:kern w:val="0"/>
                    </w:rPr>
                    <w:t>达标分析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11"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rPr>
                  </w:pPr>
                </w:p>
              </w:tc>
              <w:tc>
                <w:tcPr>
                  <w:tcW w:w="753"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rPr>
                  </w:pPr>
                </w:p>
              </w:tc>
              <w:tc>
                <w:tcPr>
                  <w:tcW w:w="681" w:type="pct"/>
                  <w:vMerge w:val="continue"/>
                  <w:tcBorders>
                    <w:left w:val="single" w:color="auto" w:sz="4" w:space="0"/>
                    <w:bottom w:val="single" w:color="auto" w:sz="4" w:space="0"/>
                    <w:right w:val="single" w:color="auto" w:sz="4" w:space="0"/>
                  </w:tcBorders>
                  <w:vAlign w:val="center"/>
                </w:tcPr>
                <w:p>
                  <w:pPr>
                    <w:snapToGrid w:val="0"/>
                    <w:jc w:val="center"/>
                    <w:rPr>
                      <w:bCs/>
                      <w:lang w:val="zh-CN"/>
                    </w:rPr>
                  </w:pPr>
                </w:p>
              </w:tc>
              <w:tc>
                <w:tcPr>
                  <w:tcW w:w="1022" w:type="pct"/>
                  <w:vMerge w:val="continue"/>
                  <w:tcBorders>
                    <w:left w:val="single" w:color="auto" w:sz="4" w:space="0"/>
                    <w:bottom w:val="single" w:color="auto" w:sz="4" w:space="0"/>
                    <w:right w:val="single" w:color="auto" w:sz="4" w:space="0"/>
                  </w:tcBorders>
                  <w:vAlign w:val="center"/>
                </w:tcPr>
                <w:p>
                  <w:pPr>
                    <w:snapToGrid w:val="0"/>
                    <w:jc w:val="center"/>
                    <w:rPr>
                      <w:bCs/>
                      <w:lang w:val="zh-CN"/>
                    </w:rPr>
                  </w:pPr>
                </w:p>
              </w:tc>
              <w:tc>
                <w:tcPr>
                  <w:tcW w:w="1036" w:type="pct"/>
                  <w:tcBorders>
                    <w:top w:val="single" w:color="auto" w:sz="4" w:space="0"/>
                    <w:left w:val="single" w:color="auto" w:sz="4" w:space="0"/>
                    <w:bottom w:val="single" w:color="auto" w:sz="4" w:space="0"/>
                    <w:right w:val="single" w:color="auto" w:sz="4" w:space="0"/>
                  </w:tcBorders>
                  <w:vAlign w:val="center"/>
                </w:tcPr>
                <w:p>
                  <w:pPr>
                    <w:snapToGrid w:val="0"/>
                    <w:jc w:val="center"/>
                    <w:rPr>
                      <w:bCs/>
                      <w:lang w:val="zh-CN"/>
                    </w:rPr>
                  </w:pPr>
                  <w:r>
                    <w:rPr>
                      <w:bCs/>
                      <w:lang w:val="zh-CN"/>
                    </w:rPr>
                    <w:t>排放浓度mg/L</w:t>
                  </w:r>
                </w:p>
              </w:tc>
              <w:tc>
                <w:tcPr>
                  <w:tcW w:w="697" w:type="pct"/>
                  <w:vMerge w:val="continue"/>
                  <w:tcBorders>
                    <w:left w:val="single" w:color="auto" w:sz="4" w:space="0"/>
                    <w:bottom w:val="single" w:color="auto" w:sz="4" w:space="0"/>
                    <w:right w:val="single" w:color="auto" w:sz="4" w:space="0"/>
                  </w:tcBorders>
                  <w:vAlign w:val="center"/>
                </w:tcPr>
                <w:p>
                  <w:pPr>
                    <w:snapToGrid w:val="0"/>
                    <w:jc w:val="center"/>
                    <w:rPr>
                      <w:bCs/>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11" w:type="pct"/>
                  <w:vMerge w:val="restart"/>
                  <w:tcBorders>
                    <w:top w:val="single" w:color="auto" w:sz="4" w:space="0"/>
                    <w:left w:val="single" w:color="auto" w:sz="4" w:space="0"/>
                    <w:right w:val="single" w:color="auto" w:sz="4" w:space="0"/>
                  </w:tcBorders>
                  <w:vAlign w:val="center"/>
                </w:tcPr>
                <w:p>
                  <w:pPr>
                    <w:widowControl/>
                    <w:tabs>
                      <w:tab w:val="left" w:pos="3435"/>
                    </w:tabs>
                    <w:jc w:val="center"/>
                    <w:rPr>
                      <w:kern w:val="0"/>
                    </w:rPr>
                  </w:pPr>
                  <w:r>
                    <w:rPr>
                      <w:kern w:val="0"/>
                    </w:rPr>
                    <w:t>生化池废水总排放口</w:t>
                  </w:r>
                </w:p>
              </w:tc>
              <w:tc>
                <w:tcPr>
                  <w:tcW w:w="753" w:type="pct"/>
                  <w:tcBorders>
                    <w:top w:val="single" w:color="auto" w:sz="4" w:space="0"/>
                    <w:left w:val="single" w:color="auto" w:sz="4" w:space="0"/>
                    <w:bottom w:val="single" w:color="auto" w:sz="4" w:space="0"/>
                    <w:right w:val="single" w:color="auto" w:sz="4" w:space="0"/>
                  </w:tcBorders>
                  <w:vAlign w:val="center"/>
                </w:tcPr>
                <w:p>
                  <w:pPr>
                    <w:jc w:val="center"/>
                  </w:pPr>
                  <w:r>
                    <w:t>COD</w:t>
                  </w:r>
                </w:p>
              </w:tc>
              <w:tc>
                <w:tcPr>
                  <w:tcW w:w="681"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pPr>
                  <w:r>
                    <w:t>400</w:t>
                  </w:r>
                </w:p>
              </w:tc>
              <w:tc>
                <w:tcPr>
                  <w:tcW w:w="1022" w:type="pct"/>
                  <w:vMerge w:val="restart"/>
                  <w:tcBorders>
                    <w:top w:val="single" w:color="auto" w:sz="4" w:space="0"/>
                    <w:left w:val="single" w:color="auto" w:sz="4" w:space="0"/>
                    <w:right w:val="single" w:color="auto" w:sz="4" w:space="0"/>
                  </w:tcBorders>
                  <w:vAlign w:val="center"/>
                </w:tcPr>
                <w:p>
                  <w:pPr>
                    <w:autoSpaceDE w:val="0"/>
                    <w:autoSpaceDN w:val="0"/>
                    <w:adjustRightInd w:val="0"/>
                    <w:jc w:val="center"/>
                    <w:rPr>
                      <w:kern w:val="0"/>
                    </w:rPr>
                  </w:pPr>
                  <w:r>
                    <w:rPr>
                      <w:rFonts w:hint="eastAsia"/>
                    </w:rPr>
                    <w:t>生物厌氧处理</w:t>
                  </w:r>
                </w:p>
              </w:tc>
              <w:tc>
                <w:tcPr>
                  <w:tcW w:w="1036"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pPr>
                  <w:r>
                    <w:t>500</w:t>
                  </w:r>
                </w:p>
              </w:tc>
              <w:tc>
                <w:tcPr>
                  <w:tcW w:w="697"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rPr>
                  </w:pPr>
                  <w:r>
                    <w:rPr>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11" w:type="pct"/>
                  <w:vMerge w:val="continue"/>
                  <w:tcBorders>
                    <w:left w:val="single" w:color="auto" w:sz="4" w:space="0"/>
                    <w:right w:val="single" w:color="auto" w:sz="4" w:space="0"/>
                  </w:tcBorders>
                  <w:vAlign w:val="center"/>
                </w:tcPr>
                <w:p>
                  <w:pPr>
                    <w:widowControl/>
                    <w:adjustRightInd w:val="0"/>
                    <w:snapToGrid w:val="0"/>
                    <w:jc w:val="center"/>
                    <w:rPr>
                      <w:kern w:val="0"/>
                    </w:rPr>
                  </w:pPr>
                </w:p>
              </w:tc>
              <w:tc>
                <w:tcPr>
                  <w:tcW w:w="753" w:type="pct"/>
                  <w:tcBorders>
                    <w:top w:val="single" w:color="auto" w:sz="4" w:space="0"/>
                    <w:left w:val="single" w:color="auto" w:sz="4" w:space="0"/>
                    <w:bottom w:val="single" w:color="auto" w:sz="4" w:space="0"/>
                    <w:right w:val="single" w:color="auto" w:sz="4" w:space="0"/>
                  </w:tcBorders>
                  <w:vAlign w:val="center"/>
                </w:tcPr>
                <w:p>
                  <w:pPr>
                    <w:jc w:val="center"/>
                  </w:pPr>
                  <w:r>
                    <w:t>BOD</w:t>
                  </w:r>
                  <w:r>
                    <w:rPr>
                      <w:vertAlign w:val="subscript"/>
                    </w:rPr>
                    <w:t>5</w:t>
                  </w:r>
                </w:p>
              </w:tc>
              <w:tc>
                <w:tcPr>
                  <w:tcW w:w="681"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pPr>
                  <w:r>
                    <w:t>200</w:t>
                  </w:r>
                </w:p>
              </w:tc>
              <w:tc>
                <w:tcPr>
                  <w:tcW w:w="1022" w:type="pct"/>
                  <w:vMerge w:val="continue"/>
                  <w:tcBorders>
                    <w:left w:val="single" w:color="auto" w:sz="4" w:space="0"/>
                    <w:right w:val="single" w:color="auto" w:sz="4" w:space="0"/>
                  </w:tcBorders>
                  <w:vAlign w:val="center"/>
                </w:tcPr>
                <w:p>
                  <w:pPr>
                    <w:autoSpaceDE w:val="0"/>
                    <w:autoSpaceDN w:val="0"/>
                    <w:adjustRightInd w:val="0"/>
                    <w:jc w:val="center"/>
                  </w:pPr>
                </w:p>
              </w:tc>
              <w:tc>
                <w:tcPr>
                  <w:tcW w:w="1036"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pPr>
                  <w:r>
                    <w:t>300</w:t>
                  </w:r>
                </w:p>
              </w:tc>
              <w:tc>
                <w:tcPr>
                  <w:tcW w:w="697"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rPr>
                  </w:pPr>
                  <w:r>
                    <w:rPr>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11" w:type="pct"/>
                  <w:vMerge w:val="continue"/>
                  <w:tcBorders>
                    <w:left w:val="single" w:color="auto" w:sz="4" w:space="0"/>
                    <w:right w:val="single" w:color="auto" w:sz="4" w:space="0"/>
                  </w:tcBorders>
                  <w:vAlign w:val="center"/>
                </w:tcPr>
                <w:p>
                  <w:pPr>
                    <w:widowControl/>
                    <w:adjustRightInd w:val="0"/>
                    <w:snapToGrid w:val="0"/>
                    <w:jc w:val="center"/>
                    <w:rPr>
                      <w:kern w:val="0"/>
                    </w:rPr>
                  </w:pPr>
                </w:p>
              </w:tc>
              <w:tc>
                <w:tcPr>
                  <w:tcW w:w="753" w:type="pct"/>
                  <w:tcBorders>
                    <w:top w:val="single" w:color="auto" w:sz="4" w:space="0"/>
                    <w:left w:val="single" w:color="auto" w:sz="4" w:space="0"/>
                    <w:bottom w:val="single" w:color="auto" w:sz="4" w:space="0"/>
                    <w:right w:val="single" w:color="auto" w:sz="4" w:space="0"/>
                  </w:tcBorders>
                  <w:vAlign w:val="center"/>
                </w:tcPr>
                <w:p>
                  <w:pPr>
                    <w:jc w:val="center"/>
                  </w:pPr>
                  <w:r>
                    <w:t>SS</w:t>
                  </w:r>
                </w:p>
              </w:tc>
              <w:tc>
                <w:tcPr>
                  <w:tcW w:w="681"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pPr>
                  <w:r>
                    <w:t>300</w:t>
                  </w:r>
                </w:p>
              </w:tc>
              <w:tc>
                <w:tcPr>
                  <w:tcW w:w="1022" w:type="pct"/>
                  <w:vMerge w:val="continue"/>
                  <w:tcBorders>
                    <w:left w:val="single" w:color="auto" w:sz="4" w:space="0"/>
                    <w:right w:val="single" w:color="auto" w:sz="4" w:space="0"/>
                  </w:tcBorders>
                  <w:vAlign w:val="center"/>
                </w:tcPr>
                <w:p>
                  <w:pPr>
                    <w:autoSpaceDE w:val="0"/>
                    <w:autoSpaceDN w:val="0"/>
                    <w:adjustRightInd w:val="0"/>
                    <w:jc w:val="center"/>
                  </w:pPr>
                </w:p>
              </w:tc>
              <w:tc>
                <w:tcPr>
                  <w:tcW w:w="1036"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pPr>
                  <w:r>
                    <w:t>400</w:t>
                  </w:r>
                </w:p>
              </w:tc>
              <w:tc>
                <w:tcPr>
                  <w:tcW w:w="697"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rPr>
                  </w:pPr>
                  <w:r>
                    <w:rPr>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11" w:type="pct"/>
                  <w:vMerge w:val="continue"/>
                  <w:tcBorders>
                    <w:left w:val="single" w:color="auto" w:sz="4" w:space="0"/>
                    <w:right w:val="single" w:color="auto" w:sz="4" w:space="0"/>
                  </w:tcBorders>
                  <w:vAlign w:val="center"/>
                </w:tcPr>
                <w:p>
                  <w:pPr>
                    <w:widowControl/>
                    <w:adjustRightInd w:val="0"/>
                    <w:snapToGrid w:val="0"/>
                    <w:jc w:val="center"/>
                    <w:rPr>
                      <w:kern w:val="0"/>
                    </w:rPr>
                  </w:pPr>
                </w:p>
              </w:tc>
              <w:tc>
                <w:tcPr>
                  <w:tcW w:w="753" w:type="pct"/>
                  <w:tcBorders>
                    <w:top w:val="single" w:color="auto" w:sz="4" w:space="0"/>
                    <w:left w:val="single" w:color="auto" w:sz="4" w:space="0"/>
                    <w:bottom w:val="single" w:color="auto" w:sz="4" w:space="0"/>
                    <w:right w:val="single" w:color="auto" w:sz="4" w:space="0"/>
                  </w:tcBorders>
                  <w:vAlign w:val="center"/>
                </w:tcPr>
                <w:p>
                  <w:pPr>
                    <w:jc w:val="center"/>
                  </w:pPr>
                  <w:r>
                    <w:t>NH</w:t>
                  </w:r>
                  <w:r>
                    <w:rPr>
                      <w:vertAlign w:val="subscript"/>
                    </w:rPr>
                    <w:t>3</w:t>
                  </w:r>
                  <w:r>
                    <w:t>-N</w:t>
                  </w:r>
                </w:p>
              </w:tc>
              <w:tc>
                <w:tcPr>
                  <w:tcW w:w="681"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pPr>
                  <w:r>
                    <w:t>40</w:t>
                  </w:r>
                </w:p>
              </w:tc>
              <w:tc>
                <w:tcPr>
                  <w:tcW w:w="1022" w:type="pct"/>
                  <w:vMerge w:val="continue"/>
                  <w:tcBorders>
                    <w:left w:val="single" w:color="auto" w:sz="4" w:space="0"/>
                    <w:right w:val="single" w:color="auto" w:sz="4" w:space="0"/>
                  </w:tcBorders>
                  <w:vAlign w:val="center"/>
                </w:tcPr>
                <w:p>
                  <w:pPr>
                    <w:autoSpaceDE w:val="0"/>
                    <w:autoSpaceDN w:val="0"/>
                    <w:adjustRightInd w:val="0"/>
                    <w:jc w:val="center"/>
                  </w:pPr>
                </w:p>
              </w:tc>
              <w:tc>
                <w:tcPr>
                  <w:tcW w:w="1036"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pPr>
                  <w:r>
                    <w:t>45</w:t>
                  </w:r>
                </w:p>
              </w:tc>
              <w:tc>
                <w:tcPr>
                  <w:tcW w:w="697"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rPr>
                  </w:pPr>
                  <w:r>
                    <w:rPr>
                      <w:kern w:val="0"/>
                    </w:rPr>
                    <w:t>达标</w:t>
                  </w:r>
                </w:p>
              </w:tc>
            </w:tr>
          </w:tbl>
          <w:p>
            <w:pPr>
              <w:pStyle w:val="82"/>
              <w:ind w:firstLine="482"/>
              <w:rPr>
                <w:b/>
                <w:bCs/>
              </w:rPr>
            </w:pPr>
            <w:r>
              <w:rPr>
                <w:rFonts w:hint="eastAsia"/>
                <w:b/>
                <w:bCs/>
              </w:rPr>
              <w:t>（6）项目污水处理设施依托可行性分析</w:t>
            </w:r>
          </w:p>
          <w:p>
            <w:pPr>
              <w:pStyle w:val="82"/>
            </w:pPr>
            <w:r>
              <w:rPr>
                <w:rFonts w:hint="eastAsia"/>
              </w:rPr>
              <w:t>①重庆绅鹏商业运营管理有限公司生化池</w:t>
            </w:r>
            <w:r>
              <w:t>接纳能力分析</w:t>
            </w:r>
          </w:p>
          <w:p>
            <w:pPr>
              <w:pStyle w:val="82"/>
            </w:pPr>
            <w:r>
              <w:rPr>
                <w:rFonts w:hint="eastAsia"/>
              </w:rPr>
              <w:t>本项目所依托工业园区已建生化池，处理能力为100m</w:t>
            </w:r>
            <w:r>
              <w:rPr>
                <w:rFonts w:hint="eastAsia"/>
                <w:vertAlign w:val="superscript"/>
              </w:rPr>
              <w:t>3</w:t>
            </w:r>
            <w:r>
              <w:rPr>
                <w:rFonts w:hint="eastAsia"/>
              </w:rPr>
              <w:t>/d。经调查，目前该生化池已建成，根据现场调查，生化池剩余处理能力</w:t>
            </w:r>
            <w:r>
              <w:t>20</w:t>
            </w:r>
            <w:r>
              <w:rPr>
                <w:rFonts w:hint="eastAsia"/>
              </w:rPr>
              <w:t>m</w:t>
            </w:r>
            <w:r>
              <w:rPr>
                <w:rFonts w:hint="eastAsia"/>
                <w:vertAlign w:val="superscript"/>
              </w:rPr>
              <w:t>3</w:t>
            </w:r>
            <w:r>
              <w:rPr>
                <w:rFonts w:hint="eastAsia"/>
              </w:rPr>
              <w:t>/d。本项目排入生化池废水量为</w:t>
            </w:r>
            <w:r>
              <w:t>0.99</w:t>
            </w:r>
            <w:r>
              <w:rPr>
                <w:rFonts w:hint="eastAsia"/>
              </w:rPr>
              <w:t>m</w:t>
            </w:r>
            <w:r>
              <w:rPr>
                <w:rFonts w:hint="eastAsia"/>
                <w:vertAlign w:val="superscript"/>
              </w:rPr>
              <w:t>3</w:t>
            </w:r>
            <w:r>
              <w:rPr>
                <w:rFonts w:hint="eastAsia"/>
              </w:rPr>
              <w:t>/d，可完全接纳本项目产生的污水，生化池采用生物厌氧处理工艺，能有效处理厂区产生的污水，目前生化池正常运行。生化池环保责任主体为重庆绅鹏商业运营管理有限公司，生化池处理达《污水综合排放标准》（GB8978-1996）三级标准后进入市政污水管网，再接入蒲吕污水处理厂进一步处理达《城镇污水处理厂污染物排放标准》（GB18918-2002）一级A标准后排入小安溪河。</w:t>
            </w:r>
          </w:p>
          <w:p>
            <w:pPr>
              <w:pStyle w:val="82"/>
            </w:pPr>
            <w:r>
              <w:rPr>
                <w:rFonts w:hint="eastAsia"/>
              </w:rPr>
              <w:t>②蒲吕污水处理厂接纳能力分析</w:t>
            </w:r>
          </w:p>
          <w:p>
            <w:pPr>
              <w:pStyle w:val="82"/>
            </w:pPr>
            <w:r>
              <w:rPr>
                <w:rFonts w:hint="eastAsia"/>
              </w:rPr>
              <w:t>经调查，目前蒲吕污水处理厂（一期）已建成投运，日处理能力为</w:t>
            </w:r>
            <w:r>
              <w:t>10000m</w:t>
            </w:r>
            <w:r>
              <w:rPr>
                <w:vertAlign w:val="superscript"/>
              </w:rPr>
              <w:t>3</w:t>
            </w:r>
            <w:r>
              <w:rPr>
                <w:rFonts w:hint="eastAsia"/>
              </w:rPr>
              <w:t>/d，采用“粗格栅—细格栅/旋流沉砂—调节—混凝反应—A</w:t>
            </w:r>
            <w:r>
              <w:rPr>
                <w:rFonts w:hint="eastAsia"/>
                <w:vertAlign w:val="superscript"/>
              </w:rPr>
              <w:t>2</w:t>
            </w:r>
            <w:r>
              <w:rPr>
                <w:rFonts w:hint="eastAsia"/>
              </w:rPr>
              <w:t>/O—二沉—高密度沉淀—滤布滤池过滤”处理工艺，服务范围包括蒲吕建成区工业用地、产业大道两侧工业用地以及蒲吕组团居住、商业、文化教育用地等，出水执行《城镇污水处理厂污染物排放标准》（GB 18918-2002）一级A标准。本项目位于蒲吕污水处理厂接纳区域内，废水量为0</w:t>
            </w:r>
            <w:r>
              <w:t>.99m</w:t>
            </w:r>
            <w:r>
              <w:rPr>
                <w:vertAlign w:val="superscript"/>
              </w:rPr>
              <w:t>3</w:t>
            </w:r>
            <w:r>
              <w:rPr>
                <w:rFonts w:hint="eastAsia"/>
              </w:rPr>
              <w:t>/d，水量小，水质简单，满足园区污水处理厂的处理能力及进水水质要求，因此，本项目废水进园区污水处理厂是可行的。</w:t>
            </w:r>
          </w:p>
          <w:p>
            <w:pPr>
              <w:pStyle w:val="82"/>
            </w:pPr>
            <w:r>
              <w:rPr>
                <w:rFonts w:hint="eastAsia"/>
              </w:rPr>
              <w:t>综上所述，拟建项目生活废水能够得到有效处置，地表水环境影响可以接受。</w:t>
            </w:r>
          </w:p>
          <w:p>
            <w:pPr>
              <w:pStyle w:val="82"/>
              <w:ind w:firstLine="482"/>
              <w:rPr>
                <w:b/>
                <w:bCs/>
              </w:rPr>
            </w:pPr>
            <w:r>
              <w:rPr>
                <w:b/>
                <w:bCs/>
              </w:rPr>
              <w:t>3</w:t>
            </w:r>
            <w:r>
              <w:rPr>
                <w:rFonts w:hint="eastAsia"/>
                <w:b/>
                <w:bCs/>
              </w:rPr>
              <w:t>、噪声</w:t>
            </w:r>
          </w:p>
          <w:p>
            <w:pPr>
              <w:pStyle w:val="82"/>
              <w:ind w:firstLine="482"/>
              <w:rPr>
                <w:b/>
                <w:bCs/>
              </w:rPr>
            </w:pPr>
            <w:r>
              <w:rPr>
                <w:rFonts w:hint="eastAsia"/>
                <w:b/>
                <w:bCs/>
              </w:rPr>
              <w:t>（1）噪声源强及降噪措施</w:t>
            </w:r>
          </w:p>
          <w:p>
            <w:pPr>
              <w:pStyle w:val="82"/>
              <w:ind w:firstLine="512"/>
            </w:pPr>
            <w:r>
              <w:rPr>
                <w:spacing w:val="8"/>
              </w:rPr>
              <w:t>拟建项目</w:t>
            </w:r>
            <w:r>
              <w:rPr>
                <w:bCs/>
                <w:szCs w:val="24"/>
              </w:rPr>
              <w:t>噪声主要为各类生产设备运行时产生的噪声，噪声值6</w:t>
            </w:r>
            <w:r>
              <w:rPr>
                <w:rFonts w:hint="eastAsia"/>
                <w:bCs/>
                <w:szCs w:val="24"/>
              </w:rPr>
              <w:t>0</w:t>
            </w:r>
            <w:r>
              <w:rPr>
                <w:bCs/>
                <w:szCs w:val="24"/>
              </w:rPr>
              <w:t>~</w:t>
            </w:r>
            <w:r>
              <w:rPr>
                <w:rFonts w:hint="eastAsia"/>
                <w:bCs/>
                <w:szCs w:val="24"/>
              </w:rPr>
              <w:t>90</w:t>
            </w:r>
            <w:r>
              <w:rPr>
                <w:bCs/>
                <w:szCs w:val="24"/>
              </w:rPr>
              <w:t>dB（A）之间</w:t>
            </w:r>
            <w:r>
              <w:rPr>
                <w:rFonts w:hint="eastAsia"/>
                <w:bCs/>
                <w:szCs w:val="24"/>
              </w:rPr>
              <w:t>，</w:t>
            </w:r>
            <w:r>
              <w:rPr>
                <w:rFonts w:hint="eastAsia"/>
              </w:rPr>
              <w:t>采取基础减振、厂房隔声、消声等措施减小对外环境的影响。</w:t>
            </w:r>
            <w:r>
              <w:rPr>
                <w:bCs/>
                <w:szCs w:val="24"/>
              </w:rPr>
              <w:t>噪声值见表</w:t>
            </w:r>
            <w:r>
              <w:rPr>
                <w:rFonts w:hint="eastAsia"/>
                <w:bCs/>
                <w:szCs w:val="24"/>
              </w:rPr>
              <w:t>4</w:t>
            </w:r>
            <w:r>
              <w:rPr>
                <w:bCs/>
                <w:szCs w:val="24"/>
              </w:rPr>
              <w:t>-13。</w:t>
            </w:r>
          </w:p>
        </w:tc>
      </w:tr>
    </w:tbl>
    <w:p>
      <w:pPr>
        <w:widowControl/>
        <w:jc w:val="left"/>
        <w:rPr>
          <w:rFonts w:eastAsia="黑体"/>
          <w:snapToGrid w:val="0"/>
          <w:sz w:val="30"/>
          <w:szCs w:val="30"/>
        </w:rPr>
      </w:pPr>
    </w:p>
    <w:p>
      <w:pPr>
        <w:adjustRightInd w:val="0"/>
        <w:snapToGrid w:val="0"/>
        <w:jc w:val="center"/>
        <w:rPr>
          <w:bCs/>
        </w:rPr>
        <w:sectPr>
          <w:pgSz w:w="11906" w:h="16838"/>
          <w:pgMar w:top="1701" w:right="1531" w:bottom="1701" w:left="1531" w:header="851" w:footer="851" w:gutter="0"/>
          <w:cols w:space="720" w:num="1"/>
          <w:docGrid w:linePitch="312" w:charSpace="0"/>
        </w:sectPr>
      </w:pPr>
    </w:p>
    <w:tbl>
      <w:tblPr>
        <w:tblStyle w:val="24"/>
        <w:tblW w:w="517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70"/>
        <w:gridCol w:w="1377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34" w:hRule="atLeast"/>
          <w:jc w:val="center"/>
        </w:trPr>
        <w:tc>
          <w:tcPr>
            <w:tcW w:w="96" w:type="pct"/>
            <w:tcMar>
              <w:left w:w="28" w:type="dxa"/>
              <w:right w:w="28" w:type="dxa"/>
            </w:tcMar>
            <w:vAlign w:val="center"/>
          </w:tcPr>
          <w:p>
            <w:pPr>
              <w:adjustRightInd w:val="0"/>
              <w:snapToGrid w:val="0"/>
              <w:jc w:val="center"/>
              <w:rPr>
                <w:bCs/>
              </w:rPr>
            </w:pPr>
            <w:r>
              <w:rPr>
                <w:bCs/>
              </w:rPr>
              <w:t>运营</w:t>
            </w:r>
          </w:p>
          <w:p>
            <w:pPr>
              <w:adjustRightInd w:val="0"/>
              <w:snapToGrid w:val="0"/>
              <w:jc w:val="center"/>
              <w:rPr>
                <w:bCs/>
              </w:rPr>
            </w:pPr>
            <w:r>
              <w:rPr>
                <w:bCs/>
              </w:rPr>
              <w:t>期环</w:t>
            </w:r>
          </w:p>
          <w:p>
            <w:pPr>
              <w:adjustRightInd w:val="0"/>
              <w:snapToGrid w:val="0"/>
              <w:jc w:val="center"/>
              <w:rPr>
                <w:bCs/>
              </w:rPr>
            </w:pPr>
            <w:r>
              <w:rPr>
                <w:bCs/>
              </w:rPr>
              <w:t>境影</w:t>
            </w:r>
          </w:p>
          <w:p>
            <w:pPr>
              <w:adjustRightInd w:val="0"/>
              <w:snapToGrid w:val="0"/>
              <w:jc w:val="center"/>
              <w:rPr>
                <w:bCs/>
              </w:rPr>
            </w:pPr>
            <w:r>
              <w:rPr>
                <w:bCs/>
              </w:rPr>
              <w:t>响和</w:t>
            </w:r>
          </w:p>
          <w:p>
            <w:pPr>
              <w:adjustRightInd w:val="0"/>
              <w:snapToGrid w:val="0"/>
              <w:jc w:val="center"/>
              <w:rPr>
                <w:bCs/>
              </w:rPr>
            </w:pPr>
            <w:r>
              <w:rPr>
                <w:bCs/>
              </w:rPr>
              <w:t>保护</w:t>
            </w:r>
          </w:p>
          <w:p>
            <w:pPr>
              <w:adjustRightInd w:val="0"/>
              <w:snapToGrid w:val="0"/>
              <w:jc w:val="center"/>
              <w:rPr>
                <w:bCs/>
              </w:rPr>
            </w:pPr>
            <w:r>
              <w:rPr>
                <w:bCs/>
              </w:rPr>
              <w:t>措施</w:t>
            </w:r>
          </w:p>
        </w:tc>
        <w:tc>
          <w:tcPr>
            <w:tcW w:w="4904" w:type="pct"/>
          </w:tcPr>
          <w:p>
            <w:pPr>
              <w:pStyle w:val="83"/>
            </w:pPr>
            <w:r>
              <w:t>表4-14</w:t>
            </w:r>
            <w:r>
              <w:rPr>
                <w:rFonts w:hint="eastAsia"/>
              </w:rPr>
              <w:t xml:space="preserve"> </w:t>
            </w:r>
            <w:r>
              <w:t xml:space="preserve"> </w:t>
            </w:r>
            <w:r>
              <w:rPr>
                <w:rFonts w:hint="eastAsia"/>
              </w:rPr>
              <w:t>项目主要室外噪声源强及声源设备距厂界距离一览表</w:t>
            </w:r>
          </w:p>
          <w:tbl>
            <w:tblPr>
              <w:tblStyle w:val="24"/>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702"/>
              <w:gridCol w:w="1719"/>
              <w:gridCol w:w="878"/>
              <w:gridCol w:w="878"/>
              <w:gridCol w:w="878"/>
              <w:gridCol w:w="2296"/>
              <w:gridCol w:w="5166"/>
              <w:gridCol w:w="103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0" w:hRule="atLeast"/>
              </w:trPr>
              <w:tc>
                <w:tcPr>
                  <w:tcW w:w="259" w:type="pct"/>
                  <w:vMerge w:val="restart"/>
                  <w:tcBorders>
                    <w:tl2br w:val="nil"/>
                    <w:tr2bl w:val="nil"/>
                  </w:tcBorders>
                  <w:vAlign w:val="center"/>
                </w:tcPr>
                <w:p>
                  <w:pPr>
                    <w:pStyle w:val="52"/>
                    <w:rPr>
                      <w:b/>
                      <w:bCs/>
                    </w:rPr>
                  </w:pPr>
                  <w:r>
                    <w:rPr>
                      <w:b/>
                      <w:bCs/>
                    </w:rPr>
                    <w:t>序号</w:t>
                  </w:r>
                </w:p>
              </w:tc>
              <w:tc>
                <w:tcPr>
                  <w:tcW w:w="634" w:type="pct"/>
                  <w:vMerge w:val="restart"/>
                  <w:tcBorders>
                    <w:tl2br w:val="nil"/>
                    <w:tr2bl w:val="nil"/>
                  </w:tcBorders>
                  <w:vAlign w:val="center"/>
                </w:tcPr>
                <w:p>
                  <w:pPr>
                    <w:pStyle w:val="52"/>
                    <w:rPr>
                      <w:b/>
                      <w:bCs/>
                    </w:rPr>
                  </w:pPr>
                  <w:r>
                    <w:rPr>
                      <w:b/>
                      <w:bCs/>
                    </w:rPr>
                    <w:t>声源名称</w:t>
                  </w:r>
                </w:p>
              </w:tc>
              <w:tc>
                <w:tcPr>
                  <w:tcW w:w="972" w:type="pct"/>
                  <w:gridSpan w:val="3"/>
                  <w:tcBorders>
                    <w:tl2br w:val="nil"/>
                    <w:tr2bl w:val="nil"/>
                  </w:tcBorders>
                  <w:vAlign w:val="center"/>
                </w:tcPr>
                <w:p>
                  <w:pPr>
                    <w:pStyle w:val="52"/>
                    <w:rPr>
                      <w:b/>
                      <w:bCs/>
                    </w:rPr>
                  </w:pPr>
                  <w:r>
                    <w:rPr>
                      <w:b/>
                      <w:bCs/>
                    </w:rPr>
                    <w:t>空间相对位置</w:t>
                  </w:r>
                </w:p>
              </w:tc>
              <w:tc>
                <w:tcPr>
                  <w:tcW w:w="847" w:type="pct"/>
                  <w:tcBorders>
                    <w:tl2br w:val="nil"/>
                    <w:tr2bl w:val="nil"/>
                  </w:tcBorders>
                  <w:vAlign w:val="center"/>
                </w:tcPr>
                <w:p>
                  <w:pPr>
                    <w:pStyle w:val="52"/>
                    <w:rPr>
                      <w:b/>
                      <w:bCs/>
                    </w:rPr>
                  </w:pPr>
                  <w:r>
                    <w:rPr>
                      <w:b/>
                      <w:bCs/>
                    </w:rPr>
                    <w:t>声源源强</w:t>
                  </w:r>
                </w:p>
              </w:tc>
              <w:tc>
                <w:tcPr>
                  <w:tcW w:w="1906" w:type="pct"/>
                  <w:vMerge w:val="restart"/>
                  <w:tcBorders>
                    <w:tl2br w:val="nil"/>
                    <w:tr2bl w:val="nil"/>
                  </w:tcBorders>
                  <w:vAlign w:val="center"/>
                </w:tcPr>
                <w:p>
                  <w:pPr>
                    <w:pStyle w:val="52"/>
                    <w:rPr>
                      <w:b/>
                      <w:bCs/>
                    </w:rPr>
                  </w:pPr>
                  <w:r>
                    <w:rPr>
                      <w:b/>
                      <w:bCs/>
                    </w:rPr>
                    <w:t>声源控制措施</w:t>
                  </w:r>
                </w:p>
              </w:tc>
              <w:tc>
                <w:tcPr>
                  <w:tcW w:w="382" w:type="pct"/>
                  <w:vMerge w:val="restart"/>
                  <w:tcBorders>
                    <w:tl2br w:val="nil"/>
                    <w:tr2bl w:val="nil"/>
                  </w:tcBorders>
                  <w:vAlign w:val="center"/>
                </w:tcPr>
                <w:p>
                  <w:pPr>
                    <w:pStyle w:val="52"/>
                    <w:rPr>
                      <w:b/>
                      <w:bCs/>
                    </w:rPr>
                  </w:pPr>
                  <w:r>
                    <w:rPr>
                      <w:b/>
                      <w:bCs/>
                    </w:rPr>
                    <w:t>运行时段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0" w:hRule="atLeast"/>
              </w:trPr>
              <w:tc>
                <w:tcPr>
                  <w:tcW w:w="259" w:type="pct"/>
                  <w:vMerge w:val="continue"/>
                  <w:tcBorders>
                    <w:tl2br w:val="nil"/>
                    <w:tr2bl w:val="nil"/>
                  </w:tcBorders>
                  <w:vAlign w:val="center"/>
                </w:tcPr>
                <w:p>
                  <w:pPr>
                    <w:pStyle w:val="52"/>
                  </w:pPr>
                </w:p>
              </w:tc>
              <w:tc>
                <w:tcPr>
                  <w:tcW w:w="634" w:type="pct"/>
                  <w:vMerge w:val="continue"/>
                  <w:tcBorders>
                    <w:tl2br w:val="nil"/>
                    <w:tr2bl w:val="nil"/>
                  </w:tcBorders>
                  <w:vAlign w:val="center"/>
                </w:tcPr>
                <w:p>
                  <w:pPr>
                    <w:pStyle w:val="52"/>
                  </w:pPr>
                </w:p>
              </w:tc>
              <w:tc>
                <w:tcPr>
                  <w:tcW w:w="324" w:type="pct"/>
                  <w:tcBorders>
                    <w:tl2br w:val="nil"/>
                    <w:tr2bl w:val="nil"/>
                  </w:tcBorders>
                  <w:vAlign w:val="center"/>
                </w:tcPr>
                <w:p>
                  <w:pPr>
                    <w:pStyle w:val="52"/>
                  </w:pPr>
                  <w:r>
                    <w:t>X</w:t>
                  </w:r>
                </w:p>
              </w:tc>
              <w:tc>
                <w:tcPr>
                  <w:tcW w:w="324" w:type="pct"/>
                  <w:tcBorders>
                    <w:tl2br w:val="nil"/>
                    <w:tr2bl w:val="nil"/>
                  </w:tcBorders>
                  <w:vAlign w:val="center"/>
                </w:tcPr>
                <w:p>
                  <w:pPr>
                    <w:pStyle w:val="52"/>
                  </w:pPr>
                  <w:r>
                    <w:t>Y</w:t>
                  </w:r>
                </w:p>
              </w:tc>
              <w:tc>
                <w:tcPr>
                  <w:tcW w:w="324" w:type="pct"/>
                  <w:tcBorders>
                    <w:tl2br w:val="nil"/>
                    <w:tr2bl w:val="nil"/>
                  </w:tcBorders>
                  <w:vAlign w:val="center"/>
                </w:tcPr>
                <w:p>
                  <w:pPr>
                    <w:pStyle w:val="52"/>
                  </w:pPr>
                  <w:r>
                    <w:t>Z</w:t>
                  </w:r>
                </w:p>
              </w:tc>
              <w:tc>
                <w:tcPr>
                  <w:tcW w:w="847" w:type="pct"/>
                  <w:tcBorders>
                    <w:tl2br w:val="nil"/>
                    <w:tr2bl w:val="nil"/>
                  </w:tcBorders>
                  <w:vAlign w:val="center"/>
                </w:tcPr>
                <w:p>
                  <w:pPr>
                    <w:pStyle w:val="52"/>
                  </w:pPr>
                  <w:r>
                    <w:t>声压级/dB（A）</w:t>
                  </w:r>
                </w:p>
              </w:tc>
              <w:tc>
                <w:tcPr>
                  <w:tcW w:w="1906" w:type="pct"/>
                  <w:vMerge w:val="continue"/>
                  <w:tcBorders>
                    <w:tl2br w:val="nil"/>
                    <w:tr2bl w:val="nil"/>
                  </w:tcBorders>
                  <w:vAlign w:val="center"/>
                </w:tcPr>
                <w:p>
                  <w:pPr>
                    <w:pStyle w:val="52"/>
                  </w:pPr>
                </w:p>
              </w:tc>
              <w:tc>
                <w:tcPr>
                  <w:tcW w:w="382" w:type="pct"/>
                  <w:vMerge w:val="continue"/>
                  <w:tcBorders>
                    <w:tl2br w:val="nil"/>
                    <w:tr2bl w:val="nil"/>
                  </w:tcBorders>
                  <w:vAlign w:val="center"/>
                </w:tcPr>
                <w:p>
                  <w:pPr>
                    <w:pStyle w:val="52"/>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0" w:hRule="atLeast"/>
              </w:trPr>
              <w:tc>
                <w:tcPr>
                  <w:tcW w:w="259" w:type="pct"/>
                  <w:tcBorders>
                    <w:tl2br w:val="nil"/>
                    <w:tr2bl w:val="nil"/>
                  </w:tcBorders>
                  <w:vAlign w:val="center"/>
                </w:tcPr>
                <w:p>
                  <w:pPr>
                    <w:pStyle w:val="52"/>
                  </w:pPr>
                  <w:r>
                    <w:t>1</w:t>
                  </w:r>
                </w:p>
              </w:tc>
              <w:tc>
                <w:tcPr>
                  <w:tcW w:w="634" w:type="pct"/>
                  <w:tcBorders>
                    <w:tl2br w:val="nil"/>
                    <w:tr2bl w:val="nil"/>
                  </w:tcBorders>
                  <w:vAlign w:val="center"/>
                </w:tcPr>
                <w:p>
                  <w:pPr>
                    <w:pStyle w:val="52"/>
                  </w:pPr>
                  <w:r>
                    <w:rPr>
                      <w:rFonts w:hint="eastAsia"/>
                    </w:rPr>
                    <w:t>冷却系统</w:t>
                  </w:r>
                </w:p>
              </w:tc>
              <w:tc>
                <w:tcPr>
                  <w:tcW w:w="324" w:type="pct"/>
                  <w:tcBorders>
                    <w:tl2br w:val="nil"/>
                    <w:tr2bl w:val="nil"/>
                  </w:tcBorders>
                  <w:vAlign w:val="center"/>
                </w:tcPr>
                <w:p>
                  <w:pPr>
                    <w:pStyle w:val="52"/>
                  </w:pPr>
                  <w:r>
                    <w:t>-5</w:t>
                  </w:r>
                </w:p>
              </w:tc>
              <w:tc>
                <w:tcPr>
                  <w:tcW w:w="324" w:type="pct"/>
                  <w:tcBorders>
                    <w:tl2br w:val="nil"/>
                    <w:tr2bl w:val="nil"/>
                  </w:tcBorders>
                  <w:vAlign w:val="center"/>
                </w:tcPr>
                <w:p>
                  <w:pPr>
                    <w:pStyle w:val="52"/>
                  </w:pPr>
                  <w:r>
                    <w:t>13</w:t>
                  </w:r>
                </w:p>
              </w:tc>
              <w:tc>
                <w:tcPr>
                  <w:tcW w:w="324" w:type="pct"/>
                  <w:tcBorders>
                    <w:tl2br w:val="nil"/>
                    <w:tr2bl w:val="nil"/>
                  </w:tcBorders>
                  <w:vAlign w:val="center"/>
                </w:tcPr>
                <w:p>
                  <w:pPr>
                    <w:pStyle w:val="52"/>
                  </w:pPr>
                  <w:r>
                    <w:t>0</w:t>
                  </w:r>
                </w:p>
              </w:tc>
              <w:tc>
                <w:tcPr>
                  <w:tcW w:w="847" w:type="pct"/>
                  <w:tcBorders>
                    <w:tl2br w:val="nil"/>
                    <w:tr2bl w:val="nil"/>
                  </w:tcBorders>
                  <w:vAlign w:val="center"/>
                </w:tcPr>
                <w:p>
                  <w:pPr>
                    <w:pStyle w:val="52"/>
                  </w:pPr>
                  <w:r>
                    <w:t>60~70</w:t>
                  </w:r>
                </w:p>
              </w:tc>
              <w:tc>
                <w:tcPr>
                  <w:tcW w:w="1906" w:type="pct"/>
                  <w:tcBorders>
                    <w:tl2br w:val="nil"/>
                    <w:tr2bl w:val="nil"/>
                  </w:tcBorders>
                  <w:vAlign w:val="center"/>
                </w:tcPr>
                <w:p>
                  <w:pPr>
                    <w:pStyle w:val="52"/>
                  </w:pPr>
                  <w:r>
                    <w:rPr>
                      <w:bCs/>
                    </w:rPr>
                    <w:t>置于</w:t>
                  </w:r>
                  <w:r>
                    <w:rPr>
                      <w:rFonts w:hint="eastAsia"/>
                      <w:bCs/>
                    </w:rPr>
                    <w:t>厂房外北侧</w:t>
                  </w:r>
                  <w:r>
                    <w:rPr>
                      <w:bCs/>
                    </w:rPr>
                    <w:t>，基础减振，</w:t>
                  </w:r>
                  <w:r>
                    <w:t>降噪10-15dB（A）</w:t>
                  </w:r>
                </w:p>
              </w:tc>
              <w:tc>
                <w:tcPr>
                  <w:tcW w:w="382" w:type="pct"/>
                  <w:vMerge w:val="restart"/>
                  <w:tcBorders>
                    <w:tl2br w:val="nil"/>
                    <w:tr2bl w:val="nil"/>
                  </w:tcBorders>
                  <w:vAlign w:val="center"/>
                </w:tcPr>
                <w:p>
                  <w:pPr>
                    <w:pStyle w:val="52"/>
                  </w:pPr>
                  <w:r>
                    <w:t>昼</w:t>
                  </w:r>
                  <w:r>
                    <w:rPr>
                      <w:rFonts w:hint="eastAsia"/>
                    </w:rPr>
                    <w:t>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0" w:hRule="atLeast"/>
              </w:trPr>
              <w:tc>
                <w:tcPr>
                  <w:tcW w:w="259" w:type="pct"/>
                  <w:tcBorders>
                    <w:tl2br w:val="nil"/>
                    <w:tr2bl w:val="nil"/>
                  </w:tcBorders>
                  <w:vAlign w:val="center"/>
                </w:tcPr>
                <w:p>
                  <w:pPr>
                    <w:pStyle w:val="52"/>
                  </w:pPr>
                  <w:r>
                    <w:rPr>
                      <w:rFonts w:hint="eastAsia"/>
                    </w:rPr>
                    <w:t>2</w:t>
                  </w:r>
                </w:p>
              </w:tc>
              <w:tc>
                <w:tcPr>
                  <w:tcW w:w="634" w:type="pct"/>
                  <w:tcBorders>
                    <w:tl2br w:val="nil"/>
                    <w:tr2bl w:val="nil"/>
                  </w:tcBorders>
                  <w:vAlign w:val="center"/>
                </w:tcPr>
                <w:p>
                  <w:pPr>
                    <w:pStyle w:val="52"/>
                  </w:pPr>
                  <w:r>
                    <w:rPr>
                      <w:rFonts w:hint="eastAsia"/>
                    </w:rPr>
                    <w:t>有机废气处理设施风机</w:t>
                  </w:r>
                </w:p>
              </w:tc>
              <w:tc>
                <w:tcPr>
                  <w:tcW w:w="324" w:type="pct"/>
                  <w:tcBorders>
                    <w:tl2br w:val="nil"/>
                    <w:tr2bl w:val="nil"/>
                  </w:tcBorders>
                  <w:vAlign w:val="center"/>
                </w:tcPr>
                <w:p>
                  <w:pPr>
                    <w:pStyle w:val="52"/>
                  </w:pPr>
                  <w:r>
                    <w:t>10</w:t>
                  </w:r>
                </w:p>
              </w:tc>
              <w:tc>
                <w:tcPr>
                  <w:tcW w:w="324" w:type="pct"/>
                  <w:tcBorders>
                    <w:tl2br w:val="nil"/>
                    <w:tr2bl w:val="nil"/>
                  </w:tcBorders>
                  <w:vAlign w:val="center"/>
                </w:tcPr>
                <w:p>
                  <w:pPr>
                    <w:pStyle w:val="52"/>
                  </w:pPr>
                  <w:r>
                    <w:t>13</w:t>
                  </w:r>
                </w:p>
              </w:tc>
              <w:tc>
                <w:tcPr>
                  <w:tcW w:w="324" w:type="pct"/>
                  <w:tcBorders>
                    <w:tl2br w:val="nil"/>
                    <w:tr2bl w:val="nil"/>
                  </w:tcBorders>
                  <w:vAlign w:val="center"/>
                </w:tcPr>
                <w:p>
                  <w:pPr>
                    <w:pStyle w:val="52"/>
                  </w:pPr>
                  <w:r>
                    <w:rPr>
                      <w:rFonts w:hint="eastAsia"/>
                    </w:rPr>
                    <w:t>0</w:t>
                  </w:r>
                </w:p>
              </w:tc>
              <w:tc>
                <w:tcPr>
                  <w:tcW w:w="847" w:type="pct"/>
                  <w:tcBorders>
                    <w:tl2br w:val="nil"/>
                    <w:tr2bl w:val="nil"/>
                  </w:tcBorders>
                  <w:vAlign w:val="center"/>
                </w:tcPr>
                <w:p>
                  <w:pPr>
                    <w:pStyle w:val="52"/>
                  </w:pPr>
                  <w:r>
                    <w:rPr>
                      <w:rFonts w:hint="eastAsia"/>
                    </w:rPr>
                    <w:t>8</w:t>
                  </w:r>
                  <w:r>
                    <w:t>0~90</w:t>
                  </w:r>
                </w:p>
              </w:tc>
              <w:tc>
                <w:tcPr>
                  <w:tcW w:w="1906" w:type="pct"/>
                  <w:tcBorders>
                    <w:tl2br w:val="nil"/>
                    <w:tr2bl w:val="nil"/>
                  </w:tcBorders>
                  <w:vAlign w:val="center"/>
                </w:tcPr>
                <w:p>
                  <w:pPr>
                    <w:pStyle w:val="114"/>
                    <w:rPr>
                      <w:bCs/>
                    </w:rPr>
                  </w:pPr>
                  <w:r>
                    <w:rPr>
                      <w:rFonts w:hint="eastAsia"/>
                    </w:rPr>
                    <w:t>风机进出风口安装消声器</w:t>
                  </w:r>
                  <w:r>
                    <w:rPr>
                      <w:rFonts w:ascii="宋体" w:hAnsi="宋体"/>
                    </w:rPr>
                    <w:t>，采用低噪声设备，建筑隔声，关键部位加胶垫以减少振动</w:t>
                  </w:r>
                </w:p>
              </w:tc>
              <w:tc>
                <w:tcPr>
                  <w:tcW w:w="382" w:type="pct"/>
                  <w:vMerge w:val="continue"/>
                  <w:tcBorders>
                    <w:tl2br w:val="nil"/>
                    <w:tr2bl w:val="nil"/>
                  </w:tcBorders>
                  <w:vAlign w:val="center"/>
                </w:tcPr>
                <w:p>
                  <w:pPr>
                    <w:pStyle w:val="52"/>
                  </w:pPr>
                </w:p>
              </w:tc>
            </w:tr>
          </w:tbl>
          <w:p>
            <w:pPr>
              <w:pStyle w:val="83"/>
            </w:pPr>
            <w:r>
              <w:t>表4-15</w:t>
            </w:r>
            <w:r>
              <w:rPr>
                <w:rFonts w:hint="eastAsia"/>
              </w:rPr>
              <w:t xml:space="preserve"> </w:t>
            </w:r>
            <w:r>
              <w:t xml:space="preserve"> </w:t>
            </w:r>
            <w:r>
              <w:rPr>
                <w:rFonts w:hint="eastAsia"/>
              </w:rPr>
              <w:t>项目主要室外噪声源强及声源设备距厂界距离一览表</w:t>
            </w:r>
          </w:p>
          <w:tbl>
            <w:tblPr>
              <w:tblStyle w:val="24"/>
              <w:tblW w:w="5000" w:type="pct"/>
              <w:tblInd w:w="0" w:type="dxa"/>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Layout w:type="autofit"/>
              <w:tblCellMar>
                <w:top w:w="0" w:type="dxa"/>
                <w:left w:w="108" w:type="dxa"/>
                <w:bottom w:w="0" w:type="dxa"/>
                <w:right w:w="108" w:type="dxa"/>
              </w:tblCellMar>
            </w:tblPr>
            <w:tblGrid>
              <w:gridCol w:w="430"/>
              <w:gridCol w:w="847"/>
              <w:gridCol w:w="847"/>
              <w:gridCol w:w="985"/>
              <w:gridCol w:w="855"/>
              <w:gridCol w:w="826"/>
              <w:gridCol w:w="1974"/>
              <w:gridCol w:w="593"/>
              <w:gridCol w:w="598"/>
              <w:gridCol w:w="593"/>
              <w:gridCol w:w="622"/>
              <w:gridCol w:w="758"/>
              <w:gridCol w:w="798"/>
              <w:gridCol w:w="679"/>
              <w:gridCol w:w="798"/>
              <w:gridCol w:w="798"/>
              <w:gridCol w:w="537"/>
            </w:tblGrid>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113" w:hRule="atLeast"/>
              </w:trPr>
              <w:tc>
                <w:tcPr>
                  <w:tcW w:w="160" w:type="pct"/>
                  <w:vMerge w:val="restart"/>
                  <w:shd w:val="clear" w:color="auto" w:fill="auto"/>
                  <w:vAlign w:val="center"/>
                </w:tcPr>
                <w:p>
                  <w:pPr>
                    <w:widowControl/>
                    <w:jc w:val="center"/>
                    <w:rPr>
                      <w:b/>
                      <w:bCs/>
                      <w:kern w:val="0"/>
                    </w:rPr>
                  </w:pPr>
                  <w:r>
                    <w:rPr>
                      <w:rFonts w:hAnsi="宋体"/>
                      <w:b/>
                      <w:bCs/>
                      <w:kern w:val="0"/>
                    </w:rPr>
                    <w:t>序号</w:t>
                  </w:r>
                </w:p>
              </w:tc>
              <w:tc>
                <w:tcPr>
                  <w:tcW w:w="314" w:type="pct"/>
                  <w:vMerge w:val="restart"/>
                  <w:vAlign w:val="center"/>
                </w:tcPr>
                <w:p>
                  <w:pPr>
                    <w:widowControl/>
                    <w:jc w:val="center"/>
                    <w:rPr>
                      <w:b/>
                      <w:bCs/>
                      <w:kern w:val="0"/>
                    </w:rPr>
                  </w:pPr>
                  <w:r>
                    <w:rPr>
                      <w:rFonts w:hAnsi="宋体"/>
                      <w:b/>
                      <w:bCs/>
                      <w:kern w:val="0"/>
                    </w:rPr>
                    <w:t>位置</w:t>
                  </w:r>
                </w:p>
              </w:tc>
              <w:tc>
                <w:tcPr>
                  <w:tcW w:w="314" w:type="pct"/>
                  <w:vMerge w:val="restart"/>
                  <w:shd w:val="clear" w:color="auto" w:fill="auto"/>
                  <w:vAlign w:val="center"/>
                </w:tcPr>
                <w:p>
                  <w:pPr>
                    <w:widowControl/>
                    <w:jc w:val="center"/>
                    <w:rPr>
                      <w:b/>
                      <w:bCs/>
                      <w:kern w:val="0"/>
                    </w:rPr>
                  </w:pPr>
                  <w:r>
                    <w:rPr>
                      <w:rFonts w:hAnsi="宋体"/>
                      <w:b/>
                      <w:bCs/>
                      <w:kern w:val="0"/>
                    </w:rPr>
                    <w:t>声源名称</w:t>
                  </w:r>
                </w:p>
              </w:tc>
              <w:tc>
                <w:tcPr>
                  <w:tcW w:w="346" w:type="pct"/>
                  <w:vMerge w:val="restart"/>
                  <w:vAlign w:val="center"/>
                </w:tcPr>
                <w:p>
                  <w:pPr>
                    <w:widowControl/>
                    <w:jc w:val="center"/>
                    <w:rPr>
                      <w:b/>
                      <w:bCs/>
                      <w:kern w:val="0"/>
                    </w:rPr>
                  </w:pPr>
                  <w:r>
                    <w:rPr>
                      <w:b/>
                      <w:bCs/>
                      <w:kern w:val="0"/>
                    </w:rPr>
                    <w:t>型号</w:t>
                  </w:r>
                </w:p>
              </w:tc>
              <w:tc>
                <w:tcPr>
                  <w:tcW w:w="317" w:type="pct"/>
                  <w:vMerge w:val="restart"/>
                  <w:vAlign w:val="center"/>
                </w:tcPr>
                <w:p>
                  <w:pPr>
                    <w:widowControl/>
                    <w:jc w:val="center"/>
                    <w:rPr>
                      <w:b/>
                      <w:bCs/>
                      <w:kern w:val="0"/>
                    </w:rPr>
                  </w:pPr>
                  <w:r>
                    <w:rPr>
                      <w:b/>
                      <w:bCs/>
                      <w:kern w:val="0"/>
                    </w:rPr>
                    <w:t>数量（台）</w:t>
                  </w:r>
                </w:p>
              </w:tc>
              <w:tc>
                <w:tcPr>
                  <w:tcW w:w="306" w:type="pct"/>
                  <w:shd w:val="clear" w:color="auto" w:fill="auto"/>
                  <w:vAlign w:val="center"/>
                </w:tcPr>
                <w:p>
                  <w:pPr>
                    <w:widowControl/>
                    <w:jc w:val="center"/>
                    <w:rPr>
                      <w:b/>
                      <w:bCs/>
                      <w:kern w:val="0"/>
                    </w:rPr>
                  </w:pPr>
                  <w:r>
                    <w:rPr>
                      <w:rFonts w:hAnsi="宋体"/>
                      <w:b/>
                      <w:bCs/>
                      <w:kern w:val="0"/>
                    </w:rPr>
                    <w:t>声源源强</w:t>
                  </w:r>
                </w:p>
              </w:tc>
              <w:tc>
                <w:tcPr>
                  <w:tcW w:w="730" w:type="pct"/>
                  <w:vMerge w:val="restart"/>
                  <w:shd w:val="clear" w:color="auto" w:fill="auto"/>
                  <w:vAlign w:val="center"/>
                </w:tcPr>
                <w:p>
                  <w:pPr>
                    <w:widowControl/>
                    <w:jc w:val="center"/>
                    <w:rPr>
                      <w:b/>
                      <w:bCs/>
                      <w:kern w:val="0"/>
                    </w:rPr>
                  </w:pPr>
                  <w:r>
                    <w:rPr>
                      <w:rFonts w:hAnsi="宋体"/>
                      <w:b/>
                      <w:bCs/>
                      <w:kern w:val="0"/>
                    </w:rPr>
                    <w:t>声源控制措施</w:t>
                  </w:r>
                </w:p>
              </w:tc>
              <w:tc>
                <w:tcPr>
                  <w:tcW w:w="662" w:type="pct"/>
                  <w:gridSpan w:val="3"/>
                  <w:shd w:val="clear" w:color="auto" w:fill="auto"/>
                  <w:vAlign w:val="center"/>
                </w:tcPr>
                <w:p>
                  <w:pPr>
                    <w:widowControl/>
                    <w:jc w:val="center"/>
                    <w:rPr>
                      <w:b/>
                      <w:bCs/>
                      <w:kern w:val="0"/>
                    </w:rPr>
                  </w:pPr>
                  <w:r>
                    <w:rPr>
                      <w:rFonts w:hAnsi="宋体"/>
                      <w:b/>
                      <w:bCs/>
                      <w:kern w:val="0"/>
                    </w:rPr>
                    <w:t>空间相对位置</w:t>
                  </w:r>
                </w:p>
              </w:tc>
              <w:tc>
                <w:tcPr>
                  <w:tcW w:w="512" w:type="pct"/>
                  <w:gridSpan w:val="2"/>
                  <w:vMerge w:val="restart"/>
                  <w:shd w:val="clear" w:color="auto" w:fill="auto"/>
                  <w:vAlign w:val="center"/>
                </w:tcPr>
                <w:p>
                  <w:pPr>
                    <w:widowControl/>
                    <w:jc w:val="center"/>
                    <w:rPr>
                      <w:b/>
                      <w:bCs/>
                      <w:kern w:val="0"/>
                    </w:rPr>
                  </w:pPr>
                  <w:r>
                    <w:rPr>
                      <w:rFonts w:hAnsi="宋体"/>
                      <w:b/>
                      <w:bCs/>
                      <w:kern w:val="0"/>
                    </w:rPr>
                    <w:t>距室内边界距离</w:t>
                  </w:r>
                  <w:r>
                    <w:rPr>
                      <w:b/>
                      <w:bCs/>
                      <w:kern w:val="0"/>
                    </w:rPr>
                    <w:t>/m</w:t>
                  </w:r>
                </w:p>
              </w:tc>
              <w:tc>
                <w:tcPr>
                  <w:tcW w:w="296" w:type="pct"/>
                  <w:vMerge w:val="restart"/>
                  <w:shd w:val="clear" w:color="auto" w:fill="auto"/>
                  <w:vAlign w:val="center"/>
                </w:tcPr>
                <w:p>
                  <w:pPr>
                    <w:widowControl/>
                    <w:jc w:val="center"/>
                    <w:rPr>
                      <w:b/>
                      <w:bCs/>
                      <w:kern w:val="0"/>
                    </w:rPr>
                  </w:pPr>
                  <w:r>
                    <w:rPr>
                      <w:rFonts w:hAnsi="宋体"/>
                      <w:b/>
                      <w:bCs/>
                      <w:kern w:val="0"/>
                    </w:rPr>
                    <w:t>室内边界声级</w:t>
                  </w:r>
                  <w:r>
                    <w:rPr>
                      <w:b/>
                      <w:bCs/>
                      <w:kern w:val="0"/>
                    </w:rPr>
                    <w:t>/dB</w:t>
                  </w:r>
                  <w:r>
                    <w:rPr>
                      <w:rFonts w:hAnsi="宋体"/>
                      <w:b/>
                      <w:bCs/>
                      <w:kern w:val="0"/>
                    </w:rPr>
                    <w:t>（</w:t>
                  </w:r>
                  <w:r>
                    <w:rPr>
                      <w:b/>
                      <w:bCs/>
                      <w:kern w:val="0"/>
                    </w:rPr>
                    <w:t>A</w:t>
                  </w:r>
                  <w:r>
                    <w:rPr>
                      <w:rFonts w:hAnsi="宋体"/>
                      <w:b/>
                      <w:bCs/>
                      <w:kern w:val="0"/>
                    </w:rPr>
                    <w:t>）</w:t>
                  </w:r>
                </w:p>
              </w:tc>
              <w:tc>
                <w:tcPr>
                  <w:tcW w:w="252" w:type="pct"/>
                  <w:vMerge w:val="restart"/>
                  <w:shd w:val="clear" w:color="auto" w:fill="auto"/>
                  <w:vAlign w:val="center"/>
                </w:tcPr>
                <w:p>
                  <w:pPr>
                    <w:widowControl/>
                    <w:jc w:val="center"/>
                    <w:rPr>
                      <w:b/>
                      <w:bCs/>
                      <w:kern w:val="0"/>
                    </w:rPr>
                  </w:pPr>
                  <w:r>
                    <w:rPr>
                      <w:rFonts w:hAnsi="宋体"/>
                      <w:b/>
                      <w:bCs/>
                      <w:kern w:val="0"/>
                    </w:rPr>
                    <w:t>运行时段</w:t>
                  </w:r>
                </w:p>
              </w:tc>
              <w:tc>
                <w:tcPr>
                  <w:tcW w:w="296" w:type="pct"/>
                  <w:vMerge w:val="restart"/>
                  <w:shd w:val="clear" w:color="auto" w:fill="auto"/>
                  <w:vAlign w:val="center"/>
                </w:tcPr>
                <w:p>
                  <w:pPr>
                    <w:widowControl/>
                    <w:jc w:val="center"/>
                    <w:rPr>
                      <w:b/>
                      <w:bCs/>
                      <w:kern w:val="0"/>
                    </w:rPr>
                  </w:pPr>
                  <w:r>
                    <w:rPr>
                      <w:rFonts w:hAnsi="宋体"/>
                      <w:b/>
                      <w:bCs/>
                      <w:kern w:val="0"/>
                    </w:rPr>
                    <w:t>建筑物插入损失</w:t>
                  </w:r>
                  <w:r>
                    <w:rPr>
                      <w:b/>
                      <w:bCs/>
                      <w:kern w:val="0"/>
                    </w:rPr>
                    <w:t>/dB</w:t>
                  </w:r>
                  <w:r>
                    <w:rPr>
                      <w:rFonts w:hAnsi="宋体"/>
                      <w:b/>
                      <w:bCs/>
                      <w:kern w:val="0"/>
                    </w:rPr>
                    <w:t>（</w:t>
                  </w:r>
                  <w:r>
                    <w:rPr>
                      <w:b/>
                      <w:bCs/>
                      <w:kern w:val="0"/>
                    </w:rPr>
                    <w:t>A</w:t>
                  </w:r>
                  <w:r>
                    <w:rPr>
                      <w:rFonts w:hAnsi="宋体"/>
                      <w:b/>
                      <w:bCs/>
                      <w:kern w:val="0"/>
                    </w:rPr>
                    <w:t>）</w:t>
                  </w:r>
                </w:p>
              </w:tc>
              <w:tc>
                <w:tcPr>
                  <w:tcW w:w="495" w:type="pct"/>
                  <w:gridSpan w:val="2"/>
                  <w:shd w:val="clear" w:color="auto" w:fill="auto"/>
                  <w:vAlign w:val="center"/>
                </w:tcPr>
                <w:p>
                  <w:pPr>
                    <w:widowControl/>
                    <w:jc w:val="center"/>
                    <w:rPr>
                      <w:b/>
                      <w:bCs/>
                      <w:kern w:val="0"/>
                    </w:rPr>
                  </w:pPr>
                  <w:r>
                    <w:rPr>
                      <w:rFonts w:hAnsi="宋体"/>
                      <w:b/>
                      <w:bCs/>
                      <w:kern w:val="0"/>
                    </w:rPr>
                    <w:t>建筑物外噪声</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113" w:hRule="atLeast"/>
              </w:trPr>
              <w:tc>
                <w:tcPr>
                  <w:tcW w:w="160" w:type="pct"/>
                  <w:vMerge w:val="continue"/>
                  <w:vAlign w:val="center"/>
                </w:tcPr>
                <w:p>
                  <w:pPr>
                    <w:widowControl/>
                    <w:jc w:val="center"/>
                    <w:rPr>
                      <w:kern w:val="0"/>
                    </w:rPr>
                  </w:pPr>
                </w:p>
              </w:tc>
              <w:tc>
                <w:tcPr>
                  <w:tcW w:w="314" w:type="pct"/>
                  <w:vMerge w:val="continue"/>
                  <w:vAlign w:val="center"/>
                </w:tcPr>
                <w:p>
                  <w:pPr>
                    <w:widowControl/>
                    <w:jc w:val="center"/>
                    <w:rPr>
                      <w:kern w:val="0"/>
                    </w:rPr>
                  </w:pPr>
                </w:p>
              </w:tc>
              <w:tc>
                <w:tcPr>
                  <w:tcW w:w="314" w:type="pct"/>
                  <w:vMerge w:val="continue"/>
                  <w:vAlign w:val="center"/>
                </w:tcPr>
                <w:p>
                  <w:pPr>
                    <w:widowControl/>
                    <w:jc w:val="center"/>
                    <w:rPr>
                      <w:kern w:val="0"/>
                    </w:rPr>
                  </w:pPr>
                </w:p>
              </w:tc>
              <w:tc>
                <w:tcPr>
                  <w:tcW w:w="346" w:type="pct"/>
                  <w:vMerge w:val="continue"/>
                  <w:vAlign w:val="center"/>
                </w:tcPr>
                <w:p>
                  <w:pPr>
                    <w:widowControl/>
                    <w:jc w:val="center"/>
                    <w:rPr>
                      <w:kern w:val="0"/>
                    </w:rPr>
                  </w:pPr>
                </w:p>
              </w:tc>
              <w:tc>
                <w:tcPr>
                  <w:tcW w:w="317" w:type="pct"/>
                  <w:vMerge w:val="continue"/>
                  <w:vAlign w:val="center"/>
                </w:tcPr>
                <w:p>
                  <w:pPr>
                    <w:widowControl/>
                    <w:jc w:val="center"/>
                    <w:rPr>
                      <w:kern w:val="0"/>
                    </w:rPr>
                  </w:pPr>
                </w:p>
              </w:tc>
              <w:tc>
                <w:tcPr>
                  <w:tcW w:w="306" w:type="pct"/>
                  <w:shd w:val="clear" w:color="auto" w:fill="auto"/>
                  <w:vAlign w:val="center"/>
                </w:tcPr>
                <w:p>
                  <w:pPr>
                    <w:widowControl/>
                    <w:jc w:val="center"/>
                    <w:rPr>
                      <w:kern w:val="0"/>
                    </w:rPr>
                  </w:pPr>
                  <w:r>
                    <w:rPr>
                      <w:rFonts w:hAnsi="宋体"/>
                      <w:kern w:val="0"/>
                    </w:rPr>
                    <w:t>声压级</w:t>
                  </w:r>
                  <w:r>
                    <w:rPr>
                      <w:kern w:val="0"/>
                    </w:rPr>
                    <w:t>/dB</w:t>
                  </w:r>
                  <w:r>
                    <w:rPr>
                      <w:rFonts w:hAnsi="宋体"/>
                      <w:kern w:val="0"/>
                    </w:rPr>
                    <w:t>（</w:t>
                  </w:r>
                  <w:r>
                    <w:rPr>
                      <w:kern w:val="0"/>
                    </w:rPr>
                    <w:t>A</w:t>
                  </w:r>
                  <w:r>
                    <w:rPr>
                      <w:rFonts w:hAnsi="宋体"/>
                      <w:kern w:val="0"/>
                    </w:rPr>
                    <w:t>）</w:t>
                  </w:r>
                </w:p>
              </w:tc>
              <w:tc>
                <w:tcPr>
                  <w:tcW w:w="730" w:type="pct"/>
                  <w:vMerge w:val="continue"/>
                  <w:vAlign w:val="center"/>
                </w:tcPr>
                <w:p>
                  <w:pPr>
                    <w:widowControl/>
                    <w:jc w:val="center"/>
                    <w:rPr>
                      <w:kern w:val="0"/>
                    </w:rPr>
                  </w:pPr>
                </w:p>
              </w:tc>
              <w:tc>
                <w:tcPr>
                  <w:tcW w:w="220" w:type="pct"/>
                  <w:shd w:val="clear" w:color="auto" w:fill="auto"/>
                  <w:vAlign w:val="center"/>
                </w:tcPr>
                <w:p>
                  <w:pPr>
                    <w:widowControl/>
                    <w:jc w:val="center"/>
                    <w:rPr>
                      <w:kern w:val="0"/>
                    </w:rPr>
                  </w:pPr>
                  <w:r>
                    <w:rPr>
                      <w:kern w:val="0"/>
                    </w:rPr>
                    <w:t>X</w:t>
                  </w:r>
                </w:p>
              </w:tc>
              <w:tc>
                <w:tcPr>
                  <w:tcW w:w="222" w:type="pct"/>
                  <w:shd w:val="clear" w:color="auto" w:fill="auto"/>
                  <w:vAlign w:val="center"/>
                </w:tcPr>
                <w:p>
                  <w:pPr>
                    <w:widowControl/>
                    <w:jc w:val="center"/>
                    <w:rPr>
                      <w:kern w:val="0"/>
                    </w:rPr>
                  </w:pPr>
                  <w:r>
                    <w:rPr>
                      <w:kern w:val="0"/>
                    </w:rPr>
                    <w:t>Y</w:t>
                  </w:r>
                </w:p>
              </w:tc>
              <w:tc>
                <w:tcPr>
                  <w:tcW w:w="220" w:type="pct"/>
                  <w:shd w:val="clear" w:color="auto" w:fill="auto"/>
                  <w:vAlign w:val="center"/>
                </w:tcPr>
                <w:p>
                  <w:pPr>
                    <w:widowControl/>
                    <w:jc w:val="center"/>
                    <w:rPr>
                      <w:kern w:val="0"/>
                    </w:rPr>
                  </w:pPr>
                  <w:r>
                    <w:rPr>
                      <w:kern w:val="0"/>
                    </w:rPr>
                    <w:t>Z</w:t>
                  </w:r>
                </w:p>
              </w:tc>
              <w:tc>
                <w:tcPr>
                  <w:tcW w:w="512" w:type="pct"/>
                  <w:gridSpan w:val="2"/>
                  <w:vMerge w:val="continue"/>
                  <w:vAlign w:val="center"/>
                </w:tcPr>
                <w:p>
                  <w:pPr>
                    <w:widowControl/>
                    <w:jc w:val="center"/>
                    <w:rPr>
                      <w:kern w:val="0"/>
                    </w:rPr>
                  </w:pPr>
                </w:p>
              </w:tc>
              <w:tc>
                <w:tcPr>
                  <w:tcW w:w="296" w:type="pct"/>
                  <w:vMerge w:val="continue"/>
                  <w:vAlign w:val="center"/>
                </w:tcPr>
                <w:p>
                  <w:pPr>
                    <w:widowControl/>
                    <w:jc w:val="center"/>
                    <w:rPr>
                      <w:kern w:val="0"/>
                    </w:rPr>
                  </w:pPr>
                </w:p>
              </w:tc>
              <w:tc>
                <w:tcPr>
                  <w:tcW w:w="252" w:type="pct"/>
                  <w:vMerge w:val="continue"/>
                  <w:vAlign w:val="center"/>
                </w:tcPr>
                <w:p>
                  <w:pPr>
                    <w:widowControl/>
                    <w:jc w:val="center"/>
                    <w:rPr>
                      <w:kern w:val="0"/>
                    </w:rPr>
                  </w:pPr>
                </w:p>
              </w:tc>
              <w:tc>
                <w:tcPr>
                  <w:tcW w:w="296" w:type="pct"/>
                  <w:vMerge w:val="continue"/>
                  <w:vAlign w:val="center"/>
                </w:tcPr>
                <w:p>
                  <w:pPr>
                    <w:widowControl/>
                    <w:jc w:val="center"/>
                    <w:rPr>
                      <w:kern w:val="0"/>
                    </w:rPr>
                  </w:pPr>
                </w:p>
              </w:tc>
              <w:tc>
                <w:tcPr>
                  <w:tcW w:w="296" w:type="pct"/>
                  <w:shd w:val="clear" w:color="auto" w:fill="auto"/>
                  <w:vAlign w:val="center"/>
                </w:tcPr>
                <w:p>
                  <w:pPr>
                    <w:widowControl/>
                    <w:jc w:val="center"/>
                    <w:rPr>
                      <w:kern w:val="0"/>
                    </w:rPr>
                  </w:pPr>
                  <w:r>
                    <w:rPr>
                      <w:rFonts w:hAnsi="宋体"/>
                      <w:kern w:val="0"/>
                    </w:rPr>
                    <w:t>声压级</w:t>
                  </w:r>
                  <w:r>
                    <w:rPr>
                      <w:kern w:val="0"/>
                    </w:rPr>
                    <w:t>/dB</w:t>
                  </w:r>
                  <w:r>
                    <w:rPr>
                      <w:rFonts w:hAnsi="宋体"/>
                      <w:kern w:val="0"/>
                    </w:rPr>
                    <w:t>（</w:t>
                  </w:r>
                  <w:r>
                    <w:rPr>
                      <w:kern w:val="0"/>
                    </w:rPr>
                    <w:t>A</w:t>
                  </w:r>
                  <w:r>
                    <w:rPr>
                      <w:rFonts w:hAnsi="宋体"/>
                      <w:kern w:val="0"/>
                    </w:rPr>
                    <w:t>）</w:t>
                  </w:r>
                </w:p>
              </w:tc>
              <w:tc>
                <w:tcPr>
                  <w:tcW w:w="199" w:type="pct"/>
                  <w:shd w:val="clear" w:color="auto" w:fill="auto"/>
                  <w:vAlign w:val="center"/>
                </w:tcPr>
                <w:p>
                  <w:pPr>
                    <w:widowControl/>
                    <w:ind w:left="-63" w:leftChars="-30" w:right="-63" w:rightChars="-30"/>
                    <w:jc w:val="center"/>
                    <w:rPr>
                      <w:kern w:val="0"/>
                    </w:rPr>
                  </w:pPr>
                  <w:r>
                    <w:rPr>
                      <w:rFonts w:hAnsi="宋体"/>
                      <w:kern w:val="0"/>
                    </w:rPr>
                    <w:t>建筑外距离</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113" w:hRule="atLeast"/>
              </w:trPr>
              <w:tc>
                <w:tcPr>
                  <w:tcW w:w="160" w:type="pct"/>
                  <w:vMerge w:val="restart"/>
                  <w:shd w:val="clear" w:color="auto" w:fill="auto"/>
                  <w:vAlign w:val="center"/>
                </w:tcPr>
                <w:p>
                  <w:pPr>
                    <w:widowControl/>
                    <w:jc w:val="center"/>
                    <w:rPr>
                      <w:kern w:val="0"/>
                    </w:rPr>
                  </w:pPr>
                  <w:r>
                    <w:rPr>
                      <w:rFonts w:hint="eastAsia"/>
                      <w:kern w:val="0"/>
                    </w:rPr>
                    <w:t>1</w:t>
                  </w:r>
                </w:p>
              </w:tc>
              <w:tc>
                <w:tcPr>
                  <w:tcW w:w="314" w:type="pct"/>
                  <w:vMerge w:val="restart"/>
                  <w:vAlign w:val="center"/>
                </w:tcPr>
                <w:p>
                  <w:pPr>
                    <w:widowControl/>
                    <w:jc w:val="center"/>
                    <w:rPr>
                      <w:bCs/>
                      <w:kern w:val="0"/>
                    </w:rPr>
                  </w:pPr>
                  <w:r>
                    <w:rPr>
                      <w:rFonts w:hint="eastAsia"/>
                      <w:bCs/>
                      <w:kern w:val="0"/>
                    </w:rPr>
                    <w:t>生产厂房</w:t>
                  </w:r>
                </w:p>
              </w:tc>
              <w:tc>
                <w:tcPr>
                  <w:tcW w:w="314" w:type="pct"/>
                  <w:vMerge w:val="restart"/>
                  <w:shd w:val="clear" w:color="auto" w:fill="auto"/>
                  <w:vAlign w:val="center"/>
                </w:tcPr>
                <w:p>
                  <w:pPr>
                    <w:widowControl/>
                    <w:jc w:val="center"/>
                    <w:rPr>
                      <w:bCs/>
                      <w:kern w:val="0"/>
                    </w:rPr>
                  </w:pPr>
                  <w:r>
                    <w:rPr>
                      <w:rFonts w:hint="eastAsia"/>
                      <w:kern w:val="0"/>
                    </w:rPr>
                    <w:t>双螺杆挤出机</w:t>
                  </w:r>
                </w:p>
              </w:tc>
              <w:tc>
                <w:tcPr>
                  <w:tcW w:w="346" w:type="pct"/>
                  <w:vMerge w:val="restart"/>
                  <w:vAlign w:val="center"/>
                </w:tcPr>
                <w:p>
                  <w:pPr>
                    <w:widowControl/>
                    <w:jc w:val="center"/>
                    <w:rPr>
                      <w:kern w:val="0"/>
                    </w:rPr>
                  </w:pPr>
                  <w:r>
                    <w:t>/</w:t>
                  </w:r>
                </w:p>
              </w:tc>
              <w:tc>
                <w:tcPr>
                  <w:tcW w:w="317" w:type="pct"/>
                  <w:vMerge w:val="restart"/>
                  <w:vAlign w:val="center"/>
                </w:tcPr>
                <w:p>
                  <w:pPr>
                    <w:widowControl/>
                    <w:jc w:val="center"/>
                    <w:rPr>
                      <w:kern w:val="0"/>
                    </w:rPr>
                  </w:pPr>
                  <w:r>
                    <w:rPr>
                      <w:kern w:val="0"/>
                    </w:rPr>
                    <w:t>4</w:t>
                  </w:r>
                </w:p>
              </w:tc>
              <w:tc>
                <w:tcPr>
                  <w:tcW w:w="306" w:type="pct"/>
                  <w:vMerge w:val="restart"/>
                  <w:shd w:val="clear" w:color="auto" w:fill="auto"/>
                  <w:noWrap/>
                  <w:vAlign w:val="center"/>
                </w:tcPr>
                <w:p>
                  <w:pPr>
                    <w:widowControl/>
                    <w:jc w:val="center"/>
                    <w:rPr>
                      <w:kern w:val="0"/>
                    </w:rPr>
                  </w:pPr>
                  <w:r>
                    <w:rPr>
                      <w:kern w:val="0"/>
                    </w:rPr>
                    <w:t>75~85</w:t>
                  </w:r>
                </w:p>
              </w:tc>
              <w:tc>
                <w:tcPr>
                  <w:tcW w:w="730" w:type="pct"/>
                  <w:vMerge w:val="restart"/>
                  <w:shd w:val="clear" w:color="auto" w:fill="auto"/>
                  <w:vAlign w:val="center"/>
                </w:tcPr>
                <w:p>
                  <w:pPr>
                    <w:widowControl/>
                    <w:jc w:val="center"/>
                    <w:rPr>
                      <w:kern w:val="0"/>
                    </w:rPr>
                  </w:pPr>
                  <w:r>
                    <w:rPr>
                      <w:kern w:val="0"/>
                    </w:rPr>
                    <w:t>基础减振、建筑隔声，降噪10-15dB(A)</w:t>
                  </w:r>
                </w:p>
              </w:tc>
              <w:tc>
                <w:tcPr>
                  <w:tcW w:w="220" w:type="pct"/>
                  <w:vMerge w:val="restart"/>
                  <w:shd w:val="clear" w:color="auto" w:fill="auto"/>
                  <w:noWrap/>
                  <w:vAlign w:val="center"/>
                </w:tcPr>
                <w:p>
                  <w:pPr>
                    <w:widowControl/>
                    <w:jc w:val="center"/>
                    <w:rPr>
                      <w:kern w:val="0"/>
                    </w:rPr>
                  </w:pPr>
                  <w:r>
                    <w:rPr>
                      <w:kern w:val="0"/>
                    </w:rPr>
                    <w:t>12</w:t>
                  </w:r>
                </w:p>
              </w:tc>
              <w:tc>
                <w:tcPr>
                  <w:tcW w:w="222" w:type="pct"/>
                  <w:vMerge w:val="restart"/>
                  <w:shd w:val="clear" w:color="auto" w:fill="auto"/>
                  <w:noWrap/>
                  <w:vAlign w:val="center"/>
                </w:tcPr>
                <w:p>
                  <w:pPr>
                    <w:widowControl/>
                    <w:jc w:val="center"/>
                    <w:rPr>
                      <w:kern w:val="0"/>
                    </w:rPr>
                  </w:pPr>
                  <w:r>
                    <w:rPr>
                      <w:kern w:val="0"/>
                    </w:rPr>
                    <w:t>8</w:t>
                  </w:r>
                </w:p>
              </w:tc>
              <w:tc>
                <w:tcPr>
                  <w:tcW w:w="220" w:type="pct"/>
                  <w:vMerge w:val="restart"/>
                  <w:shd w:val="clear" w:color="auto" w:fill="auto"/>
                  <w:noWrap/>
                  <w:vAlign w:val="center"/>
                </w:tcPr>
                <w:p>
                  <w:pPr>
                    <w:widowControl/>
                    <w:jc w:val="center"/>
                    <w:rPr>
                      <w:kern w:val="0"/>
                    </w:rPr>
                  </w:pPr>
                  <w:r>
                    <w:rPr>
                      <w:rFonts w:hint="eastAsia"/>
                      <w:kern w:val="0"/>
                    </w:rPr>
                    <w:t>0</w:t>
                  </w:r>
                </w:p>
              </w:tc>
              <w:tc>
                <w:tcPr>
                  <w:tcW w:w="231" w:type="pct"/>
                  <w:shd w:val="clear" w:color="auto" w:fill="auto"/>
                  <w:noWrap/>
                  <w:vAlign w:val="center"/>
                </w:tcPr>
                <w:p>
                  <w:pPr>
                    <w:widowControl/>
                    <w:jc w:val="center"/>
                    <w:rPr>
                      <w:kern w:val="0"/>
                    </w:rPr>
                  </w:pPr>
                  <w:r>
                    <w:rPr>
                      <w:rFonts w:hAnsi="宋体"/>
                      <w:kern w:val="0"/>
                    </w:rPr>
                    <w:t>东</w:t>
                  </w:r>
                </w:p>
              </w:tc>
              <w:tc>
                <w:tcPr>
                  <w:tcW w:w="281" w:type="pct"/>
                  <w:shd w:val="clear" w:color="auto" w:fill="auto"/>
                  <w:noWrap/>
                  <w:vAlign w:val="center"/>
                </w:tcPr>
                <w:p>
                  <w:pPr>
                    <w:widowControl/>
                    <w:jc w:val="center"/>
                    <w:rPr>
                      <w:kern w:val="0"/>
                    </w:rPr>
                  </w:pPr>
                  <w:r>
                    <w:rPr>
                      <w:rFonts w:hint="eastAsia"/>
                    </w:rPr>
                    <w:t>59</w:t>
                  </w:r>
                </w:p>
              </w:tc>
              <w:tc>
                <w:tcPr>
                  <w:tcW w:w="296" w:type="pct"/>
                  <w:shd w:val="clear" w:color="auto" w:fill="auto"/>
                  <w:noWrap/>
                  <w:vAlign w:val="center"/>
                </w:tcPr>
                <w:p>
                  <w:pPr>
                    <w:widowControl/>
                    <w:jc w:val="center"/>
                    <w:rPr>
                      <w:kern w:val="0"/>
                    </w:rPr>
                  </w:pPr>
                  <w:r>
                    <w:rPr>
                      <w:kern w:val="0"/>
                    </w:rPr>
                    <w:t>62</w:t>
                  </w:r>
                </w:p>
              </w:tc>
              <w:tc>
                <w:tcPr>
                  <w:tcW w:w="252" w:type="pct"/>
                  <w:vMerge w:val="restart"/>
                  <w:shd w:val="clear" w:color="auto" w:fill="auto"/>
                  <w:noWrap/>
                  <w:vAlign w:val="center"/>
                </w:tcPr>
                <w:p>
                  <w:pPr>
                    <w:widowControl/>
                    <w:jc w:val="center"/>
                    <w:rPr>
                      <w:kern w:val="0"/>
                    </w:rPr>
                  </w:pPr>
                  <w:r>
                    <w:rPr>
                      <w:rFonts w:hAnsi="宋体"/>
                      <w:kern w:val="0"/>
                    </w:rPr>
                    <w:t>昼</w:t>
                  </w:r>
                  <w:r>
                    <w:rPr>
                      <w:rFonts w:hint="eastAsia" w:hAnsi="宋体"/>
                      <w:kern w:val="0"/>
                    </w:rPr>
                    <w:t>间</w:t>
                  </w:r>
                </w:p>
              </w:tc>
              <w:tc>
                <w:tcPr>
                  <w:tcW w:w="296" w:type="pct"/>
                  <w:vMerge w:val="restart"/>
                  <w:shd w:val="clear" w:color="auto" w:fill="auto"/>
                  <w:noWrap/>
                  <w:vAlign w:val="center"/>
                </w:tcPr>
                <w:p>
                  <w:pPr>
                    <w:widowControl/>
                    <w:jc w:val="center"/>
                    <w:rPr>
                      <w:kern w:val="0"/>
                    </w:rPr>
                  </w:pPr>
                  <w:r>
                    <w:rPr>
                      <w:rFonts w:hint="eastAsia"/>
                      <w:kern w:val="0"/>
                    </w:rPr>
                    <w:t>15</w:t>
                  </w:r>
                </w:p>
              </w:tc>
              <w:tc>
                <w:tcPr>
                  <w:tcW w:w="296" w:type="pct"/>
                  <w:shd w:val="clear" w:color="auto" w:fill="auto"/>
                  <w:noWrap/>
                  <w:vAlign w:val="center"/>
                </w:tcPr>
                <w:p>
                  <w:pPr>
                    <w:widowControl/>
                    <w:jc w:val="center"/>
                    <w:rPr>
                      <w:kern w:val="0"/>
                    </w:rPr>
                  </w:pPr>
                  <w:r>
                    <w:rPr>
                      <w:rFonts w:hint="eastAsia"/>
                    </w:rPr>
                    <w:t>53</w:t>
                  </w:r>
                </w:p>
              </w:tc>
              <w:tc>
                <w:tcPr>
                  <w:tcW w:w="199" w:type="pct"/>
                  <w:vMerge w:val="restart"/>
                  <w:shd w:val="clear" w:color="auto" w:fill="auto"/>
                  <w:noWrap/>
                  <w:vAlign w:val="center"/>
                </w:tcPr>
                <w:p>
                  <w:pPr>
                    <w:widowControl/>
                    <w:jc w:val="center"/>
                    <w:rPr>
                      <w:kern w:val="0"/>
                    </w:rPr>
                  </w:pPr>
                  <w:r>
                    <w:rPr>
                      <w:kern w:val="0"/>
                    </w:rPr>
                    <w:t>1m</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113" w:hRule="atLeast"/>
              </w:trPr>
              <w:tc>
                <w:tcPr>
                  <w:tcW w:w="160" w:type="pct"/>
                  <w:vMerge w:val="continue"/>
                  <w:shd w:val="clear" w:color="auto" w:fill="auto"/>
                  <w:vAlign w:val="center"/>
                </w:tcPr>
                <w:p>
                  <w:pPr>
                    <w:widowControl/>
                    <w:jc w:val="center"/>
                    <w:rPr>
                      <w:kern w:val="0"/>
                    </w:rPr>
                  </w:pPr>
                </w:p>
              </w:tc>
              <w:tc>
                <w:tcPr>
                  <w:tcW w:w="314" w:type="pct"/>
                  <w:vMerge w:val="continue"/>
                  <w:vAlign w:val="center"/>
                </w:tcPr>
                <w:p>
                  <w:pPr>
                    <w:widowControl/>
                    <w:jc w:val="center"/>
                    <w:rPr>
                      <w:bCs/>
                      <w:kern w:val="0"/>
                    </w:rPr>
                  </w:pPr>
                </w:p>
              </w:tc>
              <w:tc>
                <w:tcPr>
                  <w:tcW w:w="314" w:type="pct"/>
                  <w:vMerge w:val="continue"/>
                  <w:shd w:val="clear" w:color="auto" w:fill="auto"/>
                  <w:vAlign w:val="center"/>
                </w:tcPr>
                <w:p>
                  <w:pPr>
                    <w:widowControl/>
                    <w:jc w:val="center"/>
                    <w:rPr>
                      <w:bCs/>
                      <w:kern w:val="0"/>
                    </w:rPr>
                  </w:pPr>
                </w:p>
              </w:tc>
              <w:tc>
                <w:tcPr>
                  <w:tcW w:w="346" w:type="pct"/>
                  <w:vMerge w:val="continue"/>
                  <w:vAlign w:val="center"/>
                </w:tcPr>
                <w:p>
                  <w:pPr>
                    <w:widowControl/>
                    <w:ind w:left="-63" w:leftChars="-30" w:right="-63" w:rightChars="-30"/>
                    <w:jc w:val="center"/>
                    <w:rPr>
                      <w:kern w:val="0"/>
                    </w:rPr>
                  </w:pPr>
                </w:p>
              </w:tc>
              <w:tc>
                <w:tcPr>
                  <w:tcW w:w="317" w:type="pct"/>
                  <w:vMerge w:val="continue"/>
                  <w:vAlign w:val="center"/>
                </w:tcPr>
                <w:p>
                  <w:pPr>
                    <w:widowControl/>
                    <w:jc w:val="center"/>
                    <w:rPr>
                      <w:kern w:val="0"/>
                    </w:rPr>
                  </w:pPr>
                </w:p>
              </w:tc>
              <w:tc>
                <w:tcPr>
                  <w:tcW w:w="306" w:type="pct"/>
                  <w:vMerge w:val="continue"/>
                  <w:shd w:val="clear" w:color="auto" w:fill="auto"/>
                  <w:noWrap/>
                  <w:vAlign w:val="center"/>
                </w:tcPr>
                <w:p>
                  <w:pPr>
                    <w:widowControl/>
                    <w:jc w:val="center"/>
                    <w:rPr>
                      <w:kern w:val="0"/>
                    </w:rPr>
                  </w:pPr>
                </w:p>
              </w:tc>
              <w:tc>
                <w:tcPr>
                  <w:tcW w:w="730" w:type="pct"/>
                  <w:vMerge w:val="continue"/>
                  <w:shd w:val="clear" w:color="auto" w:fill="auto"/>
                  <w:vAlign w:val="center"/>
                </w:tcPr>
                <w:p>
                  <w:pPr>
                    <w:widowControl/>
                    <w:jc w:val="center"/>
                    <w:rPr>
                      <w:rFonts w:hAnsi="宋体"/>
                      <w:kern w:val="0"/>
                    </w:rPr>
                  </w:pPr>
                </w:p>
              </w:tc>
              <w:tc>
                <w:tcPr>
                  <w:tcW w:w="220" w:type="pct"/>
                  <w:vMerge w:val="continue"/>
                  <w:shd w:val="clear" w:color="auto" w:fill="auto"/>
                  <w:noWrap/>
                  <w:vAlign w:val="center"/>
                </w:tcPr>
                <w:p>
                  <w:pPr>
                    <w:widowControl/>
                    <w:jc w:val="center"/>
                    <w:rPr>
                      <w:kern w:val="0"/>
                    </w:rPr>
                  </w:pPr>
                </w:p>
              </w:tc>
              <w:tc>
                <w:tcPr>
                  <w:tcW w:w="222" w:type="pct"/>
                  <w:vMerge w:val="continue"/>
                  <w:shd w:val="clear" w:color="auto" w:fill="auto"/>
                  <w:noWrap/>
                  <w:vAlign w:val="center"/>
                </w:tcPr>
                <w:p>
                  <w:pPr>
                    <w:widowControl/>
                    <w:jc w:val="center"/>
                    <w:rPr>
                      <w:kern w:val="0"/>
                    </w:rPr>
                  </w:pPr>
                </w:p>
              </w:tc>
              <w:tc>
                <w:tcPr>
                  <w:tcW w:w="220" w:type="pct"/>
                  <w:vMerge w:val="continue"/>
                  <w:shd w:val="clear" w:color="auto" w:fill="auto"/>
                  <w:noWrap/>
                  <w:vAlign w:val="center"/>
                </w:tcPr>
                <w:p>
                  <w:pPr>
                    <w:widowControl/>
                    <w:jc w:val="center"/>
                    <w:rPr>
                      <w:kern w:val="0"/>
                    </w:rPr>
                  </w:pPr>
                </w:p>
              </w:tc>
              <w:tc>
                <w:tcPr>
                  <w:tcW w:w="231" w:type="pct"/>
                  <w:shd w:val="clear" w:color="auto" w:fill="auto"/>
                  <w:noWrap/>
                  <w:vAlign w:val="center"/>
                </w:tcPr>
                <w:p>
                  <w:pPr>
                    <w:widowControl/>
                    <w:jc w:val="center"/>
                    <w:rPr>
                      <w:kern w:val="0"/>
                    </w:rPr>
                  </w:pPr>
                  <w:r>
                    <w:rPr>
                      <w:rFonts w:hAnsi="宋体"/>
                      <w:kern w:val="0"/>
                    </w:rPr>
                    <w:t>南</w:t>
                  </w:r>
                </w:p>
              </w:tc>
              <w:tc>
                <w:tcPr>
                  <w:tcW w:w="281" w:type="pct"/>
                  <w:shd w:val="clear" w:color="auto" w:fill="auto"/>
                  <w:noWrap/>
                  <w:vAlign w:val="center"/>
                </w:tcPr>
                <w:p>
                  <w:pPr>
                    <w:widowControl/>
                    <w:jc w:val="center"/>
                    <w:rPr>
                      <w:kern w:val="0"/>
                    </w:rPr>
                  </w:pPr>
                  <w:r>
                    <w:rPr>
                      <w:rFonts w:hint="eastAsia"/>
                    </w:rPr>
                    <w:t>20</w:t>
                  </w:r>
                </w:p>
              </w:tc>
              <w:tc>
                <w:tcPr>
                  <w:tcW w:w="296" w:type="pct"/>
                  <w:shd w:val="clear" w:color="auto" w:fill="auto"/>
                  <w:noWrap/>
                  <w:vAlign w:val="center"/>
                </w:tcPr>
                <w:p>
                  <w:pPr>
                    <w:widowControl/>
                    <w:jc w:val="center"/>
                    <w:rPr>
                      <w:kern w:val="0"/>
                    </w:rPr>
                  </w:pPr>
                  <w:r>
                    <w:rPr>
                      <w:kern w:val="0"/>
                    </w:rPr>
                    <w:t>68</w:t>
                  </w:r>
                </w:p>
              </w:tc>
              <w:tc>
                <w:tcPr>
                  <w:tcW w:w="252" w:type="pct"/>
                  <w:vMerge w:val="continue"/>
                  <w:shd w:val="clear" w:color="auto" w:fill="auto"/>
                  <w:noWrap/>
                  <w:vAlign w:val="center"/>
                </w:tcPr>
                <w:p>
                  <w:pPr>
                    <w:widowControl/>
                    <w:jc w:val="center"/>
                    <w:rPr>
                      <w:rFonts w:hAnsi="宋体"/>
                      <w:kern w:val="0"/>
                    </w:rPr>
                  </w:pPr>
                </w:p>
              </w:tc>
              <w:tc>
                <w:tcPr>
                  <w:tcW w:w="296" w:type="pct"/>
                  <w:vMerge w:val="continue"/>
                  <w:shd w:val="clear" w:color="auto" w:fill="auto"/>
                  <w:noWrap/>
                  <w:vAlign w:val="center"/>
                </w:tcPr>
                <w:p>
                  <w:pPr>
                    <w:widowControl/>
                    <w:jc w:val="center"/>
                    <w:rPr>
                      <w:kern w:val="0"/>
                    </w:rPr>
                  </w:pPr>
                </w:p>
              </w:tc>
              <w:tc>
                <w:tcPr>
                  <w:tcW w:w="296" w:type="pct"/>
                  <w:shd w:val="clear" w:color="auto" w:fill="auto"/>
                  <w:noWrap/>
                  <w:vAlign w:val="center"/>
                </w:tcPr>
                <w:p>
                  <w:pPr>
                    <w:widowControl/>
                    <w:jc w:val="center"/>
                    <w:rPr>
                      <w:kern w:val="0"/>
                    </w:rPr>
                  </w:pPr>
                  <w:r>
                    <w:rPr>
                      <w:rFonts w:hint="eastAsia"/>
                    </w:rPr>
                    <w:t>58</w:t>
                  </w:r>
                </w:p>
              </w:tc>
              <w:tc>
                <w:tcPr>
                  <w:tcW w:w="199" w:type="pct"/>
                  <w:vMerge w:val="continue"/>
                  <w:shd w:val="clear" w:color="auto" w:fill="auto"/>
                  <w:noWrap/>
                  <w:vAlign w:val="center"/>
                </w:tcPr>
                <w:p>
                  <w:pPr>
                    <w:widowControl/>
                    <w:jc w:val="center"/>
                    <w:rPr>
                      <w:kern w:val="0"/>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113" w:hRule="atLeast"/>
              </w:trPr>
              <w:tc>
                <w:tcPr>
                  <w:tcW w:w="160" w:type="pct"/>
                  <w:vMerge w:val="continue"/>
                  <w:shd w:val="clear" w:color="auto" w:fill="auto"/>
                  <w:vAlign w:val="center"/>
                </w:tcPr>
                <w:p>
                  <w:pPr>
                    <w:widowControl/>
                    <w:jc w:val="center"/>
                    <w:rPr>
                      <w:kern w:val="0"/>
                    </w:rPr>
                  </w:pPr>
                </w:p>
              </w:tc>
              <w:tc>
                <w:tcPr>
                  <w:tcW w:w="314" w:type="pct"/>
                  <w:vMerge w:val="continue"/>
                  <w:vAlign w:val="center"/>
                </w:tcPr>
                <w:p>
                  <w:pPr>
                    <w:widowControl/>
                    <w:jc w:val="center"/>
                    <w:rPr>
                      <w:bCs/>
                      <w:kern w:val="0"/>
                    </w:rPr>
                  </w:pPr>
                </w:p>
              </w:tc>
              <w:tc>
                <w:tcPr>
                  <w:tcW w:w="314" w:type="pct"/>
                  <w:vMerge w:val="continue"/>
                  <w:shd w:val="clear" w:color="auto" w:fill="auto"/>
                  <w:vAlign w:val="center"/>
                </w:tcPr>
                <w:p>
                  <w:pPr>
                    <w:widowControl/>
                    <w:jc w:val="center"/>
                    <w:rPr>
                      <w:bCs/>
                      <w:kern w:val="0"/>
                    </w:rPr>
                  </w:pPr>
                </w:p>
              </w:tc>
              <w:tc>
                <w:tcPr>
                  <w:tcW w:w="346" w:type="pct"/>
                  <w:vMerge w:val="continue"/>
                  <w:vAlign w:val="center"/>
                </w:tcPr>
                <w:p>
                  <w:pPr>
                    <w:widowControl/>
                    <w:ind w:left="-63" w:leftChars="-30" w:right="-63" w:rightChars="-30"/>
                    <w:jc w:val="center"/>
                    <w:rPr>
                      <w:kern w:val="0"/>
                    </w:rPr>
                  </w:pPr>
                </w:p>
              </w:tc>
              <w:tc>
                <w:tcPr>
                  <w:tcW w:w="317" w:type="pct"/>
                  <w:vMerge w:val="continue"/>
                  <w:vAlign w:val="center"/>
                </w:tcPr>
                <w:p>
                  <w:pPr>
                    <w:widowControl/>
                    <w:jc w:val="center"/>
                    <w:rPr>
                      <w:kern w:val="0"/>
                    </w:rPr>
                  </w:pPr>
                </w:p>
              </w:tc>
              <w:tc>
                <w:tcPr>
                  <w:tcW w:w="306" w:type="pct"/>
                  <w:vMerge w:val="continue"/>
                  <w:shd w:val="clear" w:color="auto" w:fill="auto"/>
                  <w:noWrap/>
                  <w:vAlign w:val="center"/>
                </w:tcPr>
                <w:p>
                  <w:pPr>
                    <w:widowControl/>
                    <w:jc w:val="center"/>
                    <w:rPr>
                      <w:kern w:val="0"/>
                    </w:rPr>
                  </w:pPr>
                </w:p>
              </w:tc>
              <w:tc>
                <w:tcPr>
                  <w:tcW w:w="730" w:type="pct"/>
                  <w:vMerge w:val="continue"/>
                  <w:shd w:val="clear" w:color="auto" w:fill="auto"/>
                  <w:vAlign w:val="center"/>
                </w:tcPr>
                <w:p>
                  <w:pPr>
                    <w:widowControl/>
                    <w:jc w:val="center"/>
                    <w:rPr>
                      <w:rFonts w:hAnsi="宋体"/>
                      <w:kern w:val="0"/>
                    </w:rPr>
                  </w:pPr>
                </w:p>
              </w:tc>
              <w:tc>
                <w:tcPr>
                  <w:tcW w:w="220" w:type="pct"/>
                  <w:vMerge w:val="continue"/>
                  <w:shd w:val="clear" w:color="auto" w:fill="auto"/>
                  <w:noWrap/>
                  <w:vAlign w:val="center"/>
                </w:tcPr>
                <w:p>
                  <w:pPr>
                    <w:widowControl/>
                    <w:jc w:val="center"/>
                    <w:rPr>
                      <w:kern w:val="0"/>
                    </w:rPr>
                  </w:pPr>
                </w:p>
              </w:tc>
              <w:tc>
                <w:tcPr>
                  <w:tcW w:w="222" w:type="pct"/>
                  <w:vMerge w:val="continue"/>
                  <w:shd w:val="clear" w:color="auto" w:fill="auto"/>
                  <w:noWrap/>
                  <w:vAlign w:val="center"/>
                </w:tcPr>
                <w:p>
                  <w:pPr>
                    <w:widowControl/>
                    <w:jc w:val="center"/>
                    <w:rPr>
                      <w:kern w:val="0"/>
                    </w:rPr>
                  </w:pPr>
                </w:p>
              </w:tc>
              <w:tc>
                <w:tcPr>
                  <w:tcW w:w="220" w:type="pct"/>
                  <w:vMerge w:val="continue"/>
                  <w:shd w:val="clear" w:color="auto" w:fill="auto"/>
                  <w:noWrap/>
                  <w:vAlign w:val="center"/>
                </w:tcPr>
                <w:p>
                  <w:pPr>
                    <w:widowControl/>
                    <w:jc w:val="center"/>
                    <w:rPr>
                      <w:kern w:val="0"/>
                    </w:rPr>
                  </w:pPr>
                </w:p>
              </w:tc>
              <w:tc>
                <w:tcPr>
                  <w:tcW w:w="231" w:type="pct"/>
                  <w:shd w:val="clear" w:color="auto" w:fill="auto"/>
                  <w:noWrap/>
                  <w:vAlign w:val="center"/>
                </w:tcPr>
                <w:p>
                  <w:pPr>
                    <w:widowControl/>
                    <w:jc w:val="center"/>
                    <w:rPr>
                      <w:kern w:val="0"/>
                    </w:rPr>
                  </w:pPr>
                  <w:r>
                    <w:rPr>
                      <w:rFonts w:hAnsi="宋体"/>
                      <w:kern w:val="0"/>
                    </w:rPr>
                    <w:t>西</w:t>
                  </w:r>
                </w:p>
              </w:tc>
              <w:tc>
                <w:tcPr>
                  <w:tcW w:w="281" w:type="pct"/>
                  <w:shd w:val="clear" w:color="auto" w:fill="auto"/>
                  <w:noWrap/>
                  <w:vAlign w:val="center"/>
                </w:tcPr>
                <w:p>
                  <w:pPr>
                    <w:widowControl/>
                    <w:jc w:val="center"/>
                    <w:rPr>
                      <w:kern w:val="0"/>
                    </w:rPr>
                  </w:pPr>
                  <w:r>
                    <w:rPr>
                      <w:rFonts w:hint="eastAsia"/>
                    </w:rPr>
                    <w:t>35</w:t>
                  </w:r>
                </w:p>
              </w:tc>
              <w:tc>
                <w:tcPr>
                  <w:tcW w:w="296" w:type="pct"/>
                  <w:shd w:val="clear" w:color="auto" w:fill="auto"/>
                  <w:noWrap/>
                  <w:vAlign w:val="center"/>
                </w:tcPr>
                <w:p>
                  <w:pPr>
                    <w:widowControl/>
                    <w:jc w:val="center"/>
                    <w:rPr>
                      <w:kern w:val="0"/>
                    </w:rPr>
                  </w:pPr>
                  <w:r>
                    <w:rPr>
                      <w:kern w:val="0"/>
                    </w:rPr>
                    <w:t>66</w:t>
                  </w:r>
                </w:p>
              </w:tc>
              <w:tc>
                <w:tcPr>
                  <w:tcW w:w="252" w:type="pct"/>
                  <w:vMerge w:val="continue"/>
                  <w:shd w:val="clear" w:color="auto" w:fill="auto"/>
                  <w:noWrap/>
                  <w:vAlign w:val="center"/>
                </w:tcPr>
                <w:p>
                  <w:pPr>
                    <w:widowControl/>
                    <w:jc w:val="center"/>
                    <w:rPr>
                      <w:rFonts w:hAnsi="宋体"/>
                      <w:kern w:val="0"/>
                    </w:rPr>
                  </w:pPr>
                </w:p>
              </w:tc>
              <w:tc>
                <w:tcPr>
                  <w:tcW w:w="296" w:type="pct"/>
                  <w:vMerge w:val="continue"/>
                  <w:shd w:val="clear" w:color="auto" w:fill="auto"/>
                  <w:noWrap/>
                  <w:vAlign w:val="center"/>
                </w:tcPr>
                <w:p>
                  <w:pPr>
                    <w:widowControl/>
                    <w:jc w:val="center"/>
                    <w:rPr>
                      <w:kern w:val="0"/>
                    </w:rPr>
                  </w:pPr>
                </w:p>
              </w:tc>
              <w:tc>
                <w:tcPr>
                  <w:tcW w:w="296" w:type="pct"/>
                  <w:shd w:val="clear" w:color="auto" w:fill="auto"/>
                  <w:noWrap/>
                  <w:vAlign w:val="center"/>
                </w:tcPr>
                <w:p>
                  <w:pPr>
                    <w:widowControl/>
                    <w:jc w:val="center"/>
                    <w:rPr>
                      <w:kern w:val="0"/>
                    </w:rPr>
                  </w:pPr>
                  <w:r>
                    <w:rPr>
                      <w:rFonts w:hint="eastAsia"/>
                    </w:rPr>
                    <w:t>56</w:t>
                  </w:r>
                </w:p>
              </w:tc>
              <w:tc>
                <w:tcPr>
                  <w:tcW w:w="199" w:type="pct"/>
                  <w:vMerge w:val="continue"/>
                  <w:shd w:val="clear" w:color="auto" w:fill="auto"/>
                  <w:noWrap/>
                  <w:vAlign w:val="center"/>
                </w:tcPr>
                <w:p>
                  <w:pPr>
                    <w:widowControl/>
                    <w:jc w:val="center"/>
                    <w:rPr>
                      <w:kern w:val="0"/>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113" w:hRule="atLeast"/>
              </w:trPr>
              <w:tc>
                <w:tcPr>
                  <w:tcW w:w="160" w:type="pct"/>
                  <w:vMerge w:val="continue"/>
                  <w:shd w:val="clear" w:color="auto" w:fill="auto"/>
                  <w:vAlign w:val="center"/>
                </w:tcPr>
                <w:p>
                  <w:pPr>
                    <w:widowControl/>
                    <w:jc w:val="center"/>
                    <w:rPr>
                      <w:kern w:val="0"/>
                    </w:rPr>
                  </w:pPr>
                </w:p>
              </w:tc>
              <w:tc>
                <w:tcPr>
                  <w:tcW w:w="314" w:type="pct"/>
                  <w:vMerge w:val="continue"/>
                  <w:vAlign w:val="center"/>
                </w:tcPr>
                <w:p>
                  <w:pPr>
                    <w:widowControl/>
                    <w:jc w:val="center"/>
                    <w:rPr>
                      <w:bCs/>
                      <w:kern w:val="0"/>
                    </w:rPr>
                  </w:pPr>
                </w:p>
              </w:tc>
              <w:tc>
                <w:tcPr>
                  <w:tcW w:w="314" w:type="pct"/>
                  <w:vMerge w:val="continue"/>
                  <w:shd w:val="clear" w:color="auto" w:fill="auto"/>
                  <w:vAlign w:val="center"/>
                </w:tcPr>
                <w:p>
                  <w:pPr>
                    <w:widowControl/>
                    <w:jc w:val="center"/>
                    <w:rPr>
                      <w:bCs/>
                      <w:kern w:val="0"/>
                    </w:rPr>
                  </w:pPr>
                </w:p>
              </w:tc>
              <w:tc>
                <w:tcPr>
                  <w:tcW w:w="346" w:type="pct"/>
                  <w:vMerge w:val="continue"/>
                  <w:vAlign w:val="center"/>
                </w:tcPr>
                <w:p>
                  <w:pPr>
                    <w:widowControl/>
                    <w:ind w:left="-63" w:leftChars="-30" w:right="-63" w:rightChars="-30"/>
                    <w:jc w:val="center"/>
                    <w:rPr>
                      <w:kern w:val="0"/>
                    </w:rPr>
                  </w:pPr>
                </w:p>
              </w:tc>
              <w:tc>
                <w:tcPr>
                  <w:tcW w:w="317" w:type="pct"/>
                  <w:vMerge w:val="continue"/>
                  <w:vAlign w:val="center"/>
                </w:tcPr>
                <w:p>
                  <w:pPr>
                    <w:widowControl/>
                    <w:jc w:val="center"/>
                    <w:rPr>
                      <w:kern w:val="0"/>
                    </w:rPr>
                  </w:pPr>
                </w:p>
              </w:tc>
              <w:tc>
                <w:tcPr>
                  <w:tcW w:w="306" w:type="pct"/>
                  <w:vMerge w:val="continue"/>
                  <w:shd w:val="clear" w:color="auto" w:fill="auto"/>
                  <w:noWrap/>
                  <w:vAlign w:val="center"/>
                </w:tcPr>
                <w:p>
                  <w:pPr>
                    <w:widowControl/>
                    <w:jc w:val="center"/>
                    <w:rPr>
                      <w:kern w:val="0"/>
                    </w:rPr>
                  </w:pPr>
                </w:p>
              </w:tc>
              <w:tc>
                <w:tcPr>
                  <w:tcW w:w="730" w:type="pct"/>
                  <w:vMerge w:val="continue"/>
                  <w:shd w:val="clear" w:color="auto" w:fill="auto"/>
                  <w:vAlign w:val="center"/>
                </w:tcPr>
                <w:p>
                  <w:pPr>
                    <w:widowControl/>
                    <w:jc w:val="center"/>
                    <w:rPr>
                      <w:rFonts w:hAnsi="宋体"/>
                      <w:kern w:val="0"/>
                    </w:rPr>
                  </w:pPr>
                </w:p>
              </w:tc>
              <w:tc>
                <w:tcPr>
                  <w:tcW w:w="220" w:type="pct"/>
                  <w:vMerge w:val="continue"/>
                  <w:shd w:val="clear" w:color="auto" w:fill="auto"/>
                  <w:noWrap/>
                  <w:vAlign w:val="center"/>
                </w:tcPr>
                <w:p>
                  <w:pPr>
                    <w:widowControl/>
                    <w:jc w:val="center"/>
                    <w:rPr>
                      <w:kern w:val="0"/>
                    </w:rPr>
                  </w:pPr>
                </w:p>
              </w:tc>
              <w:tc>
                <w:tcPr>
                  <w:tcW w:w="222" w:type="pct"/>
                  <w:vMerge w:val="continue"/>
                  <w:shd w:val="clear" w:color="auto" w:fill="auto"/>
                  <w:noWrap/>
                  <w:vAlign w:val="center"/>
                </w:tcPr>
                <w:p>
                  <w:pPr>
                    <w:widowControl/>
                    <w:jc w:val="center"/>
                    <w:rPr>
                      <w:kern w:val="0"/>
                    </w:rPr>
                  </w:pPr>
                </w:p>
              </w:tc>
              <w:tc>
                <w:tcPr>
                  <w:tcW w:w="220" w:type="pct"/>
                  <w:vMerge w:val="continue"/>
                  <w:shd w:val="clear" w:color="auto" w:fill="auto"/>
                  <w:noWrap/>
                  <w:vAlign w:val="center"/>
                </w:tcPr>
                <w:p>
                  <w:pPr>
                    <w:widowControl/>
                    <w:jc w:val="center"/>
                    <w:rPr>
                      <w:kern w:val="0"/>
                    </w:rPr>
                  </w:pPr>
                </w:p>
              </w:tc>
              <w:tc>
                <w:tcPr>
                  <w:tcW w:w="231" w:type="pct"/>
                  <w:shd w:val="clear" w:color="auto" w:fill="auto"/>
                  <w:noWrap/>
                  <w:vAlign w:val="center"/>
                </w:tcPr>
                <w:p>
                  <w:pPr>
                    <w:widowControl/>
                    <w:jc w:val="center"/>
                    <w:rPr>
                      <w:kern w:val="0"/>
                    </w:rPr>
                  </w:pPr>
                  <w:r>
                    <w:rPr>
                      <w:rFonts w:hAnsi="宋体"/>
                      <w:kern w:val="0"/>
                    </w:rPr>
                    <w:t>北</w:t>
                  </w:r>
                </w:p>
              </w:tc>
              <w:tc>
                <w:tcPr>
                  <w:tcW w:w="281" w:type="pct"/>
                  <w:shd w:val="clear" w:color="auto" w:fill="auto"/>
                  <w:noWrap/>
                  <w:vAlign w:val="center"/>
                </w:tcPr>
                <w:p>
                  <w:pPr>
                    <w:widowControl/>
                    <w:jc w:val="center"/>
                    <w:rPr>
                      <w:kern w:val="0"/>
                    </w:rPr>
                  </w:pPr>
                  <w:r>
                    <w:rPr>
                      <w:rFonts w:hint="eastAsia"/>
                    </w:rPr>
                    <w:t>4</w:t>
                  </w:r>
                </w:p>
              </w:tc>
              <w:tc>
                <w:tcPr>
                  <w:tcW w:w="296" w:type="pct"/>
                  <w:shd w:val="clear" w:color="auto" w:fill="auto"/>
                  <w:noWrap/>
                  <w:vAlign w:val="center"/>
                </w:tcPr>
                <w:p>
                  <w:pPr>
                    <w:widowControl/>
                    <w:jc w:val="center"/>
                    <w:rPr>
                      <w:kern w:val="0"/>
                    </w:rPr>
                  </w:pPr>
                  <w:r>
                    <w:rPr>
                      <w:kern w:val="0"/>
                    </w:rPr>
                    <w:t>70</w:t>
                  </w:r>
                </w:p>
              </w:tc>
              <w:tc>
                <w:tcPr>
                  <w:tcW w:w="252" w:type="pct"/>
                  <w:vMerge w:val="continue"/>
                  <w:shd w:val="clear" w:color="auto" w:fill="auto"/>
                  <w:noWrap/>
                  <w:vAlign w:val="center"/>
                </w:tcPr>
                <w:p>
                  <w:pPr>
                    <w:widowControl/>
                    <w:jc w:val="center"/>
                    <w:rPr>
                      <w:rFonts w:hAnsi="宋体"/>
                      <w:kern w:val="0"/>
                    </w:rPr>
                  </w:pPr>
                </w:p>
              </w:tc>
              <w:tc>
                <w:tcPr>
                  <w:tcW w:w="296" w:type="pct"/>
                  <w:vMerge w:val="continue"/>
                  <w:shd w:val="clear" w:color="auto" w:fill="auto"/>
                  <w:noWrap/>
                  <w:vAlign w:val="center"/>
                </w:tcPr>
                <w:p>
                  <w:pPr>
                    <w:widowControl/>
                    <w:jc w:val="center"/>
                    <w:rPr>
                      <w:kern w:val="0"/>
                    </w:rPr>
                  </w:pPr>
                </w:p>
              </w:tc>
              <w:tc>
                <w:tcPr>
                  <w:tcW w:w="296" w:type="pct"/>
                  <w:shd w:val="clear" w:color="auto" w:fill="auto"/>
                  <w:noWrap/>
                  <w:vAlign w:val="center"/>
                </w:tcPr>
                <w:p>
                  <w:pPr>
                    <w:widowControl/>
                    <w:jc w:val="center"/>
                    <w:rPr>
                      <w:kern w:val="0"/>
                    </w:rPr>
                  </w:pPr>
                  <w:r>
                    <w:rPr>
                      <w:rFonts w:hint="eastAsia"/>
                    </w:rPr>
                    <w:t>60</w:t>
                  </w:r>
                </w:p>
              </w:tc>
              <w:tc>
                <w:tcPr>
                  <w:tcW w:w="199" w:type="pct"/>
                  <w:vMerge w:val="continue"/>
                  <w:shd w:val="clear" w:color="auto" w:fill="auto"/>
                  <w:noWrap/>
                  <w:vAlign w:val="center"/>
                </w:tcPr>
                <w:p>
                  <w:pPr>
                    <w:widowControl/>
                    <w:jc w:val="center"/>
                    <w:rPr>
                      <w:kern w:val="0"/>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113" w:hRule="atLeast"/>
              </w:trPr>
              <w:tc>
                <w:tcPr>
                  <w:tcW w:w="160" w:type="pct"/>
                  <w:vMerge w:val="restart"/>
                  <w:shd w:val="clear" w:color="auto" w:fill="auto"/>
                  <w:vAlign w:val="center"/>
                </w:tcPr>
                <w:p>
                  <w:pPr>
                    <w:widowControl/>
                    <w:jc w:val="center"/>
                    <w:rPr>
                      <w:kern w:val="0"/>
                    </w:rPr>
                  </w:pPr>
                  <w:r>
                    <w:rPr>
                      <w:kern w:val="0"/>
                    </w:rPr>
                    <w:t>2</w:t>
                  </w:r>
                </w:p>
              </w:tc>
              <w:tc>
                <w:tcPr>
                  <w:tcW w:w="314" w:type="pct"/>
                  <w:vMerge w:val="continue"/>
                  <w:vAlign w:val="center"/>
                </w:tcPr>
                <w:p>
                  <w:pPr>
                    <w:widowControl/>
                    <w:jc w:val="center"/>
                    <w:rPr>
                      <w:bCs/>
                      <w:kern w:val="0"/>
                    </w:rPr>
                  </w:pPr>
                </w:p>
              </w:tc>
              <w:tc>
                <w:tcPr>
                  <w:tcW w:w="314" w:type="pct"/>
                  <w:vMerge w:val="restart"/>
                  <w:shd w:val="clear" w:color="auto" w:fill="auto"/>
                  <w:vAlign w:val="center"/>
                </w:tcPr>
                <w:p>
                  <w:pPr>
                    <w:widowControl/>
                    <w:jc w:val="center"/>
                    <w:rPr>
                      <w:bCs/>
                      <w:kern w:val="0"/>
                    </w:rPr>
                  </w:pPr>
                  <w:r>
                    <w:rPr>
                      <w:rFonts w:hint="eastAsia"/>
                      <w:bCs/>
                      <w:kern w:val="0"/>
                    </w:rPr>
                    <w:t>搅拌机</w:t>
                  </w:r>
                </w:p>
              </w:tc>
              <w:tc>
                <w:tcPr>
                  <w:tcW w:w="346" w:type="pct"/>
                  <w:vMerge w:val="restart"/>
                  <w:vAlign w:val="center"/>
                </w:tcPr>
                <w:p>
                  <w:pPr>
                    <w:widowControl/>
                    <w:ind w:left="-63" w:leftChars="-30" w:right="-63" w:rightChars="-30"/>
                    <w:jc w:val="center"/>
                    <w:rPr>
                      <w:kern w:val="0"/>
                    </w:rPr>
                  </w:pPr>
                  <w:r>
                    <w:rPr>
                      <w:rFonts w:hint="eastAsia"/>
                      <w:kern w:val="0"/>
                    </w:rPr>
                    <w:t>/</w:t>
                  </w:r>
                </w:p>
              </w:tc>
              <w:tc>
                <w:tcPr>
                  <w:tcW w:w="317" w:type="pct"/>
                  <w:vMerge w:val="restart"/>
                  <w:vAlign w:val="center"/>
                </w:tcPr>
                <w:p>
                  <w:pPr>
                    <w:widowControl/>
                    <w:jc w:val="center"/>
                    <w:rPr>
                      <w:kern w:val="0"/>
                    </w:rPr>
                  </w:pPr>
                  <w:r>
                    <w:rPr>
                      <w:rFonts w:hint="eastAsia"/>
                      <w:kern w:val="0"/>
                    </w:rPr>
                    <w:t>6</w:t>
                  </w:r>
                </w:p>
              </w:tc>
              <w:tc>
                <w:tcPr>
                  <w:tcW w:w="306" w:type="pct"/>
                  <w:vMerge w:val="restart"/>
                  <w:shd w:val="clear" w:color="auto" w:fill="auto"/>
                  <w:noWrap/>
                  <w:vAlign w:val="center"/>
                </w:tcPr>
                <w:p>
                  <w:pPr>
                    <w:widowControl/>
                    <w:jc w:val="center"/>
                    <w:rPr>
                      <w:kern w:val="0"/>
                    </w:rPr>
                  </w:pPr>
                  <w:r>
                    <w:rPr>
                      <w:kern w:val="0"/>
                    </w:rPr>
                    <w:t>65~75</w:t>
                  </w:r>
                </w:p>
              </w:tc>
              <w:tc>
                <w:tcPr>
                  <w:tcW w:w="730" w:type="pct"/>
                  <w:vMerge w:val="restart"/>
                  <w:shd w:val="clear" w:color="auto" w:fill="auto"/>
                  <w:vAlign w:val="center"/>
                </w:tcPr>
                <w:p>
                  <w:pPr>
                    <w:widowControl/>
                    <w:jc w:val="center"/>
                    <w:rPr>
                      <w:rFonts w:hAnsi="宋体"/>
                      <w:kern w:val="0"/>
                    </w:rPr>
                  </w:pPr>
                  <w:r>
                    <w:rPr>
                      <w:kern w:val="0"/>
                    </w:rPr>
                    <w:t>基础减振、建筑隔声，降噪10-15dB(A)</w:t>
                  </w:r>
                </w:p>
              </w:tc>
              <w:tc>
                <w:tcPr>
                  <w:tcW w:w="220" w:type="pct"/>
                  <w:vMerge w:val="restart"/>
                  <w:shd w:val="clear" w:color="auto" w:fill="auto"/>
                  <w:noWrap/>
                  <w:vAlign w:val="center"/>
                </w:tcPr>
                <w:p>
                  <w:pPr>
                    <w:widowControl/>
                    <w:jc w:val="center"/>
                    <w:rPr>
                      <w:kern w:val="0"/>
                    </w:rPr>
                  </w:pPr>
                  <w:r>
                    <w:rPr>
                      <w:rFonts w:hint="eastAsia"/>
                      <w:kern w:val="0"/>
                    </w:rPr>
                    <w:t>1</w:t>
                  </w:r>
                  <w:r>
                    <w:rPr>
                      <w:kern w:val="0"/>
                    </w:rPr>
                    <w:t>1</w:t>
                  </w:r>
                </w:p>
              </w:tc>
              <w:tc>
                <w:tcPr>
                  <w:tcW w:w="222" w:type="pct"/>
                  <w:vMerge w:val="restart"/>
                  <w:shd w:val="clear" w:color="auto" w:fill="auto"/>
                  <w:noWrap/>
                  <w:vAlign w:val="center"/>
                </w:tcPr>
                <w:p>
                  <w:pPr>
                    <w:widowControl/>
                    <w:jc w:val="center"/>
                    <w:rPr>
                      <w:kern w:val="0"/>
                    </w:rPr>
                  </w:pPr>
                  <w:r>
                    <w:rPr>
                      <w:rFonts w:hint="eastAsia"/>
                      <w:kern w:val="0"/>
                    </w:rPr>
                    <w:t>1</w:t>
                  </w:r>
                  <w:r>
                    <w:rPr>
                      <w:kern w:val="0"/>
                    </w:rPr>
                    <w:t>0</w:t>
                  </w:r>
                </w:p>
              </w:tc>
              <w:tc>
                <w:tcPr>
                  <w:tcW w:w="220" w:type="pct"/>
                  <w:vMerge w:val="restart"/>
                  <w:shd w:val="clear" w:color="auto" w:fill="auto"/>
                  <w:noWrap/>
                  <w:vAlign w:val="center"/>
                </w:tcPr>
                <w:p>
                  <w:pPr>
                    <w:widowControl/>
                    <w:jc w:val="center"/>
                    <w:rPr>
                      <w:kern w:val="0"/>
                    </w:rPr>
                  </w:pPr>
                  <w:r>
                    <w:rPr>
                      <w:rFonts w:hint="eastAsia"/>
                      <w:kern w:val="0"/>
                    </w:rPr>
                    <w:t>0</w:t>
                  </w:r>
                </w:p>
              </w:tc>
              <w:tc>
                <w:tcPr>
                  <w:tcW w:w="231" w:type="pct"/>
                  <w:shd w:val="clear" w:color="auto" w:fill="auto"/>
                  <w:noWrap/>
                  <w:vAlign w:val="center"/>
                </w:tcPr>
                <w:p>
                  <w:pPr>
                    <w:widowControl/>
                    <w:jc w:val="center"/>
                    <w:rPr>
                      <w:rFonts w:hAnsi="宋体"/>
                      <w:kern w:val="0"/>
                    </w:rPr>
                  </w:pPr>
                  <w:r>
                    <w:rPr>
                      <w:rFonts w:hAnsi="宋体"/>
                      <w:kern w:val="0"/>
                    </w:rPr>
                    <w:t>东</w:t>
                  </w:r>
                </w:p>
              </w:tc>
              <w:tc>
                <w:tcPr>
                  <w:tcW w:w="281" w:type="pct"/>
                  <w:shd w:val="clear" w:color="auto" w:fill="auto"/>
                  <w:noWrap/>
                  <w:vAlign w:val="center"/>
                </w:tcPr>
                <w:p>
                  <w:pPr>
                    <w:widowControl/>
                    <w:jc w:val="center"/>
                  </w:pPr>
                  <w:r>
                    <w:rPr>
                      <w:rFonts w:hint="eastAsia"/>
                    </w:rPr>
                    <w:t>6</w:t>
                  </w:r>
                  <w:r>
                    <w:t>0</w:t>
                  </w:r>
                </w:p>
              </w:tc>
              <w:tc>
                <w:tcPr>
                  <w:tcW w:w="296" w:type="pct"/>
                  <w:shd w:val="clear" w:color="auto" w:fill="auto"/>
                  <w:noWrap/>
                  <w:vAlign w:val="center"/>
                </w:tcPr>
                <w:p>
                  <w:pPr>
                    <w:widowControl/>
                    <w:jc w:val="center"/>
                  </w:pPr>
                  <w:r>
                    <w:rPr>
                      <w:rFonts w:hint="eastAsia"/>
                    </w:rPr>
                    <w:t>51</w:t>
                  </w:r>
                </w:p>
              </w:tc>
              <w:tc>
                <w:tcPr>
                  <w:tcW w:w="252" w:type="pct"/>
                  <w:vMerge w:val="restart"/>
                  <w:shd w:val="clear" w:color="auto" w:fill="auto"/>
                  <w:noWrap/>
                  <w:vAlign w:val="center"/>
                </w:tcPr>
                <w:p>
                  <w:pPr>
                    <w:widowControl/>
                    <w:jc w:val="center"/>
                    <w:rPr>
                      <w:rFonts w:hAnsi="宋体"/>
                      <w:kern w:val="0"/>
                    </w:rPr>
                  </w:pPr>
                  <w:r>
                    <w:rPr>
                      <w:rFonts w:hAnsi="宋体"/>
                      <w:kern w:val="0"/>
                    </w:rPr>
                    <w:t>昼</w:t>
                  </w:r>
                  <w:r>
                    <w:rPr>
                      <w:rFonts w:hint="eastAsia" w:hAnsi="宋体"/>
                      <w:kern w:val="0"/>
                    </w:rPr>
                    <w:t>间</w:t>
                  </w:r>
                </w:p>
              </w:tc>
              <w:tc>
                <w:tcPr>
                  <w:tcW w:w="296" w:type="pct"/>
                  <w:vMerge w:val="restart"/>
                  <w:shd w:val="clear" w:color="auto" w:fill="auto"/>
                  <w:noWrap/>
                  <w:vAlign w:val="center"/>
                </w:tcPr>
                <w:p>
                  <w:pPr>
                    <w:widowControl/>
                    <w:jc w:val="center"/>
                    <w:rPr>
                      <w:kern w:val="0"/>
                    </w:rPr>
                  </w:pPr>
                  <w:r>
                    <w:rPr>
                      <w:rFonts w:hint="eastAsia"/>
                      <w:kern w:val="0"/>
                    </w:rPr>
                    <w:t>1</w:t>
                  </w:r>
                  <w:r>
                    <w:rPr>
                      <w:kern w:val="0"/>
                    </w:rPr>
                    <w:t>5</w:t>
                  </w:r>
                </w:p>
              </w:tc>
              <w:tc>
                <w:tcPr>
                  <w:tcW w:w="296" w:type="pct"/>
                  <w:shd w:val="clear" w:color="auto" w:fill="auto"/>
                  <w:noWrap/>
                  <w:vAlign w:val="center"/>
                </w:tcPr>
                <w:p>
                  <w:pPr>
                    <w:widowControl/>
                    <w:jc w:val="center"/>
                  </w:pPr>
                </w:p>
              </w:tc>
              <w:tc>
                <w:tcPr>
                  <w:tcW w:w="199" w:type="pct"/>
                  <w:vMerge w:val="restart"/>
                  <w:shd w:val="clear" w:color="auto" w:fill="auto"/>
                  <w:noWrap/>
                  <w:vAlign w:val="center"/>
                </w:tcPr>
                <w:p>
                  <w:pPr>
                    <w:widowControl/>
                    <w:jc w:val="center"/>
                    <w:rPr>
                      <w:kern w:val="0"/>
                    </w:rPr>
                  </w:pPr>
                  <w:r>
                    <w:rPr>
                      <w:rFonts w:hint="eastAsia"/>
                      <w:kern w:val="0"/>
                    </w:rPr>
                    <w:t>1m</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113" w:hRule="atLeast"/>
              </w:trPr>
              <w:tc>
                <w:tcPr>
                  <w:tcW w:w="160" w:type="pct"/>
                  <w:vMerge w:val="continue"/>
                  <w:shd w:val="clear" w:color="auto" w:fill="auto"/>
                  <w:vAlign w:val="center"/>
                </w:tcPr>
                <w:p>
                  <w:pPr>
                    <w:widowControl/>
                    <w:jc w:val="center"/>
                    <w:rPr>
                      <w:kern w:val="0"/>
                    </w:rPr>
                  </w:pPr>
                </w:p>
              </w:tc>
              <w:tc>
                <w:tcPr>
                  <w:tcW w:w="314" w:type="pct"/>
                  <w:vMerge w:val="continue"/>
                  <w:vAlign w:val="center"/>
                </w:tcPr>
                <w:p>
                  <w:pPr>
                    <w:widowControl/>
                    <w:jc w:val="center"/>
                    <w:rPr>
                      <w:bCs/>
                      <w:kern w:val="0"/>
                    </w:rPr>
                  </w:pPr>
                </w:p>
              </w:tc>
              <w:tc>
                <w:tcPr>
                  <w:tcW w:w="314" w:type="pct"/>
                  <w:vMerge w:val="continue"/>
                  <w:shd w:val="clear" w:color="auto" w:fill="auto"/>
                  <w:vAlign w:val="center"/>
                </w:tcPr>
                <w:p>
                  <w:pPr>
                    <w:widowControl/>
                    <w:jc w:val="center"/>
                    <w:rPr>
                      <w:bCs/>
                      <w:kern w:val="0"/>
                    </w:rPr>
                  </w:pPr>
                </w:p>
              </w:tc>
              <w:tc>
                <w:tcPr>
                  <w:tcW w:w="346" w:type="pct"/>
                  <w:vMerge w:val="continue"/>
                  <w:vAlign w:val="center"/>
                </w:tcPr>
                <w:p>
                  <w:pPr>
                    <w:widowControl/>
                    <w:ind w:left="-63" w:leftChars="-30" w:right="-63" w:rightChars="-30"/>
                    <w:jc w:val="center"/>
                    <w:rPr>
                      <w:kern w:val="0"/>
                    </w:rPr>
                  </w:pPr>
                </w:p>
              </w:tc>
              <w:tc>
                <w:tcPr>
                  <w:tcW w:w="317" w:type="pct"/>
                  <w:vMerge w:val="continue"/>
                  <w:vAlign w:val="center"/>
                </w:tcPr>
                <w:p>
                  <w:pPr>
                    <w:widowControl/>
                    <w:jc w:val="center"/>
                    <w:rPr>
                      <w:kern w:val="0"/>
                    </w:rPr>
                  </w:pPr>
                </w:p>
              </w:tc>
              <w:tc>
                <w:tcPr>
                  <w:tcW w:w="306" w:type="pct"/>
                  <w:vMerge w:val="continue"/>
                  <w:shd w:val="clear" w:color="auto" w:fill="auto"/>
                  <w:noWrap/>
                  <w:vAlign w:val="center"/>
                </w:tcPr>
                <w:p>
                  <w:pPr>
                    <w:widowControl/>
                    <w:jc w:val="center"/>
                    <w:rPr>
                      <w:kern w:val="0"/>
                    </w:rPr>
                  </w:pPr>
                </w:p>
              </w:tc>
              <w:tc>
                <w:tcPr>
                  <w:tcW w:w="730" w:type="pct"/>
                  <w:vMerge w:val="continue"/>
                  <w:shd w:val="clear" w:color="auto" w:fill="auto"/>
                  <w:vAlign w:val="center"/>
                </w:tcPr>
                <w:p>
                  <w:pPr>
                    <w:widowControl/>
                    <w:jc w:val="center"/>
                    <w:rPr>
                      <w:rFonts w:hAnsi="宋体"/>
                      <w:kern w:val="0"/>
                    </w:rPr>
                  </w:pPr>
                </w:p>
              </w:tc>
              <w:tc>
                <w:tcPr>
                  <w:tcW w:w="220" w:type="pct"/>
                  <w:vMerge w:val="continue"/>
                  <w:shd w:val="clear" w:color="auto" w:fill="auto"/>
                  <w:noWrap/>
                  <w:vAlign w:val="center"/>
                </w:tcPr>
                <w:p>
                  <w:pPr>
                    <w:widowControl/>
                    <w:jc w:val="center"/>
                    <w:rPr>
                      <w:kern w:val="0"/>
                    </w:rPr>
                  </w:pPr>
                </w:p>
              </w:tc>
              <w:tc>
                <w:tcPr>
                  <w:tcW w:w="222" w:type="pct"/>
                  <w:vMerge w:val="continue"/>
                  <w:shd w:val="clear" w:color="auto" w:fill="auto"/>
                  <w:noWrap/>
                  <w:vAlign w:val="center"/>
                </w:tcPr>
                <w:p>
                  <w:pPr>
                    <w:widowControl/>
                    <w:jc w:val="center"/>
                    <w:rPr>
                      <w:kern w:val="0"/>
                    </w:rPr>
                  </w:pPr>
                </w:p>
              </w:tc>
              <w:tc>
                <w:tcPr>
                  <w:tcW w:w="220" w:type="pct"/>
                  <w:vMerge w:val="continue"/>
                  <w:shd w:val="clear" w:color="auto" w:fill="auto"/>
                  <w:noWrap/>
                  <w:vAlign w:val="center"/>
                </w:tcPr>
                <w:p>
                  <w:pPr>
                    <w:widowControl/>
                    <w:jc w:val="center"/>
                    <w:rPr>
                      <w:kern w:val="0"/>
                    </w:rPr>
                  </w:pPr>
                </w:p>
              </w:tc>
              <w:tc>
                <w:tcPr>
                  <w:tcW w:w="231" w:type="pct"/>
                  <w:shd w:val="clear" w:color="auto" w:fill="auto"/>
                  <w:noWrap/>
                  <w:vAlign w:val="center"/>
                </w:tcPr>
                <w:p>
                  <w:pPr>
                    <w:widowControl/>
                    <w:jc w:val="center"/>
                    <w:rPr>
                      <w:rFonts w:hAnsi="宋体"/>
                      <w:kern w:val="0"/>
                    </w:rPr>
                  </w:pPr>
                  <w:r>
                    <w:rPr>
                      <w:rFonts w:hAnsi="宋体"/>
                      <w:kern w:val="0"/>
                    </w:rPr>
                    <w:t>南</w:t>
                  </w:r>
                </w:p>
              </w:tc>
              <w:tc>
                <w:tcPr>
                  <w:tcW w:w="281" w:type="pct"/>
                  <w:shd w:val="clear" w:color="auto" w:fill="auto"/>
                  <w:noWrap/>
                  <w:vAlign w:val="center"/>
                </w:tcPr>
                <w:p>
                  <w:pPr>
                    <w:widowControl/>
                    <w:jc w:val="center"/>
                  </w:pPr>
                  <w:r>
                    <w:rPr>
                      <w:rFonts w:hint="eastAsia"/>
                    </w:rPr>
                    <w:t>2</w:t>
                  </w:r>
                  <w:r>
                    <w:t>2</w:t>
                  </w:r>
                </w:p>
              </w:tc>
              <w:tc>
                <w:tcPr>
                  <w:tcW w:w="296" w:type="pct"/>
                  <w:shd w:val="clear" w:color="auto" w:fill="auto"/>
                  <w:noWrap/>
                  <w:vAlign w:val="center"/>
                </w:tcPr>
                <w:p>
                  <w:pPr>
                    <w:widowControl/>
                    <w:jc w:val="center"/>
                  </w:pPr>
                  <w:r>
                    <w:rPr>
                      <w:rFonts w:hint="eastAsia"/>
                    </w:rPr>
                    <w:t>56</w:t>
                  </w:r>
                </w:p>
              </w:tc>
              <w:tc>
                <w:tcPr>
                  <w:tcW w:w="252" w:type="pct"/>
                  <w:vMerge w:val="continue"/>
                  <w:shd w:val="clear" w:color="auto" w:fill="auto"/>
                  <w:noWrap/>
                  <w:vAlign w:val="center"/>
                </w:tcPr>
                <w:p>
                  <w:pPr>
                    <w:widowControl/>
                    <w:jc w:val="center"/>
                    <w:rPr>
                      <w:rFonts w:hAnsi="宋体"/>
                      <w:kern w:val="0"/>
                    </w:rPr>
                  </w:pPr>
                </w:p>
              </w:tc>
              <w:tc>
                <w:tcPr>
                  <w:tcW w:w="296" w:type="pct"/>
                  <w:vMerge w:val="continue"/>
                  <w:shd w:val="clear" w:color="auto" w:fill="auto"/>
                  <w:noWrap/>
                  <w:vAlign w:val="center"/>
                </w:tcPr>
                <w:p>
                  <w:pPr>
                    <w:widowControl/>
                    <w:jc w:val="center"/>
                    <w:rPr>
                      <w:kern w:val="0"/>
                    </w:rPr>
                  </w:pPr>
                </w:p>
              </w:tc>
              <w:tc>
                <w:tcPr>
                  <w:tcW w:w="296" w:type="pct"/>
                  <w:shd w:val="clear" w:color="auto" w:fill="auto"/>
                  <w:noWrap/>
                  <w:vAlign w:val="center"/>
                </w:tcPr>
                <w:p>
                  <w:pPr>
                    <w:widowControl/>
                    <w:jc w:val="center"/>
                  </w:pPr>
                </w:p>
              </w:tc>
              <w:tc>
                <w:tcPr>
                  <w:tcW w:w="199" w:type="pct"/>
                  <w:vMerge w:val="continue"/>
                  <w:shd w:val="clear" w:color="auto" w:fill="auto"/>
                  <w:noWrap/>
                  <w:vAlign w:val="center"/>
                </w:tcPr>
                <w:p>
                  <w:pPr>
                    <w:widowControl/>
                    <w:jc w:val="center"/>
                    <w:rPr>
                      <w:kern w:val="0"/>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113" w:hRule="atLeast"/>
              </w:trPr>
              <w:tc>
                <w:tcPr>
                  <w:tcW w:w="160" w:type="pct"/>
                  <w:vMerge w:val="continue"/>
                  <w:shd w:val="clear" w:color="auto" w:fill="auto"/>
                  <w:vAlign w:val="center"/>
                </w:tcPr>
                <w:p>
                  <w:pPr>
                    <w:widowControl/>
                    <w:jc w:val="center"/>
                    <w:rPr>
                      <w:kern w:val="0"/>
                    </w:rPr>
                  </w:pPr>
                </w:p>
              </w:tc>
              <w:tc>
                <w:tcPr>
                  <w:tcW w:w="314" w:type="pct"/>
                  <w:vMerge w:val="continue"/>
                  <w:vAlign w:val="center"/>
                </w:tcPr>
                <w:p>
                  <w:pPr>
                    <w:widowControl/>
                    <w:jc w:val="center"/>
                    <w:rPr>
                      <w:bCs/>
                      <w:kern w:val="0"/>
                    </w:rPr>
                  </w:pPr>
                </w:p>
              </w:tc>
              <w:tc>
                <w:tcPr>
                  <w:tcW w:w="314" w:type="pct"/>
                  <w:vMerge w:val="continue"/>
                  <w:shd w:val="clear" w:color="auto" w:fill="auto"/>
                  <w:vAlign w:val="center"/>
                </w:tcPr>
                <w:p>
                  <w:pPr>
                    <w:widowControl/>
                    <w:jc w:val="center"/>
                    <w:rPr>
                      <w:bCs/>
                      <w:kern w:val="0"/>
                    </w:rPr>
                  </w:pPr>
                </w:p>
              </w:tc>
              <w:tc>
                <w:tcPr>
                  <w:tcW w:w="346" w:type="pct"/>
                  <w:vMerge w:val="continue"/>
                  <w:vAlign w:val="center"/>
                </w:tcPr>
                <w:p>
                  <w:pPr>
                    <w:widowControl/>
                    <w:ind w:left="-63" w:leftChars="-30" w:right="-63" w:rightChars="-30"/>
                    <w:jc w:val="center"/>
                    <w:rPr>
                      <w:kern w:val="0"/>
                    </w:rPr>
                  </w:pPr>
                </w:p>
              </w:tc>
              <w:tc>
                <w:tcPr>
                  <w:tcW w:w="317" w:type="pct"/>
                  <w:vMerge w:val="continue"/>
                  <w:vAlign w:val="center"/>
                </w:tcPr>
                <w:p>
                  <w:pPr>
                    <w:widowControl/>
                    <w:jc w:val="center"/>
                    <w:rPr>
                      <w:kern w:val="0"/>
                    </w:rPr>
                  </w:pPr>
                </w:p>
              </w:tc>
              <w:tc>
                <w:tcPr>
                  <w:tcW w:w="306" w:type="pct"/>
                  <w:vMerge w:val="continue"/>
                  <w:shd w:val="clear" w:color="auto" w:fill="auto"/>
                  <w:noWrap/>
                  <w:vAlign w:val="center"/>
                </w:tcPr>
                <w:p>
                  <w:pPr>
                    <w:widowControl/>
                    <w:jc w:val="center"/>
                    <w:rPr>
                      <w:kern w:val="0"/>
                    </w:rPr>
                  </w:pPr>
                </w:p>
              </w:tc>
              <w:tc>
                <w:tcPr>
                  <w:tcW w:w="730" w:type="pct"/>
                  <w:vMerge w:val="continue"/>
                  <w:shd w:val="clear" w:color="auto" w:fill="auto"/>
                  <w:vAlign w:val="center"/>
                </w:tcPr>
                <w:p>
                  <w:pPr>
                    <w:widowControl/>
                    <w:jc w:val="center"/>
                    <w:rPr>
                      <w:rFonts w:hAnsi="宋体"/>
                      <w:kern w:val="0"/>
                    </w:rPr>
                  </w:pPr>
                </w:p>
              </w:tc>
              <w:tc>
                <w:tcPr>
                  <w:tcW w:w="220" w:type="pct"/>
                  <w:vMerge w:val="continue"/>
                  <w:shd w:val="clear" w:color="auto" w:fill="auto"/>
                  <w:noWrap/>
                  <w:vAlign w:val="center"/>
                </w:tcPr>
                <w:p>
                  <w:pPr>
                    <w:widowControl/>
                    <w:jc w:val="center"/>
                    <w:rPr>
                      <w:kern w:val="0"/>
                    </w:rPr>
                  </w:pPr>
                </w:p>
              </w:tc>
              <w:tc>
                <w:tcPr>
                  <w:tcW w:w="222" w:type="pct"/>
                  <w:vMerge w:val="continue"/>
                  <w:shd w:val="clear" w:color="auto" w:fill="auto"/>
                  <w:noWrap/>
                  <w:vAlign w:val="center"/>
                </w:tcPr>
                <w:p>
                  <w:pPr>
                    <w:widowControl/>
                    <w:jc w:val="center"/>
                    <w:rPr>
                      <w:kern w:val="0"/>
                    </w:rPr>
                  </w:pPr>
                </w:p>
              </w:tc>
              <w:tc>
                <w:tcPr>
                  <w:tcW w:w="220" w:type="pct"/>
                  <w:vMerge w:val="continue"/>
                  <w:shd w:val="clear" w:color="auto" w:fill="auto"/>
                  <w:noWrap/>
                  <w:vAlign w:val="center"/>
                </w:tcPr>
                <w:p>
                  <w:pPr>
                    <w:widowControl/>
                    <w:jc w:val="center"/>
                    <w:rPr>
                      <w:kern w:val="0"/>
                    </w:rPr>
                  </w:pPr>
                </w:p>
              </w:tc>
              <w:tc>
                <w:tcPr>
                  <w:tcW w:w="231" w:type="pct"/>
                  <w:shd w:val="clear" w:color="auto" w:fill="auto"/>
                  <w:noWrap/>
                  <w:vAlign w:val="center"/>
                </w:tcPr>
                <w:p>
                  <w:pPr>
                    <w:widowControl/>
                    <w:jc w:val="center"/>
                    <w:rPr>
                      <w:rFonts w:hAnsi="宋体"/>
                      <w:kern w:val="0"/>
                    </w:rPr>
                  </w:pPr>
                  <w:r>
                    <w:rPr>
                      <w:rFonts w:hAnsi="宋体"/>
                      <w:kern w:val="0"/>
                    </w:rPr>
                    <w:t>西</w:t>
                  </w:r>
                </w:p>
              </w:tc>
              <w:tc>
                <w:tcPr>
                  <w:tcW w:w="281" w:type="pct"/>
                  <w:shd w:val="clear" w:color="auto" w:fill="auto"/>
                  <w:noWrap/>
                  <w:vAlign w:val="center"/>
                </w:tcPr>
                <w:p>
                  <w:pPr>
                    <w:widowControl/>
                    <w:jc w:val="center"/>
                  </w:pPr>
                  <w:r>
                    <w:rPr>
                      <w:rFonts w:hint="eastAsia"/>
                    </w:rPr>
                    <w:t>3</w:t>
                  </w:r>
                  <w:r>
                    <w:t>4</w:t>
                  </w:r>
                </w:p>
              </w:tc>
              <w:tc>
                <w:tcPr>
                  <w:tcW w:w="296" w:type="pct"/>
                  <w:shd w:val="clear" w:color="auto" w:fill="auto"/>
                  <w:noWrap/>
                  <w:vAlign w:val="center"/>
                </w:tcPr>
                <w:p>
                  <w:pPr>
                    <w:widowControl/>
                    <w:jc w:val="center"/>
                  </w:pPr>
                  <w:r>
                    <w:rPr>
                      <w:rFonts w:hint="eastAsia"/>
                    </w:rPr>
                    <w:t>54</w:t>
                  </w:r>
                </w:p>
              </w:tc>
              <w:tc>
                <w:tcPr>
                  <w:tcW w:w="252" w:type="pct"/>
                  <w:vMerge w:val="continue"/>
                  <w:shd w:val="clear" w:color="auto" w:fill="auto"/>
                  <w:noWrap/>
                  <w:vAlign w:val="center"/>
                </w:tcPr>
                <w:p>
                  <w:pPr>
                    <w:widowControl/>
                    <w:jc w:val="center"/>
                    <w:rPr>
                      <w:rFonts w:hAnsi="宋体"/>
                      <w:kern w:val="0"/>
                    </w:rPr>
                  </w:pPr>
                </w:p>
              </w:tc>
              <w:tc>
                <w:tcPr>
                  <w:tcW w:w="296" w:type="pct"/>
                  <w:vMerge w:val="continue"/>
                  <w:shd w:val="clear" w:color="auto" w:fill="auto"/>
                  <w:noWrap/>
                  <w:vAlign w:val="center"/>
                </w:tcPr>
                <w:p>
                  <w:pPr>
                    <w:widowControl/>
                    <w:jc w:val="center"/>
                    <w:rPr>
                      <w:kern w:val="0"/>
                    </w:rPr>
                  </w:pPr>
                </w:p>
              </w:tc>
              <w:tc>
                <w:tcPr>
                  <w:tcW w:w="296" w:type="pct"/>
                  <w:shd w:val="clear" w:color="auto" w:fill="auto"/>
                  <w:noWrap/>
                  <w:vAlign w:val="center"/>
                </w:tcPr>
                <w:p>
                  <w:pPr>
                    <w:widowControl/>
                    <w:jc w:val="center"/>
                  </w:pPr>
                </w:p>
              </w:tc>
              <w:tc>
                <w:tcPr>
                  <w:tcW w:w="199" w:type="pct"/>
                  <w:vMerge w:val="continue"/>
                  <w:shd w:val="clear" w:color="auto" w:fill="auto"/>
                  <w:noWrap/>
                  <w:vAlign w:val="center"/>
                </w:tcPr>
                <w:p>
                  <w:pPr>
                    <w:widowControl/>
                    <w:jc w:val="center"/>
                    <w:rPr>
                      <w:kern w:val="0"/>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113" w:hRule="atLeast"/>
              </w:trPr>
              <w:tc>
                <w:tcPr>
                  <w:tcW w:w="160" w:type="pct"/>
                  <w:vMerge w:val="continue"/>
                  <w:shd w:val="clear" w:color="auto" w:fill="auto"/>
                  <w:vAlign w:val="center"/>
                </w:tcPr>
                <w:p>
                  <w:pPr>
                    <w:widowControl/>
                    <w:jc w:val="center"/>
                    <w:rPr>
                      <w:kern w:val="0"/>
                    </w:rPr>
                  </w:pPr>
                </w:p>
              </w:tc>
              <w:tc>
                <w:tcPr>
                  <w:tcW w:w="314" w:type="pct"/>
                  <w:vMerge w:val="continue"/>
                  <w:vAlign w:val="center"/>
                </w:tcPr>
                <w:p>
                  <w:pPr>
                    <w:widowControl/>
                    <w:jc w:val="center"/>
                    <w:rPr>
                      <w:bCs/>
                      <w:kern w:val="0"/>
                    </w:rPr>
                  </w:pPr>
                </w:p>
              </w:tc>
              <w:tc>
                <w:tcPr>
                  <w:tcW w:w="314" w:type="pct"/>
                  <w:vMerge w:val="continue"/>
                  <w:shd w:val="clear" w:color="auto" w:fill="auto"/>
                  <w:vAlign w:val="center"/>
                </w:tcPr>
                <w:p>
                  <w:pPr>
                    <w:widowControl/>
                    <w:jc w:val="center"/>
                    <w:rPr>
                      <w:bCs/>
                      <w:kern w:val="0"/>
                    </w:rPr>
                  </w:pPr>
                </w:p>
              </w:tc>
              <w:tc>
                <w:tcPr>
                  <w:tcW w:w="346" w:type="pct"/>
                  <w:vMerge w:val="continue"/>
                  <w:vAlign w:val="center"/>
                </w:tcPr>
                <w:p>
                  <w:pPr>
                    <w:widowControl/>
                    <w:ind w:left="-63" w:leftChars="-30" w:right="-63" w:rightChars="-30"/>
                    <w:jc w:val="center"/>
                    <w:rPr>
                      <w:kern w:val="0"/>
                    </w:rPr>
                  </w:pPr>
                </w:p>
              </w:tc>
              <w:tc>
                <w:tcPr>
                  <w:tcW w:w="317" w:type="pct"/>
                  <w:vMerge w:val="continue"/>
                  <w:vAlign w:val="center"/>
                </w:tcPr>
                <w:p>
                  <w:pPr>
                    <w:widowControl/>
                    <w:jc w:val="center"/>
                    <w:rPr>
                      <w:kern w:val="0"/>
                    </w:rPr>
                  </w:pPr>
                </w:p>
              </w:tc>
              <w:tc>
                <w:tcPr>
                  <w:tcW w:w="306" w:type="pct"/>
                  <w:vMerge w:val="continue"/>
                  <w:shd w:val="clear" w:color="auto" w:fill="auto"/>
                  <w:noWrap/>
                  <w:vAlign w:val="center"/>
                </w:tcPr>
                <w:p>
                  <w:pPr>
                    <w:widowControl/>
                    <w:jc w:val="center"/>
                    <w:rPr>
                      <w:kern w:val="0"/>
                    </w:rPr>
                  </w:pPr>
                </w:p>
              </w:tc>
              <w:tc>
                <w:tcPr>
                  <w:tcW w:w="730" w:type="pct"/>
                  <w:vMerge w:val="continue"/>
                  <w:shd w:val="clear" w:color="auto" w:fill="auto"/>
                  <w:vAlign w:val="center"/>
                </w:tcPr>
                <w:p>
                  <w:pPr>
                    <w:widowControl/>
                    <w:jc w:val="center"/>
                    <w:rPr>
                      <w:rFonts w:hAnsi="宋体"/>
                      <w:kern w:val="0"/>
                    </w:rPr>
                  </w:pPr>
                </w:p>
              </w:tc>
              <w:tc>
                <w:tcPr>
                  <w:tcW w:w="220" w:type="pct"/>
                  <w:vMerge w:val="continue"/>
                  <w:shd w:val="clear" w:color="auto" w:fill="auto"/>
                  <w:noWrap/>
                  <w:vAlign w:val="center"/>
                </w:tcPr>
                <w:p>
                  <w:pPr>
                    <w:widowControl/>
                    <w:jc w:val="center"/>
                    <w:rPr>
                      <w:kern w:val="0"/>
                    </w:rPr>
                  </w:pPr>
                </w:p>
              </w:tc>
              <w:tc>
                <w:tcPr>
                  <w:tcW w:w="222" w:type="pct"/>
                  <w:vMerge w:val="continue"/>
                  <w:shd w:val="clear" w:color="auto" w:fill="auto"/>
                  <w:noWrap/>
                  <w:vAlign w:val="center"/>
                </w:tcPr>
                <w:p>
                  <w:pPr>
                    <w:widowControl/>
                    <w:jc w:val="center"/>
                    <w:rPr>
                      <w:kern w:val="0"/>
                    </w:rPr>
                  </w:pPr>
                </w:p>
              </w:tc>
              <w:tc>
                <w:tcPr>
                  <w:tcW w:w="220" w:type="pct"/>
                  <w:vMerge w:val="continue"/>
                  <w:shd w:val="clear" w:color="auto" w:fill="auto"/>
                  <w:noWrap/>
                  <w:vAlign w:val="center"/>
                </w:tcPr>
                <w:p>
                  <w:pPr>
                    <w:widowControl/>
                    <w:jc w:val="center"/>
                    <w:rPr>
                      <w:kern w:val="0"/>
                    </w:rPr>
                  </w:pPr>
                </w:p>
              </w:tc>
              <w:tc>
                <w:tcPr>
                  <w:tcW w:w="231" w:type="pct"/>
                  <w:shd w:val="clear" w:color="auto" w:fill="auto"/>
                  <w:noWrap/>
                  <w:vAlign w:val="center"/>
                </w:tcPr>
                <w:p>
                  <w:pPr>
                    <w:widowControl/>
                    <w:jc w:val="center"/>
                    <w:rPr>
                      <w:rFonts w:hAnsi="宋体"/>
                      <w:kern w:val="0"/>
                    </w:rPr>
                  </w:pPr>
                  <w:r>
                    <w:rPr>
                      <w:rFonts w:hAnsi="宋体"/>
                      <w:kern w:val="0"/>
                    </w:rPr>
                    <w:t>北</w:t>
                  </w:r>
                </w:p>
              </w:tc>
              <w:tc>
                <w:tcPr>
                  <w:tcW w:w="281" w:type="pct"/>
                  <w:shd w:val="clear" w:color="auto" w:fill="auto"/>
                  <w:noWrap/>
                  <w:vAlign w:val="center"/>
                </w:tcPr>
                <w:p>
                  <w:pPr>
                    <w:widowControl/>
                    <w:jc w:val="center"/>
                  </w:pPr>
                  <w:r>
                    <w:t>2</w:t>
                  </w:r>
                </w:p>
              </w:tc>
              <w:tc>
                <w:tcPr>
                  <w:tcW w:w="296" w:type="pct"/>
                  <w:shd w:val="clear" w:color="auto" w:fill="auto"/>
                  <w:noWrap/>
                  <w:vAlign w:val="center"/>
                </w:tcPr>
                <w:p>
                  <w:pPr>
                    <w:widowControl/>
                    <w:jc w:val="center"/>
                  </w:pPr>
                  <w:r>
                    <w:rPr>
                      <w:rFonts w:hint="eastAsia"/>
                    </w:rPr>
                    <w:t>60</w:t>
                  </w:r>
                </w:p>
              </w:tc>
              <w:tc>
                <w:tcPr>
                  <w:tcW w:w="252" w:type="pct"/>
                  <w:vMerge w:val="continue"/>
                  <w:shd w:val="clear" w:color="auto" w:fill="auto"/>
                  <w:noWrap/>
                  <w:vAlign w:val="center"/>
                </w:tcPr>
                <w:p>
                  <w:pPr>
                    <w:widowControl/>
                    <w:jc w:val="center"/>
                    <w:rPr>
                      <w:rFonts w:hAnsi="宋体"/>
                      <w:kern w:val="0"/>
                    </w:rPr>
                  </w:pPr>
                </w:p>
              </w:tc>
              <w:tc>
                <w:tcPr>
                  <w:tcW w:w="296" w:type="pct"/>
                  <w:vMerge w:val="continue"/>
                  <w:shd w:val="clear" w:color="auto" w:fill="auto"/>
                  <w:noWrap/>
                  <w:vAlign w:val="center"/>
                </w:tcPr>
                <w:p>
                  <w:pPr>
                    <w:widowControl/>
                    <w:jc w:val="center"/>
                    <w:rPr>
                      <w:kern w:val="0"/>
                    </w:rPr>
                  </w:pPr>
                </w:p>
              </w:tc>
              <w:tc>
                <w:tcPr>
                  <w:tcW w:w="296" w:type="pct"/>
                  <w:shd w:val="clear" w:color="auto" w:fill="auto"/>
                  <w:noWrap/>
                  <w:vAlign w:val="center"/>
                </w:tcPr>
                <w:p>
                  <w:pPr>
                    <w:widowControl/>
                    <w:jc w:val="center"/>
                  </w:pPr>
                </w:p>
              </w:tc>
              <w:tc>
                <w:tcPr>
                  <w:tcW w:w="199" w:type="pct"/>
                  <w:vMerge w:val="continue"/>
                  <w:shd w:val="clear" w:color="auto" w:fill="auto"/>
                  <w:noWrap/>
                  <w:vAlign w:val="center"/>
                </w:tcPr>
                <w:p>
                  <w:pPr>
                    <w:widowControl/>
                    <w:jc w:val="center"/>
                    <w:rPr>
                      <w:kern w:val="0"/>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113" w:hRule="atLeast"/>
              </w:trPr>
              <w:tc>
                <w:tcPr>
                  <w:tcW w:w="160" w:type="pct"/>
                  <w:vMerge w:val="restart"/>
                  <w:shd w:val="clear" w:color="auto" w:fill="auto"/>
                  <w:vAlign w:val="center"/>
                </w:tcPr>
                <w:p>
                  <w:pPr>
                    <w:widowControl/>
                    <w:jc w:val="center"/>
                    <w:rPr>
                      <w:kern w:val="0"/>
                    </w:rPr>
                  </w:pPr>
                  <w:r>
                    <w:rPr>
                      <w:kern w:val="0"/>
                    </w:rPr>
                    <w:t>3</w:t>
                  </w:r>
                </w:p>
              </w:tc>
              <w:tc>
                <w:tcPr>
                  <w:tcW w:w="314" w:type="pct"/>
                  <w:vMerge w:val="continue"/>
                  <w:vAlign w:val="center"/>
                </w:tcPr>
                <w:p>
                  <w:pPr>
                    <w:widowControl/>
                    <w:jc w:val="center"/>
                    <w:rPr>
                      <w:bCs/>
                      <w:kern w:val="0"/>
                    </w:rPr>
                  </w:pPr>
                </w:p>
              </w:tc>
              <w:tc>
                <w:tcPr>
                  <w:tcW w:w="314" w:type="pct"/>
                  <w:vMerge w:val="restart"/>
                  <w:shd w:val="clear" w:color="auto" w:fill="auto"/>
                  <w:vAlign w:val="center"/>
                </w:tcPr>
                <w:p>
                  <w:pPr>
                    <w:widowControl/>
                    <w:jc w:val="center"/>
                    <w:rPr>
                      <w:bCs/>
                      <w:kern w:val="0"/>
                    </w:rPr>
                  </w:pPr>
                  <w:r>
                    <w:rPr>
                      <w:rFonts w:hint="eastAsia"/>
                      <w:bCs/>
                      <w:kern w:val="0"/>
                    </w:rPr>
                    <w:t>切粒机</w:t>
                  </w:r>
                </w:p>
              </w:tc>
              <w:tc>
                <w:tcPr>
                  <w:tcW w:w="346" w:type="pct"/>
                  <w:vMerge w:val="restart"/>
                  <w:vAlign w:val="center"/>
                </w:tcPr>
                <w:p>
                  <w:pPr>
                    <w:widowControl/>
                    <w:jc w:val="center"/>
                    <w:rPr>
                      <w:bCs/>
                      <w:kern w:val="0"/>
                    </w:rPr>
                  </w:pPr>
                  <w:r>
                    <w:rPr>
                      <w:bCs/>
                      <w:kern w:val="0"/>
                    </w:rPr>
                    <w:t>/</w:t>
                  </w:r>
                </w:p>
              </w:tc>
              <w:tc>
                <w:tcPr>
                  <w:tcW w:w="317" w:type="pct"/>
                  <w:vMerge w:val="restart"/>
                  <w:vAlign w:val="center"/>
                </w:tcPr>
                <w:p>
                  <w:pPr>
                    <w:widowControl/>
                    <w:jc w:val="center"/>
                    <w:rPr>
                      <w:kern w:val="0"/>
                    </w:rPr>
                  </w:pPr>
                  <w:r>
                    <w:rPr>
                      <w:kern w:val="0"/>
                    </w:rPr>
                    <w:t>4</w:t>
                  </w:r>
                </w:p>
              </w:tc>
              <w:tc>
                <w:tcPr>
                  <w:tcW w:w="306" w:type="pct"/>
                  <w:vMerge w:val="restart"/>
                  <w:shd w:val="clear" w:color="auto" w:fill="auto"/>
                  <w:noWrap/>
                  <w:vAlign w:val="center"/>
                </w:tcPr>
                <w:p>
                  <w:pPr>
                    <w:widowControl/>
                    <w:jc w:val="center"/>
                    <w:rPr>
                      <w:kern w:val="0"/>
                    </w:rPr>
                  </w:pPr>
                  <w:r>
                    <w:rPr>
                      <w:kern w:val="0"/>
                    </w:rPr>
                    <w:t>75~85</w:t>
                  </w:r>
                </w:p>
              </w:tc>
              <w:tc>
                <w:tcPr>
                  <w:tcW w:w="730" w:type="pct"/>
                  <w:vMerge w:val="restart"/>
                  <w:shd w:val="clear" w:color="auto" w:fill="auto"/>
                  <w:vAlign w:val="center"/>
                </w:tcPr>
                <w:p>
                  <w:pPr>
                    <w:widowControl/>
                    <w:jc w:val="center"/>
                    <w:rPr>
                      <w:kern w:val="0"/>
                    </w:rPr>
                  </w:pPr>
                  <w:r>
                    <w:rPr>
                      <w:kern w:val="0"/>
                    </w:rPr>
                    <w:t>基础减振、建筑隔声，降噪10-15dB(A)</w:t>
                  </w:r>
                </w:p>
              </w:tc>
              <w:tc>
                <w:tcPr>
                  <w:tcW w:w="220" w:type="pct"/>
                  <w:vMerge w:val="restart"/>
                  <w:shd w:val="clear" w:color="auto" w:fill="auto"/>
                  <w:noWrap/>
                  <w:vAlign w:val="center"/>
                </w:tcPr>
                <w:p>
                  <w:pPr>
                    <w:widowControl/>
                    <w:jc w:val="center"/>
                    <w:rPr>
                      <w:kern w:val="0"/>
                    </w:rPr>
                  </w:pPr>
                  <w:r>
                    <w:rPr>
                      <w:kern w:val="0"/>
                    </w:rPr>
                    <w:t>12</w:t>
                  </w:r>
                </w:p>
              </w:tc>
              <w:tc>
                <w:tcPr>
                  <w:tcW w:w="222" w:type="pct"/>
                  <w:vMerge w:val="restart"/>
                  <w:shd w:val="clear" w:color="auto" w:fill="auto"/>
                  <w:noWrap/>
                  <w:vAlign w:val="center"/>
                </w:tcPr>
                <w:p>
                  <w:pPr>
                    <w:widowControl/>
                    <w:jc w:val="center"/>
                    <w:rPr>
                      <w:kern w:val="0"/>
                    </w:rPr>
                  </w:pPr>
                  <w:r>
                    <w:rPr>
                      <w:kern w:val="0"/>
                    </w:rPr>
                    <w:t>1</w:t>
                  </w:r>
                </w:p>
              </w:tc>
              <w:tc>
                <w:tcPr>
                  <w:tcW w:w="220" w:type="pct"/>
                  <w:vMerge w:val="restart"/>
                  <w:shd w:val="clear" w:color="auto" w:fill="auto"/>
                  <w:noWrap/>
                  <w:vAlign w:val="center"/>
                </w:tcPr>
                <w:p>
                  <w:pPr>
                    <w:widowControl/>
                    <w:jc w:val="center"/>
                    <w:rPr>
                      <w:kern w:val="0"/>
                    </w:rPr>
                  </w:pPr>
                  <w:r>
                    <w:rPr>
                      <w:rFonts w:hint="eastAsia"/>
                      <w:kern w:val="0"/>
                    </w:rPr>
                    <w:t>0</w:t>
                  </w:r>
                </w:p>
              </w:tc>
              <w:tc>
                <w:tcPr>
                  <w:tcW w:w="231" w:type="pct"/>
                  <w:shd w:val="clear" w:color="auto" w:fill="auto"/>
                  <w:noWrap/>
                  <w:vAlign w:val="center"/>
                </w:tcPr>
                <w:p>
                  <w:pPr>
                    <w:widowControl/>
                    <w:jc w:val="center"/>
                    <w:rPr>
                      <w:kern w:val="0"/>
                    </w:rPr>
                  </w:pPr>
                  <w:r>
                    <w:rPr>
                      <w:rFonts w:hAnsi="宋体"/>
                      <w:kern w:val="0"/>
                    </w:rPr>
                    <w:t>东</w:t>
                  </w:r>
                </w:p>
              </w:tc>
              <w:tc>
                <w:tcPr>
                  <w:tcW w:w="281" w:type="pct"/>
                  <w:shd w:val="clear" w:color="auto" w:fill="auto"/>
                  <w:noWrap/>
                  <w:vAlign w:val="center"/>
                </w:tcPr>
                <w:p>
                  <w:pPr>
                    <w:widowControl/>
                    <w:jc w:val="center"/>
                    <w:rPr>
                      <w:kern w:val="0"/>
                    </w:rPr>
                  </w:pPr>
                  <w:r>
                    <w:rPr>
                      <w:rFonts w:hint="eastAsia"/>
                    </w:rPr>
                    <w:t>59</w:t>
                  </w:r>
                </w:p>
              </w:tc>
              <w:tc>
                <w:tcPr>
                  <w:tcW w:w="296" w:type="pct"/>
                  <w:shd w:val="clear" w:color="auto" w:fill="auto"/>
                  <w:noWrap/>
                  <w:vAlign w:val="center"/>
                </w:tcPr>
                <w:p>
                  <w:pPr>
                    <w:widowControl/>
                    <w:jc w:val="center"/>
                    <w:rPr>
                      <w:kern w:val="0"/>
                    </w:rPr>
                  </w:pPr>
                  <w:r>
                    <w:rPr>
                      <w:kern w:val="0"/>
                    </w:rPr>
                    <w:t>62</w:t>
                  </w:r>
                </w:p>
              </w:tc>
              <w:tc>
                <w:tcPr>
                  <w:tcW w:w="252" w:type="pct"/>
                  <w:vMerge w:val="restart"/>
                  <w:shd w:val="clear" w:color="auto" w:fill="auto"/>
                  <w:noWrap/>
                  <w:vAlign w:val="center"/>
                </w:tcPr>
                <w:p>
                  <w:pPr>
                    <w:widowControl/>
                    <w:jc w:val="center"/>
                    <w:rPr>
                      <w:kern w:val="0"/>
                    </w:rPr>
                  </w:pPr>
                  <w:r>
                    <w:rPr>
                      <w:rFonts w:hAnsi="宋体"/>
                      <w:kern w:val="0"/>
                    </w:rPr>
                    <w:t>昼</w:t>
                  </w:r>
                  <w:r>
                    <w:rPr>
                      <w:rFonts w:hint="eastAsia" w:hAnsi="宋体"/>
                      <w:kern w:val="0"/>
                    </w:rPr>
                    <w:t>间</w:t>
                  </w:r>
                </w:p>
              </w:tc>
              <w:tc>
                <w:tcPr>
                  <w:tcW w:w="296" w:type="pct"/>
                  <w:vMerge w:val="restart"/>
                  <w:shd w:val="clear" w:color="auto" w:fill="auto"/>
                  <w:noWrap/>
                  <w:vAlign w:val="center"/>
                </w:tcPr>
                <w:p>
                  <w:pPr>
                    <w:widowControl/>
                    <w:jc w:val="center"/>
                    <w:rPr>
                      <w:kern w:val="0"/>
                    </w:rPr>
                  </w:pPr>
                  <w:r>
                    <w:rPr>
                      <w:rFonts w:hint="eastAsia"/>
                      <w:kern w:val="0"/>
                    </w:rPr>
                    <w:t>15</w:t>
                  </w:r>
                </w:p>
              </w:tc>
              <w:tc>
                <w:tcPr>
                  <w:tcW w:w="296" w:type="pct"/>
                  <w:shd w:val="clear" w:color="auto" w:fill="auto"/>
                  <w:noWrap/>
                  <w:vAlign w:val="center"/>
                </w:tcPr>
                <w:p>
                  <w:pPr>
                    <w:widowControl/>
                    <w:jc w:val="center"/>
                    <w:rPr>
                      <w:kern w:val="0"/>
                    </w:rPr>
                  </w:pPr>
                  <w:r>
                    <w:rPr>
                      <w:rFonts w:hint="eastAsia"/>
                    </w:rPr>
                    <w:t>53</w:t>
                  </w:r>
                </w:p>
              </w:tc>
              <w:tc>
                <w:tcPr>
                  <w:tcW w:w="199" w:type="pct"/>
                  <w:vMerge w:val="restart"/>
                  <w:shd w:val="clear" w:color="auto" w:fill="auto"/>
                  <w:noWrap/>
                  <w:vAlign w:val="center"/>
                </w:tcPr>
                <w:p>
                  <w:pPr>
                    <w:widowControl/>
                    <w:jc w:val="center"/>
                    <w:rPr>
                      <w:kern w:val="0"/>
                    </w:rPr>
                  </w:pPr>
                  <w:r>
                    <w:rPr>
                      <w:kern w:val="0"/>
                    </w:rPr>
                    <w:t>1m</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113" w:hRule="atLeast"/>
              </w:trPr>
              <w:tc>
                <w:tcPr>
                  <w:tcW w:w="160" w:type="pct"/>
                  <w:vMerge w:val="continue"/>
                  <w:shd w:val="clear" w:color="auto" w:fill="auto"/>
                  <w:vAlign w:val="center"/>
                </w:tcPr>
                <w:p>
                  <w:pPr>
                    <w:widowControl/>
                    <w:jc w:val="center"/>
                    <w:rPr>
                      <w:kern w:val="0"/>
                    </w:rPr>
                  </w:pPr>
                </w:p>
              </w:tc>
              <w:tc>
                <w:tcPr>
                  <w:tcW w:w="314" w:type="pct"/>
                  <w:vMerge w:val="continue"/>
                  <w:vAlign w:val="center"/>
                </w:tcPr>
                <w:p>
                  <w:pPr>
                    <w:widowControl/>
                    <w:jc w:val="center"/>
                    <w:rPr>
                      <w:bCs/>
                      <w:kern w:val="0"/>
                    </w:rPr>
                  </w:pPr>
                </w:p>
              </w:tc>
              <w:tc>
                <w:tcPr>
                  <w:tcW w:w="314" w:type="pct"/>
                  <w:vMerge w:val="continue"/>
                  <w:shd w:val="clear" w:color="auto" w:fill="auto"/>
                  <w:vAlign w:val="center"/>
                </w:tcPr>
                <w:p>
                  <w:pPr>
                    <w:widowControl/>
                    <w:jc w:val="center"/>
                    <w:rPr>
                      <w:bCs/>
                      <w:kern w:val="0"/>
                    </w:rPr>
                  </w:pPr>
                </w:p>
              </w:tc>
              <w:tc>
                <w:tcPr>
                  <w:tcW w:w="346" w:type="pct"/>
                  <w:vMerge w:val="continue"/>
                  <w:vAlign w:val="center"/>
                </w:tcPr>
                <w:p>
                  <w:pPr>
                    <w:widowControl/>
                    <w:ind w:left="-63" w:leftChars="-30" w:right="-63" w:rightChars="-30"/>
                    <w:jc w:val="center"/>
                    <w:rPr>
                      <w:kern w:val="0"/>
                    </w:rPr>
                  </w:pPr>
                </w:p>
              </w:tc>
              <w:tc>
                <w:tcPr>
                  <w:tcW w:w="317" w:type="pct"/>
                  <w:vMerge w:val="continue"/>
                  <w:vAlign w:val="center"/>
                </w:tcPr>
                <w:p>
                  <w:pPr>
                    <w:widowControl/>
                    <w:jc w:val="center"/>
                    <w:rPr>
                      <w:kern w:val="0"/>
                    </w:rPr>
                  </w:pPr>
                </w:p>
              </w:tc>
              <w:tc>
                <w:tcPr>
                  <w:tcW w:w="306" w:type="pct"/>
                  <w:vMerge w:val="continue"/>
                  <w:shd w:val="clear" w:color="auto" w:fill="auto"/>
                  <w:noWrap/>
                  <w:vAlign w:val="center"/>
                </w:tcPr>
                <w:p>
                  <w:pPr>
                    <w:widowControl/>
                    <w:jc w:val="center"/>
                    <w:rPr>
                      <w:kern w:val="0"/>
                    </w:rPr>
                  </w:pPr>
                </w:p>
              </w:tc>
              <w:tc>
                <w:tcPr>
                  <w:tcW w:w="730" w:type="pct"/>
                  <w:vMerge w:val="continue"/>
                  <w:shd w:val="clear" w:color="auto" w:fill="auto"/>
                  <w:vAlign w:val="center"/>
                </w:tcPr>
                <w:p>
                  <w:pPr>
                    <w:widowControl/>
                    <w:jc w:val="center"/>
                    <w:rPr>
                      <w:rFonts w:hAnsi="宋体"/>
                      <w:kern w:val="0"/>
                    </w:rPr>
                  </w:pPr>
                </w:p>
              </w:tc>
              <w:tc>
                <w:tcPr>
                  <w:tcW w:w="220" w:type="pct"/>
                  <w:vMerge w:val="continue"/>
                  <w:shd w:val="clear" w:color="auto" w:fill="auto"/>
                  <w:noWrap/>
                  <w:vAlign w:val="center"/>
                </w:tcPr>
                <w:p>
                  <w:pPr>
                    <w:widowControl/>
                    <w:jc w:val="center"/>
                    <w:rPr>
                      <w:kern w:val="0"/>
                    </w:rPr>
                  </w:pPr>
                </w:p>
              </w:tc>
              <w:tc>
                <w:tcPr>
                  <w:tcW w:w="222" w:type="pct"/>
                  <w:vMerge w:val="continue"/>
                  <w:shd w:val="clear" w:color="auto" w:fill="auto"/>
                  <w:noWrap/>
                  <w:vAlign w:val="center"/>
                </w:tcPr>
                <w:p>
                  <w:pPr>
                    <w:widowControl/>
                    <w:jc w:val="center"/>
                    <w:rPr>
                      <w:kern w:val="0"/>
                    </w:rPr>
                  </w:pPr>
                </w:p>
              </w:tc>
              <w:tc>
                <w:tcPr>
                  <w:tcW w:w="220" w:type="pct"/>
                  <w:vMerge w:val="continue"/>
                  <w:shd w:val="clear" w:color="auto" w:fill="auto"/>
                  <w:noWrap/>
                  <w:vAlign w:val="center"/>
                </w:tcPr>
                <w:p>
                  <w:pPr>
                    <w:widowControl/>
                    <w:jc w:val="center"/>
                    <w:rPr>
                      <w:kern w:val="0"/>
                    </w:rPr>
                  </w:pPr>
                </w:p>
              </w:tc>
              <w:tc>
                <w:tcPr>
                  <w:tcW w:w="231" w:type="pct"/>
                  <w:shd w:val="clear" w:color="auto" w:fill="auto"/>
                  <w:noWrap/>
                  <w:vAlign w:val="center"/>
                </w:tcPr>
                <w:p>
                  <w:pPr>
                    <w:widowControl/>
                    <w:jc w:val="center"/>
                    <w:rPr>
                      <w:kern w:val="0"/>
                    </w:rPr>
                  </w:pPr>
                  <w:r>
                    <w:rPr>
                      <w:rFonts w:hAnsi="宋体"/>
                      <w:kern w:val="0"/>
                    </w:rPr>
                    <w:t>南</w:t>
                  </w:r>
                </w:p>
              </w:tc>
              <w:tc>
                <w:tcPr>
                  <w:tcW w:w="281" w:type="pct"/>
                  <w:shd w:val="clear" w:color="auto" w:fill="auto"/>
                  <w:noWrap/>
                  <w:vAlign w:val="center"/>
                </w:tcPr>
                <w:p>
                  <w:pPr>
                    <w:widowControl/>
                    <w:jc w:val="center"/>
                    <w:rPr>
                      <w:kern w:val="0"/>
                    </w:rPr>
                  </w:pPr>
                  <w:r>
                    <w:rPr>
                      <w:rFonts w:hint="eastAsia"/>
                    </w:rPr>
                    <w:t>13</w:t>
                  </w:r>
                </w:p>
              </w:tc>
              <w:tc>
                <w:tcPr>
                  <w:tcW w:w="296" w:type="pct"/>
                  <w:shd w:val="clear" w:color="auto" w:fill="auto"/>
                  <w:noWrap/>
                  <w:vAlign w:val="center"/>
                </w:tcPr>
                <w:p>
                  <w:pPr>
                    <w:widowControl/>
                    <w:jc w:val="center"/>
                    <w:rPr>
                      <w:kern w:val="0"/>
                    </w:rPr>
                  </w:pPr>
                  <w:r>
                    <w:rPr>
                      <w:kern w:val="0"/>
                    </w:rPr>
                    <w:t>65</w:t>
                  </w:r>
                </w:p>
              </w:tc>
              <w:tc>
                <w:tcPr>
                  <w:tcW w:w="252" w:type="pct"/>
                  <w:vMerge w:val="continue"/>
                  <w:shd w:val="clear" w:color="auto" w:fill="auto"/>
                  <w:noWrap/>
                  <w:vAlign w:val="center"/>
                </w:tcPr>
                <w:p>
                  <w:pPr>
                    <w:widowControl/>
                    <w:jc w:val="center"/>
                    <w:rPr>
                      <w:rFonts w:hAnsi="宋体"/>
                      <w:kern w:val="0"/>
                    </w:rPr>
                  </w:pPr>
                </w:p>
              </w:tc>
              <w:tc>
                <w:tcPr>
                  <w:tcW w:w="296" w:type="pct"/>
                  <w:vMerge w:val="continue"/>
                  <w:shd w:val="clear" w:color="auto" w:fill="auto"/>
                  <w:noWrap/>
                  <w:vAlign w:val="center"/>
                </w:tcPr>
                <w:p>
                  <w:pPr>
                    <w:widowControl/>
                    <w:jc w:val="center"/>
                    <w:rPr>
                      <w:kern w:val="0"/>
                    </w:rPr>
                  </w:pPr>
                </w:p>
              </w:tc>
              <w:tc>
                <w:tcPr>
                  <w:tcW w:w="296" w:type="pct"/>
                  <w:shd w:val="clear" w:color="auto" w:fill="auto"/>
                  <w:noWrap/>
                  <w:vAlign w:val="center"/>
                </w:tcPr>
                <w:p>
                  <w:pPr>
                    <w:widowControl/>
                    <w:jc w:val="center"/>
                    <w:rPr>
                      <w:kern w:val="0"/>
                    </w:rPr>
                  </w:pPr>
                  <w:r>
                    <w:rPr>
                      <w:rFonts w:hint="eastAsia"/>
                    </w:rPr>
                    <w:t>55</w:t>
                  </w:r>
                </w:p>
              </w:tc>
              <w:tc>
                <w:tcPr>
                  <w:tcW w:w="199" w:type="pct"/>
                  <w:vMerge w:val="continue"/>
                  <w:shd w:val="clear" w:color="auto" w:fill="auto"/>
                  <w:noWrap/>
                  <w:vAlign w:val="center"/>
                </w:tcPr>
                <w:p>
                  <w:pPr>
                    <w:widowControl/>
                    <w:jc w:val="center"/>
                    <w:rPr>
                      <w:kern w:val="0"/>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113" w:hRule="atLeast"/>
              </w:trPr>
              <w:tc>
                <w:tcPr>
                  <w:tcW w:w="160" w:type="pct"/>
                  <w:vMerge w:val="continue"/>
                  <w:shd w:val="clear" w:color="auto" w:fill="auto"/>
                  <w:vAlign w:val="center"/>
                </w:tcPr>
                <w:p>
                  <w:pPr>
                    <w:widowControl/>
                    <w:jc w:val="center"/>
                    <w:rPr>
                      <w:kern w:val="0"/>
                    </w:rPr>
                  </w:pPr>
                </w:p>
              </w:tc>
              <w:tc>
                <w:tcPr>
                  <w:tcW w:w="314" w:type="pct"/>
                  <w:vMerge w:val="continue"/>
                  <w:vAlign w:val="center"/>
                </w:tcPr>
                <w:p>
                  <w:pPr>
                    <w:widowControl/>
                    <w:jc w:val="center"/>
                    <w:rPr>
                      <w:bCs/>
                      <w:kern w:val="0"/>
                    </w:rPr>
                  </w:pPr>
                </w:p>
              </w:tc>
              <w:tc>
                <w:tcPr>
                  <w:tcW w:w="314" w:type="pct"/>
                  <w:vMerge w:val="continue"/>
                  <w:shd w:val="clear" w:color="auto" w:fill="auto"/>
                  <w:vAlign w:val="center"/>
                </w:tcPr>
                <w:p>
                  <w:pPr>
                    <w:widowControl/>
                    <w:jc w:val="center"/>
                    <w:rPr>
                      <w:bCs/>
                      <w:kern w:val="0"/>
                    </w:rPr>
                  </w:pPr>
                </w:p>
              </w:tc>
              <w:tc>
                <w:tcPr>
                  <w:tcW w:w="346" w:type="pct"/>
                  <w:vMerge w:val="continue"/>
                  <w:vAlign w:val="center"/>
                </w:tcPr>
                <w:p>
                  <w:pPr>
                    <w:widowControl/>
                    <w:ind w:left="-63" w:leftChars="-30" w:right="-63" w:rightChars="-30"/>
                    <w:jc w:val="center"/>
                    <w:rPr>
                      <w:kern w:val="0"/>
                    </w:rPr>
                  </w:pPr>
                </w:p>
              </w:tc>
              <w:tc>
                <w:tcPr>
                  <w:tcW w:w="317" w:type="pct"/>
                  <w:vMerge w:val="continue"/>
                  <w:vAlign w:val="center"/>
                </w:tcPr>
                <w:p>
                  <w:pPr>
                    <w:widowControl/>
                    <w:jc w:val="center"/>
                    <w:rPr>
                      <w:kern w:val="0"/>
                    </w:rPr>
                  </w:pPr>
                </w:p>
              </w:tc>
              <w:tc>
                <w:tcPr>
                  <w:tcW w:w="306" w:type="pct"/>
                  <w:vMerge w:val="continue"/>
                  <w:shd w:val="clear" w:color="auto" w:fill="auto"/>
                  <w:noWrap/>
                  <w:vAlign w:val="center"/>
                </w:tcPr>
                <w:p>
                  <w:pPr>
                    <w:widowControl/>
                    <w:jc w:val="center"/>
                    <w:rPr>
                      <w:kern w:val="0"/>
                    </w:rPr>
                  </w:pPr>
                </w:p>
              </w:tc>
              <w:tc>
                <w:tcPr>
                  <w:tcW w:w="730" w:type="pct"/>
                  <w:vMerge w:val="continue"/>
                  <w:shd w:val="clear" w:color="auto" w:fill="auto"/>
                  <w:vAlign w:val="center"/>
                </w:tcPr>
                <w:p>
                  <w:pPr>
                    <w:widowControl/>
                    <w:jc w:val="center"/>
                    <w:rPr>
                      <w:rFonts w:hAnsi="宋体"/>
                      <w:kern w:val="0"/>
                    </w:rPr>
                  </w:pPr>
                </w:p>
              </w:tc>
              <w:tc>
                <w:tcPr>
                  <w:tcW w:w="220" w:type="pct"/>
                  <w:vMerge w:val="continue"/>
                  <w:shd w:val="clear" w:color="auto" w:fill="auto"/>
                  <w:noWrap/>
                  <w:vAlign w:val="center"/>
                </w:tcPr>
                <w:p>
                  <w:pPr>
                    <w:widowControl/>
                    <w:jc w:val="center"/>
                    <w:rPr>
                      <w:kern w:val="0"/>
                    </w:rPr>
                  </w:pPr>
                </w:p>
              </w:tc>
              <w:tc>
                <w:tcPr>
                  <w:tcW w:w="222" w:type="pct"/>
                  <w:vMerge w:val="continue"/>
                  <w:shd w:val="clear" w:color="auto" w:fill="auto"/>
                  <w:noWrap/>
                  <w:vAlign w:val="center"/>
                </w:tcPr>
                <w:p>
                  <w:pPr>
                    <w:widowControl/>
                    <w:jc w:val="center"/>
                    <w:rPr>
                      <w:kern w:val="0"/>
                    </w:rPr>
                  </w:pPr>
                </w:p>
              </w:tc>
              <w:tc>
                <w:tcPr>
                  <w:tcW w:w="220" w:type="pct"/>
                  <w:vMerge w:val="continue"/>
                  <w:shd w:val="clear" w:color="auto" w:fill="auto"/>
                  <w:noWrap/>
                  <w:vAlign w:val="center"/>
                </w:tcPr>
                <w:p>
                  <w:pPr>
                    <w:widowControl/>
                    <w:jc w:val="center"/>
                    <w:rPr>
                      <w:kern w:val="0"/>
                    </w:rPr>
                  </w:pPr>
                </w:p>
              </w:tc>
              <w:tc>
                <w:tcPr>
                  <w:tcW w:w="231" w:type="pct"/>
                  <w:shd w:val="clear" w:color="auto" w:fill="auto"/>
                  <w:noWrap/>
                  <w:vAlign w:val="center"/>
                </w:tcPr>
                <w:p>
                  <w:pPr>
                    <w:widowControl/>
                    <w:jc w:val="center"/>
                    <w:rPr>
                      <w:kern w:val="0"/>
                    </w:rPr>
                  </w:pPr>
                  <w:r>
                    <w:rPr>
                      <w:rFonts w:hAnsi="宋体"/>
                      <w:kern w:val="0"/>
                    </w:rPr>
                    <w:t>西</w:t>
                  </w:r>
                </w:p>
              </w:tc>
              <w:tc>
                <w:tcPr>
                  <w:tcW w:w="281" w:type="pct"/>
                  <w:shd w:val="clear" w:color="auto" w:fill="auto"/>
                  <w:noWrap/>
                  <w:vAlign w:val="center"/>
                </w:tcPr>
                <w:p>
                  <w:pPr>
                    <w:widowControl/>
                    <w:jc w:val="center"/>
                    <w:rPr>
                      <w:kern w:val="0"/>
                    </w:rPr>
                  </w:pPr>
                  <w:r>
                    <w:rPr>
                      <w:rFonts w:hint="eastAsia"/>
                    </w:rPr>
                    <w:t>35</w:t>
                  </w:r>
                </w:p>
              </w:tc>
              <w:tc>
                <w:tcPr>
                  <w:tcW w:w="296" w:type="pct"/>
                  <w:shd w:val="clear" w:color="auto" w:fill="auto"/>
                  <w:noWrap/>
                  <w:vAlign w:val="center"/>
                </w:tcPr>
                <w:p>
                  <w:pPr>
                    <w:widowControl/>
                    <w:jc w:val="center"/>
                    <w:rPr>
                      <w:kern w:val="0"/>
                    </w:rPr>
                  </w:pPr>
                  <w:r>
                    <w:rPr>
                      <w:kern w:val="0"/>
                    </w:rPr>
                    <w:t>64</w:t>
                  </w:r>
                </w:p>
              </w:tc>
              <w:tc>
                <w:tcPr>
                  <w:tcW w:w="252" w:type="pct"/>
                  <w:vMerge w:val="continue"/>
                  <w:shd w:val="clear" w:color="auto" w:fill="auto"/>
                  <w:noWrap/>
                  <w:vAlign w:val="center"/>
                </w:tcPr>
                <w:p>
                  <w:pPr>
                    <w:widowControl/>
                    <w:jc w:val="center"/>
                    <w:rPr>
                      <w:rFonts w:hAnsi="宋体"/>
                      <w:kern w:val="0"/>
                    </w:rPr>
                  </w:pPr>
                </w:p>
              </w:tc>
              <w:tc>
                <w:tcPr>
                  <w:tcW w:w="296" w:type="pct"/>
                  <w:vMerge w:val="continue"/>
                  <w:shd w:val="clear" w:color="auto" w:fill="auto"/>
                  <w:noWrap/>
                  <w:vAlign w:val="center"/>
                </w:tcPr>
                <w:p>
                  <w:pPr>
                    <w:widowControl/>
                    <w:jc w:val="center"/>
                    <w:rPr>
                      <w:kern w:val="0"/>
                    </w:rPr>
                  </w:pPr>
                </w:p>
              </w:tc>
              <w:tc>
                <w:tcPr>
                  <w:tcW w:w="296" w:type="pct"/>
                  <w:shd w:val="clear" w:color="auto" w:fill="auto"/>
                  <w:noWrap/>
                  <w:vAlign w:val="center"/>
                </w:tcPr>
                <w:p>
                  <w:pPr>
                    <w:widowControl/>
                    <w:jc w:val="center"/>
                    <w:rPr>
                      <w:kern w:val="0"/>
                    </w:rPr>
                  </w:pPr>
                  <w:r>
                    <w:rPr>
                      <w:rFonts w:hint="eastAsia"/>
                    </w:rPr>
                    <w:t>54</w:t>
                  </w:r>
                </w:p>
              </w:tc>
              <w:tc>
                <w:tcPr>
                  <w:tcW w:w="199" w:type="pct"/>
                  <w:vMerge w:val="continue"/>
                  <w:shd w:val="clear" w:color="auto" w:fill="auto"/>
                  <w:noWrap/>
                  <w:vAlign w:val="center"/>
                </w:tcPr>
                <w:p>
                  <w:pPr>
                    <w:widowControl/>
                    <w:jc w:val="center"/>
                    <w:rPr>
                      <w:kern w:val="0"/>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113" w:hRule="atLeast"/>
              </w:trPr>
              <w:tc>
                <w:tcPr>
                  <w:tcW w:w="160" w:type="pct"/>
                  <w:vMerge w:val="continue"/>
                  <w:shd w:val="clear" w:color="auto" w:fill="auto"/>
                  <w:vAlign w:val="center"/>
                </w:tcPr>
                <w:p>
                  <w:pPr>
                    <w:widowControl/>
                    <w:jc w:val="center"/>
                    <w:rPr>
                      <w:kern w:val="0"/>
                    </w:rPr>
                  </w:pPr>
                </w:p>
              </w:tc>
              <w:tc>
                <w:tcPr>
                  <w:tcW w:w="314" w:type="pct"/>
                  <w:vMerge w:val="continue"/>
                  <w:vAlign w:val="center"/>
                </w:tcPr>
                <w:p>
                  <w:pPr>
                    <w:widowControl/>
                    <w:jc w:val="center"/>
                    <w:rPr>
                      <w:bCs/>
                      <w:kern w:val="0"/>
                    </w:rPr>
                  </w:pPr>
                </w:p>
              </w:tc>
              <w:tc>
                <w:tcPr>
                  <w:tcW w:w="314" w:type="pct"/>
                  <w:vMerge w:val="continue"/>
                  <w:shd w:val="clear" w:color="auto" w:fill="auto"/>
                  <w:vAlign w:val="center"/>
                </w:tcPr>
                <w:p>
                  <w:pPr>
                    <w:widowControl/>
                    <w:jc w:val="center"/>
                    <w:rPr>
                      <w:bCs/>
                      <w:kern w:val="0"/>
                    </w:rPr>
                  </w:pPr>
                </w:p>
              </w:tc>
              <w:tc>
                <w:tcPr>
                  <w:tcW w:w="346" w:type="pct"/>
                  <w:vMerge w:val="continue"/>
                  <w:vAlign w:val="center"/>
                </w:tcPr>
                <w:p>
                  <w:pPr>
                    <w:widowControl/>
                    <w:ind w:left="-63" w:leftChars="-30" w:right="-63" w:rightChars="-30"/>
                    <w:jc w:val="center"/>
                    <w:rPr>
                      <w:kern w:val="0"/>
                    </w:rPr>
                  </w:pPr>
                </w:p>
              </w:tc>
              <w:tc>
                <w:tcPr>
                  <w:tcW w:w="317" w:type="pct"/>
                  <w:vMerge w:val="continue"/>
                  <w:vAlign w:val="center"/>
                </w:tcPr>
                <w:p>
                  <w:pPr>
                    <w:widowControl/>
                    <w:jc w:val="center"/>
                    <w:rPr>
                      <w:kern w:val="0"/>
                    </w:rPr>
                  </w:pPr>
                </w:p>
              </w:tc>
              <w:tc>
                <w:tcPr>
                  <w:tcW w:w="306" w:type="pct"/>
                  <w:vMerge w:val="continue"/>
                  <w:shd w:val="clear" w:color="auto" w:fill="auto"/>
                  <w:noWrap/>
                  <w:vAlign w:val="center"/>
                </w:tcPr>
                <w:p>
                  <w:pPr>
                    <w:widowControl/>
                    <w:jc w:val="center"/>
                    <w:rPr>
                      <w:kern w:val="0"/>
                    </w:rPr>
                  </w:pPr>
                </w:p>
              </w:tc>
              <w:tc>
                <w:tcPr>
                  <w:tcW w:w="730" w:type="pct"/>
                  <w:vMerge w:val="continue"/>
                  <w:shd w:val="clear" w:color="auto" w:fill="auto"/>
                  <w:vAlign w:val="center"/>
                </w:tcPr>
                <w:p>
                  <w:pPr>
                    <w:widowControl/>
                    <w:jc w:val="center"/>
                    <w:rPr>
                      <w:rFonts w:hAnsi="宋体"/>
                      <w:kern w:val="0"/>
                    </w:rPr>
                  </w:pPr>
                </w:p>
              </w:tc>
              <w:tc>
                <w:tcPr>
                  <w:tcW w:w="220" w:type="pct"/>
                  <w:vMerge w:val="continue"/>
                  <w:shd w:val="clear" w:color="auto" w:fill="auto"/>
                  <w:noWrap/>
                  <w:vAlign w:val="center"/>
                </w:tcPr>
                <w:p>
                  <w:pPr>
                    <w:widowControl/>
                    <w:jc w:val="center"/>
                    <w:rPr>
                      <w:kern w:val="0"/>
                    </w:rPr>
                  </w:pPr>
                </w:p>
              </w:tc>
              <w:tc>
                <w:tcPr>
                  <w:tcW w:w="222" w:type="pct"/>
                  <w:vMerge w:val="continue"/>
                  <w:shd w:val="clear" w:color="auto" w:fill="auto"/>
                  <w:noWrap/>
                  <w:vAlign w:val="center"/>
                </w:tcPr>
                <w:p>
                  <w:pPr>
                    <w:widowControl/>
                    <w:jc w:val="center"/>
                    <w:rPr>
                      <w:kern w:val="0"/>
                    </w:rPr>
                  </w:pPr>
                </w:p>
              </w:tc>
              <w:tc>
                <w:tcPr>
                  <w:tcW w:w="220" w:type="pct"/>
                  <w:vMerge w:val="continue"/>
                  <w:shd w:val="clear" w:color="auto" w:fill="auto"/>
                  <w:noWrap/>
                  <w:vAlign w:val="center"/>
                </w:tcPr>
                <w:p>
                  <w:pPr>
                    <w:widowControl/>
                    <w:jc w:val="center"/>
                    <w:rPr>
                      <w:kern w:val="0"/>
                    </w:rPr>
                  </w:pPr>
                </w:p>
              </w:tc>
              <w:tc>
                <w:tcPr>
                  <w:tcW w:w="231" w:type="pct"/>
                  <w:shd w:val="clear" w:color="auto" w:fill="auto"/>
                  <w:noWrap/>
                  <w:vAlign w:val="center"/>
                </w:tcPr>
                <w:p>
                  <w:pPr>
                    <w:widowControl/>
                    <w:jc w:val="center"/>
                    <w:rPr>
                      <w:kern w:val="0"/>
                    </w:rPr>
                  </w:pPr>
                  <w:r>
                    <w:rPr>
                      <w:rFonts w:hAnsi="宋体"/>
                      <w:kern w:val="0"/>
                    </w:rPr>
                    <w:t>北</w:t>
                  </w:r>
                </w:p>
              </w:tc>
              <w:tc>
                <w:tcPr>
                  <w:tcW w:w="281" w:type="pct"/>
                  <w:shd w:val="clear" w:color="auto" w:fill="auto"/>
                  <w:noWrap/>
                  <w:vAlign w:val="center"/>
                </w:tcPr>
                <w:p>
                  <w:pPr>
                    <w:widowControl/>
                    <w:jc w:val="center"/>
                    <w:rPr>
                      <w:kern w:val="0"/>
                    </w:rPr>
                  </w:pPr>
                  <w:r>
                    <w:rPr>
                      <w:rFonts w:hint="eastAsia"/>
                    </w:rPr>
                    <w:t>11</w:t>
                  </w:r>
                </w:p>
              </w:tc>
              <w:tc>
                <w:tcPr>
                  <w:tcW w:w="296" w:type="pct"/>
                  <w:shd w:val="clear" w:color="auto" w:fill="auto"/>
                  <w:noWrap/>
                  <w:vAlign w:val="center"/>
                </w:tcPr>
                <w:p>
                  <w:pPr>
                    <w:widowControl/>
                    <w:jc w:val="center"/>
                    <w:rPr>
                      <w:kern w:val="0"/>
                    </w:rPr>
                  </w:pPr>
                  <w:r>
                    <w:rPr>
                      <w:kern w:val="0"/>
                    </w:rPr>
                    <w:t>67</w:t>
                  </w:r>
                </w:p>
              </w:tc>
              <w:tc>
                <w:tcPr>
                  <w:tcW w:w="252" w:type="pct"/>
                  <w:vMerge w:val="continue"/>
                  <w:shd w:val="clear" w:color="auto" w:fill="auto"/>
                  <w:noWrap/>
                  <w:vAlign w:val="center"/>
                </w:tcPr>
                <w:p>
                  <w:pPr>
                    <w:widowControl/>
                    <w:jc w:val="center"/>
                    <w:rPr>
                      <w:rFonts w:hAnsi="宋体"/>
                      <w:kern w:val="0"/>
                    </w:rPr>
                  </w:pPr>
                </w:p>
              </w:tc>
              <w:tc>
                <w:tcPr>
                  <w:tcW w:w="296" w:type="pct"/>
                  <w:vMerge w:val="continue"/>
                  <w:shd w:val="clear" w:color="auto" w:fill="auto"/>
                  <w:noWrap/>
                  <w:vAlign w:val="center"/>
                </w:tcPr>
                <w:p>
                  <w:pPr>
                    <w:widowControl/>
                    <w:jc w:val="center"/>
                    <w:rPr>
                      <w:kern w:val="0"/>
                    </w:rPr>
                  </w:pPr>
                </w:p>
              </w:tc>
              <w:tc>
                <w:tcPr>
                  <w:tcW w:w="296" w:type="pct"/>
                  <w:shd w:val="clear" w:color="auto" w:fill="auto"/>
                  <w:noWrap/>
                  <w:vAlign w:val="center"/>
                </w:tcPr>
                <w:p>
                  <w:pPr>
                    <w:widowControl/>
                    <w:jc w:val="center"/>
                    <w:rPr>
                      <w:kern w:val="0"/>
                    </w:rPr>
                  </w:pPr>
                  <w:r>
                    <w:rPr>
                      <w:rFonts w:hint="eastAsia"/>
                    </w:rPr>
                    <w:t>57</w:t>
                  </w:r>
                </w:p>
              </w:tc>
              <w:tc>
                <w:tcPr>
                  <w:tcW w:w="199" w:type="pct"/>
                  <w:vMerge w:val="continue"/>
                  <w:shd w:val="clear" w:color="auto" w:fill="auto"/>
                  <w:noWrap/>
                  <w:vAlign w:val="center"/>
                </w:tcPr>
                <w:p>
                  <w:pPr>
                    <w:widowControl/>
                    <w:jc w:val="center"/>
                    <w:rPr>
                      <w:kern w:val="0"/>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113" w:hRule="atLeast"/>
              </w:trPr>
              <w:tc>
                <w:tcPr>
                  <w:tcW w:w="160" w:type="pct"/>
                  <w:vMerge w:val="restart"/>
                  <w:shd w:val="clear" w:color="auto" w:fill="auto"/>
                  <w:vAlign w:val="center"/>
                </w:tcPr>
                <w:p>
                  <w:pPr>
                    <w:widowControl/>
                    <w:jc w:val="center"/>
                    <w:rPr>
                      <w:kern w:val="0"/>
                    </w:rPr>
                  </w:pPr>
                  <w:r>
                    <w:rPr>
                      <w:rFonts w:hint="eastAsia"/>
                      <w:kern w:val="0"/>
                    </w:rPr>
                    <w:t>4</w:t>
                  </w:r>
                </w:p>
              </w:tc>
              <w:tc>
                <w:tcPr>
                  <w:tcW w:w="314" w:type="pct"/>
                  <w:vMerge w:val="continue"/>
                  <w:vAlign w:val="center"/>
                </w:tcPr>
                <w:p>
                  <w:pPr>
                    <w:widowControl/>
                    <w:jc w:val="center"/>
                    <w:rPr>
                      <w:bCs/>
                      <w:kern w:val="0"/>
                    </w:rPr>
                  </w:pPr>
                </w:p>
              </w:tc>
              <w:tc>
                <w:tcPr>
                  <w:tcW w:w="314" w:type="pct"/>
                  <w:vMerge w:val="restart"/>
                  <w:shd w:val="clear" w:color="auto" w:fill="auto"/>
                  <w:vAlign w:val="center"/>
                </w:tcPr>
                <w:p>
                  <w:pPr>
                    <w:widowControl/>
                    <w:jc w:val="center"/>
                    <w:rPr>
                      <w:kern w:val="0"/>
                    </w:rPr>
                  </w:pPr>
                  <w:r>
                    <w:rPr>
                      <w:rFonts w:hint="eastAsia"/>
                      <w:kern w:val="0"/>
                    </w:rPr>
                    <w:t>空压机</w:t>
                  </w:r>
                </w:p>
              </w:tc>
              <w:tc>
                <w:tcPr>
                  <w:tcW w:w="346" w:type="pct"/>
                  <w:vMerge w:val="restart"/>
                  <w:vAlign w:val="center"/>
                </w:tcPr>
                <w:p>
                  <w:pPr>
                    <w:widowControl/>
                    <w:ind w:left="-63" w:leftChars="-30" w:right="-63" w:rightChars="-30"/>
                    <w:jc w:val="center"/>
                    <w:rPr>
                      <w:kern w:val="0"/>
                    </w:rPr>
                  </w:pPr>
                  <w:r>
                    <w:t>BLT-120A</w:t>
                  </w:r>
                </w:p>
              </w:tc>
              <w:tc>
                <w:tcPr>
                  <w:tcW w:w="317" w:type="pct"/>
                  <w:vMerge w:val="restart"/>
                  <w:vAlign w:val="center"/>
                </w:tcPr>
                <w:p>
                  <w:pPr>
                    <w:widowControl/>
                    <w:jc w:val="center"/>
                    <w:rPr>
                      <w:kern w:val="0"/>
                    </w:rPr>
                  </w:pPr>
                  <w:r>
                    <w:rPr>
                      <w:rFonts w:hint="eastAsia"/>
                      <w:kern w:val="0"/>
                    </w:rPr>
                    <w:t>1</w:t>
                  </w:r>
                  <w:r>
                    <w:rPr>
                      <w:kern w:val="0"/>
                    </w:rPr>
                    <w:t>6</w:t>
                  </w:r>
                </w:p>
              </w:tc>
              <w:tc>
                <w:tcPr>
                  <w:tcW w:w="306" w:type="pct"/>
                  <w:vMerge w:val="restart"/>
                  <w:shd w:val="clear" w:color="auto" w:fill="auto"/>
                  <w:noWrap/>
                  <w:vAlign w:val="center"/>
                </w:tcPr>
                <w:p>
                  <w:pPr>
                    <w:widowControl/>
                    <w:jc w:val="center"/>
                    <w:rPr>
                      <w:kern w:val="0"/>
                    </w:rPr>
                  </w:pPr>
                  <w:r>
                    <w:rPr>
                      <w:kern w:val="0"/>
                    </w:rPr>
                    <w:t>75~85</w:t>
                  </w:r>
                </w:p>
              </w:tc>
              <w:tc>
                <w:tcPr>
                  <w:tcW w:w="730" w:type="pct"/>
                  <w:vMerge w:val="restart"/>
                  <w:shd w:val="clear" w:color="auto" w:fill="auto"/>
                  <w:vAlign w:val="center"/>
                </w:tcPr>
                <w:p>
                  <w:pPr>
                    <w:widowControl/>
                    <w:jc w:val="center"/>
                    <w:rPr>
                      <w:kern w:val="0"/>
                    </w:rPr>
                  </w:pPr>
                  <w:r>
                    <w:rPr>
                      <w:rFonts w:hint="eastAsia" w:hAnsi="宋体"/>
                      <w:kern w:val="0"/>
                    </w:rPr>
                    <w:t>置于空压机房内，建筑隔声，</w:t>
                  </w:r>
                  <w:r>
                    <w:rPr>
                      <w:rFonts w:hAnsi="宋体"/>
                      <w:kern w:val="0"/>
                    </w:rPr>
                    <w:t>基础减振，</w:t>
                  </w:r>
                  <w:r>
                    <w:rPr>
                      <w:rFonts w:hint="eastAsia" w:hAnsi="宋体"/>
                      <w:kern w:val="0"/>
                    </w:rPr>
                    <w:t>进出风口安装消声器，</w:t>
                  </w:r>
                  <w:r>
                    <w:rPr>
                      <w:rFonts w:hAnsi="宋体"/>
                      <w:kern w:val="0"/>
                    </w:rPr>
                    <w:t>降噪</w:t>
                  </w:r>
                  <w:r>
                    <w:rPr>
                      <w:kern w:val="0"/>
                    </w:rPr>
                    <w:t>15-25dB(A)</w:t>
                  </w:r>
                </w:p>
              </w:tc>
              <w:tc>
                <w:tcPr>
                  <w:tcW w:w="220" w:type="pct"/>
                  <w:vMerge w:val="restart"/>
                  <w:shd w:val="clear" w:color="auto" w:fill="auto"/>
                  <w:noWrap/>
                  <w:vAlign w:val="center"/>
                </w:tcPr>
                <w:p>
                  <w:pPr>
                    <w:widowControl/>
                    <w:jc w:val="center"/>
                    <w:rPr>
                      <w:kern w:val="0"/>
                    </w:rPr>
                  </w:pPr>
                  <w:r>
                    <w:rPr>
                      <w:kern w:val="0"/>
                    </w:rPr>
                    <w:t>45</w:t>
                  </w:r>
                </w:p>
              </w:tc>
              <w:tc>
                <w:tcPr>
                  <w:tcW w:w="222" w:type="pct"/>
                  <w:vMerge w:val="restart"/>
                  <w:shd w:val="clear" w:color="auto" w:fill="auto"/>
                  <w:noWrap/>
                  <w:vAlign w:val="center"/>
                </w:tcPr>
                <w:p>
                  <w:pPr>
                    <w:widowControl/>
                    <w:jc w:val="center"/>
                    <w:rPr>
                      <w:kern w:val="0"/>
                    </w:rPr>
                  </w:pPr>
                  <w:r>
                    <w:rPr>
                      <w:kern w:val="0"/>
                    </w:rPr>
                    <w:t>5</w:t>
                  </w:r>
                </w:p>
              </w:tc>
              <w:tc>
                <w:tcPr>
                  <w:tcW w:w="220" w:type="pct"/>
                  <w:vMerge w:val="restart"/>
                  <w:shd w:val="clear" w:color="auto" w:fill="auto"/>
                  <w:noWrap/>
                  <w:vAlign w:val="center"/>
                </w:tcPr>
                <w:p>
                  <w:pPr>
                    <w:widowControl/>
                    <w:jc w:val="center"/>
                    <w:rPr>
                      <w:kern w:val="0"/>
                    </w:rPr>
                  </w:pPr>
                  <w:r>
                    <w:rPr>
                      <w:rFonts w:hint="eastAsia"/>
                      <w:kern w:val="0"/>
                    </w:rPr>
                    <w:t>0</w:t>
                  </w:r>
                </w:p>
              </w:tc>
              <w:tc>
                <w:tcPr>
                  <w:tcW w:w="231" w:type="pct"/>
                  <w:shd w:val="clear" w:color="auto" w:fill="auto"/>
                  <w:noWrap/>
                  <w:vAlign w:val="center"/>
                </w:tcPr>
                <w:p>
                  <w:pPr>
                    <w:widowControl/>
                    <w:jc w:val="center"/>
                    <w:rPr>
                      <w:kern w:val="0"/>
                    </w:rPr>
                  </w:pPr>
                  <w:r>
                    <w:rPr>
                      <w:rFonts w:hAnsi="宋体"/>
                      <w:kern w:val="0"/>
                    </w:rPr>
                    <w:t>东</w:t>
                  </w:r>
                </w:p>
              </w:tc>
              <w:tc>
                <w:tcPr>
                  <w:tcW w:w="281" w:type="pct"/>
                  <w:shd w:val="clear" w:color="auto" w:fill="auto"/>
                  <w:noWrap/>
                  <w:vAlign w:val="center"/>
                </w:tcPr>
                <w:p>
                  <w:pPr>
                    <w:widowControl/>
                    <w:jc w:val="center"/>
                    <w:rPr>
                      <w:kern w:val="0"/>
                    </w:rPr>
                  </w:pPr>
                  <w:r>
                    <w:rPr>
                      <w:rFonts w:hint="eastAsia"/>
                    </w:rPr>
                    <w:t>92</w:t>
                  </w:r>
                </w:p>
              </w:tc>
              <w:tc>
                <w:tcPr>
                  <w:tcW w:w="296" w:type="pct"/>
                  <w:shd w:val="clear" w:color="auto" w:fill="auto"/>
                  <w:noWrap/>
                  <w:vAlign w:val="center"/>
                </w:tcPr>
                <w:p>
                  <w:pPr>
                    <w:widowControl/>
                    <w:jc w:val="center"/>
                    <w:rPr>
                      <w:kern w:val="0"/>
                    </w:rPr>
                  </w:pPr>
                  <w:r>
                    <w:rPr>
                      <w:kern w:val="0"/>
                    </w:rPr>
                    <w:t>61</w:t>
                  </w:r>
                </w:p>
              </w:tc>
              <w:tc>
                <w:tcPr>
                  <w:tcW w:w="252" w:type="pct"/>
                  <w:vMerge w:val="restart"/>
                  <w:shd w:val="clear" w:color="auto" w:fill="auto"/>
                  <w:noWrap/>
                  <w:vAlign w:val="center"/>
                </w:tcPr>
                <w:p>
                  <w:pPr>
                    <w:widowControl/>
                    <w:jc w:val="center"/>
                    <w:rPr>
                      <w:kern w:val="0"/>
                    </w:rPr>
                  </w:pPr>
                  <w:r>
                    <w:rPr>
                      <w:rFonts w:hAnsi="宋体"/>
                      <w:kern w:val="0"/>
                    </w:rPr>
                    <w:t>昼</w:t>
                  </w:r>
                  <w:r>
                    <w:rPr>
                      <w:rFonts w:hint="eastAsia" w:hAnsi="宋体"/>
                      <w:kern w:val="0"/>
                    </w:rPr>
                    <w:t>间</w:t>
                  </w:r>
                </w:p>
              </w:tc>
              <w:tc>
                <w:tcPr>
                  <w:tcW w:w="296" w:type="pct"/>
                  <w:vMerge w:val="restart"/>
                  <w:shd w:val="clear" w:color="auto" w:fill="auto"/>
                  <w:noWrap/>
                  <w:vAlign w:val="center"/>
                </w:tcPr>
                <w:p>
                  <w:pPr>
                    <w:widowControl/>
                    <w:jc w:val="center"/>
                    <w:rPr>
                      <w:kern w:val="0"/>
                    </w:rPr>
                  </w:pPr>
                  <w:r>
                    <w:rPr>
                      <w:rFonts w:hint="eastAsia"/>
                      <w:kern w:val="0"/>
                    </w:rPr>
                    <w:t>15</w:t>
                  </w:r>
                </w:p>
              </w:tc>
              <w:tc>
                <w:tcPr>
                  <w:tcW w:w="296" w:type="pct"/>
                  <w:shd w:val="clear" w:color="auto" w:fill="auto"/>
                  <w:noWrap/>
                  <w:vAlign w:val="center"/>
                </w:tcPr>
                <w:p>
                  <w:pPr>
                    <w:widowControl/>
                    <w:jc w:val="center"/>
                    <w:rPr>
                      <w:kern w:val="0"/>
                    </w:rPr>
                  </w:pPr>
                  <w:r>
                    <w:rPr>
                      <w:rFonts w:hint="eastAsia"/>
                    </w:rPr>
                    <w:t>52</w:t>
                  </w:r>
                </w:p>
              </w:tc>
              <w:tc>
                <w:tcPr>
                  <w:tcW w:w="199" w:type="pct"/>
                  <w:vMerge w:val="restart"/>
                  <w:shd w:val="clear" w:color="auto" w:fill="auto"/>
                  <w:noWrap/>
                  <w:vAlign w:val="center"/>
                </w:tcPr>
                <w:p>
                  <w:pPr>
                    <w:widowControl/>
                    <w:jc w:val="center"/>
                    <w:rPr>
                      <w:kern w:val="0"/>
                    </w:rPr>
                  </w:pPr>
                  <w:r>
                    <w:rPr>
                      <w:kern w:val="0"/>
                    </w:rPr>
                    <w:t>1m</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113" w:hRule="atLeast"/>
              </w:trPr>
              <w:tc>
                <w:tcPr>
                  <w:tcW w:w="160" w:type="pct"/>
                  <w:vMerge w:val="continue"/>
                  <w:shd w:val="clear" w:color="auto" w:fill="auto"/>
                  <w:vAlign w:val="center"/>
                </w:tcPr>
                <w:p>
                  <w:pPr>
                    <w:widowControl/>
                    <w:jc w:val="center"/>
                    <w:rPr>
                      <w:kern w:val="0"/>
                    </w:rPr>
                  </w:pPr>
                </w:p>
              </w:tc>
              <w:tc>
                <w:tcPr>
                  <w:tcW w:w="314" w:type="pct"/>
                  <w:vMerge w:val="continue"/>
                  <w:vAlign w:val="center"/>
                </w:tcPr>
                <w:p>
                  <w:pPr>
                    <w:widowControl/>
                    <w:jc w:val="center"/>
                    <w:rPr>
                      <w:kern w:val="0"/>
                    </w:rPr>
                  </w:pPr>
                </w:p>
              </w:tc>
              <w:tc>
                <w:tcPr>
                  <w:tcW w:w="314" w:type="pct"/>
                  <w:vMerge w:val="continue"/>
                  <w:shd w:val="clear" w:color="auto" w:fill="auto"/>
                  <w:vAlign w:val="center"/>
                </w:tcPr>
                <w:p>
                  <w:pPr>
                    <w:widowControl/>
                    <w:jc w:val="center"/>
                    <w:rPr>
                      <w:kern w:val="0"/>
                    </w:rPr>
                  </w:pPr>
                </w:p>
              </w:tc>
              <w:tc>
                <w:tcPr>
                  <w:tcW w:w="346" w:type="pct"/>
                  <w:vMerge w:val="continue"/>
                  <w:vAlign w:val="center"/>
                </w:tcPr>
                <w:p>
                  <w:pPr>
                    <w:widowControl/>
                    <w:ind w:left="-63" w:leftChars="-30" w:right="-63" w:rightChars="-30"/>
                    <w:jc w:val="center"/>
                    <w:rPr>
                      <w:kern w:val="0"/>
                    </w:rPr>
                  </w:pPr>
                </w:p>
              </w:tc>
              <w:tc>
                <w:tcPr>
                  <w:tcW w:w="317" w:type="pct"/>
                  <w:vMerge w:val="continue"/>
                  <w:vAlign w:val="center"/>
                </w:tcPr>
                <w:p>
                  <w:pPr>
                    <w:widowControl/>
                    <w:jc w:val="center"/>
                    <w:rPr>
                      <w:kern w:val="0"/>
                    </w:rPr>
                  </w:pPr>
                </w:p>
              </w:tc>
              <w:tc>
                <w:tcPr>
                  <w:tcW w:w="306" w:type="pct"/>
                  <w:vMerge w:val="continue"/>
                  <w:shd w:val="clear" w:color="auto" w:fill="auto"/>
                  <w:noWrap/>
                  <w:vAlign w:val="center"/>
                </w:tcPr>
                <w:p>
                  <w:pPr>
                    <w:widowControl/>
                    <w:jc w:val="center"/>
                    <w:rPr>
                      <w:kern w:val="0"/>
                    </w:rPr>
                  </w:pPr>
                </w:p>
              </w:tc>
              <w:tc>
                <w:tcPr>
                  <w:tcW w:w="730" w:type="pct"/>
                  <w:vMerge w:val="continue"/>
                  <w:shd w:val="clear" w:color="auto" w:fill="auto"/>
                  <w:vAlign w:val="center"/>
                </w:tcPr>
                <w:p>
                  <w:pPr>
                    <w:widowControl/>
                    <w:jc w:val="center"/>
                    <w:rPr>
                      <w:kern w:val="0"/>
                    </w:rPr>
                  </w:pPr>
                </w:p>
              </w:tc>
              <w:tc>
                <w:tcPr>
                  <w:tcW w:w="220" w:type="pct"/>
                  <w:vMerge w:val="continue"/>
                  <w:shd w:val="clear" w:color="auto" w:fill="auto"/>
                  <w:noWrap/>
                  <w:vAlign w:val="center"/>
                </w:tcPr>
                <w:p>
                  <w:pPr>
                    <w:widowControl/>
                    <w:jc w:val="center"/>
                    <w:rPr>
                      <w:kern w:val="0"/>
                    </w:rPr>
                  </w:pPr>
                </w:p>
              </w:tc>
              <w:tc>
                <w:tcPr>
                  <w:tcW w:w="222" w:type="pct"/>
                  <w:vMerge w:val="continue"/>
                  <w:shd w:val="clear" w:color="auto" w:fill="auto"/>
                  <w:noWrap/>
                  <w:vAlign w:val="center"/>
                </w:tcPr>
                <w:p>
                  <w:pPr>
                    <w:widowControl/>
                    <w:jc w:val="center"/>
                    <w:rPr>
                      <w:kern w:val="0"/>
                    </w:rPr>
                  </w:pPr>
                </w:p>
              </w:tc>
              <w:tc>
                <w:tcPr>
                  <w:tcW w:w="220" w:type="pct"/>
                  <w:vMerge w:val="continue"/>
                  <w:shd w:val="clear" w:color="auto" w:fill="auto"/>
                  <w:noWrap/>
                  <w:vAlign w:val="center"/>
                </w:tcPr>
                <w:p>
                  <w:pPr>
                    <w:widowControl/>
                    <w:jc w:val="center"/>
                    <w:rPr>
                      <w:kern w:val="0"/>
                    </w:rPr>
                  </w:pPr>
                </w:p>
              </w:tc>
              <w:tc>
                <w:tcPr>
                  <w:tcW w:w="231" w:type="pct"/>
                  <w:shd w:val="clear" w:color="auto" w:fill="auto"/>
                  <w:noWrap/>
                  <w:vAlign w:val="center"/>
                </w:tcPr>
                <w:p>
                  <w:pPr>
                    <w:widowControl/>
                    <w:jc w:val="center"/>
                    <w:rPr>
                      <w:kern w:val="0"/>
                    </w:rPr>
                  </w:pPr>
                  <w:r>
                    <w:rPr>
                      <w:rFonts w:hAnsi="宋体"/>
                      <w:kern w:val="0"/>
                    </w:rPr>
                    <w:t>南</w:t>
                  </w:r>
                </w:p>
              </w:tc>
              <w:tc>
                <w:tcPr>
                  <w:tcW w:w="281" w:type="pct"/>
                  <w:shd w:val="clear" w:color="auto" w:fill="auto"/>
                  <w:noWrap/>
                  <w:vAlign w:val="center"/>
                </w:tcPr>
                <w:p>
                  <w:pPr>
                    <w:widowControl/>
                    <w:jc w:val="center"/>
                    <w:rPr>
                      <w:kern w:val="0"/>
                    </w:rPr>
                  </w:pPr>
                  <w:r>
                    <w:rPr>
                      <w:rFonts w:hint="eastAsia"/>
                    </w:rPr>
                    <w:t>17</w:t>
                  </w:r>
                </w:p>
              </w:tc>
              <w:tc>
                <w:tcPr>
                  <w:tcW w:w="296" w:type="pct"/>
                  <w:shd w:val="clear" w:color="auto" w:fill="auto"/>
                  <w:noWrap/>
                  <w:vAlign w:val="center"/>
                </w:tcPr>
                <w:p>
                  <w:pPr>
                    <w:widowControl/>
                    <w:jc w:val="center"/>
                    <w:rPr>
                      <w:kern w:val="0"/>
                    </w:rPr>
                  </w:pPr>
                  <w:r>
                    <w:rPr>
                      <w:kern w:val="0"/>
                    </w:rPr>
                    <w:t>68</w:t>
                  </w:r>
                </w:p>
              </w:tc>
              <w:tc>
                <w:tcPr>
                  <w:tcW w:w="252" w:type="pct"/>
                  <w:vMerge w:val="continue"/>
                  <w:shd w:val="clear" w:color="auto" w:fill="auto"/>
                  <w:noWrap/>
                  <w:vAlign w:val="center"/>
                </w:tcPr>
                <w:p>
                  <w:pPr>
                    <w:widowControl/>
                    <w:jc w:val="center"/>
                    <w:rPr>
                      <w:kern w:val="0"/>
                    </w:rPr>
                  </w:pPr>
                </w:p>
              </w:tc>
              <w:tc>
                <w:tcPr>
                  <w:tcW w:w="296" w:type="pct"/>
                  <w:vMerge w:val="continue"/>
                  <w:shd w:val="clear" w:color="auto" w:fill="auto"/>
                  <w:noWrap/>
                  <w:vAlign w:val="center"/>
                </w:tcPr>
                <w:p>
                  <w:pPr>
                    <w:widowControl/>
                    <w:jc w:val="center"/>
                    <w:rPr>
                      <w:kern w:val="0"/>
                    </w:rPr>
                  </w:pPr>
                </w:p>
              </w:tc>
              <w:tc>
                <w:tcPr>
                  <w:tcW w:w="296" w:type="pct"/>
                  <w:shd w:val="clear" w:color="auto" w:fill="auto"/>
                  <w:noWrap/>
                  <w:vAlign w:val="center"/>
                </w:tcPr>
                <w:p>
                  <w:pPr>
                    <w:widowControl/>
                    <w:jc w:val="center"/>
                    <w:rPr>
                      <w:kern w:val="0"/>
                    </w:rPr>
                  </w:pPr>
                  <w:r>
                    <w:rPr>
                      <w:rFonts w:hint="eastAsia"/>
                    </w:rPr>
                    <w:t>58</w:t>
                  </w:r>
                </w:p>
              </w:tc>
              <w:tc>
                <w:tcPr>
                  <w:tcW w:w="199" w:type="pct"/>
                  <w:vMerge w:val="continue"/>
                  <w:shd w:val="clear" w:color="auto" w:fill="auto"/>
                  <w:noWrap/>
                  <w:vAlign w:val="center"/>
                </w:tcPr>
                <w:p>
                  <w:pPr>
                    <w:widowControl/>
                    <w:jc w:val="center"/>
                    <w:rPr>
                      <w:kern w:val="0"/>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113" w:hRule="atLeast"/>
              </w:trPr>
              <w:tc>
                <w:tcPr>
                  <w:tcW w:w="160" w:type="pct"/>
                  <w:vMerge w:val="continue"/>
                  <w:vAlign w:val="center"/>
                </w:tcPr>
                <w:p>
                  <w:pPr>
                    <w:widowControl/>
                    <w:jc w:val="center"/>
                    <w:rPr>
                      <w:kern w:val="0"/>
                    </w:rPr>
                  </w:pPr>
                </w:p>
              </w:tc>
              <w:tc>
                <w:tcPr>
                  <w:tcW w:w="314" w:type="pct"/>
                  <w:vMerge w:val="continue"/>
                  <w:vAlign w:val="center"/>
                </w:tcPr>
                <w:p>
                  <w:pPr>
                    <w:widowControl/>
                    <w:jc w:val="center"/>
                    <w:rPr>
                      <w:kern w:val="0"/>
                    </w:rPr>
                  </w:pPr>
                </w:p>
              </w:tc>
              <w:tc>
                <w:tcPr>
                  <w:tcW w:w="314" w:type="pct"/>
                  <w:vMerge w:val="continue"/>
                  <w:vAlign w:val="center"/>
                </w:tcPr>
                <w:p>
                  <w:pPr>
                    <w:widowControl/>
                    <w:jc w:val="center"/>
                    <w:rPr>
                      <w:kern w:val="0"/>
                    </w:rPr>
                  </w:pPr>
                </w:p>
              </w:tc>
              <w:tc>
                <w:tcPr>
                  <w:tcW w:w="346" w:type="pct"/>
                  <w:vMerge w:val="continue"/>
                  <w:vAlign w:val="center"/>
                </w:tcPr>
                <w:p>
                  <w:pPr>
                    <w:widowControl/>
                    <w:jc w:val="center"/>
                    <w:rPr>
                      <w:kern w:val="0"/>
                    </w:rPr>
                  </w:pPr>
                </w:p>
              </w:tc>
              <w:tc>
                <w:tcPr>
                  <w:tcW w:w="317" w:type="pct"/>
                  <w:vMerge w:val="continue"/>
                  <w:vAlign w:val="center"/>
                </w:tcPr>
                <w:p>
                  <w:pPr>
                    <w:widowControl/>
                    <w:jc w:val="center"/>
                    <w:rPr>
                      <w:kern w:val="0"/>
                    </w:rPr>
                  </w:pPr>
                </w:p>
              </w:tc>
              <w:tc>
                <w:tcPr>
                  <w:tcW w:w="306" w:type="pct"/>
                  <w:vMerge w:val="continue"/>
                  <w:vAlign w:val="center"/>
                </w:tcPr>
                <w:p>
                  <w:pPr>
                    <w:widowControl/>
                    <w:jc w:val="center"/>
                    <w:rPr>
                      <w:kern w:val="0"/>
                    </w:rPr>
                  </w:pPr>
                </w:p>
              </w:tc>
              <w:tc>
                <w:tcPr>
                  <w:tcW w:w="730" w:type="pct"/>
                  <w:vMerge w:val="continue"/>
                  <w:shd w:val="clear" w:color="auto" w:fill="auto"/>
                  <w:vAlign w:val="center"/>
                </w:tcPr>
                <w:p>
                  <w:pPr>
                    <w:widowControl/>
                    <w:jc w:val="center"/>
                    <w:rPr>
                      <w:kern w:val="0"/>
                    </w:rPr>
                  </w:pPr>
                </w:p>
              </w:tc>
              <w:tc>
                <w:tcPr>
                  <w:tcW w:w="220" w:type="pct"/>
                  <w:vMerge w:val="continue"/>
                  <w:vAlign w:val="center"/>
                </w:tcPr>
                <w:p>
                  <w:pPr>
                    <w:widowControl/>
                    <w:jc w:val="center"/>
                    <w:rPr>
                      <w:kern w:val="0"/>
                    </w:rPr>
                  </w:pPr>
                </w:p>
              </w:tc>
              <w:tc>
                <w:tcPr>
                  <w:tcW w:w="222" w:type="pct"/>
                  <w:vMerge w:val="continue"/>
                  <w:vAlign w:val="center"/>
                </w:tcPr>
                <w:p>
                  <w:pPr>
                    <w:widowControl/>
                    <w:jc w:val="center"/>
                    <w:rPr>
                      <w:kern w:val="0"/>
                    </w:rPr>
                  </w:pPr>
                </w:p>
              </w:tc>
              <w:tc>
                <w:tcPr>
                  <w:tcW w:w="220" w:type="pct"/>
                  <w:vMerge w:val="continue"/>
                  <w:vAlign w:val="center"/>
                </w:tcPr>
                <w:p>
                  <w:pPr>
                    <w:widowControl/>
                    <w:jc w:val="center"/>
                    <w:rPr>
                      <w:kern w:val="0"/>
                    </w:rPr>
                  </w:pPr>
                </w:p>
              </w:tc>
              <w:tc>
                <w:tcPr>
                  <w:tcW w:w="231" w:type="pct"/>
                  <w:shd w:val="clear" w:color="auto" w:fill="auto"/>
                  <w:noWrap/>
                  <w:vAlign w:val="center"/>
                </w:tcPr>
                <w:p>
                  <w:pPr>
                    <w:widowControl/>
                    <w:jc w:val="center"/>
                    <w:rPr>
                      <w:kern w:val="0"/>
                    </w:rPr>
                  </w:pPr>
                  <w:r>
                    <w:rPr>
                      <w:rFonts w:hAnsi="宋体"/>
                      <w:kern w:val="0"/>
                    </w:rPr>
                    <w:t>西</w:t>
                  </w:r>
                </w:p>
              </w:tc>
              <w:tc>
                <w:tcPr>
                  <w:tcW w:w="281" w:type="pct"/>
                  <w:shd w:val="clear" w:color="auto" w:fill="auto"/>
                  <w:noWrap/>
                  <w:vAlign w:val="center"/>
                </w:tcPr>
                <w:p>
                  <w:pPr>
                    <w:widowControl/>
                    <w:jc w:val="center"/>
                    <w:rPr>
                      <w:kern w:val="0"/>
                    </w:rPr>
                  </w:pPr>
                  <w:r>
                    <w:rPr>
                      <w:rFonts w:hint="eastAsia"/>
                    </w:rPr>
                    <w:t>2</w:t>
                  </w:r>
                </w:p>
              </w:tc>
              <w:tc>
                <w:tcPr>
                  <w:tcW w:w="296" w:type="pct"/>
                  <w:shd w:val="clear" w:color="auto" w:fill="auto"/>
                  <w:noWrap/>
                  <w:vAlign w:val="center"/>
                </w:tcPr>
                <w:p>
                  <w:pPr>
                    <w:widowControl/>
                    <w:jc w:val="center"/>
                    <w:rPr>
                      <w:kern w:val="0"/>
                    </w:rPr>
                  </w:pPr>
                  <w:r>
                    <w:rPr>
                      <w:rFonts w:hint="eastAsia"/>
                      <w:kern w:val="0"/>
                    </w:rPr>
                    <w:t>7</w:t>
                  </w:r>
                  <w:r>
                    <w:rPr>
                      <w:kern w:val="0"/>
                    </w:rPr>
                    <w:t>5</w:t>
                  </w:r>
                </w:p>
              </w:tc>
              <w:tc>
                <w:tcPr>
                  <w:tcW w:w="252" w:type="pct"/>
                  <w:vMerge w:val="continue"/>
                  <w:vAlign w:val="center"/>
                </w:tcPr>
                <w:p>
                  <w:pPr>
                    <w:widowControl/>
                    <w:jc w:val="center"/>
                    <w:rPr>
                      <w:kern w:val="0"/>
                    </w:rPr>
                  </w:pPr>
                </w:p>
              </w:tc>
              <w:tc>
                <w:tcPr>
                  <w:tcW w:w="296" w:type="pct"/>
                  <w:vMerge w:val="continue"/>
                  <w:vAlign w:val="center"/>
                </w:tcPr>
                <w:p>
                  <w:pPr>
                    <w:widowControl/>
                    <w:jc w:val="center"/>
                    <w:rPr>
                      <w:kern w:val="0"/>
                    </w:rPr>
                  </w:pPr>
                </w:p>
              </w:tc>
              <w:tc>
                <w:tcPr>
                  <w:tcW w:w="296" w:type="pct"/>
                  <w:shd w:val="clear" w:color="auto" w:fill="auto"/>
                  <w:noWrap/>
                  <w:vAlign w:val="center"/>
                </w:tcPr>
                <w:p>
                  <w:pPr>
                    <w:widowControl/>
                    <w:jc w:val="center"/>
                    <w:rPr>
                      <w:kern w:val="0"/>
                    </w:rPr>
                  </w:pPr>
                  <w:r>
                    <w:rPr>
                      <w:rFonts w:hint="eastAsia"/>
                    </w:rPr>
                    <w:t>64</w:t>
                  </w:r>
                </w:p>
              </w:tc>
              <w:tc>
                <w:tcPr>
                  <w:tcW w:w="199" w:type="pct"/>
                  <w:vMerge w:val="continue"/>
                  <w:vAlign w:val="center"/>
                </w:tcPr>
                <w:p>
                  <w:pPr>
                    <w:widowControl/>
                    <w:jc w:val="center"/>
                    <w:rPr>
                      <w:kern w:val="0"/>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113" w:hRule="atLeast"/>
              </w:trPr>
              <w:tc>
                <w:tcPr>
                  <w:tcW w:w="160" w:type="pct"/>
                  <w:vMerge w:val="continue"/>
                  <w:vAlign w:val="center"/>
                </w:tcPr>
                <w:p>
                  <w:pPr>
                    <w:widowControl/>
                    <w:jc w:val="center"/>
                    <w:rPr>
                      <w:kern w:val="0"/>
                    </w:rPr>
                  </w:pPr>
                </w:p>
              </w:tc>
              <w:tc>
                <w:tcPr>
                  <w:tcW w:w="314" w:type="pct"/>
                  <w:vMerge w:val="continue"/>
                  <w:vAlign w:val="center"/>
                </w:tcPr>
                <w:p>
                  <w:pPr>
                    <w:widowControl/>
                    <w:jc w:val="center"/>
                    <w:rPr>
                      <w:kern w:val="0"/>
                    </w:rPr>
                  </w:pPr>
                </w:p>
              </w:tc>
              <w:tc>
                <w:tcPr>
                  <w:tcW w:w="314" w:type="pct"/>
                  <w:vMerge w:val="continue"/>
                  <w:vAlign w:val="center"/>
                </w:tcPr>
                <w:p>
                  <w:pPr>
                    <w:widowControl/>
                    <w:jc w:val="center"/>
                    <w:rPr>
                      <w:kern w:val="0"/>
                    </w:rPr>
                  </w:pPr>
                </w:p>
              </w:tc>
              <w:tc>
                <w:tcPr>
                  <w:tcW w:w="346" w:type="pct"/>
                  <w:vMerge w:val="continue"/>
                  <w:vAlign w:val="center"/>
                </w:tcPr>
                <w:p>
                  <w:pPr>
                    <w:widowControl/>
                    <w:jc w:val="center"/>
                    <w:rPr>
                      <w:kern w:val="0"/>
                    </w:rPr>
                  </w:pPr>
                </w:p>
              </w:tc>
              <w:tc>
                <w:tcPr>
                  <w:tcW w:w="317" w:type="pct"/>
                  <w:vMerge w:val="continue"/>
                  <w:vAlign w:val="center"/>
                </w:tcPr>
                <w:p>
                  <w:pPr>
                    <w:widowControl/>
                    <w:jc w:val="center"/>
                    <w:rPr>
                      <w:kern w:val="0"/>
                    </w:rPr>
                  </w:pPr>
                </w:p>
              </w:tc>
              <w:tc>
                <w:tcPr>
                  <w:tcW w:w="306" w:type="pct"/>
                  <w:vMerge w:val="continue"/>
                  <w:vAlign w:val="center"/>
                </w:tcPr>
                <w:p>
                  <w:pPr>
                    <w:widowControl/>
                    <w:jc w:val="center"/>
                    <w:rPr>
                      <w:kern w:val="0"/>
                    </w:rPr>
                  </w:pPr>
                </w:p>
              </w:tc>
              <w:tc>
                <w:tcPr>
                  <w:tcW w:w="730" w:type="pct"/>
                  <w:vMerge w:val="continue"/>
                  <w:shd w:val="clear" w:color="auto" w:fill="auto"/>
                  <w:vAlign w:val="center"/>
                </w:tcPr>
                <w:p>
                  <w:pPr>
                    <w:widowControl/>
                    <w:jc w:val="center"/>
                    <w:rPr>
                      <w:kern w:val="0"/>
                    </w:rPr>
                  </w:pPr>
                </w:p>
              </w:tc>
              <w:tc>
                <w:tcPr>
                  <w:tcW w:w="220" w:type="pct"/>
                  <w:vMerge w:val="continue"/>
                  <w:vAlign w:val="center"/>
                </w:tcPr>
                <w:p>
                  <w:pPr>
                    <w:widowControl/>
                    <w:jc w:val="center"/>
                    <w:rPr>
                      <w:kern w:val="0"/>
                    </w:rPr>
                  </w:pPr>
                </w:p>
              </w:tc>
              <w:tc>
                <w:tcPr>
                  <w:tcW w:w="222" w:type="pct"/>
                  <w:vMerge w:val="continue"/>
                  <w:vAlign w:val="center"/>
                </w:tcPr>
                <w:p>
                  <w:pPr>
                    <w:widowControl/>
                    <w:jc w:val="center"/>
                    <w:rPr>
                      <w:kern w:val="0"/>
                    </w:rPr>
                  </w:pPr>
                </w:p>
              </w:tc>
              <w:tc>
                <w:tcPr>
                  <w:tcW w:w="220" w:type="pct"/>
                  <w:vMerge w:val="continue"/>
                  <w:vAlign w:val="center"/>
                </w:tcPr>
                <w:p>
                  <w:pPr>
                    <w:widowControl/>
                    <w:jc w:val="center"/>
                    <w:rPr>
                      <w:kern w:val="0"/>
                    </w:rPr>
                  </w:pPr>
                </w:p>
              </w:tc>
              <w:tc>
                <w:tcPr>
                  <w:tcW w:w="231" w:type="pct"/>
                  <w:shd w:val="clear" w:color="auto" w:fill="auto"/>
                  <w:noWrap/>
                  <w:vAlign w:val="center"/>
                </w:tcPr>
                <w:p>
                  <w:pPr>
                    <w:widowControl/>
                    <w:jc w:val="center"/>
                    <w:rPr>
                      <w:kern w:val="0"/>
                    </w:rPr>
                  </w:pPr>
                  <w:r>
                    <w:rPr>
                      <w:rFonts w:hAnsi="宋体"/>
                      <w:kern w:val="0"/>
                    </w:rPr>
                    <w:t>北</w:t>
                  </w:r>
                </w:p>
              </w:tc>
              <w:tc>
                <w:tcPr>
                  <w:tcW w:w="281" w:type="pct"/>
                  <w:shd w:val="clear" w:color="auto" w:fill="auto"/>
                  <w:noWrap/>
                  <w:vAlign w:val="center"/>
                </w:tcPr>
                <w:p>
                  <w:pPr>
                    <w:widowControl/>
                    <w:jc w:val="center"/>
                    <w:rPr>
                      <w:kern w:val="0"/>
                    </w:rPr>
                  </w:pPr>
                  <w:r>
                    <w:rPr>
                      <w:rFonts w:hint="eastAsia"/>
                    </w:rPr>
                    <w:t>7</w:t>
                  </w:r>
                </w:p>
              </w:tc>
              <w:tc>
                <w:tcPr>
                  <w:tcW w:w="296" w:type="pct"/>
                  <w:shd w:val="clear" w:color="auto" w:fill="auto"/>
                  <w:noWrap/>
                  <w:vAlign w:val="center"/>
                </w:tcPr>
                <w:p>
                  <w:pPr>
                    <w:widowControl/>
                    <w:jc w:val="center"/>
                    <w:rPr>
                      <w:kern w:val="0"/>
                    </w:rPr>
                  </w:pPr>
                  <w:r>
                    <w:rPr>
                      <w:kern w:val="0"/>
                    </w:rPr>
                    <w:t>70</w:t>
                  </w:r>
                </w:p>
              </w:tc>
              <w:tc>
                <w:tcPr>
                  <w:tcW w:w="252" w:type="pct"/>
                  <w:vMerge w:val="continue"/>
                  <w:vAlign w:val="center"/>
                </w:tcPr>
                <w:p>
                  <w:pPr>
                    <w:widowControl/>
                    <w:jc w:val="center"/>
                    <w:rPr>
                      <w:kern w:val="0"/>
                    </w:rPr>
                  </w:pPr>
                </w:p>
              </w:tc>
              <w:tc>
                <w:tcPr>
                  <w:tcW w:w="296" w:type="pct"/>
                  <w:vMerge w:val="continue"/>
                  <w:vAlign w:val="center"/>
                </w:tcPr>
                <w:p>
                  <w:pPr>
                    <w:widowControl/>
                    <w:jc w:val="center"/>
                    <w:rPr>
                      <w:kern w:val="0"/>
                    </w:rPr>
                  </w:pPr>
                </w:p>
              </w:tc>
              <w:tc>
                <w:tcPr>
                  <w:tcW w:w="296" w:type="pct"/>
                  <w:shd w:val="clear" w:color="auto" w:fill="auto"/>
                  <w:noWrap/>
                  <w:vAlign w:val="center"/>
                </w:tcPr>
                <w:p>
                  <w:pPr>
                    <w:widowControl/>
                    <w:jc w:val="center"/>
                    <w:rPr>
                      <w:kern w:val="0"/>
                    </w:rPr>
                  </w:pPr>
                  <w:r>
                    <w:rPr>
                      <w:rFonts w:hint="eastAsia"/>
                    </w:rPr>
                    <w:t>60</w:t>
                  </w:r>
                </w:p>
              </w:tc>
              <w:tc>
                <w:tcPr>
                  <w:tcW w:w="199" w:type="pct"/>
                  <w:vMerge w:val="continue"/>
                  <w:vAlign w:val="center"/>
                </w:tcPr>
                <w:p>
                  <w:pPr>
                    <w:widowControl/>
                    <w:jc w:val="center"/>
                    <w:rPr>
                      <w:kern w:val="0"/>
                    </w:rPr>
                  </w:pPr>
                </w:p>
              </w:tc>
            </w:tr>
          </w:tbl>
          <w:p>
            <w:pPr>
              <w:pStyle w:val="85"/>
              <w:ind w:firstLine="420"/>
            </w:pPr>
            <w:r>
              <w:rPr>
                <w:rFonts w:hint="eastAsia"/>
              </w:rPr>
              <w:t>注：（0，0，0）点为项目车间中心；室内平均吸声系数约为0.03。</w:t>
            </w:r>
          </w:p>
        </w:tc>
      </w:tr>
    </w:tbl>
    <w:p>
      <w:pPr>
        <w:sectPr>
          <w:pgSz w:w="16838" w:h="11906" w:orient="landscape"/>
          <w:pgMar w:top="1531" w:right="1701" w:bottom="1531" w:left="1701" w:header="851" w:footer="851" w:gutter="0"/>
          <w:cols w:space="720" w:num="1"/>
          <w:docGrid w:linePitch="312" w:charSpace="0"/>
        </w:sectPr>
      </w:pPr>
    </w:p>
    <w:tbl>
      <w:tblPr>
        <w:tblStyle w:val="2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4"/>
        <w:gridCol w:w="855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67" w:hRule="atLeast"/>
          <w:jc w:val="center"/>
        </w:trPr>
        <w:tc>
          <w:tcPr>
            <w:tcW w:w="236" w:type="pct"/>
            <w:tcMar>
              <w:left w:w="28" w:type="dxa"/>
              <w:right w:w="28" w:type="dxa"/>
            </w:tcMar>
            <w:vAlign w:val="center"/>
          </w:tcPr>
          <w:p>
            <w:pPr>
              <w:adjustRightInd w:val="0"/>
              <w:snapToGrid w:val="0"/>
              <w:jc w:val="center"/>
              <w:rPr>
                <w:bCs/>
              </w:rPr>
            </w:pPr>
            <w:r>
              <w:rPr>
                <w:rFonts w:hint="eastAsia"/>
                <w:bCs/>
              </w:rPr>
              <w:t>运营</w:t>
            </w:r>
          </w:p>
          <w:p>
            <w:pPr>
              <w:adjustRightInd w:val="0"/>
              <w:snapToGrid w:val="0"/>
              <w:jc w:val="center"/>
              <w:rPr>
                <w:bCs/>
              </w:rPr>
            </w:pPr>
            <w:r>
              <w:rPr>
                <w:rFonts w:hint="eastAsia"/>
                <w:bCs/>
              </w:rPr>
              <w:t>期环</w:t>
            </w:r>
          </w:p>
          <w:p>
            <w:pPr>
              <w:adjustRightInd w:val="0"/>
              <w:snapToGrid w:val="0"/>
              <w:jc w:val="center"/>
              <w:rPr>
                <w:bCs/>
              </w:rPr>
            </w:pPr>
            <w:r>
              <w:rPr>
                <w:rFonts w:hint="eastAsia"/>
                <w:bCs/>
              </w:rPr>
              <w:t>境影</w:t>
            </w:r>
          </w:p>
          <w:p>
            <w:pPr>
              <w:adjustRightInd w:val="0"/>
              <w:snapToGrid w:val="0"/>
              <w:jc w:val="center"/>
              <w:rPr>
                <w:bCs/>
              </w:rPr>
            </w:pPr>
            <w:r>
              <w:rPr>
                <w:rFonts w:hint="eastAsia"/>
                <w:bCs/>
              </w:rPr>
              <w:t>响和</w:t>
            </w:r>
          </w:p>
          <w:p>
            <w:pPr>
              <w:adjustRightInd w:val="0"/>
              <w:snapToGrid w:val="0"/>
              <w:jc w:val="center"/>
              <w:rPr>
                <w:bCs/>
              </w:rPr>
            </w:pPr>
            <w:r>
              <w:rPr>
                <w:rFonts w:hint="eastAsia"/>
                <w:bCs/>
              </w:rPr>
              <w:t>保护</w:t>
            </w:r>
          </w:p>
          <w:p>
            <w:pPr>
              <w:adjustRightInd w:val="0"/>
              <w:snapToGrid w:val="0"/>
              <w:jc w:val="center"/>
              <w:rPr>
                <w:bCs/>
              </w:rPr>
            </w:pPr>
            <w:r>
              <w:rPr>
                <w:rFonts w:hint="eastAsia"/>
                <w:bCs/>
              </w:rPr>
              <w:t>措施</w:t>
            </w:r>
          </w:p>
        </w:tc>
        <w:tc>
          <w:tcPr>
            <w:tcW w:w="4764" w:type="pct"/>
          </w:tcPr>
          <w:p>
            <w:pPr>
              <w:pStyle w:val="82"/>
              <w:ind w:firstLine="482"/>
              <w:rPr>
                <w:b/>
                <w:bCs/>
              </w:rPr>
            </w:pPr>
            <w:r>
              <w:rPr>
                <w:rFonts w:hint="eastAsia"/>
                <w:b/>
                <w:bCs/>
              </w:rPr>
              <w:t>（2）噪声影响及达标分析</w:t>
            </w:r>
          </w:p>
          <w:p>
            <w:pPr>
              <w:pStyle w:val="82"/>
            </w:pPr>
            <w:r>
              <w:rPr>
                <w:rFonts w:hint="eastAsia"/>
              </w:rPr>
              <w:t>①预测模式</w:t>
            </w:r>
          </w:p>
          <w:p>
            <w:pPr>
              <w:pStyle w:val="82"/>
              <w:ind w:firstLine="482"/>
              <w:rPr>
                <w:lang w:val="zh-CN"/>
              </w:rPr>
            </w:pPr>
            <w:r>
              <w:rPr>
                <w:rFonts w:hint="eastAsia"/>
                <w:b/>
              </w:rPr>
              <w:t>室内声源计算：</w:t>
            </w:r>
            <w:r>
              <w:t>项目设备噪声可近似视为点声源处理，采用《环境影响评价技术导则 声环境》</w:t>
            </w:r>
            <w:r>
              <w:rPr>
                <w:rFonts w:hint="eastAsia"/>
                <w:lang w:val="zh-CN"/>
              </w:rPr>
              <w:t>（HJ</w:t>
            </w:r>
            <w:r>
              <w:rPr>
                <w:rFonts w:hint="eastAsia"/>
              </w:rPr>
              <w:t xml:space="preserve"> </w:t>
            </w:r>
            <w:r>
              <w:rPr>
                <w:rFonts w:hint="eastAsia"/>
                <w:lang w:val="zh-CN"/>
              </w:rPr>
              <w:t>2.4-2021）中推荐的室内声源等效室外声源计算方法：</w:t>
            </w:r>
          </w:p>
          <w:p>
            <w:pPr>
              <w:pStyle w:val="82"/>
              <w:jc w:val="center"/>
              <w:rPr>
                <w:lang w:val="zh-CN"/>
              </w:rPr>
            </w:pPr>
            <w:r>
              <w:rPr>
                <w:rFonts w:hint="eastAsia"/>
                <w:lang w:val="zh-CN"/>
              </w:rPr>
              <w:t>L</w:t>
            </w:r>
            <w:r>
              <w:rPr>
                <w:vertAlign w:val="subscript"/>
                <w:lang w:val="zh-CN"/>
              </w:rPr>
              <w:t>p</w:t>
            </w:r>
            <w:r>
              <w:rPr>
                <w:rFonts w:hint="eastAsia"/>
                <w:vertAlign w:val="subscript"/>
                <w:lang w:val="zh-CN"/>
              </w:rPr>
              <w:t>2</w:t>
            </w:r>
            <w:r>
              <w:rPr>
                <w:lang w:val="zh-CN"/>
              </w:rPr>
              <w:t>=</w:t>
            </w:r>
            <w:r>
              <w:rPr>
                <w:rFonts w:hint="eastAsia"/>
                <w:lang w:val="zh-CN"/>
              </w:rPr>
              <w:t xml:space="preserve"> L</w:t>
            </w:r>
            <w:r>
              <w:rPr>
                <w:vertAlign w:val="subscript"/>
                <w:lang w:val="zh-CN"/>
              </w:rPr>
              <w:t>p1</w:t>
            </w:r>
            <w:r>
              <w:rPr>
                <w:lang w:val="zh-CN"/>
              </w:rPr>
              <w:t>-</w:t>
            </w:r>
            <w:r>
              <w:rPr>
                <w:rFonts w:hint="eastAsia"/>
                <w:lang w:val="zh-CN"/>
              </w:rPr>
              <w:t>（T</w:t>
            </w:r>
            <w:r>
              <w:rPr>
                <w:lang w:val="zh-CN"/>
              </w:rPr>
              <w:t>L+6</w:t>
            </w:r>
            <w:r>
              <w:rPr>
                <w:rFonts w:hint="eastAsia"/>
                <w:lang w:val="zh-CN"/>
              </w:rPr>
              <w:t xml:space="preserve">） </w:t>
            </w:r>
            <w:r>
              <w:rPr>
                <w:lang w:val="zh-CN"/>
              </w:rPr>
              <w:t xml:space="preserve">                 </w:t>
            </w:r>
            <w:r>
              <w:rPr>
                <w:rFonts w:hint="eastAsia"/>
                <w:lang w:val="zh-CN"/>
              </w:rPr>
              <w:t>（B</w:t>
            </w:r>
            <w:r>
              <w:rPr>
                <w:lang w:val="zh-CN"/>
              </w:rPr>
              <w:t>.1</w:t>
            </w:r>
            <w:r>
              <w:rPr>
                <w:rFonts w:hint="eastAsia"/>
                <w:lang w:val="zh-CN"/>
              </w:rPr>
              <w:t>）</w:t>
            </w:r>
          </w:p>
          <w:p>
            <w:pPr>
              <w:pStyle w:val="82"/>
              <w:rPr>
                <w:lang w:val="zh-CN"/>
              </w:rPr>
            </w:pPr>
            <w:r>
              <w:rPr>
                <w:rFonts w:hint="eastAsia"/>
                <w:lang w:val="zh-CN"/>
              </w:rPr>
              <w:t>式中：L</w:t>
            </w:r>
            <w:r>
              <w:rPr>
                <w:rFonts w:hint="eastAsia"/>
                <w:vertAlign w:val="subscript"/>
                <w:lang w:val="zh-CN"/>
              </w:rPr>
              <w:t>p</w:t>
            </w:r>
            <w:r>
              <w:rPr>
                <w:vertAlign w:val="subscript"/>
                <w:lang w:val="zh-CN"/>
              </w:rPr>
              <w:t>1</w:t>
            </w:r>
            <w:r>
              <w:rPr>
                <w:rFonts w:hint="eastAsia"/>
                <w:lang w:val="zh-CN"/>
              </w:rPr>
              <w:t>——靠近开口处（或窗户）室内某倍频带的声压级或A声级，dB；</w:t>
            </w:r>
          </w:p>
          <w:p>
            <w:pPr>
              <w:pStyle w:val="82"/>
              <w:ind w:firstLine="1200" w:firstLineChars="500"/>
              <w:rPr>
                <w:lang w:val="zh-CN"/>
              </w:rPr>
            </w:pPr>
            <w:r>
              <w:rPr>
                <w:rFonts w:hint="eastAsia"/>
                <w:lang w:val="zh-CN"/>
              </w:rPr>
              <w:t>L</w:t>
            </w:r>
            <w:r>
              <w:rPr>
                <w:rFonts w:hint="eastAsia"/>
                <w:vertAlign w:val="subscript"/>
                <w:lang w:val="zh-CN"/>
              </w:rPr>
              <w:t>p2</w:t>
            </w:r>
            <w:r>
              <w:rPr>
                <w:rFonts w:hint="eastAsia"/>
                <w:lang w:val="zh-CN"/>
              </w:rPr>
              <w:t>——靠近开口处（或窗户）室外某倍频带的声压级或A声级，dB；</w:t>
            </w:r>
          </w:p>
          <w:p>
            <w:pPr>
              <w:pStyle w:val="82"/>
              <w:ind w:firstLine="1200" w:firstLineChars="500"/>
              <w:rPr>
                <w:lang w:val="zh-CN"/>
              </w:rPr>
            </w:pPr>
            <w:r>
              <w:rPr>
                <w:rFonts w:hint="eastAsia"/>
                <w:lang w:val="zh-CN"/>
              </w:rPr>
              <w:t>TL——隔墙（或窗户）倍频带或A声级的隔声量，dB。</w:t>
            </w:r>
          </w:p>
          <w:p>
            <w:pPr>
              <w:pStyle w:val="82"/>
              <w:rPr>
                <w:lang w:val="zh-CN"/>
              </w:rPr>
            </w:pPr>
            <w:r>
              <w:rPr>
                <w:rFonts w:hint="eastAsia"/>
                <w:lang w:val="zh-CN"/>
              </w:rPr>
              <w:t>也可按式（B.2）计算某一室内声源靠近围护结构处产生的倍频带声压级或A声级：</w:t>
            </w:r>
          </w:p>
          <w:p>
            <w:pPr>
              <w:pStyle w:val="82"/>
              <w:jc w:val="center"/>
              <w:rPr>
                <w:rFonts w:ascii="Calibri" w:hAnsi="Calibri"/>
                <w:i/>
                <w:szCs w:val="22"/>
              </w:rPr>
            </w:pPr>
            <m:oMath>
              <m:sSub>
                <m:sSubPr>
                  <m:ctrlPr>
                    <w:rPr>
                      <w:rFonts w:ascii="Cambria Math" w:hAnsi="Cambria Math" w:eastAsia="Cambria Math" w:cs="Cambria Math"/>
                      <w:i/>
                    </w:rPr>
                  </m:ctrlPr>
                </m:sSubPr>
                <m:e>
                  <m:r>
                    <m:rPr/>
                    <w:rPr>
                      <w:rFonts w:ascii="Cambria Math" w:hAnsi="Cambria Math" w:eastAsia="Cambria Math" w:cs="Cambria Math"/>
                    </w:rPr>
                    <m:t>L</m:t>
                  </m:r>
                  <m:ctrlPr>
                    <w:rPr>
                      <w:rFonts w:ascii="Cambria Math" w:hAnsi="Cambria Math" w:eastAsia="Cambria Math" w:cs="Cambria Math"/>
                      <w:i/>
                    </w:rPr>
                  </m:ctrlPr>
                </m:e>
                <m:sub>
                  <m:r>
                    <m:rPr/>
                    <w:rPr>
                      <w:rFonts w:ascii="Cambria Math" w:hAnsi="Cambria Math" w:eastAsia="Cambria Math" w:cs="Cambria Math"/>
                    </w:rPr>
                    <m:t>p1</m:t>
                  </m:r>
                  <m:ctrlPr>
                    <w:rPr>
                      <w:rFonts w:ascii="Cambria Math" w:hAnsi="Cambria Math" w:eastAsia="Cambria Math" w:cs="Cambria Math"/>
                      <w:i/>
                    </w:rPr>
                  </m:ctrlPr>
                </m:sub>
              </m:sSub>
              <m:r>
                <m:rPr>
                  <m:sty m:val="p"/>
                </m:rPr>
                <w:rPr>
                  <w:rFonts w:ascii="Cambria Math" w:hAnsi="Cambria Math" w:eastAsia="Cambria Math" w:cs="Cambria Math"/>
                </w:rPr>
                <m:t>=</m:t>
              </m:r>
              <m:sSub>
                <m:sSubPr>
                  <m:ctrlPr>
                    <w:rPr>
                      <w:rFonts w:ascii="Cambria Math" w:hAnsi="Cambria Math" w:eastAsia="Cambria Math" w:cs="Cambria Math"/>
                    </w:rPr>
                  </m:ctrlPr>
                </m:sSubPr>
                <m:e>
                  <m:r>
                    <m:rPr/>
                    <w:rPr>
                      <w:rFonts w:ascii="Cambria Math" w:hAnsi="Cambria Math" w:eastAsia="Cambria Math" w:cs="Cambria Math"/>
                    </w:rPr>
                    <m:t>L</m:t>
                  </m:r>
                  <m:ctrlPr>
                    <w:rPr>
                      <w:rFonts w:ascii="Cambria Math" w:hAnsi="Cambria Math" w:eastAsia="Cambria Math" w:cs="Cambria Math"/>
                    </w:rPr>
                  </m:ctrlPr>
                </m:e>
                <m:sub>
                  <m:r>
                    <m:rPr/>
                    <w:rPr>
                      <w:rFonts w:hint="eastAsia" w:ascii="Cambria Math" w:hAnsi="Cambria Math" w:cs="Cambria Math"/>
                    </w:rPr>
                    <m:t>w</m:t>
                  </m:r>
                  <m:ctrlPr>
                    <w:rPr>
                      <w:rFonts w:ascii="Cambria Math" w:hAnsi="Cambria Math" w:eastAsia="Cambria Math" w:cs="Cambria Math"/>
                    </w:rPr>
                  </m:ctrlPr>
                </m:sub>
              </m:sSub>
              <m:r>
                <m:rPr>
                  <m:sty m:val="p"/>
                </m:rPr>
                <w:rPr>
                  <w:rFonts w:ascii="Cambria Math" w:hAnsi="Cambria Math" w:eastAsia="Cambria Math"/>
                </w:rPr>
                <m:t>+10</m:t>
              </m:r>
              <m:r>
                <m:rPr>
                  <m:sty m:val="p"/>
                </m:rPr>
                <w:rPr>
                  <w:rFonts w:hint="eastAsia" w:ascii="Cambria Math" w:hAnsi="Cambria Math"/>
                </w:rPr>
                <m:t>lg</m:t>
              </m:r>
              <m:d>
                <m:dPr>
                  <m:ctrlPr>
                    <w:rPr>
                      <w:rFonts w:ascii="Cambria Math" w:hAnsi="Cambria Math"/>
                    </w:rPr>
                  </m:ctrlPr>
                </m:dPr>
                <m:e>
                  <m:f>
                    <m:fPr>
                      <m:ctrlPr>
                        <w:rPr>
                          <w:rFonts w:ascii="Cambria Math" w:hAnsi="Cambria Math"/>
                          <w:i/>
                        </w:rPr>
                      </m:ctrlPr>
                    </m:fPr>
                    <m:num>
                      <m:r>
                        <m:rPr/>
                        <w:rPr>
                          <w:rFonts w:ascii="Cambria Math" w:hAnsi="Cambria Math"/>
                        </w:rPr>
                        <m:t>Q</m:t>
                      </m:r>
                      <m:ctrlPr>
                        <w:rPr>
                          <w:rFonts w:ascii="Cambria Math" w:hAnsi="Cambria Math"/>
                          <w:i/>
                        </w:rPr>
                      </m:ctrlPr>
                    </m:num>
                    <m:den>
                      <m:r>
                        <m:rPr/>
                        <w:rPr>
                          <w:rFonts w:ascii="Cambria Math" w:hAnsi="Cambria Math"/>
                        </w:rPr>
                        <m:t>4π</m:t>
                      </m:r>
                      <m:sSup>
                        <m:sSupPr>
                          <m:ctrlPr>
                            <w:rPr>
                              <w:rFonts w:ascii="Cambria Math" w:hAnsi="Cambria Math"/>
                              <w:i/>
                            </w:rPr>
                          </m:ctrlPr>
                        </m:sSupPr>
                        <m:e>
                          <m:r>
                            <m:rPr/>
                            <w:rPr>
                              <w:rFonts w:ascii="Cambria Math" w:hAnsi="Cambria Math"/>
                            </w:rPr>
                            <m:t>γ</m:t>
                          </m:r>
                          <m:ctrlPr>
                            <w:rPr>
                              <w:rFonts w:ascii="Cambria Math" w:hAnsi="Cambria Math"/>
                              <w:i/>
                            </w:rPr>
                          </m:ctrlPr>
                        </m:e>
                        <m:sup>
                          <m:r>
                            <m:rPr/>
                            <w:rPr>
                              <w:rFonts w:ascii="Cambria Math" w:hAnsi="Cambria Math"/>
                            </w:rPr>
                            <m:t>2</m:t>
                          </m:r>
                          <m:ctrlPr>
                            <w:rPr>
                              <w:rFonts w:ascii="Cambria Math" w:hAnsi="Cambria Math"/>
                              <w:i/>
                            </w:rPr>
                          </m:ctrlPr>
                        </m:sup>
                      </m:sSup>
                      <m:ctrlPr>
                        <w:rPr>
                          <w:rFonts w:ascii="Cambria Math" w:hAnsi="Cambria Math"/>
                          <w:i/>
                        </w:rPr>
                      </m:ctrlPr>
                    </m:den>
                  </m:f>
                  <m:r>
                    <m:rPr/>
                    <w:rPr>
                      <w:rFonts w:ascii="Cambria Math" w:hAnsi="Cambria Math"/>
                    </w:rPr>
                    <m:t>+</m:t>
                  </m:r>
                  <m:f>
                    <m:fPr>
                      <m:ctrlPr>
                        <w:rPr>
                          <w:rFonts w:ascii="Cambria Math" w:hAnsi="Cambria Math"/>
                          <w:i/>
                        </w:rPr>
                      </m:ctrlPr>
                    </m:fPr>
                    <m:num>
                      <m:r>
                        <m:rPr/>
                        <w:rPr>
                          <w:rFonts w:ascii="Cambria Math" w:hAnsi="Cambria Math"/>
                        </w:rPr>
                        <m:t>4</m:t>
                      </m:r>
                      <m:ctrlPr>
                        <w:rPr>
                          <w:rFonts w:ascii="Cambria Math" w:hAnsi="Cambria Math"/>
                          <w:i/>
                        </w:rPr>
                      </m:ctrlPr>
                    </m:num>
                    <m:den>
                      <m:r>
                        <m:rPr/>
                        <w:rPr>
                          <w:rFonts w:ascii="Cambria Math" w:hAnsi="Cambria Math"/>
                        </w:rPr>
                        <m:t>R</m:t>
                      </m:r>
                      <m:ctrlPr>
                        <w:rPr>
                          <w:rFonts w:ascii="Cambria Math" w:hAnsi="Cambria Math"/>
                          <w:i/>
                        </w:rPr>
                      </m:ctrlPr>
                    </m:den>
                  </m:f>
                  <m:ctrlPr>
                    <w:rPr>
                      <w:rFonts w:ascii="Cambria Math" w:hAnsi="Cambria Math"/>
                    </w:rPr>
                  </m:ctrlPr>
                </m:e>
              </m:d>
            </m:oMath>
            <w:r>
              <w:rPr>
                <w:rFonts w:ascii="Calibri" w:hAnsi="Calibri"/>
                <w:sz w:val="21"/>
                <w:szCs w:val="22"/>
              </w:rPr>
              <w:t xml:space="preserve">                  </w:t>
            </w:r>
            <w:r>
              <w:rPr>
                <w:bCs/>
              </w:rPr>
              <w:t>（B.2）</w:t>
            </w:r>
          </w:p>
          <w:p>
            <w:pPr>
              <w:pStyle w:val="82"/>
              <w:rPr>
                <w:lang w:val="zh-CN"/>
              </w:rPr>
            </w:pPr>
            <w:r>
              <w:rPr>
                <w:rFonts w:hint="eastAsia"/>
                <w:lang w:val="zh-CN"/>
              </w:rPr>
              <w:t>式中：L</w:t>
            </w:r>
            <w:r>
              <w:rPr>
                <w:rFonts w:hint="eastAsia"/>
                <w:vertAlign w:val="subscript"/>
                <w:lang w:val="zh-CN"/>
              </w:rPr>
              <w:t>p</w:t>
            </w:r>
            <w:r>
              <w:rPr>
                <w:vertAlign w:val="subscript"/>
                <w:lang w:val="zh-CN"/>
              </w:rPr>
              <w:t>1</w:t>
            </w:r>
            <w:r>
              <w:rPr>
                <w:rFonts w:hint="eastAsia"/>
                <w:lang w:val="zh-CN"/>
              </w:rPr>
              <w:t>——靠近开口处（或窗户）室内某倍频带的声压级或A声级，dB；</w:t>
            </w:r>
          </w:p>
          <w:p>
            <w:pPr>
              <w:pStyle w:val="82"/>
              <w:ind w:firstLine="1200" w:firstLineChars="500"/>
              <w:rPr>
                <w:lang w:val="zh-CN"/>
              </w:rPr>
            </w:pPr>
            <w:r>
              <w:rPr>
                <w:rFonts w:hint="eastAsia"/>
                <w:lang w:val="zh-CN"/>
              </w:rPr>
              <w:t>Lw——点声源声功率级（A计权或倍频带)，dB；</w:t>
            </w:r>
          </w:p>
          <w:p>
            <w:pPr>
              <w:pStyle w:val="82"/>
              <w:ind w:firstLine="1200" w:firstLineChars="500"/>
              <w:rPr>
                <w:lang w:val="zh-CN"/>
              </w:rPr>
            </w:pPr>
            <w:r>
              <w:rPr>
                <w:lang w:val="zh-CN"/>
              </w:rPr>
              <w:t>Q</w:t>
            </w:r>
            <w:r>
              <w:rPr>
                <w:rFonts w:hint="eastAsia"/>
                <w:lang w:val="zh-CN"/>
              </w:rPr>
              <w:t>——指向性因数；通常对无指向性声源，当声源放在房间中心时，</w:t>
            </w:r>
            <w:r>
              <w:rPr>
                <w:lang w:val="zh-CN"/>
              </w:rPr>
              <w:t>Q</w:t>
            </w:r>
            <w:r>
              <w:rPr>
                <w:rFonts w:hint="eastAsia"/>
                <w:lang w:val="zh-CN"/>
              </w:rPr>
              <w:t>=1；当放在一面墙的中心时，</w:t>
            </w:r>
            <w:r>
              <w:rPr>
                <w:lang w:val="zh-CN"/>
              </w:rPr>
              <w:t>Q</w:t>
            </w:r>
            <w:r>
              <w:rPr>
                <w:rFonts w:hint="eastAsia"/>
                <w:lang w:val="zh-CN"/>
              </w:rPr>
              <w:t>=2；当放在两面墙夹角处时，Q</w:t>
            </w:r>
            <w:r>
              <w:rPr>
                <w:lang w:val="zh-CN"/>
              </w:rPr>
              <w:t>=</w:t>
            </w:r>
            <w:r>
              <w:rPr>
                <w:rFonts w:hint="eastAsia"/>
                <w:lang w:val="zh-CN"/>
              </w:rPr>
              <w:t>4；当放在三面墙夹角处时，Q=8；</w:t>
            </w:r>
          </w:p>
          <w:p>
            <w:pPr>
              <w:pStyle w:val="82"/>
              <w:ind w:firstLine="1200" w:firstLineChars="500"/>
              <w:rPr>
                <w:lang w:val="zh-CN"/>
              </w:rPr>
            </w:pPr>
            <w:r>
              <w:rPr>
                <w:rFonts w:hint="eastAsia"/>
                <w:lang w:val="zh-CN"/>
              </w:rPr>
              <w:t>R——房间常数；R=Sa/(1-a)，S为房间内表面面积，m</w:t>
            </w:r>
            <w:r>
              <w:rPr>
                <w:vertAlign w:val="superscript"/>
                <w:lang w:val="zh-CN"/>
              </w:rPr>
              <w:t>2</w:t>
            </w:r>
            <w:r>
              <w:rPr>
                <w:rFonts w:hint="eastAsia"/>
                <w:lang w:val="zh-CN"/>
              </w:rPr>
              <w:t>；a为平均吸声系数；</w:t>
            </w:r>
          </w:p>
          <w:p>
            <w:pPr>
              <w:pStyle w:val="82"/>
              <w:ind w:firstLine="1200" w:firstLineChars="500"/>
              <w:rPr>
                <w:lang w:val="zh-CN"/>
              </w:rPr>
            </w:pPr>
            <w:r>
              <w:rPr>
                <w:lang w:val="zh-CN"/>
              </w:rPr>
              <w:t>r</w:t>
            </w:r>
            <w:r>
              <w:rPr>
                <w:rFonts w:hint="eastAsia"/>
                <w:lang w:val="zh-CN"/>
              </w:rPr>
              <w:t>——声源到靠近围护结构某点处的距离，m。</w:t>
            </w:r>
          </w:p>
          <w:p>
            <w:pPr>
              <w:pStyle w:val="82"/>
              <w:rPr>
                <w:lang w:val="zh-CN"/>
              </w:rPr>
            </w:pPr>
            <w:r>
              <w:rPr>
                <w:rFonts w:hint="eastAsia"/>
                <w:lang w:val="zh-CN"/>
              </w:rPr>
              <w:t>然后按式（B.3）计算出所有室内声源在围护结构处产生的i倍频带叠加声压级：</w:t>
            </w:r>
          </w:p>
          <w:p>
            <w:pPr>
              <w:pStyle w:val="82"/>
              <w:jc w:val="center"/>
            </w:pPr>
            <m:oMath>
              <m:sSub>
                <m:sSubPr>
                  <m:ctrlPr>
                    <w:rPr>
                      <w:rFonts w:ascii="Cambria Math" w:hAnsi="Cambria Math"/>
                    </w:rPr>
                  </m:ctrlPr>
                </m:sSubPr>
                <m:e>
                  <m:r>
                    <m:rPr/>
                    <w:rPr>
                      <w:rFonts w:ascii="Cambria Math" w:hAnsi="Cambria Math"/>
                    </w:rPr>
                    <m:t>L</m:t>
                  </m:r>
                  <m:ctrlPr>
                    <w:rPr>
                      <w:rFonts w:ascii="Cambria Math" w:hAnsi="Cambria Math"/>
                    </w:rPr>
                  </m:ctrlPr>
                </m:e>
                <m:sub>
                  <m:r>
                    <m:rPr/>
                    <w:rPr>
                      <w:rFonts w:ascii="Cambria Math" w:hAnsi="Cambria Math"/>
                    </w:rPr>
                    <m:t>pli</m:t>
                  </m:r>
                  <m:ctrlPr>
                    <w:rPr>
                      <w:rFonts w:ascii="Cambria Math" w:hAnsi="Cambria Math"/>
                    </w:rPr>
                  </m:ctrlPr>
                </m:sub>
              </m:sSub>
              <m:d>
                <m:dPr>
                  <m:ctrlPr>
                    <w:rPr>
                      <w:rFonts w:ascii="Cambria Math" w:hAnsi="Cambria Math"/>
                    </w:rPr>
                  </m:ctrlPr>
                </m:dPr>
                <m:e>
                  <m:r>
                    <m:rPr/>
                    <w:rPr>
                      <w:rFonts w:ascii="Cambria Math" w:hAnsi="Cambria Math"/>
                    </w:rPr>
                    <m:t>T</m:t>
                  </m:r>
                  <m:ctrlPr>
                    <w:rPr>
                      <w:rFonts w:ascii="Cambria Math" w:hAnsi="Cambria Math"/>
                    </w:rPr>
                  </m:ctrlPr>
                </m:e>
              </m:d>
              <m:r>
                <m:rPr>
                  <m:sty m:val="p"/>
                </m:rPr>
                <w:rPr>
                  <w:rFonts w:ascii="Cambria Math" w:hAnsi="Cambria Math"/>
                </w:rPr>
                <m:t>=10</m:t>
              </m:r>
              <m:r>
                <m:rPr/>
                <w:rPr>
                  <w:rFonts w:ascii="Cambria Math" w:hAnsi="Cambria Math"/>
                </w:rPr>
                <m:t>lg</m:t>
              </m:r>
              <m:d>
                <m:dPr>
                  <m:ctrlPr>
                    <w:rPr>
                      <w:rFonts w:ascii="Cambria Math" w:hAnsi="Cambria Math"/>
                    </w:rPr>
                  </m:ctrlPr>
                </m:dPr>
                <m:e>
                  <m:nary>
                    <m:naryPr>
                      <m:chr m:val="∑"/>
                      <m:limLoc m:val="undOvr"/>
                      <m:ctrlPr>
                        <w:rPr>
                          <w:rFonts w:ascii="Cambria Math" w:hAnsi="Cambria Math"/>
                        </w:rPr>
                      </m:ctrlPr>
                    </m:naryPr>
                    <m:sub>
                      <m:r>
                        <m:rPr/>
                        <w:rPr>
                          <w:rFonts w:ascii="Cambria Math" w:hAnsi="Cambria Math"/>
                        </w:rPr>
                        <m:t>j</m:t>
                      </m:r>
                      <m:r>
                        <m:rPr>
                          <m:sty m:val="p"/>
                        </m:rPr>
                        <w:rPr>
                          <w:rFonts w:ascii="Cambria Math" w:hAnsi="Cambria Math"/>
                        </w:rPr>
                        <m:t>=1</m:t>
                      </m:r>
                      <m:ctrlPr>
                        <w:rPr>
                          <w:rFonts w:ascii="Cambria Math" w:hAnsi="Cambria Math"/>
                        </w:rPr>
                      </m:ctrlPr>
                    </m:sub>
                    <m:sup>
                      <m:r>
                        <m:rPr/>
                        <w:rPr>
                          <w:rFonts w:ascii="Cambria Math" w:hAnsi="Cambria Math"/>
                        </w:rPr>
                        <m:t>N</m:t>
                      </m:r>
                      <m:ctrlPr>
                        <w:rPr>
                          <w:rFonts w:ascii="Cambria Math" w:hAnsi="Cambria Math"/>
                        </w:rPr>
                      </m:ctrlPr>
                    </m:sup>
                    <m:e>
                      <m:sSup>
                        <m:sSupPr>
                          <m:ctrlPr>
                            <w:rPr>
                              <w:rFonts w:ascii="Cambria Math" w:hAnsi="Cambria Math"/>
                            </w:rPr>
                          </m:ctrlPr>
                        </m:sSupPr>
                        <m:e>
                          <m:r>
                            <m:rPr>
                              <m:sty m:val="p"/>
                            </m:rPr>
                            <w:rPr>
                              <w:rFonts w:ascii="Cambria Math" w:hAnsi="Cambria Math"/>
                            </w:rPr>
                            <m:t>10</m:t>
                          </m:r>
                          <m:ctrlPr>
                            <w:rPr>
                              <w:rFonts w:ascii="Cambria Math" w:hAnsi="Cambria Math"/>
                            </w:rPr>
                          </m:ctrlPr>
                        </m:e>
                        <m:sup>
                          <m:r>
                            <m:rPr>
                              <m:sty m:val="p"/>
                            </m:rPr>
                            <w:rPr>
                              <w:rFonts w:ascii="Cambria Math" w:hAnsi="Cambria Math"/>
                            </w:rPr>
                            <m:t>0.1</m:t>
                          </m:r>
                          <m:sSub>
                            <m:sSubPr>
                              <m:ctrlPr>
                                <w:rPr>
                                  <w:rFonts w:ascii="Cambria Math" w:hAnsi="Cambria Math"/>
                                </w:rPr>
                              </m:ctrlPr>
                            </m:sSubPr>
                            <m:e>
                              <m:r>
                                <m:rPr/>
                                <w:rPr>
                                  <w:rFonts w:ascii="Cambria Math" w:hAnsi="Cambria Math"/>
                                </w:rPr>
                                <m:t>L</m:t>
                              </m:r>
                              <m:ctrlPr>
                                <w:rPr>
                                  <w:rFonts w:ascii="Cambria Math" w:hAnsi="Cambria Math"/>
                                </w:rPr>
                              </m:ctrlPr>
                            </m:e>
                            <m:sub>
                              <m:r>
                                <m:rPr/>
                                <w:rPr>
                                  <w:rFonts w:ascii="Cambria Math" w:hAnsi="Cambria Math"/>
                                </w:rPr>
                                <m:t>plij</m:t>
                              </m:r>
                              <m:ctrlPr>
                                <w:rPr>
                                  <w:rFonts w:ascii="Cambria Math" w:hAnsi="Cambria Math"/>
                                </w:rPr>
                              </m:ctrlPr>
                            </m:sub>
                          </m:sSub>
                          <m:ctrlPr>
                            <w:rPr>
                              <w:rFonts w:ascii="Cambria Math" w:hAnsi="Cambria Math"/>
                            </w:rPr>
                          </m:ctrlPr>
                        </m:sup>
                      </m:sSup>
                      <m:ctrlPr>
                        <w:rPr>
                          <w:rFonts w:ascii="Cambria Math" w:hAnsi="Cambria Math"/>
                        </w:rPr>
                      </m:ctrlPr>
                    </m:e>
                  </m:nary>
                  <m:ctrlPr>
                    <w:rPr>
                      <w:rFonts w:ascii="Cambria Math" w:hAnsi="Cambria Math"/>
                    </w:rPr>
                  </m:ctrlPr>
                </m:e>
              </m:d>
            </m:oMath>
            <w:r>
              <w:rPr>
                <w:sz w:val="21"/>
              </w:rPr>
              <w:t xml:space="preserve">         </w:t>
            </w:r>
            <w:r>
              <w:rPr>
                <w:bCs/>
              </w:rPr>
              <w:t xml:space="preserve">       </w:t>
            </w:r>
            <w:r>
              <w:rPr>
                <w:rFonts w:hint="eastAsia"/>
                <w:bCs/>
              </w:rPr>
              <w:t>（B</w:t>
            </w:r>
            <w:r>
              <w:rPr>
                <w:bCs/>
              </w:rPr>
              <w:t>.3</w:t>
            </w:r>
            <w:r>
              <w:rPr>
                <w:rFonts w:hint="eastAsia"/>
                <w:bCs/>
              </w:rPr>
              <w:t>）</w:t>
            </w:r>
          </w:p>
          <w:p>
            <w:pPr>
              <w:pStyle w:val="82"/>
              <w:rPr>
                <w:lang w:val="zh-CN"/>
              </w:rPr>
            </w:pPr>
            <w:r>
              <w:rPr>
                <w:rFonts w:hint="eastAsia"/>
                <w:lang w:val="zh-CN"/>
              </w:rPr>
              <w:t>式中：L</w:t>
            </w:r>
            <w:r>
              <w:rPr>
                <w:rFonts w:hint="eastAsia"/>
                <w:vertAlign w:val="subscript"/>
                <w:lang w:val="zh-CN"/>
              </w:rPr>
              <w:t>p</w:t>
            </w:r>
            <w:r>
              <w:rPr>
                <w:vertAlign w:val="subscript"/>
                <w:lang w:val="zh-CN"/>
              </w:rPr>
              <w:t>li</w:t>
            </w:r>
            <w:r>
              <w:rPr>
                <w:rFonts w:hint="eastAsia"/>
                <w:lang w:val="zh-CN"/>
              </w:rPr>
              <w:t>(T)——靠近围护结构处室内N个声源i倍频带的叠加声压级，dB；</w:t>
            </w:r>
          </w:p>
          <w:p>
            <w:pPr>
              <w:pStyle w:val="82"/>
              <w:ind w:firstLine="1200" w:firstLineChars="500"/>
              <w:rPr>
                <w:lang w:val="zh-CN"/>
              </w:rPr>
            </w:pPr>
            <w:r>
              <w:rPr>
                <w:rFonts w:hint="eastAsia"/>
                <w:lang w:val="zh-CN"/>
              </w:rPr>
              <w:t>L</w:t>
            </w:r>
            <w:r>
              <w:rPr>
                <w:rFonts w:hint="eastAsia"/>
                <w:vertAlign w:val="subscript"/>
                <w:lang w:val="zh-CN"/>
              </w:rPr>
              <w:t>p</w:t>
            </w:r>
            <w:r>
              <w:rPr>
                <w:vertAlign w:val="subscript"/>
                <w:lang w:val="zh-CN"/>
              </w:rPr>
              <w:t>lij</w:t>
            </w:r>
            <w:r>
              <w:rPr>
                <w:rFonts w:hint="eastAsia"/>
                <w:lang w:val="zh-CN"/>
              </w:rPr>
              <w:t>——室内j声源i倍频带的声压级，dB；</w:t>
            </w:r>
          </w:p>
          <w:p>
            <w:pPr>
              <w:pStyle w:val="82"/>
              <w:ind w:firstLine="1200" w:firstLineChars="500"/>
              <w:rPr>
                <w:lang w:val="zh-CN"/>
              </w:rPr>
            </w:pPr>
            <w:r>
              <w:rPr>
                <w:rFonts w:hint="eastAsia"/>
                <w:lang w:val="zh-CN"/>
              </w:rPr>
              <w:t>N——室内声源总数。</w:t>
            </w:r>
          </w:p>
          <w:p>
            <w:pPr>
              <w:pStyle w:val="82"/>
              <w:rPr>
                <w:lang w:val="zh-CN"/>
              </w:rPr>
            </w:pPr>
            <w:r>
              <w:rPr>
                <w:rFonts w:hint="eastAsia"/>
                <w:lang w:val="zh-CN"/>
              </w:rPr>
              <w:t>在室内近似为扩散声场时，按式（B.4）计算出靠近室外围护结构处的声压级：</w:t>
            </w:r>
          </w:p>
          <w:p>
            <w:pPr>
              <w:pStyle w:val="82"/>
              <w:jc w:val="center"/>
            </w:pPr>
            <m:oMath>
              <m:sSub>
                <m:sSubPr>
                  <m:ctrlPr>
                    <w:rPr>
                      <w:rFonts w:ascii="Cambria Math" w:hAnsi="Cambria Math" w:eastAsia="等线"/>
                      <w:i/>
                      <w:szCs w:val="22"/>
                    </w:rPr>
                  </m:ctrlPr>
                </m:sSubPr>
                <m:e>
                  <m:r>
                    <m:rPr/>
                    <w:rPr>
                      <w:rFonts w:ascii="Cambria Math" w:hAnsi="Cambria Math" w:eastAsia="等线"/>
                      <w:szCs w:val="22"/>
                    </w:rPr>
                    <m:t>L</m:t>
                  </m:r>
                  <m:ctrlPr>
                    <w:rPr>
                      <w:rFonts w:ascii="Cambria Math" w:hAnsi="Cambria Math" w:eastAsia="等线"/>
                      <w:i/>
                      <w:szCs w:val="22"/>
                    </w:rPr>
                  </m:ctrlPr>
                </m:e>
                <m:sub>
                  <m:r>
                    <m:rPr/>
                    <w:rPr>
                      <w:rFonts w:ascii="Cambria Math" w:hAnsi="Cambria Math" w:eastAsia="等线"/>
                      <w:szCs w:val="22"/>
                    </w:rPr>
                    <m:t>p2i</m:t>
                  </m:r>
                  <m:ctrlPr>
                    <w:rPr>
                      <w:rFonts w:ascii="Cambria Math" w:hAnsi="Cambria Math" w:eastAsia="等线"/>
                      <w:i/>
                      <w:szCs w:val="22"/>
                    </w:rPr>
                  </m:ctrlPr>
                </m:sub>
              </m:sSub>
              <m:d>
                <m:dPr>
                  <m:ctrlPr>
                    <w:rPr>
                      <w:rFonts w:ascii="Cambria Math" w:hAnsi="Cambria Math" w:eastAsia="等线"/>
                      <w:i/>
                      <w:szCs w:val="22"/>
                    </w:rPr>
                  </m:ctrlPr>
                </m:dPr>
                <m:e>
                  <m:r>
                    <m:rPr/>
                    <w:rPr>
                      <w:rFonts w:ascii="Cambria Math" w:hAnsi="Cambria Math" w:eastAsia="等线"/>
                      <w:szCs w:val="22"/>
                    </w:rPr>
                    <m:t>T</m:t>
                  </m:r>
                  <m:ctrlPr>
                    <w:rPr>
                      <w:rFonts w:ascii="Cambria Math" w:hAnsi="Cambria Math" w:eastAsia="等线"/>
                      <w:i/>
                      <w:szCs w:val="22"/>
                    </w:rPr>
                  </m:ctrlPr>
                </m:e>
              </m:d>
              <m:r>
                <m:rPr/>
                <w:rPr>
                  <w:rFonts w:ascii="Cambria Math" w:hAnsi="Cambria Math" w:eastAsia="等线"/>
                  <w:szCs w:val="22"/>
                </w:rPr>
                <m:t>=</m:t>
              </m:r>
              <m:sSub>
                <m:sSubPr>
                  <m:ctrlPr>
                    <w:rPr>
                      <w:rFonts w:ascii="Cambria Math" w:hAnsi="Cambria Math" w:eastAsia="等线"/>
                      <w:i/>
                      <w:szCs w:val="22"/>
                    </w:rPr>
                  </m:ctrlPr>
                </m:sSubPr>
                <m:e>
                  <m:r>
                    <m:rPr/>
                    <w:rPr>
                      <w:rFonts w:ascii="Cambria Math" w:hAnsi="Cambria Math" w:eastAsia="等线"/>
                      <w:szCs w:val="22"/>
                    </w:rPr>
                    <m:t>L</m:t>
                  </m:r>
                  <m:ctrlPr>
                    <w:rPr>
                      <w:rFonts w:ascii="Cambria Math" w:hAnsi="Cambria Math" w:eastAsia="等线"/>
                      <w:i/>
                      <w:szCs w:val="22"/>
                    </w:rPr>
                  </m:ctrlPr>
                </m:e>
                <m:sub>
                  <m:r>
                    <m:rPr/>
                    <w:rPr>
                      <w:rFonts w:ascii="Cambria Math" w:hAnsi="Cambria Math" w:eastAsia="等线"/>
                      <w:szCs w:val="22"/>
                    </w:rPr>
                    <m:t>pli</m:t>
                  </m:r>
                  <m:ctrlPr>
                    <w:rPr>
                      <w:rFonts w:ascii="Cambria Math" w:hAnsi="Cambria Math" w:eastAsia="等线"/>
                      <w:i/>
                      <w:szCs w:val="22"/>
                    </w:rPr>
                  </m:ctrlPr>
                </m:sub>
              </m:sSub>
              <m:d>
                <m:dPr>
                  <m:ctrlPr>
                    <w:rPr>
                      <w:rFonts w:ascii="Cambria Math" w:hAnsi="Cambria Math" w:eastAsia="等线"/>
                      <w:i/>
                      <w:szCs w:val="22"/>
                    </w:rPr>
                  </m:ctrlPr>
                </m:dPr>
                <m:e>
                  <m:r>
                    <m:rPr/>
                    <w:rPr>
                      <w:rFonts w:ascii="Cambria Math" w:hAnsi="Cambria Math" w:eastAsia="等线"/>
                      <w:szCs w:val="22"/>
                    </w:rPr>
                    <m:t>T</m:t>
                  </m:r>
                  <m:ctrlPr>
                    <w:rPr>
                      <w:rFonts w:ascii="Cambria Math" w:hAnsi="Cambria Math" w:eastAsia="等线"/>
                      <w:i/>
                      <w:szCs w:val="22"/>
                    </w:rPr>
                  </m:ctrlPr>
                </m:e>
              </m:d>
              <m:r>
                <m:rPr/>
                <w:rPr>
                  <w:rFonts w:ascii="Cambria Math" w:hAnsi="Cambria Math" w:eastAsia="等线"/>
                  <w:szCs w:val="22"/>
                </w:rPr>
                <m:t>−</m:t>
              </m:r>
              <m:d>
                <m:dPr>
                  <m:ctrlPr>
                    <w:rPr>
                      <w:rFonts w:ascii="Cambria Math" w:hAnsi="Cambria Math" w:eastAsia="等线"/>
                      <w:i/>
                      <w:szCs w:val="22"/>
                    </w:rPr>
                  </m:ctrlPr>
                </m:dPr>
                <m:e>
                  <m:r>
                    <m:rPr/>
                    <w:rPr>
                      <w:rFonts w:ascii="Cambria Math" w:hAnsi="Cambria Math" w:eastAsia="等线"/>
                      <w:szCs w:val="22"/>
                    </w:rPr>
                    <m:t>T</m:t>
                  </m:r>
                  <m:sSub>
                    <m:sSubPr>
                      <m:ctrlPr>
                        <w:rPr>
                          <w:rFonts w:ascii="Cambria Math" w:hAnsi="Cambria Math" w:eastAsia="等线"/>
                          <w:i/>
                          <w:szCs w:val="22"/>
                        </w:rPr>
                      </m:ctrlPr>
                    </m:sSubPr>
                    <m:e>
                      <m:r>
                        <m:rPr/>
                        <w:rPr>
                          <w:rFonts w:ascii="Cambria Math" w:hAnsi="Cambria Math" w:eastAsia="等线"/>
                          <w:szCs w:val="22"/>
                        </w:rPr>
                        <m:t>L</m:t>
                      </m:r>
                      <m:ctrlPr>
                        <w:rPr>
                          <w:rFonts w:ascii="Cambria Math" w:hAnsi="Cambria Math" w:eastAsia="等线"/>
                          <w:i/>
                          <w:szCs w:val="22"/>
                        </w:rPr>
                      </m:ctrlPr>
                    </m:e>
                    <m:sub>
                      <m:r>
                        <m:rPr/>
                        <w:rPr>
                          <w:rFonts w:ascii="Cambria Math" w:hAnsi="Cambria Math" w:eastAsia="等线"/>
                          <w:szCs w:val="22"/>
                        </w:rPr>
                        <m:t>i</m:t>
                      </m:r>
                      <m:ctrlPr>
                        <w:rPr>
                          <w:rFonts w:ascii="Cambria Math" w:hAnsi="Cambria Math" w:eastAsia="等线"/>
                          <w:i/>
                          <w:szCs w:val="22"/>
                        </w:rPr>
                      </m:ctrlPr>
                    </m:sub>
                  </m:sSub>
                  <m:r>
                    <m:rPr/>
                    <w:rPr>
                      <w:rFonts w:ascii="Cambria Math" w:hAnsi="Cambria Math" w:eastAsia="等线"/>
                      <w:szCs w:val="22"/>
                    </w:rPr>
                    <m:t>+6</m:t>
                  </m:r>
                  <m:ctrlPr>
                    <w:rPr>
                      <w:rFonts w:ascii="Cambria Math" w:hAnsi="Cambria Math" w:eastAsia="等线"/>
                      <w:i/>
                      <w:szCs w:val="22"/>
                    </w:rPr>
                  </m:ctrlPr>
                </m:e>
              </m:d>
            </m:oMath>
            <w:r>
              <w:rPr>
                <w:sz w:val="21"/>
              </w:rPr>
              <w:t xml:space="preserve">                </w:t>
            </w:r>
            <w:r>
              <w:t>（</w:t>
            </w:r>
            <w:r>
              <w:rPr>
                <w:rFonts w:hint="eastAsia"/>
              </w:rPr>
              <w:t>B</w:t>
            </w:r>
            <w:r>
              <w:t>.4）</w:t>
            </w:r>
          </w:p>
          <w:p>
            <w:pPr>
              <w:pStyle w:val="82"/>
              <w:rPr>
                <w:lang w:val="zh-CN"/>
              </w:rPr>
            </w:pPr>
            <w:r>
              <w:rPr>
                <w:rFonts w:hint="eastAsia"/>
                <w:lang w:val="zh-CN"/>
              </w:rPr>
              <w:t>式中：L</w:t>
            </w:r>
            <w:r>
              <w:rPr>
                <w:rFonts w:hint="eastAsia"/>
                <w:vertAlign w:val="subscript"/>
                <w:lang w:val="zh-CN"/>
              </w:rPr>
              <w:t>p</w:t>
            </w:r>
            <w:r>
              <w:rPr>
                <w:vertAlign w:val="subscript"/>
                <w:lang w:val="zh-CN"/>
              </w:rPr>
              <w:t>2i</w:t>
            </w:r>
            <w:r>
              <w:rPr>
                <w:rFonts w:hint="eastAsia"/>
                <w:lang w:val="zh-CN"/>
              </w:rPr>
              <w:t>(T)——靠近围护结构处室外N个声源i倍频带的叠加声压级，dB；</w:t>
            </w:r>
          </w:p>
          <w:p>
            <w:pPr>
              <w:pStyle w:val="82"/>
              <w:ind w:firstLine="1200" w:firstLineChars="500"/>
              <w:rPr>
                <w:lang w:val="zh-CN"/>
              </w:rPr>
            </w:pPr>
            <w:r>
              <w:rPr>
                <w:rFonts w:hint="eastAsia"/>
                <w:lang w:val="zh-CN"/>
              </w:rPr>
              <w:t>L</w:t>
            </w:r>
            <w:r>
              <w:rPr>
                <w:rFonts w:hint="eastAsia"/>
                <w:vertAlign w:val="subscript"/>
                <w:lang w:val="zh-CN"/>
              </w:rPr>
              <w:t>p</w:t>
            </w:r>
            <w:r>
              <w:rPr>
                <w:vertAlign w:val="subscript"/>
                <w:lang w:val="zh-CN"/>
              </w:rPr>
              <w:t>li</w:t>
            </w:r>
            <w:r>
              <w:rPr>
                <w:rFonts w:hint="eastAsia"/>
                <w:lang w:val="zh-CN"/>
              </w:rPr>
              <w:t>(T)——靠近围护结构处室内N个声源i倍频带的叠加声压级，dB；</w:t>
            </w:r>
          </w:p>
          <w:p>
            <w:pPr>
              <w:pStyle w:val="82"/>
              <w:ind w:firstLine="1200" w:firstLineChars="500"/>
              <w:rPr>
                <w:lang w:val="zh-CN"/>
              </w:rPr>
            </w:pPr>
            <w:r>
              <w:rPr>
                <w:rFonts w:hint="eastAsia"/>
                <w:lang w:val="zh-CN"/>
              </w:rPr>
              <w:t>TL</w:t>
            </w:r>
            <w:r>
              <w:rPr>
                <w:vertAlign w:val="subscript"/>
                <w:lang w:val="zh-CN"/>
              </w:rPr>
              <w:t>i</w:t>
            </w:r>
            <w:r>
              <w:rPr>
                <w:rFonts w:hint="eastAsia"/>
                <w:lang w:val="zh-CN"/>
              </w:rPr>
              <w:t>——围护结构i倍频带的隔声量，dB。</w:t>
            </w:r>
          </w:p>
          <w:p>
            <w:pPr>
              <w:pStyle w:val="82"/>
              <w:rPr>
                <w:lang w:val="zh-CN"/>
              </w:rPr>
            </w:pPr>
            <w:r>
              <w:rPr>
                <w:rFonts w:hint="eastAsia"/>
                <w:lang w:val="zh-CN"/>
              </w:rPr>
              <w:t>然后按式（B.5）将室外声源的声压级和透过面积换算成等效的室外声源，计算出中心位置位于透声面积（S）处的等效声源的倍频带声功率级。</w:t>
            </w:r>
          </w:p>
          <w:p>
            <w:pPr>
              <w:pStyle w:val="82"/>
              <w:jc w:val="center"/>
              <w:rPr>
                <w:rFonts w:ascii="Calibri" w:hAnsi="Calibri"/>
              </w:rPr>
            </w:pPr>
            <m:oMath>
              <m:sSub>
                <m:sSubPr>
                  <m:ctrlPr>
                    <w:rPr>
                      <w:rFonts w:ascii="Cambria Math" w:hAnsi="Cambria Math" w:eastAsia="等线"/>
                    </w:rPr>
                  </m:ctrlPr>
                </m:sSubPr>
                <m:e>
                  <m:r>
                    <m:rPr/>
                    <w:rPr>
                      <w:rFonts w:ascii="Cambria Math" w:hAnsi="Cambria Math"/>
                    </w:rPr>
                    <m:t>L</m:t>
                  </m:r>
                  <m:ctrlPr>
                    <w:rPr>
                      <w:rFonts w:ascii="Cambria Math" w:hAnsi="Cambria Math" w:eastAsia="等线"/>
                    </w:rPr>
                  </m:ctrlPr>
                </m:e>
                <m:sub>
                  <m:r>
                    <m:rPr/>
                    <w:rPr>
                      <w:rFonts w:ascii="Cambria Math" w:hAnsi="Cambria Math"/>
                    </w:rPr>
                    <m:t>w</m:t>
                  </m:r>
                  <m:ctrlPr>
                    <w:rPr>
                      <w:rFonts w:ascii="Cambria Math" w:hAnsi="Cambria Math" w:eastAsia="等线"/>
                    </w:rPr>
                  </m:ctrlPr>
                </m:sub>
              </m:sSub>
              <m:r>
                <m:rPr>
                  <m:sty m:val="p"/>
                </m:rPr>
                <w:rPr>
                  <w:rFonts w:ascii="Cambria Math" w:hAnsi="Cambria Math"/>
                </w:rPr>
                <m:t>=</m:t>
              </m:r>
              <m:sSub>
                <m:sSubPr>
                  <m:ctrlPr>
                    <w:rPr>
                      <w:rFonts w:ascii="Cambria Math" w:hAnsi="Cambria Math" w:eastAsia="等线"/>
                    </w:rPr>
                  </m:ctrlPr>
                </m:sSubPr>
                <m:e>
                  <m:r>
                    <m:rPr/>
                    <w:rPr>
                      <w:rFonts w:ascii="Cambria Math" w:hAnsi="Cambria Math"/>
                    </w:rPr>
                    <m:t>L</m:t>
                  </m:r>
                  <m:ctrlPr>
                    <w:rPr>
                      <w:rFonts w:ascii="Cambria Math" w:hAnsi="Cambria Math" w:eastAsia="等线"/>
                    </w:rPr>
                  </m:ctrlPr>
                </m:e>
                <m:sub>
                  <m:r>
                    <m:rPr/>
                    <w:rPr>
                      <w:rFonts w:ascii="Cambria Math" w:hAnsi="Cambria Math"/>
                    </w:rPr>
                    <m:t>p</m:t>
                  </m:r>
                  <m:r>
                    <m:rPr>
                      <m:sty m:val="p"/>
                    </m:rPr>
                    <w:rPr>
                      <w:rFonts w:ascii="Cambria Math" w:hAnsi="Cambria Math"/>
                    </w:rPr>
                    <m:t>2</m:t>
                  </m:r>
                  <m:ctrlPr>
                    <w:rPr>
                      <w:rFonts w:ascii="Cambria Math" w:hAnsi="Cambria Math" w:eastAsia="等线"/>
                    </w:rPr>
                  </m:ctrlPr>
                </m:sub>
              </m:sSub>
              <m:d>
                <m:dPr>
                  <m:ctrlPr>
                    <w:rPr>
                      <w:rFonts w:ascii="Cambria Math" w:hAnsi="Cambria Math" w:eastAsia="等线"/>
                    </w:rPr>
                  </m:ctrlPr>
                </m:dPr>
                <m:e>
                  <m:r>
                    <m:rPr/>
                    <w:rPr>
                      <w:rFonts w:ascii="Cambria Math" w:hAnsi="Cambria Math"/>
                    </w:rPr>
                    <m:t>T</m:t>
                  </m:r>
                  <m:ctrlPr>
                    <w:rPr>
                      <w:rFonts w:ascii="Cambria Math" w:hAnsi="Cambria Math" w:eastAsia="等线"/>
                    </w:rPr>
                  </m:ctrlPr>
                </m:e>
              </m:d>
              <m:r>
                <m:rPr>
                  <m:sty m:val="p"/>
                </m:rPr>
                <w:rPr>
                  <w:rFonts w:ascii="Cambria Math" w:hAnsi="Cambria Math"/>
                </w:rPr>
                <m:t>+10</m:t>
              </m:r>
              <m:r>
                <m:rPr/>
                <w:rPr>
                  <w:rFonts w:ascii="Cambria Math" w:hAnsi="Cambria Math"/>
                </w:rPr>
                <m:t>lgS</m:t>
              </m:r>
            </m:oMath>
            <w:r>
              <w:rPr>
                <w:rFonts w:ascii="Calibri" w:hAnsi="Calibri"/>
                <w:sz w:val="21"/>
                <w:szCs w:val="22"/>
              </w:rPr>
              <w:t xml:space="preserve">                    </w:t>
            </w:r>
            <w:r>
              <w:rPr>
                <w:bCs/>
              </w:rPr>
              <w:t>（</w:t>
            </w:r>
            <w:r>
              <w:rPr>
                <w:rFonts w:hint="eastAsia"/>
                <w:bCs/>
              </w:rPr>
              <w:t>B</w:t>
            </w:r>
            <w:r>
              <w:rPr>
                <w:bCs/>
              </w:rPr>
              <w:t>.5）</w:t>
            </w:r>
          </w:p>
          <w:p>
            <w:pPr>
              <w:pStyle w:val="82"/>
              <w:rPr>
                <w:lang w:val="zh-CN"/>
              </w:rPr>
            </w:pPr>
            <w:r>
              <w:rPr>
                <w:rFonts w:hint="eastAsia"/>
                <w:lang w:val="zh-CN"/>
              </w:rPr>
              <w:t>式中：Lw——中心位置位于透声面积（S）处的等效声源的倍频带声功率级，dB；</w:t>
            </w:r>
          </w:p>
          <w:p>
            <w:pPr>
              <w:pStyle w:val="82"/>
              <w:ind w:firstLine="1200" w:firstLineChars="500"/>
              <w:rPr>
                <w:lang w:val="zh-CN"/>
              </w:rPr>
            </w:pPr>
            <w:r>
              <w:rPr>
                <w:rFonts w:hint="eastAsia"/>
                <w:lang w:val="zh-CN"/>
              </w:rPr>
              <w:t>L</w:t>
            </w:r>
            <w:r>
              <w:rPr>
                <w:rFonts w:hint="eastAsia"/>
                <w:vertAlign w:val="subscript"/>
                <w:lang w:val="zh-CN"/>
              </w:rPr>
              <w:t>p</w:t>
            </w:r>
            <w:r>
              <w:rPr>
                <w:vertAlign w:val="subscript"/>
                <w:lang w:val="zh-CN"/>
              </w:rPr>
              <w:t>2</w:t>
            </w:r>
            <w:r>
              <w:rPr>
                <w:rFonts w:hint="eastAsia"/>
                <w:lang w:val="zh-CN"/>
              </w:rPr>
              <w:t>(T)——靠近围护结构处室外声源的声压级，dB；</w:t>
            </w:r>
          </w:p>
          <w:p>
            <w:pPr>
              <w:pStyle w:val="82"/>
              <w:ind w:firstLine="1200" w:firstLineChars="500"/>
              <w:rPr>
                <w:lang w:val="zh-CN"/>
              </w:rPr>
            </w:pPr>
            <w:r>
              <w:rPr>
                <w:lang w:val="zh-CN"/>
              </w:rPr>
              <w:t>S</w:t>
            </w:r>
            <w:r>
              <w:rPr>
                <w:rFonts w:hint="eastAsia"/>
                <w:lang w:val="zh-CN"/>
              </w:rPr>
              <w:t>—透声面积，m</w:t>
            </w:r>
            <w:r>
              <w:rPr>
                <w:rFonts w:hint="eastAsia"/>
                <w:vertAlign w:val="superscript"/>
                <w:lang w:val="zh-CN"/>
              </w:rPr>
              <w:t>2</w:t>
            </w:r>
            <w:r>
              <w:rPr>
                <w:rFonts w:hint="eastAsia"/>
                <w:lang w:val="zh-CN"/>
              </w:rPr>
              <w:t>。</w:t>
            </w:r>
          </w:p>
          <w:p>
            <w:pPr>
              <w:pStyle w:val="82"/>
              <w:rPr>
                <w:lang w:val="zh-CN"/>
              </w:rPr>
            </w:pPr>
            <w:r>
              <w:rPr>
                <w:rFonts w:hint="eastAsia"/>
                <w:lang w:val="zh-CN"/>
              </w:rPr>
              <w:t>然后按室外声源预测方法计算预测点处的A声级。</w:t>
            </w:r>
          </w:p>
          <w:p>
            <w:pPr>
              <w:pStyle w:val="82"/>
              <w:ind w:firstLine="482"/>
            </w:pPr>
            <w:r>
              <w:rPr>
                <w:rFonts w:hint="eastAsia"/>
                <w:b/>
              </w:rPr>
              <w:t>室外声源计算：</w:t>
            </w:r>
            <w:r>
              <w:t>采用《环境影响评价技术导则 声环境》（HJ2.4-20</w:t>
            </w:r>
            <w:r>
              <w:rPr>
                <w:rFonts w:hint="eastAsia"/>
              </w:rPr>
              <w:t>21</w:t>
            </w:r>
            <w:r>
              <w:t>）中推荐的</w:t>
            </w:r>
            <w:r>
              <w:rPr>
                <w:rFonts w:hint="eastAsia"/>
              </w:rPr>
              <w:t>室外声源计算方法的点声源的几何发散衰减公式</w:t>
            </w:r>
            <w:r>
              <w:t>。对于工业企业稳态机械设备，当声源处于自由空间且仅考虑声源的几何发散衰减，则距离点声源r处的声压级为：</w:t>
            </w:r>
          </w:p>
          <w:p>
            <w:pPr>
              <w:pStyle w:val="82"/>
              <w:jc w:val="center"/>
            </w:pPr>
            <w:r>
              <w:t>L</w:t>
            </w:r>
            <w:r>
              <w:rPr>
                <w:rFonts w:hint="eastAsia"/>
              </w:rPr>
              <w:t>p</w:t>
            </w:r>
            <w:r>
              <w:t>（</w:t>
            </w:r>
            <w:r>
              <w:rPr>
                <w:rFonts w:hint="eastAsia"/>
              </w:rPr>
              <w:t>r</w:t>
            </w:r>
            <w:r>
              <w:t>）＝L</w:t>
            </w:r>
            <w:r>
              <w:rPr>
                <w:rFonts w:hint="eastAsia"/>
              </w:rPr>
              <w:t>p</w:t>
            </w:r>
            <w:r>
              <w:t>（</w:t>
            </w:r>
            <w:r>
              <w:rPr>
                <w:rFonts w:hint="eastAsia"/>
              </w:rPr>
              <w:t>r</w:t>
            </w:r>
            <w:r>
              <w:rPr>
                <w:rFonts w:hint="eastAsia"/>
                <w:vertAlign w:val="subscript"/>
              </w:rPr>
              <w:t>0</w:t>
            </w:r>
            <w:r>
              <w:t>）-20lg（r/r</w:t>
            </w:r>
            <w:r>
              <w:rPr>
                <w:rFonts w:hint="eastAsia"/>
                <w:vertAlign w:val="subscript"/>
              </w:rPr>
              <w:t>0</w:t>
            </w:r>
            <w:r>
              <w:t>）</w:t>
            </w:r>
          </w:p>
          <w:p>
            <w:pPr>
              <w:pStyle w:val="82"/>
            </w:pPr>
            <w:r>
              <w:t>式中：L</w:t>
            </w:r>
            <w:r>
              <w:rPr>
                <w:rFonts w:hint="eastAsia"/>
              </w:rPr>
              <w:t>p</w:t>
            </w:r>
            <w:r>
              <w:t>（</w:t>
            </w:r>
            <w:r>
              <w:rPr>
                <w:rFonts w:hint="eastAsia"/>
              </w:rPr>
              <w:t>r</w:t>
            </w:r>
            <w:r>
              <w:t>）——</w:t>
            </w:r>
            <w:r>
              <w:rPr>
                <w:rFonts w:hint="eastAsia"/>
              </w:rPr>
              <w:t>预测点出声压级</w:t>
            </w:r>
            <w:r>
              <w:t>，dB；</w:t>
            </w:r>
          </w:p>
          <w:p>
            <w:pPr>
              <w:pStyle w:val="82"/>
              <w:ind w:firstLine="1200" w:firstLineChars="500"/>
            </w:pPr>
            <w:r>
              <w:t>L</w:t>
            </w:r>
            <w:r>
              <w:rPr>
                <w:rFonts w:hint="eastAsia"/>
              </w:rPr>
              <w:t>p</w:t>
            </w:r>
            <w:r>
              <w:t>（</w:t>
            </w:r>
            <w:r>
              <w:rPr>
                <w:rFonts w:hint="eastAsia"/>
              </w:rPr>
              <w:t>r</w:t>
            </w:r>
            <w:r>
              <w:rPr>
                <w:rFonts w:hint="eastAsia"/>
                <w:vertAlign w:val="subscript"/>
              </w:rPr>
              <w:t>0</w:t>
            </w:r>
            <w:r>
              <w:t>）——</w:t>
            </w:r>
            <w:r>
              <w:rPr>
                <w:rFonts w:hint="eastAsia"/>
              </w:rPr>
              <w:t>参考位置r0处的声压级</w:t>
            </w:r>
            <w:r>
              <w:t>，dB；</w:t>
            </w:r>
          </w:p>
          <w:p>
            <w:pPr>
              <w:pStyle w:val="82"/>
              <w:ind w:firstLine="1200" w:firstLineChars="500"/>
            </w:pPr>
            <w:r>
              <w:t>r——</w:t>
            </w:r>
            <w:r>
              <w:rPr>
                <w:rFonts w:hint="eastAsia"/>
              </w:rPr>
              <w:t>预测点距声源的距离</w:t>
            </w:r>
            <w:r>
              <w:t>，m；</w:t>
            </w:r>
          </w:p>
          <w:p>
            <w:pPr>
              <w:pStyle w:val="82"/>
              <w:ind w:firstLine="1200" w:firstLineChars="500"/>
            </w:pPr>
            <w:r>
              <w:t>r</w:t>
            </w:r>
            <w:r>
              <w:rPr>
                <w:rFonts w:hint="eastAsia"/>
                <w:vertAlign w:val="subscript"/>
              </w:rPr>
              <w:t>0</w:t>
            </w:r>
            <w:r>
              <w:t>——</w:t>
            </w:r>
            <w:r>
              <w:rPr>
                <w:rFonts w:hint="eastAsia"/>
              </w:rPr>
              <w:t>参考位置距声源的距离</w:t>
            </w:r>
            <w:r>
              <w:t>，m；</w:t>
            </w:r>
          </w:p>
          <w:p>
            <w:pPr>
              <w:pStyle w:val="82"/>
              <w:ind w:firstLine="482"/>
              <w:rPr>
                <w:b/>
              </w:rPr>
            </w:pPr>
            <w:r>
              <w:rPr>
                <w:rFonts w:hint="eastAsia"/>
                <w:b/>
              </w:rPr>
              <w:t>厂界预测点贡献值计算：</w:t>
            </w:r>
          </w:p>
          <w:p>
            <w:pPr>
              <w:pStyle w:val="31"/>
              <w:spacing w:before="120" w:beforeLines="50"/>
              <w:jc w:val="center"/>
              <w:rPr>
                <w:b/>
                <w:color w:val="auto"/>
              </w:rPr>
            </w:pPr>
            <w:r>
              <w:rPr>
                <w:rFonts w:hint="eastAsia" w:eastAsia="仿宋_GB2312"/>
                <w:b/>
                <w:color w:val="auto"/>
                <w:position w:val="-34"/>
              </w:rPr>
              <w:object>
                <v:shape id="_x0000_i1027" o:spt="75" type="#_x0000_t75" style="height:39.75pt;width:204.5pt;" o:ole="t" filled="f" o:preferrelative="t" stroked="f" coordsize="21600,21600">
                  <v:path/>
                  <v:fill on="f" focussize="0,0"/>
                  <v:stroke on="f" joinstyle="miter"/>
                  <v:imagedata r:id="rId25" o:title=""/>
                  <o:lock v:ext="edit" aspectratio="t"/>
                  <w10:wrap type="none"/>
                  <w10:anchorlock/>
                </v:shape>
                <o:OLEObject Type="Embed" ProgID="Equation.KSEE3" ShapeID="_x0000_i1027" DrawAspect="Content" ObjectID="_1468075727" r:id="rId24">
                  <o:LockedField>false</o:LockedField>
                </o:OLEObject>
              </w:object>
            </w:r>
          </w:p>
          <w:p>
            <w:pPr>
              <w:pStyle w:val="82"/>
            </w:pPr>
            <w:r>
              <w:rPr>
                <w:rFonts w:hint="eastAsia"/>
              </w:rPr>
              <w:t>式中：Leqg</w:t>
            </w:r>
            <w:r>
              <w:t>——</w:t>
            </w:r>
            <w:r>
              <w:rPr>
                <w:rFonts w:hint="eastAsia"/>
              </w:rPr>
              <w:t>建设项目声源在预测点产生的噪声贡献值，</w:t>
            </w:r>
            <w:r>
              <w:t>dB；</w:t>
            </w:r>
          </w:p>
          <w:p>
            <w:pPr>
              <w:pStyle w:val="82"/>
              <w:ind w:firstLine="1200" w:firstLineChars="500"/>
            </w:pPr>
            <w:r>
              <w:rPr>
                <w:rFonts w:hint="eastAsia"/>
              </w:rPr>
              <w:t>T</w:t>
            </w:r>
            <w:r>
              <w:t>——</w:t>
            </w:r>
            <w:r>
              <w:rPr>
                <w:rFonts w:hint="eastAsia"/>
              </w:rPr>
              <w:t>用于计算等效声级的时间，S；</w:t>
            </w:r>
          </w:p>
          <w:p>
            <w:pPr>
              <w:pStyle w:val="82"/>
              <w:ind w:firstLine="1200" w:firstLineChars="500"/>
            </w:pPr>
            <w:r>
              <w:rPr>
                <w:rFonts w:hint="eastAsia"/>
              </w:rPr>
              <w:t>N</w:t>
            </w:r>
            <w:r>
              <w:t>——</w:t>
            </w:r>
            <w:r>
              <w:rPr>
                <w:rFonts w:hint="eastAsia"/>
              </w:rPr>
              <w:t>室外声源个数；</w:t>
            </w:r>
          </w:p>
          <w:p>
            <w:pPr>
              <w:pStyle w:val="82"/>
              <w:ind w:firstLine="1200" w:firstLineChars="500"/>
            </w:pPr>
            <w:r>
              <w:rPr>
                <w:rFonts w:hint="eastAsia"/>
              </w:rPr>
              <w:t>t</w:t>
            </w:r>
            <w:r>
              <w:rPr>
                <w:rFonts w:hint="eastAsia"/>
                <w:vertAlign w:val="subscript"/>
              </w:rPr>
              <w:t>i</w:t>
            </w:r>
            <w:r>
              <w:t>——</w:t>
            </w:r>
            <w:r>
              <w:rPr>
                <w:rFonts w:hint="eastAsia"/>
              </w:rPr>
              <w:t>在T时间内i声源工作时间，S；</w:t>
            </w:r>
          </w:p>
          <w:p>
            <w:pPr>
              <w:pStyle w:val="82"/>
              <w:ind w:firstLine="1200" w:firstLineChars="500"/>
            </w:pPr>
            <w:r>
              <w:rPr>
                <w:rFonts w:hint="eastAsia"/>
              </w:rPr>
              <w:t>M</w:t>
            </w:r>
            <w:r>
              <w:t>——</w:t>
            </w:r>
            <w:r>
              <w:rPr>
                <w:rFonts w:hint="eastAsia"/>
              </w:rPr>
              <w:t>等效室外声源个数；</w:t>
            </w:r>
          </w:p>
          <w:p>
            <w:pPr>
              <w:pStyle w:val="82"/>
              <w:ind w:firstLine="1200" w:firstLineChars="500"/>
            </w:pPr>
            <w:r>
              <w:rPr>
                <w:rFonts w:hint="eastAsia"/>
              </w:rPr>
              <w:t>t</w:t>
            </w:r>
            <w:r>
              <w:rPr>
                <w:rFonts w:hint="eastAsia"/>
                <w:vertAlign w:val="subscript"/>
              </w:rPr>
              <w:t>j</w:t>
            </w:r>
            <w:r>
              <w:t>——</w:t>
            </w:r>
            <w:r>
              <w:rPr>
                <w:rFonts w:hint="eastAsia"/>
              </w:rPr>
              <w:t>在T时间内j声源工作时间，S。</w:t>
            </w:r>
          </w:p>
          <w:p>
            <w:pPr>
              <w:pStyle w:val="82"/>
            </w:pPr>
            <w:r>
              <w:rPr>
                <w:rFonts w:hint="eastAsia"/>
              </w:rPr>
              <w:t>②预测结果</w:t>
            </w:r>
          </w:p>
          <w:p>
            <w:pPr>
              <w:pStyle w:val="82"/>
            </w:pPr>
            <w:r>
              <w:rPr>
                <w:rFonts w:hint="eastAsia"/>
              </w:rPr>
              <w:t>按上述预测模式，厂界噪声预测值见下表。</w:t>
            </w:r>
          </w:p>
          <w:p>
            <w:pPr>
              <w:pStyle w:val="83"/>
            </w:pPr>
            <w:r>
              <w:rPr>
                <w:rFonts w:hint="eastAsia"/>
              </w:rPr>
              <w:t>表4</w:t>
            </w:r>
            <w:r>
              <w:t>-16</w:t>
            </w:r>
            <w:r>
              <w:rPr>
                <w:rFonts w:hint="eastAsia"/>
              </w:rPr>
              <w:t xml:space="preserve">  厂界噪声预测结果</w:t>
            </w:r>
            <w:r>
              <w:t xml:space="preserve">  </w:t>
            </w:r>
            <w:r>
              <w:rPr>
                <w:rFonts w:hint="eastAsia"/>
              </w:rPr>
              <w:t>单位：dB（A）</w:t>
            </w:r>
          </w:p>
          <w:tbl>
            <w:tblPr>
              <w:tblStyle w:val="24"/>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512"/>
              <w:gridCol w:w="971"/>
              <w:gridCol w:w="1300"/>
              <w:gridCol w:w="1876"/>
              <w:gridCol w:w="266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tblHeader/>
                <w:jc w:val="center"/>
              </w:trPr>
              <w:tc>
                <w:tcPr>
                  <w:tcW w:w="908" w:type="pct"/>
                  <w:vMerge w:val="restart"/>
                  <w:vAlign w:val="center"/>
                </w:tcPr>
                <w:p>
                  <w:pPr>
                    <w:pStyle w:val="52"/>
                    <w:rPr>
                      <w:b/>
                      <w:bCs/>
                    </w:rPr>
                  </w:pPr>
                  <w:r>
                    <w:rPr>
                      <w:b/>
                      <w:bCs/>
                    </w:rPr>
                    <w:t>预测点位置</w:t>
                  </w:r>
                </w:p>
              </w:tc>
              <w:tc>
                <w:tcPr>
                  <w:tcW w:w="583" w:type="pct"/>
                  <w:vMerge w:val="restart"/>
                  <w:vAlign w:val="center"/>
                </w:tcPr>
                <w:p>
                  <w:pPr>
                    <w:pStyle w:val="52"/>
                    <w:rPr>
                      <w:b/>
                      <w:bCs/>
                    </w:rPr>
                  </w:pPr>
                  <w:r>
                    <w:rPr>
                      <w:b/>
                      <w:bCs/>
                    </w:rPr>
                    <w:t>贡献值</w:t>
                  </w:r>
                </w:p>
              </w:tc>
              <w:tc>
                <w:tcPr>
                  <w:tcW w:w="781" w:type="pct"/>
                  <w:vAlign w:val="center"/>
                </w:tcPr>
                <w:p>
                  <w:pPr>
                    <w:pStyle w:val="52"/>
                    <w:rPr>
                      <w:b/>
                      <w:bCs/>
                    </w:rPr>
                  </w:pPr>
                  <w:r>
                    <w:rPr>
                      <w:b/>
                      <w:bCs/>
                    </w:rPr>
                    <w:t>标准值</w:t>
                  </w:r>
                </w:p>
              </w:tc>
              <w:tc>
                <w:tcPr>
                  <w:tcW w:w="1127" w:type="pct"/>
                  <w:vMerge w:val="restart"/>
                  <w:vAlign w:val="center"/>
                </w:tcPr>
                <w:p>
                  <w:pPr>
                    <w:pStyle w:val="52"/>
                    <w:rPr>
                      <w:b/>
                      <w:bCs/>
                    </w:rPr>
                  </w:pPr>
                  <w:r>
                    <w:rPr>
                      <w:b/>
                      <w:bCs/>
                    </w:rPr>
                    <w:t>达标情况</w:t>
                  </w:r>
                </w:p>
              </w:tc>
              <w:tc>
                <w:tcPr>
                  <w:tcW w:w="1601" w:type="pct"/>
                  <w:vMerge w:val="restart"/>
                  <w:vAlign w:val="center"/>
                </w:tcPr>
                <w:p>
                  <w:pPr>
                    <w:pStyle w:val="52"/>
                    <w:rPr>
                      <w:b/>
                      <w:bCs/>
                    </w:rPr>
                  </w:pPr>
                  <w:r>
                    <w:rPr>
                      <w:b/>
                      <w:bCs/>
                    </w:rPr>
                    <w:t>执行环境噪声标准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08" w:type="pct"/>
                  <w:vMerge w:val="continue"/>
                  <w:vAlign w:val="center"/>
                </w:tcPr>
                <w:p>
                  <w:pPr>
                    <w:pStyle w:val="52"/>
                  </w:pPr>
                </w:p>
              </w:tc>
              <w:tc>
                <w:tcPr>
                  <w:tcW w:w="583" w:type="pct"/>
                  <w:vMerge w:val="continue"/>
                  <w:vAlign w:val="center"/>
                </w:tcPr>
                <w:p>
                  <w:pPr>
                    <w:pStyle w:val="52"/>
                  </w:pPr>
                </w:p>
              </w:tc>
              <w:tc>
                <w:tcPr>
                  <w:tcW w:w="781" w:type="pct"/>
                  <w:vAlign w:val="center"/>
                </w:tcPr>
                <w:p>
                  <w:pPr>
                    <w:pStyle w:val="52"/>
                  </w:pPr>
                  <w:r>
                    <w:t>昼间</w:t>
                  </w:r>
                </w:p>
              </w:tc>
              <w:tc>
                <w:tcPr>
                  <w:tcW w:w="1127" w:type="pct"/>
                  <w:vMerge w:val="continue"/>
                  <w:vAlign w:val="center"/>
                </w:tcPr>
                <w:p>
                  <w:pPr>
                    <w:pStyle w:val="52"/>
                    <w:rPr>
                      <w:rFonts w:ascii="宋体" w:hAnsi="宋体" w:cs="宋体"/>
                    </w:rPr>
                  </w:pPr>
                </w:p>
              </w:tc>
              <w:tc>
                <w:tcPr>
                  <w:tcW w:w="1601" w:type="pct"/>
                  <w:vMerge w:val="continue"/>
                  <w:vAlign w:val="center"/>
                </w:tcPr>
                <w:p>
                  <w:pPr>
                    <w:pStyle w:val="52"/>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08" w:type="pct"/>
                  <w:vAlign w:val="center"/>
                </w:tcPr>
                <w:p>
                  <w:pPr>
                    <w:pStyle w:val="52"/>
                  </w:pPr>
                  <w:r>
                    <w:t>东厂界</w:t>
                  </w:r>
                </w:p>
              </w:tc>
              <w:tc>
                <w:tcPr>
                  <w:tcW w:w="583" w:type="pct"/>
                  <w:vAlign w:val="center"/>
                </w:tcPr>
                <w:p>
                  <w:pPr>
                    <w:pStyle w:val="52"/>
                  </w:pPr>
                  <w:r>
                    <w:t>57.1</w:t>
                  </w:r>
                </w:p>
              </w:tc>
              <w:tc>
                <w:tcPr>
                  <w:tcW w:w="781" w:type="pct"/>
                  <w:vAlign w:val="center"/>
                </w:tcPr>
                <w:p>
                  <w:pPr>
                    <w:pStyle w:val="52"/>
                  </w:pPr>
                  <w:r>
                    <w:t>65</w:t>
                  </w:r>
                </w:p>
              </w:tc>
              <w:tc>
                <w:tcPr>
                  <w:tcW w:w="1127" w:type="pct"/>
                  <w:vMerge w:val="restart"/>
                  <w:vAlign w:val="center"/>
                </w:tcPr>
                <w:p>
                  <w:pPr>
                    <w:pStyle w:val="52"/>
                  </w:pPr>
                  <w:r>
                    <w:rPr>
                      <w:rFonts w:hint="eastAsia"/>
                    </w:rPr>
                    <w:t>昼间</w:t>
                  </w:r>
                  <w:r>
                    <w:t>达标</w:t>
                  </w:r>
                  <w:r>
                    <w:rPr>
                      <w:rFonts w:hint="eastAsia"/>
                    </w:rPr>
                    <w:t>，夜间不生产。</w:t>
                  </w:r>
                </w:p>
              </w:tc>
              <w:tc>
                <w:tcPr>
                  <w:tcW w:w="1601" w:type="pct"/>
                  <w:vMerge w:val="restart"/>
                  <w:vAlign w:val="center"/>
                </w:tcPr>
                <w:p>
                  <w:pPr>
                    <w:pStyle w:val="52"/>
                  </w:pPr>
                  <w:r>
                    <w:t>《工业企业厂界环境噪声排放标准》（GB12348- 2008）3类标准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08" w:type="pct"/>
                  <w:vAlign w:val="center"/>
                </w:tcPr>
                <w:p>
                  <w:pPr>
                    <w:pStyle w:val="52"/>
                  </w:pPr>
                  <w:r>
                    <w:t>南厂界</w:t>
                  </w:r>
                </w:p>
              </w:tc>
              <w:tc>
                <w:tcPr>
                  <w:tcW w:w="583" w:type="pct"/>
                  <w:vAlign w:val="center"/>
                </w:tcPr>
                <w:p>
                  <w:pPr>
                    <w:pStyle w:val="52"/>
                  </w:pPr>
                  <w:r>
                    <w:t>58.4</w:t>
                  </w:r>
                </w:p>
              </w:tc>
              <w:tc>
                <w:tcPr>
                  <w:tcW w:w="781" w:type="pct"/>
                  <w:vAlign w:val="center"/>
                </w:tcPr>
                <w:p>
                  <w:pPr>
                    <w:pStyle w:val="52"/>
                  </w:pPr>
                  <w:r>
                    <w:t>65</w:t>
                  </w:r>
                </w:p>
              </w:tc>
              <w:tc>
                <w:tcPr>
                  <w:tcW w:w="1127" w:type="pct"/>
                  <w:vMerge w:val="continue"/>
                  <w:vAlign w:val="center"/>
                </w:tcPr>
                <w:p>
                  <w:pPr>
                    <w:pStyle w:val="52"/>
                  </w:pPr>
                </w:p>
              </w:tc>
              <w:tc>
                <w:tcPr>
                  <w:tcW w:w="1601" w:type="pct"/>
                  <w:vMerge w:val="continue"/>
                  <w:vAlign w:val="center"/>
                </w:tcPr>
                <w:p>
                  <w:pPr>
                    <w:pStyle w:val="52"/>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08" w:type="pct"/>
                  <w:vAlign w:val="center"/>
                </w:tcPr>
                <w:p>
                  <w:pPr>
                    <w:pStyle w:val="52"/>
                  </w:pPr>
                  <w:r>
                    <w:rPr>
                      <w:rFonts w:hint="eastAsia"/>
                    </w:rPr>
                    <w:t>西厂界</w:t>
                  </w:r>
                </w:p>
              </w:tc>
              <w:tc>
                <w:tcPr>
                  <w:tcW w:w="583" w:type="pct"/>
                  <w:vAlign w:val="center"/>
                </w:tcPr>
                <w:p>
                  <w:pPr>
                    <w:pStyle w:val="52"/>
                  </w:pPr>
                  <w:r>
                    <w:rPr>
                      <w:rFonts w:hint="eastAsia"/>
                    </w:rPr>
                    <w:t>5</w:t>
                  </w:r>
                  <w:r>
                    <w:t>6.3</w:t>
                  </w:r>
                </w:p>
              </w:tc>
              <w:tc>
                <w:tcPr>
                  <w:tcW w:w="781" w:type="pct"/>
                  <w:vAlign w:val="center"/>
                </w:tcPr>
                <w:p>
                  <w:pPr>
                    <w:pStyle w:val="52"/>
                  </w:pPr>
                  <w:r>
                    <w:rPr>
                      <w:rFonts w:hint="eastAsia"/>
                    </w:rPr>
                    <w:t>65</w:t>
                  </w:r>
                </w:p>
              </w:tc>
              <w:tc>
                <w:tcPr>
                  <w:tcW w:w="1127" w:type="pct"/>
                  <w:vMerge w:val="continue"/>
                  <w:vAlign w:val="center"/>
                </w:tcPr>
                <w:p>
                  <w:pPr>
                    <w:pStyle w:val="52"/>
                  </w:pPr>
                </w:p>
              </w:tc>
              <w:tc>
                <w:tcPr>
                  <w:tcW w:w="1601" w:type="pct"/>
                  <w:vMerge w:val="continue"/>
                  <w:vAlign w:val="center"/>
                </w:tcPr>
                <w:p>
                  <w:pPr>
                    <w:pStyle w:val="52"/>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08" w:type="pct"/>
                  <w:vAlign w:val="center"/>
                </w:tcPr>
                <w:p>
                  <w:pPr>
                    <w:pStyle w:val="52"/>
                  </w:pPr>
                  <w:r>
                    <w:rPr>
                      <w:rFonts w:hint="eastAsia"/>
                    </w:rPr>
                    <w:t>北厂界</w:t>
                  </w:r>
                </w:p>
              </w:tc>
              <w:tc>
                <w:tcPr>
                  <w:tcW w:w="583" w:type="pct"/>
                  <w:vAlign w:val="center"/>
                </w:tcPr>
                <w:p>
                  <w:pPr>
                    <w:pStyle w:val="52"/>
                  </w:pPr>
                  <w:r>
                    <w:t>63.5</w:t>
                  </w:r>
                </w:p>
              </w:tc>
              <w:tc>
                <w:tcPr>
                  <w:tcW w:w="781" w:type="pct"/>
                  <w:vAlign w:val="center"/>
                </w:tcPr>
                <w:p>
                  <w:pPr>
                    <w:pStyle w:val="52"/>
                  </w:pPr>
                  <w:r>
                    <w:rPr>
                      <w:rFonts w:hint="eastAsia"/>
                    </w:rPr>
                    <w:t>65</w:t>
                  </w:r>
                </w:p>
              </w:tc>
              <w:tc>
                <w:tcPr>
                  <w:tcW w:w="1127" w:type="pct"/>
                  <w:vMerge w:val="continue"/>
                  <w:vAlign w:val="center"/>
                </w:tcPr>
                <w:p>
                  <w:pPr>
                    <w:pStyle w:val="52"/>
                  </w:pPr>
                </w:p>
              </w:tc>
              <w:tc>
                <w:tcPr>
                  <w:tcW w:w="1601" w:type="pct"/>
                  <w:vMerge w:val="continue"/>
                  <w:vAlign w:val="center"/>
                </w:tcPr>
                <w:p>
                  <w:pPr>
                    <w:pStyle w:val="52"/>
                  </w:pPr>
                </w:p>
              </w:tc>
            </w:tr>
          </w:tbl>
          <w:p>
            <w:pPr>
              <w:pStyle w:val="82"/>
              <w:rPr>
                <w:bCs/>
              </w:rPr>
            </w:pPr>
            <w:r>
              <w:t>由上表可见，拟建项目通过采取有效的减振、隔声和消声措施后，项目四周厂界处的</w:t>
            </w:r>
            <w:r>
              <w:rPr>
                <w:rFonts w:hint="eastAsia"/>
              </w:rPr>
              <w:t>昼间</w:t>
            </w:r>
            <w:r>
              <w:t>噪声满足《工业企业厂界环境噪声排放标准》（GB12348-2008）中3类标准要求，厂界噪声达标排放。</w:t>
            </w:r>
            <w:r>
              <w:rPr>
                <w:bCs/>
              </w:rPr>
              <w:t>厂区外</w:t>
            </w:r>
            <w:r>
              <w:rPr>
                <w:rFonts w:hint="eastAsia"/>
                <w:bCs/>
              </w:rPr>
              <w:t>5</w:t>
            </w:r>
            <w:r>
              <w:rPr>
                <w:bCs/>
              </w:rPr>
              <w:t>0m范围内无声环境敏感目标，运营期不会造成噪声污染。</w:t>
            </w:r>
          </w:p>
          <w:p>
            <w:pPr>
              <w:pStyle w:val="82"/>
              <w:ind w:firstLine="482"/>
              <w:rPr>
                <w:b/>
              </w:rPr>
            </w:pPr>
            <w:r>
              <w:rPr>
                <w:rFonts w:hint="eastAsia"/>
                <w:b/>
              </w:rPr>
              <w:t>（3）监测要求</w:t>
            </w:r>
          </w:p>
          <w:p>
            <w:pPr>
              <w:pStyle w:val="82"/>
              <w:rPr>
                <w:snapToGrid w:val="0"/>
                <w:szCs w:val="24"/>
              </w:rPr>
            </w:pPr>
            <w:r>
              <w:t>根据《排污单位自行监测技术指南 总则》（HJ 819-2017）文件，</w:t>
            </w:r>
            <w:r>
              <w:rPr>
                <w:snapToGrid w:val="0"/>
                <w:szCs w:val="24"/>
              </w:rPr>
              <w:t>项目噪声监测要求见表4-</w:t>
            </w:r>
            <w:r>
              <w:rPr>
                <w:rFonts w:hint="eastAsia"/>
                <w:snapToGrid w:val="0"/>
                <w:szCs w:val="24"/>
              </w:rPr>
              <w:t>1</w:t>
            </w:r>
            <w:r>
              <w:rPr>
                <w:snapToGrid w:val="0"/>
                <w:szCs w:val="24"/>
              </w:rPr>
              <w:t>7。</w:t>
            </w:r>
          </w:p>
          <w:p>
            <w:pPr>
              <w:pStyle w:val="83"/>
              <w:rPr>
                <w:snapToGrid w:val="0"/>
              </w:rPr>
            </w:pPr>
            <w:r>
              <w:rPr>
                <w:snapToGrid w:val="0"/>
              </w:rPr>
              <w:t>表4-</w:t>
            </w:r>
            <w:r>
              <w:rPr>
                <w:rFonts w:hint="eastAsia"/>
                <w:snapToGrid w:val="0"/>
              </w:rPr>
              <w:t>1</w:t>
            </w:r>
            <w:r>
              <w:rPr>
                <w:snapToGrid w:val="0"/>
              </w:rPr>
              <w:t>7  噪声监测要求一览表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8"/>
              <w:gridCol w:w="1559"/>
              <w:gridCol w:w="1651"/>
              <w:gridCol w:w="31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1193" w:type="pct"/>
                  <w:vAlign w:val="center"/>
                </w:tcPr>
                <w:p>
                  <w:pPr>
                    <w:tabs>
                      <w:tab w:val="left" w:pos="3435"/>
                    </w:tabs>
                    <w:jc w:val="center"/>
                  </w:pPr>
                  <w:r>
                    <w:t>监测点位</w:t>
                  </w:r>
                </w:p>
              </w:tc>
              <w:tc>
                <w:tcPr>
                  <w:tcW w:w="936" w:type="pct"/>
                  <w:vAlign w:val="center"/>
                </w:tcPr>
                <w:p>
                  <w:pPr>
                    <w:tabs>
                      <w:tab w:val="left" w:pos="3435"/>
                    </w:tabs>
                    <w:jc w:val="center"/>
                  </w:pPr>
                  <w:r>
                    <w:t>监测因子</w:t>
                  </w:r>
                </w:p>
              </w:tc>
              <w:tc>
                <w:tcPr>
                  <w:tcW w:w="991" w:type="pct"/>
                  <w:vAlign w:val="center"/>
                </w:tcPr>
                <w:p>
                  <w:pPr>
                    <w:tabs>
                      <w:tab w:val="left" w:pos="3435"/>
                    </w:tabs>
                    <w:jc w:val="center"/>
                  </w:pPr>
                  <w:r>
                    <w:t>监测频率</w:t>
                  </w:r>
                </w:p>
              </w:tc>
              <w:tc>
                <w:tcPr>
                  <w:tcW w:w="1880" w:type="pct"/>
                  <w:vAlign w:val="center"/>
                </w:tcPr>
                <w:p>
                  <w:pPr>
                    <w:tabs>
                      <w:tab w:val="left" w:pos="3435"/>
                    </w:tabs>
                    <w:jc w:val="center"/>
                  </w:pPr>
                  <w: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atLeast"/>
              </w:trPr>
              <w:tc>
                <w:tcPr>
                  <w:tcW w:w="1193" w:type="pct"/>
                  <w:vAlign w:val="center"/>
                </w:tcPr>
                <w:p>
                  <w:pPr>
                    <w:tabs>
                      <w:tab w:val="left" w:pos="3435"/>
                    </w:tabs>
                    <w:jc w:val="center"/>
                  </w:pPr>
                  <w:r>
                    <w:t>厂界外1m</w:t>
                  </w:r>
                  <w:r>
                    <w:rPr>
                      <w:rFonts w:hint="eastAsia"/>
                    </w:rPr>
                    <w:t>处</w:t>
                  </w:r>
                </w:p>
              </w:tc>
              <w:tc>
                <w:tcPr>
                  <w:tcW w:w="936" w:type="pct"/>
                  <w:vAlign w:val="center"/>
                </w:tcPr>
                <w:p>
                  <w:pPr>
                    <w:tabs>
                      <w:tab w:val="left" w:pos="3435"/>
                    </w:tabs>
                    <w:jc w:val="center"/>
                  </w:pPr>
                  <w:r>
                    <w:t>昼间等效声级</w:t>
                  </w:r>
                </w:p>
              </w:tc>
              <w:tc>
                <w:tcPr>
                  <w:tcW w:w="991" w:type="pct"/>
                  <w:vAlign w:val="center"/>
                </w:tcPr>
                <w:p>
                  <w:pPr>
                    <w:tabs>
                      <w:tab w:val="left" w:pos="3435"/>
                    </w:tabs>
                    <w:jc w:val="center"/>
                  </w:pPr>
                  <w:r>
                    <w:t>1次/季度</w:t>
                  </w:r>
                </w:p>
              </w:tc>
              <w:tc>
                <w:tcPr>
                  <w:tcW w:w="1880" w:type="pct"/>
                  <w:vAlign w:val="center"/>
                </w:tcPr>
                <w:p>
                  <w:pPr>
                    <w:tabs>
                      <w:tab w:val="left" w:pos="3435"/>
                    </w:tabs>
                    <w:jc w:val="center"/>
                  </w:pPr>
                  <w:r>
                    <w:t>《工业企业厂界环境噪声排放标准》（GB12348-2008）3类</w:t>
                  </w:r>
                </w:p>
              </w:tc>
            </w:tr>
          </w:tbl>
          <w:p>
            <w:pPr>
              <w:pStyle w:val="82"/>
              <w:ind w:firstLine="482"/>
              <w:rPr>
                <w:b/>
                <w:bCs/>
              </w:rPr>
            </w:pPr>
            <w:r>
              <w:rPr>
                <w:rFonts w:hint="eastAsia"/>
                <w:b/>
                <w:bCs/>
              </w:rPr>
              <w:t>（4）噪声污染治理措施</w:t>
            </w:r>
          </w:p>
          <w:p>
            <w:pPr>
              <w:pStyle w:val="82"/>
            </w:pPr>
            <w:r>
              <w:t>在满足生产工艺要求的前提下，</w:t>
            </w:r>
            <w:r>
              <w:rPr>
                <w:rFonts w:hint="eastAsia"/>
              </w:rPr>
              <w:t>均</w:t>
            </w:r>
            <w:r>
              <w:t>选用低噪声设备，做好设备</w:t>
            </w:r>
            <w:r>
              <w:rPr>
                <w:rFonts w:hint="eastAsia"/>
              </w:rPr>
              <w:t>日常</w:t>
            </w:r>
            <w:r>
              <w:t>维护保养；所有生产设备均设置于</w:t>
            </w:r>
            <w:r>
              <w:rPr>
                <w:rFonts w:hint="eastAsia"/>
              </w:rPr>
              <w:t>生产厂房</w:t>
            </w:r>
            <w:r>
              <w:t>内，采取建筑隔声；</w:t>
            </w:r>
            <w:r>
              <w:rPr>
                <w:rFonts w:hint="eastAsia"/>
              </w:rPr>
              <w:t>空压机、风机进出风口采用软管连接，安装时设减振垫基础减振，并在进风口与出风口安装消声器</w:t>
            </w:r>
            <w:r>
              <w:t>；另外，高噪声设备采取基础减振措施。</w:t>
            </w:r>
          </w:p>
          <w:p>
            <w:pPr>
              <w:pStyle w:val="82"/>
            </w:pPr>
          </w:p>
          <w:p>
            <w:pPr>
              <w:pStyle w:val="82"/>
            </w:pPr>
          </w:p>
        </w:tc>
      </w:tr>
    </w:tbl>
    <w:p>
      <w:pPr>
        <w:pStyle w:val="9"/>
        <w:ind w:firstLine="440"/>
        <w:sectPr>
          <w:pgSz w:w="11906" w:h="16838"/>
          <w:pgMar w:top="1701" w:right="1531" w:bottom="1701" w:left="1531" w:header="851" w:footer="851" w:gutter="0"/>
          <w:cols w:space="720" w:num="1"/>
          <w:docGrid w:linePitch="312" w:charSpace="0"/>
        </w:sectPr>
      </w:pPr>
    </w:p>
    <w:tbl>
      <w:tblPr>
        <w:tblStyle w:val="24"/>
        <w:tblW w:w="502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36"/>
        <w:gridCol w:w="1331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34" w:hRule="atLeast"/>
          <w:jc w:val="center"/>
        </w:trPr>
        <w:tc>
          <w:tcPr>
            <w:tcW w:w="123" w:type="pct"/>
            <w:tcMar>
              <w:left w:w="28" w:type="dxa"/>
              <w:right w:w="28" w:type="dxa"/>
            </w:tcMar>
            <w:vAlign w:val="center"/>
          </w:tcPr>
          <w:p>
            <w:pPr>
              <w:adjustRightInd w:val="0"/>
              <w:snapToGrid w:val="0"/>
              <w:jc w:val="center"/>
              <w:rPr>
                <w:bCs/>
              </w:rPr>
            </w:pPr>
            <w:r>
              <w:rPr>
                <w:bCs/>
              </w:rPr>
              <w:t>运营</w:t>
            </w:r>
          </w:p>
          <w:p>
            <w:pPr>
              <w:adjustRightInd w:val="0"/>
              <w:snapToGrid w:val="0"/>
              <w:jc w:val="center"/>
              <w:rPr>
                <w:bCs/>
              </w:rPr>
            </w:pPr>
            <w:r>
              <w:rPr>
                <w:bCs/>
              </w:rPr>
              <w:t>期环</w:t>
            </w:r>
          </w:p>
          <w:p>
            <w:pPr>
              <w:adjustRightInd w:val="0"/>
              <w:snapToGrid w:val="0"/>
              <w:jc w:val="center"/>
              <w:rPr>
                <w:bCs/>
              </w:rPr>
            </w:pPr>
            <w:r>
              <w:rPr>
                <w:bCs/>
              </w:rPr>
              <w:t>境影</w:t>
            </w:r>
          </w:p>
          <w:p>
            <w:pPr>
              <w:adjustRightInd w:val="0"/>
              <w:snapToGrid w:val="0"/>
              <w:jc w:val="center"/>
              <w:rPr>
                <w:bCs/>
              </w:rPr>
            </w:pPr>
            <w:r>
              <w:rPr>
                <w:bCs/>
              </w:rPr>
              <w:t>响和</w:t>
            </w:r>
          </w:p>
          <w:p>
            <w:pPr>
              <w:adjustRightInd w:val="0"/>
              <w:snapToGrid w:val="0"/>
              <w:jc w:val="center"/>
              <w:rPr>
                <w:bCs/>
              </w:rPr>
            </w:pPr>
            <w:r>
              <w:rPr>
                <w:bCs/>
              </w:rPr>
              <w:t>保护</w:t>
            </w:r>
          </w:p>
          <w:p>
            <w:pPr>
              <w:adjustRightInd w:val="0"/>
              <w:snapToGrid w:val="0"/>
              <w:jc w:val="center"/>
              <w:rPr>
                <w:bCs/>
              </w:rPr>
            </w:pPr>
            <w:r>
              <w:rPr>
                <w:bCs/>
              </w:rPr>
              <w:t>措施</w:t>
            </w:r>
          </w:p>
        </w:tc>
        <w:tc>
          <w:tcPr>
            <w:tcW w:w="4877" w:type="pct"/>
          </w:tcPr>
          <w:p>
            <w:pPr>
              <w:pStyle w:val="82"/>
              <w:ind w:firstLine="482"/>
              <w:rPr>
                <w:b/>
                <w:bCs/>
              </w:rPr>
            </w:pPr>
            <w:r>
              <w:rPr>
                <w:b/>
                <w:bCs/>
              </w:rPr>
              <w:t>4</w:t>
            </w:r>
            <w:r>
              <w:rPr>
                <w:rFonts w:hint="eastAsia"/>
                <w:b/>
                <w:bCs/>
              </w:rPr>
              <w:t>、</w:t>
            </w:r>
            <w:r>
              <w:rPr>
                <w:b/>
                <w:bCs/>
              </w:rPr>
              <w:t>固体废物</w:t>
            </w:r>
          </w:p>
          <w:p>
            <w:pPr>
              <w:pStyle w:val="82"/>
              <w:ind w:firstLine="482"/>
              <w:rPr>
                <w:b/>
                <w:bCs/>
                <w:kern w:val="0"/>
                <w:szCs w:val="27"/>
              </w:rPr>
            </w:pPr>
            <w:r>
              <w:rPr>
                <w:rFonts w:hint="eastAsia"/>
                <w:b/>
                <w:bCs/>
                <w:kern w:val="0"/>
                <w:szCs w:val="27"/>
              </w:rPr>
              <w:t>（1）</w:t>
            </w:r>
            <w:r>
              <w:rPr>
                <w:b/>
                <w:bCs/>
                <w:kern w:val="0"/>
                <w:szCs w:val="27"/>
              </w:rPr>
              <w:t>固废情况统计</w:t>
            </w:r>
          </w:p>
          <w:p>
            <w:pPr>
              <w:pStyle w:val="82"/>
            </w:pPr>
            <w:r>
              <w:t>固废类别、名称、产排情况及处理信息等见表4-18。</w:t>
            </w:r>
          </w:p>
          <w:p>
            <w:pPr>
              <w:pStyle w:val="83"/>
            </w:pPr>
            <w:r>
              <w:t>表4-18  固体废物排放信息一览表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1"/>
              <w:gridCol w:w="1605"/>
              <w:gridCol w:w="652"/>
              <w:gridCol w:w="998"/>
              <w:gridCol w:w="1016"/>
              <w:gridCol w:w="1466"/>
              <w:gridCol w:w="827"/>
              <w:gridCol w:w="890"/>
              <w:gridCol w:w="1105"/>
              <w:gridCol w:w="1076"/>
              <w:gridCol w:w="919"/>
              <w:gridCol w:w="10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1" w:type="pct"/>
                  <w:vMerge w:val="restart"/>
                  <w:vAlign w:val="center"/>
                </w:tcPr>
                <w:p>
                  <w:pPr>
                    <w:pStyle w:val="57"/>
                    <w:rPr>
                      <w:b/>
                      <w:bCs/>
                    </w:rPr>
                  </w:pPr>
                  <w:r>
                    <w:rPr>
                      <w:b/>
                      <w:bCs/>
                    </w:rPr>
                    <w:t>产生环节</w:t>
                  </w:r>
                </w:p>
              </w:tc>
              <w:tc>
                <w:tcPr>
                  <w:tcW w:w="613" w:type="pct"/>
                  <w:vMerge w:val="restart"/>
                  <w:vAlign w:val="center"/>
                </w:tcPr>
                <w:p>
                  <w:pPr>
                    <w:pStyle w:val="57"/>
                    <w:rPr>
                      <w:b/>
                      <w:bCs/>
                    </w:rPr>
                  </w:pPr>
                  <w:r>
                    <w:rPr>
                      <w:b/>
                      <w:bCs/>
                    </w:rPr>
                    <w:t>固体废物名称</w:t>
                  </w:r>
                </w:p>
              </w:tc>
              <w:tc>
                <w:tcPr>
                  <w:tcW w:w="249" w:type="pct"/>
                  <w:vMerge w:val="restart"/>
                  <w:vAlign w:val="center"/>
                </w:tcPr>
                <w:p>
                  <w:pPr>
                    <w:pStyle w:val="57"/>
                    <w:rPr>
                      <w:b/>
                      <w:bCs/>
                    </w:rPr>
                  </w:pPr>
                  <w:r>
                    <w:rPr>
                      <w:b/>
                      <w:bCs/>
                    </w:rPr>
                    <w:t>属性</w:t>
                  </w:r>
                </w:p>
              </w:tc>
              <w:tc>
                <w:tcPr>
                  <w:tcW w:w="381" w:type="pct"/>
                  <w:vMerge w:val="restart"/>
                  <w:vAlign w:val="center"/>
                </w:tcPr>
                <w:p>
                  <w:pPr>
                    <w:pStyle w:val="57"/>
                    <w:rPr>
                      <w:b/>
                      <w:bCs/>
                    </w:rPr>
                  </w:pPr>
                  <w:r>
                    <w:rPr>
                      <w:b/>
                      <w:bCs/>
                    </w:rPr>
                    <w:t>物理性状</w:t>
                  </w:r>
                </w:p>
              </w:tc>
              <w:tc>
                <w:tcPr>
                  <w:tcW w:w="388" w:type="pct"/>
                  <w:vMerge w:val="restart"/>
                  <w:vAlign w:val="center"/>
                </w:tcPr>
                <w:p>
                  <w:pPr>
                    <w:pStyle w:val="57"/>
                    <w:rPr>
                      <w:b/>
                      <w:bCs/>
                    </w:rPr>
                  </w:pPr>
                  <w:r>
                    <w:rPr>
                      <w:b/>
                      <w:bCs/>
                    </w:rPr>
                    <w:t>废物类别</w:t>
                  </w:r>
                </w:p>
              </w:tc>
              <w:tc>
                <w:tcPr>
                  <w:tcW w:w="560" w:type="pct"/>
                  <w:vMerge w:val="restart"/>
                  <w:vAlign w:val="center"/>
                </w:tcPr>
                <w:p>
                  <w:pPr>
                    <w:pStyle w:val="57"/>
                    <w:rPr>
                      <w:b/>
                      <w:bCs/>
                    </w:rPr>
                  </w:pPr>
                  <w:r>
                    <w:rPr>
                      <w:b/>
                      <w:bCs/>
                    </w:rPr>
                    <w:t>废物代码</w:t>
                  </w:r>
                </w:p>
              </w:tc>
              <w:tc>
                <w:tcPr>
                  <w:tcW w:w="316" w:type="pct"/>
                  <w:vMerge w:val="restart"/>
                  <w:vAlign w:val="center"/>
                </w:tcPr>
                <w:p>
                  <w:pPr>
                    <w:pStyle w:val="57"/>
                    <w:rPr>
                      <w:b/>
                      <w:bCs/>
                    </w:rPr>
                  </w:pPr>
                  <w:r>
                    <w:rPr>
                      <w:b/>
                      <w:bCs/>
                    </w:rPr>
                    <w:t>危险特性</w:t>
                  </w:r>
                </w:p>
              </w:tc>
              <w:tc>
                <w:tcPr>
                  <w:tcW w:w="340" w:type="pct"/>
                  <w:vMerge w:val="restart"/>
                  <w:vAlign w:val="center"/>
                </w:tcPr>
                <w:p>
                  <w:pPr>
                    <w:pStyle w:val="57"/>
                    <w:rPr>
                      <w:b/>
                      <w:bCs/>
                    </w:rPr>
                  </w:pPr>
                  <w:r>
                    <w:rPr>
                      <w:b/>
                      <w:bCs/>
                    </w:rPr>
                    <w:t>年产生量</w:t>
                  </w:r>
                </w:p>
                <w:p>
                  <w:pPr>
                    <w:pStyle w:val="57"/>
                    <w:rPr>
                      <w:b/>
                      <w:bCs/>
                    </w:rPr>
                  </w:pPr>
                  <w:r>
                    <w:rPr>
                      <w:b/>
                      <w:bCs/>
                    </w:rPr>
                    <w:t>(t/a)</w:t>
                  </w:r>
                </w:p>
              </w:tc>
              <w:tc>
                <w:tcPr>
                  <w:tcW w:w="422" w:type="pct"/>
                  <w:vMerge w:val="restart"/>
                  <w:vAlign w:val="center"/>
                </w:tcPr>
                <w:p>
                  <w:pPr>
                    <w:pStyle w:val="57"/>
                    <w:rPr>
                      <w:b/>
                      <w:bCs/>
                    </w:rPr>
                  </w:pPr>
                  <w:r>
                    <w:rPr>
                      <w:b/>
                      <w:bCs/>
                    </w:rPr>
                    <w:t>贮存方式</w:t>
                  </w:r>
                </w:p>
              </w:tc>
              <w:tc>
                <w:tcPr>
                  <w:tcW w:w="411" w:type="pct"/>
                  <w:vMerge w:val="restart"/>
                  <w:vAlign w:val="center"/>
                </w:tcPr>
                <w:p>
                  <w:pPr>
                    <w:pStyle w:val="57"/>
                    <w:rPr>
                      <w:b/>
                      <w:bCs/>
                    </w:rPr>
                  </w:pPr>
                  <w:r>
                    <w:rPr>
                      <w:b/>
                      <w:bCs/>
                    </w:rPr>
                    <w:t>处理方式</w:t>
                  </w:r>
                </w:p>
              </w:tc>
              <w:tc>
                <w:tcPr>
                  <w:tcW w:w="738" w:type="pct"/>
                  <w:gridSpan w:val="2"/>
                  <w:vAlign w:val="center"/>
                </w:tcPr>
                <w:p>
                  <w:pPr>
                    <w:pStyle w:val="57"/>
                    <w:rPr>
                      <w:b/>
                      <w:bCs/>
                    </w:rPr>
                  </w:pPr>
                  <w:r>
                    <w:rPr>
                      <w:b/>
                      <w:bCs/>
                    </w:rPr>
                    <w:t>处置去向及处置量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1" w:type="pct"/>
                  <w:vMerge w:val="continue"/>
                  <w:vAlign w:val="center"/>
                </w:tcPr>
                <w:p>
                  <w:pPr>
                    <w:pStyle w:val="57"/>
                    <w:rPr>
                      <w:b/>
                      <w:bCs/>
                    </w:rPr>
                  </w:pPr>
                </w:p>
              </w:tc>
              <w:tc>
                <w:tcPr>
                  <w:tcW w:w="613" w:type="pct"/>
                  <w:vMerge w:val="continue"/>
                  <w:vAlign w:val="center"/>
                </w:tcPr>
                <w:p>
                  <w:pPr>
                    <w:pStyle w:val="57"/>
                    <w:rPr>
                      <w:b/>
                      <w:bCs/>
                    </w:rPr>
                  </w:pPr>
                </w:p>
              </w:tc>
              <w:tc>
                <w:tcPr>
                  <w:tcW w:w="249" w:type="pct"/>
                  <w:vMerge w:val="continue"/>
                  <w:vAlign w:val="center"/>
                </w:tcPr>
                <w:p>
                  <w:pPr>
                    <w:pStyle w:val="57"/>
                    <w:rPr>
                      <w:b/>
                      <w:bCs/>
                    </w:rPr>
                  </w:pPr>
                </w:p>
              </w:tc>
              <w:tc>
                <w:tcPr>
                  <w:tcW w:w="381" w:type="pct"/>
                  <w:vMerge w:val="continue"/>
                  <w:vAlign w:val="center"/>
                </w:tcPr>
                <w:p>
                  <w:pPr>
                    <w:pStyle w:val="57"/>
                    <w:rPr>
                      <w:b/>
                      <w:bCs/>
                    </w:rPr>
                  </w:pPr>
                </w:p>
              </w:tc>
              <w:tc>
                <w:tcPr>
                  <w:tcW w:w="388" w:type="pct"/>
                  <w:vMerge w:val="continue"/>
                  <w:vAlign w:val="center"/>
                </w:tcPr>
                <w:p>
                  <w:pPr>
                    <w:pStyle w:val="57"/>
                    <w:rPr>
                      <w:b/>
                      <w:bCs/>
                    </w:rPr>
                  </w:pPr>
                </w:p>
              </w:tc>
              <w:tc>
                <w:tcPr>
                  <w:tcW w:w="560" w:type="pct"/>
                  <w:vMerge w:val="continue"/>
                  <w:vAlign w:val="center"/>
                </w:tcPr>
                <w:p>
                  <w:pPr>
                    <w:pStyle w:val="57"/>
                    <w:rPr>
                      <w:b/>
                      <w:bCs/>
                    </w:rPr>
                  </w:pPr>
                </w:p>
              </w:tc>
              <w:tc>
                <w:tcPr>
                  <w:tcW w:w="316" w:type="pct"/>
                  <w:vMerge w:val="continue"/>
                  <w:vAlign w:val="center"/>
                </w:tcPr>
                <w:p>
                  <w:pPr>
                    <w:pStyle w:val="57"/>
                    <w:rPr>
                      <w:b/>
                      <w:bCs/>
                    </w:rPr>
                  </w:pPr>
                </w:p>
              </w:tc>
              <w:tc>
                <w:tcPr>
                  <w:tcW w:w="340" w:type="pct"/>
                  <w:vMerge w:val="continue"/>
                  <w:vAlign w:val="center"/>
                </w:tcPr>
                <w:p>
                  <w:pPr>
                    <w:pStyle w:val="57"/>
                    <w:rPr>
                      <w:b/>
                      <w:bCs/>
                    </w:rPr>
                  </w:pPr>
                </w:p>
              </w:tc>
              <w:tc>
                <w:tcPr>
                  <w:tcW w:w="422" w:type="pct"/>
                  <w:vMerge w:val="continue"/>
                  <w:vAlign w:val="center"/>
                </w:tcPr>
                <w:p>
                  <w:pPr>
                    <w:pStyle w:val="57"/>
                    <w:rPr>
                      <w:b/>
                      <w:bCs/>
                    </w:rPr>
                  </w:pPr>
                </w:p>
              </w:tc>
              <w:tc>
                <w:tcPr>
                  <w:tcW w:w="411" w:type="pct"/>
                  <w:vMerge w:val="continue"/>
                  <w:vAlign w:val="center"/>
                </w:tcPr>
                <w:p>
                  <w:pPr>
                    <w:pStyle w:val="57"/>
                    <w:rPr>
                      <w:b/>
                      <w:bCs/>
                    </w:rPr>
                  </w:pPr>
                </w:p>
              </w:tc>
              <w:tc>
                <w:tcPr>
                  <w:tcW w:w="351" w:type="pct"/>
                  <w:vAlign w:val="center"/>
                </w:tcPr>
                <w:p>
                  <w:pPr>
                    <w:pStyle w:val="57"/>
                    <w:rPr>
                      <w:b/>
                      <w:bCs/>
                    </w:rPr>
                  </w:pPr>
                  <w:r>
                    <w:rPr>
                      <w:b/>
                      <w:bCs/>
                    </w:rPr>
                    <w:t>去向</w:t>
                  </w:r>
                </w:p>
              </w:tc>
              <w:tc>
                <w:tcPr>
                  <w:tcW w:w="387" w:type="pct"/>
                  <w:vAlign w:val="center"/>
                </w:tcPr>
                <w:p>
                  <w:pPr>
                    <w:pStyle w:val="57"/>
                    <w:rPr>
                      <w:b/>
                      <w:bCs/>
                    </w:rPr>
                  </w:pPr>
                  <w:r>
                    <w:rPr>
                      <w:b/>
                      <w:bCs/>
                    </w:rPr>
                    <w:t>处置量t/a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1" w:type="pct"/>
                  <w:vMerge w:val="restart"/>
                  <w:vAlign w:val="center"/>
                </w:tcPr>
                <w:p>
                  <w:pPr>
                    <w:adjustRightInd w:val="0"/>
                    <w:snapToGrid w:val="0"/>
                    <w:jc w:val="center"/>
                    <w:rPr>
                      <w:bCs/>
                    </w:rPr>
                  </w:pPr>
                  <w:bookmarkStart w:id="13" w:name="_Hlk129274186"/>
                  <w:r>
                    <w:rPr>
                      <w:rFonts w:hint="eastAsia"/>
                      <w:bCs/>
                    </w:rPr>
                    <w:t>功能母粒生产</w:t>
                  </w:r>
                </w:p>
              </w:tc>
              <w:tc>
                <w:tcPr>
                  <w:tcW w:w="613" w:type="pct"/>
                  <w:vAlign w:val="center"/>
                </w:tcPr>
                <w:p>
                  <w:pPr>
                    <w:jc w:val="center"/>
                  </w:pPr>
                  <w:r>
                    <w:rPr>
                      <w:rFonts w:hint="eastAsia"/>
                    </w:rPr>
                    <w:t>废边角料</w:t>
                  </w:r>
                </w:p>
              </w:tc>
              <w:tc>
                <w:tcPr>
                  <w:tcW w:w="249" w:type="pct"/>
                  <w:vMerge w:val="restart"/>
                  <w:vAlign w:val="center"/>
                </w:tcPr>
                <w:p>
                  <w:pPr>
                    <w:pStyle w:val="57"/>
                  </w:pPr>
                  <w:r>
                    <w:t>一般固废</w:t>
                  </w:r>
                </w:p>
              </w:tc>
              <w:tc>
                <w:tcPr>
                  <w:tcW w:w="381" w:type="pct"/>
                  <w:vAlign w:val="center"/>
                </w:tcPr>
                <w:p>
                  <w:pPr>
                    <w:pStyle w:val="57"/>
                  </w:pPr>
                  <w:r>
                    <w:rPr>
                      <w:rFonts w:hint="eastAsia"/>
                    </w:rPr>
                    <w:t>固态</w:t>
                  </w:r>
                </w:p>
              </w:tc>
              <w:tc>
                <w:tcPr>
                  <w:tcW w:w="388" w:type="pct"/>
                  <w:vAlign w:val="center"/>
                </w:tcPr>
                <w:p>
                  <w:pPr>
                    <w:pStyle w:val="57"/>
                  </w:pPr>
                  <w:r>
                    <w:rPr>
                      <w:rFonts w:hint="eastAsia"/>
                    </w:rPr>
                    <w:t>0</w:t>
                  </w:r>
                  <w:r>
                    <w:t>6</w:t>
                  </w:r>
                </w:p>
              </w:tc>
              <w:tc>
                <w:tcPr>
                  <w:tcW w:w="560" w:type="pct"/>
                  <w:vAlign w:val="center"/>
                </w:tcPr>
                <w:p>
                  <w:pPr>
                    <w:pStyle w:val="57"/>
                  </w:pPr>
                  <w:r>
                    <w:t>292-010-06</w:t>
                  </w:r>
                </w:p>
              </w:tc>
              <w:tc>
                <w:tcPr>
                  <w:tcW w:w="316" w:type="pct"/>
                  <w:vAlign w:val="center"/>
                </w:tcPr>
                <w:p>
                  <w:pPr>
                    <w:pStyle w:val="57"/>
                  </w:pPr>
                  <w:r>
                    <w:rPr>
                      <w:rFonts w:hint="eastAsia"/>
                    </w:rPr>
                    <w:t>/</w:t>
                  </w:r>
                </w:p>
              </w:tc>
              <w:tc>
                <w:tcPr>
                  <w:tcW w:w="340" w:type="pct"/>
                  <w:vAlign w:val="center"/>
                </w:tcPr>
                <w:p>
                  <w:pPr>
                    <w:pStyle w:val="57"/>
                  </w:pPr>
                  <w:r>
                    <w:t>0.4</w:t>
                  </w:r>
                </w:p>
              </w:tc>
              <w:tc>
                <w:tcPr>
                  <w:tcW w:w="422" w:type="pct"/>
                  <w:vAlign w:val="center"/>
                </w:tcPr>
                <w:p>
                  <w:pPr>
                    <w:pStyle w:val="57"/>
                  </w:pPr>
                  <w:r>
                    <w:rPr>
                      <w:rFonts w:hint="eastAsia"/>
                    </w:rPr>
                    <w:t>分类堆放</w:t>
                  </w:r>
                </w:p>
              </w:tc>
              <w:tc>
                <w:tcPr>
                  <w:tcW w:w="411" w:type="pct"/>
                  <w:vMerge w:val="restart"/>
                  <w:vAlign w:val="center"/>
                </w:tcPr>
                <w:p>
                  <w:pPr>
                    <w:pStyle w:val="57"/>
                  </w:pPr>
                  <w:r>
                    <w:t>一般固废暂存间暂存后</w:t>
                  </w:r>
                  <w:r>
                    <w:rPr>
                      <w:rFonts w:hint="eastAsia"/>
                    </w:rPr>
                    <w:t>外售</w:t>
                  </w:r>
                  <w:r>
                    <w:t>废品回收单位</w:t>
                  </w:r>
                </w:p>
              </w:tc>
              <w:tc>
                <w:tcPr>
                  <w:tcW w:w="351" w:type="pct"/>
                  <w:vMerge w:val="restart"/>
                  <w:vAlign w:val="center"/>
                </w:tcPr>
                <w:p>
                  <w:pPr>
                    <w:pStyle w:val="57"/>
                  </w:pPr>
                  <w:r>
                    <w:t>委托</w:t>
                  </w:r>
                </w:p>
                <w:p>
                  <w:pPr>
                    <w:pStyle w:val="57"/>
                  </w:pPr>
                  <w:r>
                    <w:t>利用</w:t>
                  </w:r>
                </w:p>
              </w:tc>
              <w:tc>
                <w:tcPr>
                  <w:tcW w:w="387" w:type="pct"/>
                  <w:vAlign w:val="center"/>
                </w:tcPr>
                <w:p>
                  <w:pPr>
                    <w:pStyle w:val="57"/>
                  </w:pPr>
                  <w: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1" w:type="pct"/>
                  <w:vMerge w:val="continue"/>
                  <w:vAlign w:val="center"/>
                </w:tcPr>
                <w:p>
                  <w:pPr>
                    <w:adjustRightInd w:val="0"/>
                    <w:snapToGrid w:val="0"/>
                    <w:jc w:val="center"/>
                    <w:rPr>
                      <w:bCs/>
                    </w:rPr>
                  </w:pPr>
                </w:p>
              </w:tc>
              <w:tc>
                <w:tcPr>
                  <w:tcW w:w="613" w:type="pct"/>
                  <w:vAlign w:val="center"/>
                </w:tcPr>
                <w:p>
                  <w:pPr>
                    <w:jc w:val="center"/>
                  </w:pPr>
                  <w:r>
                    <w:rPr>
                      <w:rFonts w:hint="eastAsia"/>
                    </w:rPr>
                    <w:t>不合格品</w:t>
                  </w:r>
                </w:p>
              </w:tc>
              <w:tc>
                <w:tcPr>
                  <w:tcW w:w="249" w:type="pct"/>
                  <w:vMerge w:val="continue"/>
                  <w:vAlign w:val="center"/>
                </w:tcPr>
                <w:p>
                  <w:pPr>
                    <w:pStyle w:val="57"/>
                  </w:pPr>
                </w:p>
              </w:tc>
              <w:tc>
                <w:tcPr>
                  <w:tcW w:w="381" w:type="pct"/>
                  <w:vAlign w:val="center"/>
                </w:tcPr>
                <w:p>
                  <w:pPr>
                    <w:pStyle w:val="57"/>
                  </w:pPr>
                  <w:r>
                    <w:rPr>
                      <w:rFonts w:hint="eastAsia"/>
                    </w:rPr>
                    <w:t>固态</w:t>
                  </w:r>
                </w:p>
              </w:tc>
              <w:tc>
                <w:tcPr>
                  <w:tcW w:w="388" w:type="pct"/>
                  <w:vAlign w:val="center"/>
                </w:tcPr>
                <w:p>
                  <w:pPr>
                    <w:pStyle w:val="57"/>
                  </w:pPr>
                  <w:r>
                    <w:t>06</w:t>
                  </w:r>
                </w:p>
              </w:tc>
              <w:tc>
                <w:tcPr>
                  <w:tcW w:w="560" w:type="pct"/>
                  <w:vAlign w:val="center"/>
                </w:tcPr>
                <w:p>
                  <w:pPr>
                    <w:pStyle w:val="57"/>
                  </w:pPr>
                  <w:r>
                    <w:t>292-010-06</w:t>
                  </w:r>
                </w:p>
              </w:tc>
              <w:tc>
                <w:tcPr>
                  <w:tcW w:w="316" w:type="pct"/>
                  <w:vAlign w:val="center"/>
                </w:tcPr>
                <w:p>
                  <w:pPr>
                    <w:pStyle w:val="57"/>
                  </w:pPr>
                  <w:r>
                    <w:rPr>
                      <w:rFonts w:hint="eastAsia"/>
                    </w:rPr>
                    <w:t>/</w:t>
                  </w:r>
                </w:p>
              </w:tc>
              <w:tc>
                <w:tcPr>
                  <w:tcW w:w="340" w:type="pct"/>
                  <w:vAlign w:val="center"/>
                </w:tcPr>
                <w:p>
                  <w:pPr>
                    <w:pStyle w:val="57"/>
                  </w:pPr>
                  <w:r>
                    <w:t>0.4</w:t>
                  </w:r>
                </w:p>
              </w:tc>
              <w:tc>
                <w:tcPr>
                  <w:tcW w:w="422" w:type="pct"/>
                  <w:vAlign w:val="center"/>
                </w:tcPr>
                <w:p>
                  <w:pPr>
                    <w:pStyle w:val="57"/>
                  </w:pPr>
                  <w:r>
                    <w:rPr>
                      <w:rFonts w:hint="eastAsia"/>
                    </w:rPr>
                    <w:t>分类堆放</w:t>
                  </w:r>
                </w:p>
              </w:tc>
              <w:tc>
                <w:tcPr>
                  <w:tcW w:w="411" w:type="pct"/>
                  <w:vMerge w:val="continue"/>
                  <w:vAlign w:val="center"/>
                </w:tcPr>
                <w:p>
                  <w:pPr>
                    <w:pStyle w:val="57"/>
                  </w:pPr>
                </w:p>
              </w:tc>
              <w:tc>
                <w:tcPr>
                  <w:tcW w:w="351" w:type="pct"/>
                  <w:vMerge w:val="continue"/>
                  <w:vAlign w:val="center"/>
                </w:tcPr>
                <w:p>
                  <w:pPr>
                    <w:pStyle w:val="57"/>
                  </w:pPr>
                </w:p>
              </w:tc>
              <w:tc>
                <w:tcPr>
                  <w:tcW w:w="387" w:type="pct"/>
                  <w:vAlign w:val="center"/>
                </w:tcPr>
                <w:p>
                  <w:pPr>
                    <w:pStyle w:val="57"/>
                  </w:pPr>
                  <w: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1" w:type="pct"/>
                  <w:vAlign w:val="center"/>
                </w:tcPr>
                <w:p>
                  <w:pPr>
                    <w:adjustRightInd w:val="0"/>
                    <w:snapToGrid w:val="0"/>
                    <w:jc w:val="center"/>
                    <w:rPr>
                      <w:bCs/>
                    </w:rPr>
                  </w:pPr>
                  <w:r>
                    <w:rPr>
                      <w:rFonts w:hint="eastAsia"/>
                      <w:bCs/>
                    </w:rPr>
                    <w:t>原辅料包装</w:t>
                  </w:r>
                </w:p>
              </w:tc>
              <w:tc>
                <w:tcPr>
                  <w:tcW w:w="613" w:type="pct"/>
                  <w:vAlign w:val="center"/>
                </w:tcPr>
                <w:p>
                  <w:pPr>
                    <w:jc w:val="center"/>
                  </w:pPr>
                  <w:r>
                    <w:rPr>
                      <w:rFonts w:hint="eastAsia"/>
                    </w:rPr>
                    <w:t>废包装</w:t>
                  </w:r>
                </w:p>
              </w:tc>
              <w:tc>
                <w:tcPr>
                  <w:tcW w:w="249" w:type="pct"/>
                  <w:vMerge w:val="continue"/>
                  <w:vAlign w:val="center"/>
                </w:tcPr>
                <w:p>
                  <w:pPr>
                    <w:pStyle w:val="57"/>
                  </w:pPr>
                </w:p>
              </w:tc>
              <w:tc>
                <w:tcPr>
                  <w:tcW w:w="381" w:type="pct"/>
                  <w:vAlign w:val="center"/>
                </w:tcPr>
                <w:p>
                  <w:pPr>
                    <w:pStyle w:val="57"/>
                  </w:pPr>
                  <w:r>
                    <w:rPr>
                      <w:rFonts w:hint="eastAsia"/>
                    </w:rPr>
                    <w:t>固态</w:t>
                  </w:r>
                </w:p>
              </w:tc>
              <w:tc>
                <w:tcPr>
                  <w:tcW w:w="388" w:type="pct"/>
                  <w:vAlign w:val="center"/>
                </w:tcPr>
                <w:p>
                  <w:pPr>
                    <w:pStyle w:val="57"/>
                  </w:pPr>
                  <w:r>
                    <w:rPr>
                      <w:rFonts w:hint="eastAsia"/>
                    </w:rPr>
                    <w:t>0</w:t>
                  </w:r>
                  <w:r>
                    <w:t>7</w:t>
                  </w:r>
                </w:p>
              </w:tc>
              <w:tc>
                <w:tcPr>
                  <w:tcW w:w="560" w:type="pct"/>
                  <w:vAlign w:val="center"/>
                </w:tcPr>
                <w:p>
                  <w:pPr>
                    <w:pStyle w:val="57"/>
                  </w:pPr>
                  <w:r>
                    <w:rPr>
                      <w:rFonts w:hint="eastAsia"/>
                    </w:rPr>
                    <w:t>2</w:t>
                  </w:r>
                  <w:r>
                    <w:t>92-010-07</w:t>
                  </w:r>
                </w:p>
              </w:tc>
              <w:tc>
                <w:tcPr>
                  <w:tcW w:w="316" w:type="pct"/>
                  <w:vAlign w:val="center"/>
                </w:tcPr>
                <w:p>
                  <w:pPr>
                    <w:pStyle w:val="57"/>
                  </w:pPr>
                  <w:r>
                    <w:rPr>
                      <w:rFonts w:hint="eastAsia"/>
                    </w:rPr>
                    <w:t>/</w:t>
                  </w:r>
                </w:p>
              </w:tc>
              <w:tc>
                <w:tcPr>
                  <w:tcW w:w="340" w:type="pct"/>
                  <w:vAlign w:val="center"/>
                </w:tcPr>
                <w:p>
                  <w:pPr>
                    <w:pStyle w:val="57"/>
                  </w:pPr>
                  <w:r>
                    <w:t>1</w:t>
                  </w:r>
                </w:p>
              </w:tc>
              <w:tc>
                <w:tcPr>
                  <w:tcW w:w="422" w:type="pct"/>
                  <w:vAlign w:val="center"/>
                </w:tcPr>
                <w:p>
                  <w:pPr>
                    <w:pStyle w:val="57"/>
                  </w:pPr>
                  <w:r>
                    <w:rPr>
                      <w:rFonts w:hint="eastAsia"/>
                    </w:rPr>
                    <w:t>分类堆放</w:t>
                  </w:r>
                </w:p>
              </w:tc>
              <w:tc>
                <w:tcPr>
                  <w:tcW w:w="411" w:type="pct"/>
                  <w:vMerge w:val="continue"/>
                  <w:vAlign w:val="center"/>
                </w:tcPr>
                <w:p>
                  <w:pPr>
                    <w:pStyle w:val="57"/>
                  </w:pPr>
                </w:p>
              </w:tc>
              <w:tc>
                <w:tcPr>
                  <w:tcW w:w="351" w:type="pct"/>
                  <w:vMerge w:val="continue"/>
                  <w:vAlign w:val="center"/>
                </w:tcPr>
                <w:p>
                  <w:pPr>
                    <w:pStyle w:val="57"/>
                  </w:pPr>
                </w:p>
              </w:tc>
              <w:tc>
                <w:tcPr>
                  <w:tcW w:w="387" w:type="pct"/>
                  <w:vAlign w:val="center"/>
                </w:tcPr>
                <w:p>
                  <w:pPr>
                    <w:pStyle w:val="57"/>
                  </w:pPr>
                  <w: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1" w:type="pct"/>
                  <w:vAlign w:val="center"/>
                </w:tcPr>
                <w:p>
                  <w:pPr>
                    <w:adjustRightInd w:val="0"/>
                    <w:snapToGrid w:val="0"/>
                    <w:jc w:val="center"/>
                    <w:rPr>
                      <w:bCs/>
                    </w:rPr>
                  </w:pPr>
                  <w:r>
                    <w:rPr>
                      <w:bCs/>
                    </w:rPr>
                    <w:t>原辅料包装</w:t>
                  </w:r>
                </w:p>
              </w:tc>
              <w:tc>
                <w:tcPr>
                  <w:tcW w:w="613" w:type="pct"/>
                  <w:vAlign w:val="center"/>
                </w:tcPr>
                <w:p>
                  <w:pPr>
                    <w:adjustRightInd w:val="0"/>
                    <w:snapToGrid w:val="0"/>
                    <w:jc w:val="center"/>
                    <w:rPr>
                      <w:bCs/>
                    </w:rPr>
                  </w:pPr>
                  <w:r>
                    <w:rPr>
                      <w:rFonts w:hint="eastAsia"/>
                    </w:rPr>
                    <w:t>废油料桶</w:t>
                  </w:r>
                </w:p>
              </w:tc>
              <w:tc>
                <w:tcPr>
                  <w:tcW w:w="249" w:type="pct"/>
                  <w:vMerge w:val="restart"/>
                  <w:vAlign w:val="center"/>
                </w:tcPr>
                <w:p>
                  <w:pPr>
                    <w:pStyle w:val="57"/>
                  </w:pPr>
                  <w:r>
                    <w:t>危险废物</w:t>
                  </w:r>
                </w:p>
              </w:tc>
              <w:tc>
                <w:tcPr>
                  <w:tcW w:w="381" w:type="pct"/>
                  <w:vAlign w:val="center"/>
                </w:tcPr>
                <w:p>
                  <w:pPr>
                    <w:pStyle w:val="57"/>
                  </w:pPr>
                  <w:r>
                    <w:rPr>
                      <w:rFonts w:hint="eastAsia"/>
                    </w:rPr>
                    <w:t>固态</w:t>
                  </w:r>
                </w:p>
              </w:tc>
              <w:tc>
                <w:tcPr>
                  <w:tcW w:w="388" w:type="pct"/>
                  <w:vAlign w:val="center"/>
                </w:tcPr>
                <w:p>
                  <w:pPr>
                    <w:jc w:val="center"/>
                  </w:pPr>
                  <w:r>
                    <w:t>HW</w:t>
                  </w:r>
                  <w:r>
                    <w:rPr>
                      <w:rFonts w:hint="eastAsia"/>
                    </w:rPr>
                    <w:t>49</w:t>
                  </w:r>
                </w:p>
              </w:tc>
              <w:tc>
                <w:tcPr>
                  <w:tcW w:w="560" w:type="pct"/>
                  <w:vAlign w:val="center"/>
                </w:tcPr>
                <w:p>
                  <w:pPr>
                    <w:pStyle w:val="81"/>
                    <w:spacing w:line="240" w:lineRule="auto"/>
                    <w:rPr>
                      <w:color w:val="auto"/>
                    </w:rPr>
                  </w:pPr>
                  <w:r>
                    <w:rPr>
                      <w:color w:val="auto"/>
                      <w:sz w:val="21"/>
                    </w:rPr>
                    <w:t>900-041-49</w:t>
                  </w:r>
                </w:p>
              </w:tc>
              <w:tc>
                <w:tcPr>
                  <w:tcW w:w="316" w:type="pct"/>
                  <w:vAlign w:val="center"/>
                </w:tcPr>
                <w:p>
                  <w:pPr>
                    <w:jc w:val="center"/>
                  </w:pPr>
                  <w:r>
                    <w:t>T、I</w:t>
                  </w:r>
                </w:p>
              </w:tc>
              <w:tc>
                <w:tcPr>
                  <w:tcW w:w="340" w:type="pct"/>
                  <w:vAlign w:val="center"/>
                </w:tcPr>
                <w:p>
                  <w:pPr>
                    <w:pStyle w:val="57"/>
                  </w:pPr>
                  <w:r>
                    <w:t>5</w:t>
                  </w:r>
                </w:p>
              </w:tc>
              <w:tc>
                <w:tcPr>
                  <w:tcW w:w="422" w:type="pct"/>
                  <w:vAlign w:val="center"/>
                </w:tcPr>
                <w:p>
                  <w:pPr>
                    <w:pStyle w:val="57"/>
                  </w:pPr>
                  <w:r>
                    <w:t>分类堆放</w:t>
                  </w:r>
                </w:p>
              </w:tc>
              <w:tc>
                <w:tcPr>
                  <w:tcW w:w="411" w:type="pct"/>
                  <w:vAlign w:val="center"/>
                </w:tcPr>
                <w:p>
                  <w:pPr>
                    <w:pStyle w:val="57"/>
                  </w:pPr>
                  <w:r>
                    <w:rPr>
                      <w:rFonts w:hint="eastAsia"/>
                    </w:rPr>
                    <w:t>危废间暂存由油料生产厂家回收</w:t>
                  </w:r>
                </w:p>
              </w:tc>
              <w:tc>
                <w:tcPr>
                  <w:tcW w:w="351" w:type="pct"/>
                  <w:vMerge w:val="restart"/>
                  <w:vAlign w:val="center"/>
                </w:tcPr>
                <w:p>
                  <w:pPr>
                    <w:pStyle w:val="57"/>
                  </w:pPr>
                  <w:r>
                    <w:t>委托</w:t>
                  </w:r>
                </w:p>
                <w:p>
                  <w:pPr>
                    <w:pStyle w:val="57"/>
                  </w:pPr>
                  <w:r>
                    <w:t>处置</w:t>
                  </w:r>
                </w:p>
              </w:tc>
              <w:tc>
                <w:tcPr>
                  <w:tcW w:w="387" w:type="pct"/>
                  <w:vAlign w:val="center"/>
                </w:tcPr>
                <w:p>
                  <w:pPr>
                    <w:pStyle w:val="57"/>
                  </w:pPr>
                  <w: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1" w:type="pct"/>
                  <w:vMerge w:val="restart"/>
                  <w:vAlign w:val="center"/>
                </w:tcPr>
                <w:p>
                  <w:pPr>
                    <w:adjustRightInd w:val="0"/>
                    <w:snapToGrid w:val="0"/>
                    <w:jc w:val="center"/>
                    <w:rPr>
                      <w:bCs/>
                    </w:rPr>
                  </w:pPr>
                  <w:r>
                    <w:rPr>
                      <w:rFonts w:hint="eastAsia"/>
                      <w:bCs/>
                    </w:rPr>
                    <w:t>有机废气处理</w:t>
                  </w:r>
                </w:p>
              </w:tc>
              <w:tc>
                <w:tcPr>
                  <w:tcW w:w="613" w:type="pct"/>
                  <w:vAlign w:val="center"/>
                </w:tcPr>
                <w:p>
                  <w:pPr>
                    <w:jc w:val="center"/>
                  </w:pPr>
                  <w:r>
                    <w:rPr>
                      <w:rFonts w:hint="eastAsia"/>
                    </w:rPr>
                    <w:t>废UV灯管</w:t>
                  </w:r>
                </w:p>
              </w:tc>
              <w:tc>
                <w:tcPr>
                  <w:tcW w:w="249" w:type="pct"/>
                  <w:vMerge w:val="continue"/>
                  <w:vAlign w:val="center"/>
                </w:tcPr>
                <w:p>
                  <w:pPr>
                    <w:pStyle w:val="57"/>
                  </w:pPr>
                </w:p>
              </w:tc>
              <w:tc>
                <w:tcPr>
                  <w:tcW w:w="381" w:type="pct"/>
                  <w:vAlign w:val="center"/>
                </w:tcPr>
                <w:p>
                  <w:pPr>
                    <w:pStyle w:val="57"/>
                  </w:pPr>
                  <w:r>
                    <w:rPr>
                      <w:rFonts w:hint="eastAsia"/>
                    </w:rPr>
                    <w:t>固态</w:t>
                  </w:r>
                </w:p>
              </w:tc>
              <w:tc>
                <w:tcPr>
                  <w:tcW w:w="388" w:type="pct"/>
                  <w:vAlign w:val="center"/>
                </w:tcPr>
                <w:p>
                  <w:pPr>
                    <w:pStyle w:val="57"/>
                  </w:pPr>
                  <w:r>
                    <w:t>HW29</w:t>
                  </w:r>
                </w:p>
              </w:tc>
              <w:tc>
                <w:tcPr>
                  <w:tcW w:w="560" w:type="pct"/>
                  <w:vAlign w:val="center"/>
                </w:tcPr>
                <w:p>
                  <w:pPr>
                    <w:pStyle w:val="57"/>
                  </w:pPr>
                  <w:r>
                    <w:t>900-023-29</w:t>
                  </w:r>
                </w:p>
              </w:tc>
              <w:tc>
                <w:tcPr>
                  <w:tcW w:w="316" w:type="pct"/>
                  <w:vAlign w:val="center"/>
                </w:tcPr>
                <w:p>
                  <w:pPr>
                    <w:pStyle w:val="57"/>
                  </w:pPr>
                  <w:r>
                    <w:t>T</w:t>
                  </w:r>
                </w:p>
              </w:tc>
              <w:tc>
                <w:tcPr>
                  <w:tcW w:w="340" w:type="pct"/>
                  <w:vAlign w:val="center"/>
                </w:tcPr>
                <w:p>
                  <w:pPr>
                    <w:pStyle w:val="57"/>
                  </w:pPr>
                  <w:r>
                    <w:rPr>
                      <w:rFonts w:hint="eastAsia"/>
                    </w:rPr>
                    <w:t>0</w:t>
                  </w:r>
                  <w:r>
                    <w:t>.02</w:t>
                  </w:r>
                </w:p>
              </w:tc>
              <w:tc>
                <w:tcPr>
                  <w:tcW w:w="422" w:type="pct"/>
                  <w:vAlign w:val="center"/>
                </w:tcPr>
                <w:p>
                  <w:pPr>
                    <w:pStyle w:val="57"/>
                  </w:pPr>
                  <w:r>
                    <w:rPr>
                      <w:snapToGrid w:val="0"/>
                    </w:rPr>
                    <w:t>桶装暂存</w:t>
                  </w:r>
                </w:p>
              </w:tc>
              <w:tc>
                <w:tcPr>
                  <w:tcW w:w="411" w:type="pct"/>
                  <w:vMerge w:val="restart"/>
                  <w:vAlign w:val="center"/>
                </w:tcPr>
                <w:p>
                  <w:pPr>
                    <w:pStyle w:val="57"/>
                  </w:pPr>
                  <w:r>
                    <w:rPr>
                      <w:snapToGrid w:val="0"/>
                    </w:rPr>
                    <w:t>经危废暂存间暂存后，定期交有资质的单位处置</w:t>
                  </w:r>
                </w:p>
              </w:tc>
              <w:tc>
                <w:tcPr>
                  <w:tcW w:w="351" w:type="pct"/>
                  <w:vMerge w:val="continue"/>
                  <w:vAlign w:val="center"/>
                </w:tcPr>
                <w:p>
                  <w:pPr>
                    <w:pStyle w:val="57"/>
                  </w:pPr>
                </w:p>
              </w:tc>
              <w:tc>
                <w:tcPr>
                  <w:tcW w:w="387" w:type="pct"/>
                  <w:vAlign w:val="center"/>
                </w:tcPr>
                <w:p>
                  <w:pPr>
                    <w:pStyle w:val="57"/>
                  </w:pPr>
                  <w:r>
                    <w:rPr>
                      <w:rFonts w:hint="eastAsia"/>
                    </w:rPr>
                    <w:t>0</w:t>
                  </w:r>
                  <w: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1" w:type="pct"/>
                  <w:vMerge w:val="continue"/>
                  <w:vAlign w:val="center"/>
                </w:tcPr>
                <w:p>
                  <w:pPr>
                    <w:adjustRightInd w:val="0"/>
                    <w:snapToGrid w:val="0"/>
                    <w:jc w:val="center"/>
                    <w:rPr>
                      <w:bCs/>
                    </w:rPr>
                  </w:pPr>
                </w:p>
              </w:tc>
              <w:tc>
                <w:tcPr>
                  <w:tcW w:w="613" w:type="pct"/>
                  <w:vAlign w:val="center"/>
                </w:tcPr>
                <w:p>
                  <w:pPr>
                    <w:jc w:val="center"/>
                  </w:pPr>
                  <w:r>
                    <w:rPr>
                      <w:rFonts w:hint="eastAsia"/>
                    </w:rPr>
                    <w:t>废活性炭</w:t>
                  </w:r>
                </w:p>
              </w:tc>
              <w:tc>
                <w:tcPr>
                  <w:tcW w:w="249" w:type="pct"/>
                  <w:vMerge w:val="continue"/>
                  <w:vAlign w:val="center"/>
                </w:tcPr>
                <w:p>
                  <w:pPr>
                    <w:pStyle w:val="57"/>
                  </w:pPr>
                </w:p>
              </w:tc>
              <w:tc>
                <w:tcPr>
                  <w:tcW w:w="381" w:type="pct"/>
                  <w:vAlign w:val="center"/>
                </w:tcPr>
                <w:p>
                  <w:pPr>
                    <w:pStyle w:val="57"/>
                  </w:pPr>
                  <w:r>
                    <w:rPr>
                      <w:rFonts w:hint="eastAsia"/>
                    </w:rPr>
                    <w:t>固态</w:t>
                  </w:r>
                </w:p>
              </w:tc>
              <w:tc>
                <w:tcPr>
                  <w:tcW w:w="388" w:type="pct"/>
                  <w:vAlign w:val="center"/>
                </w:tcPr>
                <w:p>
                  <w:pPr>
                    <w:pStyle w:val="57"/>
                  </w:pPr>
                  <w:r>
                    <w:t>HW49</w:t>
                  </w:r>
                </w:p>
              </w:tc>
              <w:tc>
                <w:tcPr>
                  <w:tcW w:w="560" w:type="pct"/>
                  <w:vAlign w:val="center"/>
                </w:tcPr>
                <w:p>
                  <w:pPr>
                    <w:pStyle w:val="57"/>
                  </w:pPr>
                  <w:r>
                    <w:t>900-039-49</w:t>
                  </w:r>
                </w:p>
              </w:tc>
              <w:tc>
                <w:tcPr>
                  <w:tcW w:w="316" w:type="pct"/>
                  <w:vAlign w:val="center"/>
                </w:tcPr>
                <w:p>
                  <w:pPr>
                    <w:pStyle w:val="57"/>
                  </w:pPr>
                  <w:r>
                    <w:t>T</w:t>
                  </w:r>
                </w:p>
              </w:tc>
              <w:tc>
                <w:tcPr>
                  <w:tcW w:w="340" w:type="pct"/>
                  <w:vAlign w:val="center"/>
                </w:tcPr>
                <w:p>
                  <w:pPr>
                    <w:pStyle w:val="57"/>
                  </w:pPr>
                  <w:r>
                    <w:t>39</w:t>
                  </w:r>
                </w:p>
              </w:tc>
              <w:tc>
                <w:tcPr>
                  <w:tcW w:w="422" w:type="pct"/>
                  <w:vAlign w:val="center"/>
                </w:tcPr>
                <w:p>
                  <w:pPr>
                    <w:pStyle w:val="57"/>
                    <w:rPr>
                      <w:snapToGrid w:val="0"/>
                    </w:rPr>
                  </w:pPr>
                  <w:r>
                    <w:t>分类堆放</w:t>
                  </w:r>
                </w:p>
              </w:tc>
              <w:tc>
                <w:tcPr>
                  <w:tcW w:w="411" w:type="pct"/>
                  <w:vMerge w:val="continue"/>
                  <w:vAlign w:val="center"/>
                </w:tcPr>
                <w:p>
                  <w:pPr>
                    <w:pStyle w:val="57"/>
                  </w:pPr>
                </w:p>
              </w:tc>
              <w:tc>
                <w:tcPr>
                  <w:tcW w:w="351" w:type="pct"/>
                  <w:vMerge w:val="continue"/>
                  <w:vAlign w:val="center"/>
                </w:tcPr>
                <w:p>
                  <w:pPr>
                    <w:pStyle w:val="57"/>
                  </w:pPr>
                </w:p>
              </w:tc>
              <w:tc>
                <w:tcPr>
                  <w:tcW w:w="387" w:type="pct"/>
                  <w:vAlign w:val="center"/>
                </w:tcPr>
                <w:p>
                  <w:pPr>
                    <w:pStyle w:val="57"/>
                  </w:pPr>
                  <w: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1" w:type="pct"/>
                  <w:vMerge w:val="restart"/>
                  <w:vAlign w:val="center"/>
                </w:tcPr>
                <w:p>
                  <w:pPr>
                    <w:adjustRightInd w:val="0"/>
                    <w:snapToGrid w:val="0"/>
                    <w:jc w:val="center"/>
                    <w:rPr>
                      <w:bCs/>
                    </w:rPr>
                  </w:pPr>
                  <w:r>
                    <w:rPr>
                      <w:rFonts w:hint="eastAsia"/>
                      <w:bCs/>
                    </w:rPr>
                    <w:t>设备维护</w:t>
                  </w:r>
                </w:p>
              </w:tc>
              <w:tc>
                <w:tcPr>
                  <w:tcW w:w="613" w:type="pct"/>
                  <w:vAlign w:val="center"/>
                </w:tcPr>
                <w:p>
                  <w:pPr>
                    <w:jc w:val="center"/>
                  </w:pPr>
                  <w:r>
                    <w:rPr>
                      <w:rFonts w:hint="eastAsia"/>
                    </w:rPr>
                    <w:t>废润滑油</w:t>
                  </w:r>
                </w:p>
              </w:tc>
              <w:tc>
                <w:tcPr>
                  <w:tcW w:w="249" w:type="pct"/>
                  <w:vMerge w:val="continue"/>
                  <w:vAlign w:val="center"/>
                </w:tcPr>
                <w:p>
                  <w:pPr>
                    <w:pStyle w:val="57"/>
                  </w:pPr>
                </w:p>
              </w:tc>
              <w:tc>
                <w:tcPr>
                  <w:tcW w:w="381" w:type="pct"/>
                  <w:vAlign w:val="center"/>
                </w:tcPr>
                <w:p>
                  <w:pPr>
                    <w:pStyle w:val="57"/>
                  </w:pPr>
                  <w:r>
                    <w:rPr>
                      <w:rFonts w:hint="eastAsia"/>
                    </w:rPr>
                    <w:t>固态</w:t>
                  </w:r>
                </w:p>
              </w:tc>
              <w:tc>
                <w:tcPr>
                  <w:tcW w:w="388" w:type="pct"/>
                  <w:vAlign w:val="center"/>
                </w:tcPr>
                <w:p>
                  <w:pPr>
                    <w:pStyle w:val="57"/>
                  </w:pPr>
                  <w:r>
                    <w:t>HW08</w:t>
                  </w:r>
                </w:p>
              </w:tc>
              <w:tc>
                <w:tcPr>
                  <w:tcW w:w="560" w:type="pct"/>
                  <w:vAlign w:val="center"/>
                </w:tcPr>
                <w:p>
                  <w:pPr>
                    <w:pStyle w:val="57"/>
                  </w:pPr>
                  <w:r>
                    <w:t>900-2</w:t>
                  </w:r>
                  <w:r>
                    <w:rPr>
                      <w:rFonts w:hint="eastAsia"/>
                    </w:rPr>
                    <w:t>14</w:t>
                  </w:r>
                  <w:r>
                    <w:t>-08</w:t>
                  </w:r>
                </w:p>
              </w:tc>
              <w:tc>
                <w:tcPr>
                  <w:tcW w:w="316" w:type="pct"/>
                  <w:vAlign w:val="center"/>
                </w:tcPr>
                <w:p>
                  <w:pPr>
                    <w:pStyle w:val="57"/>
                  </w:pPr>
                  <w:r>
                    <w:t>T、I</w:t>
                  </w:r>
                </w:p>
              </w:tc>
              <w:tc>
                <w:tcPr>
                  <w:tcW w:w="340" w:type="pct"/>
                  <w:vAlign w:val="center"/>
                </w:tcPr>
                <w:p>
                  <w:pPr>
                    <w:pStyle w:val="57"/>
                  </w:pPr>
                  <w:r>
                    <w:rPr>
                      <w:rFonts w:hint="eastAsia"/>
                    </w:rPr>
                    <w:t>0</w:t>
                  </w:r>
                  <w:r>
                    <w:t>.1</w:t>
                  </w:r>
                </w:p>
              </w:tc>
              <w:tc>
                <w:tcPr>
                  <w:tcW w:w="422" w:type="pct"/>
                  <w:vAlign w:val="center"/>
                </w:tcPr>
                <w:p>
                  <w:pPr>
                    <w:pStyle w:val="57"/>
                  </w:pPr>
                  <w:r>
                    <w:rPr>
                      <w:snapToGrid w:val="0"/>
                    </w:rPr>
                    <w:t>桶装暂存</w:t>
                  </w:r>
                </w:p>
              </w:tc>
              <w:tc>
                <w:tcPr>
                  <w:tcW w:w="411" w:type="pct"/>
                  <w:vMerge w:val="continue"/>
                  <w:vAlign w:val="center"/>
                </w:tcPr>
                <w:p>
                  <w:pPr>
                    <w:pStyle w:val="57"/>
                  </w:pPr>
                </w:p>
              </w:tc>
              <w:tc>
                <w:tcPr>
                  <w:tcW w:w="351" w:type="pct"/>
                  <w:vMerge w:val="continue"/>
                  <w:vAlign w:val="center"/>
                </w:tcPr>
                <w:p>
                  <w:pPr>
                    <w:pStyle w:val="57"/>
                  </w:pPr>
                </w:p>
              </w:tc>
              <w:tc>
                <w:tcPr>
                  <w:tcW w:w="387" w:type="pct"/>
                  <w:vAlign w:val="center"/>
                </w:tcPr>
                <w:p>
                  <w:pPr>
                    <w:pStyle w:val="57"/>
                  </w:pPr>
                  <w:r>
                    <w:rPr>
                      <w:rFonts w:hint="eastAsia"/>
                    </w:rPr>
                    <w:t>0</w:t>
                  </w:r>
                  <w: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1" w:type="pct"/>
                  <w:vMerge w:val="continue"/>
                  <w:vAlign w:val="center"/>
                </w:tcPr>
                <w:p>
                  <w:pPr>
                    <w:adjustRightInd w:val="0"/>
                    <w:snapToGrid w:val="0"/>
                    <w:jc w:val="center"/>
                    <w:rPr>
                      <w:bCs/>
                    </w:rPr>
                  </w:pPr>
                </w:p>
              </w:tc>
              <w:tc>
                <w:tcPr>
                  <w:tcW w:w="613" w:type="pct"/>
                  <w:vAlign w:val="center"/>
                </w:tcPr>
                <w:p>
                  <w:pPr>
                    <w:jc w:val="center"/>
                  </w:pPr>
                  <w:r>
                    <w:rPr>
                      <w:rFonts w:hint="eastAsia"/>
                    </w:rPr>
                    <w:t>废润滑油桶</w:t>
                  </w:r>
                </w:p>
              </w:tc>
              <w:tc>
                <w:tcPr>
                  <w:tcW w:w="249" w:type="pct"/>
                  <w:vMerge w:val="continue"/>
                  <w:vAlign w:val="center"/>
                </w:tcPr>
                <w:p>
                  <w:pPr>
                    <w:pStyle w:val="57"/>
                  </w:pPr>
                </w:p>
              </w:tc>
              <w:tc>
                <w:tcPr>
                  <w:tcW w:w="381" w:type="pct"/>
                  <w:vAlign w:val="center"/>
                </w:tcPr>
                <w:p>
                  <w:pPr>
                    <w:pStyle w:val="57"/>
                  </w:pPr>
                  <w:r>
                    <w:rPr>
                      <w:rFonts w:hint="eastAsia"/>
                    </w:rPr>
                    <w:t>固态</w:t>
                  </w:r>
                </w:p>
              </w:tc>
              <w:tc>
                <w:tcPr>
                  <w:tcW w:w="388" w:type="pct"/>
                  <w:vAlign w:val="center"/>
                </w:tcPr>
                <w:p>
                  <w:pPr>
                    <w:pStyle w:val="57"/>
                  </w:pPr>
                  <w:r>
                    <w:t>HW08</w:t>
                  </w:r>
                </w:p>
              </w:tc>
              <w:tc>
                <w:tcPr>
                  <w:tcW w:w="560" w:type="pct"/>
                  <w:vAlign w:val="center"/>
                </w:tcPr>
                <w:p>
                  <w:pPr>
                    <w:pStyle w:val="57"/>
                  </w:pPr>
                  <w:r>
                    <w:t>900-249-08</w:t>
                  </w:r>
                </w:p>
              </w:tc>
              <w:tc>
                <w:tcPr>
                  <w:tcW w:w="316" w:type="pct"/>
                  <w:vAlign w:val="center"/>
                </w:tcPr>
                <w:p>
                  <w:pPr>
                    <w:pStyle w:val="57"/>
                  </w:pPr>
                  <w:r>
                    <w:t>T、I</w:t>
                  </w:r>
                </w:p>
              </w:tc>
              <w:tc>
                <w:tcPr>
                  <w:tcW w:w="340" w:type="pct"/>
                  <w:vAlign w:val="center"/>
                </w:tcPr>
                <w:p>
                  <w:pPr>
                    <w:pStyle w:val="57"/>
                  </w:pPr>
                  <w:r>
                    <w:rPr>
                      <w:rFonts w:hint="eastAsia"/>
                    </w:rPr>
                    <w:t>0</w:t>
                  </w:r>
                  <w:r>
                    <w:t>.075</w:t>
                  </w:r>
                </w:p>
              </w:tc>
              <w:tc>
                <w:tcPr>
                  <w:tcW w:w="422" w:type="pct"/>
                  <w:vAlign w:val="center"/>
                </w:tcPr>
                <w:p>
                  <w:pPr>
                    <w:pStyle w:val="57"/>
                    <w:rPr>
                      <w:snapToGrid w:val="0"/>
                    </w:rPr>
                  </w:pPr>
                  <w:r>
                    <w:rPr>
                      <w:snapToGrid w:val="0"/>
                    </w:rPr>
                    <w:t>桶装暂存</w:t>
                  </w:r>
                </w:p>
              </w:tc>
              <w:tc>
                <w:tcPr>
                  <w:tcW w:w="411" w:type="pct"/>
                  <w:vMerge w:val="continue"/>
                  <w:vAlign w:val="center"/>
                </w:tcPr>
                <w:p>
                  <w:pPr>
                    <w:pStyle w:val="57"/>
                  </w:pPr>
                </w:p>
              </w:tc>
              <w:tc>
                <w:tcPr>
                  <w:tcW w:w="351" w:type="pct"/>
                  <w:vMerge w:val="continue"/>
                  <w:vAlign w:val="center"/>
                </w:tcPr>
                <w:p>
                  <w:pPr>
                    <w:pStyle w:val="57"/>
                  </w:pPr>
                </w:p>
              </w:tc>
              <w:tc>
                <w:tcPr>
                  <w:tcW w:w="387" w:type="pct"/>
                  <w:vAlign w:val="center"/>
                </w:tcPr>
                <w:p>
                  <w:pPr>
                    <w:pStyle w:val="57"/>
                  </w:pPr>
                  <w:r>
                    <w:rPr>
                      <w:rFonts w:hint="eastAsia"/>
                    </w:rPr>
                    <w:t>0</w:t>
                  </w:r>
                  <w: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1" w:type="pct"/>
                  <w:vMerge w:val="continue"/>
                  <w:vAlign w:val="center"/>
                </w:tcPr>
                <w:p>
                  <w:pPr>
                    <w:adjustRightInd w:val="0"/>
                    <w:snapToGrid w:val="0"/>
                    <w:jc w:val="center"/>
                    <w:rPr>
                      <w:bCs/>
                    </w:rPr>
                  </w:pPr>
                </w:p>
              </w:tc>
              <w:tc>
                <w:tcPr>
                  <w:tcW w:w="613" w:type="pct"/>
                  <w:vAlign w:val="center"/>
                </w:tcPr>
                <w:p>
                  <w:pPr>
                    <w:jc w:val="center"/>
                  </w:pPr>
                  <w:r>
                    <w:rPr>
                      <w:rFonts w:hint="eastAsia"/>
                    </w:rPr>
                    <w:t>废含油抹布及劳保用品</w:t>
                  </w:r>
                </w:p>
              </w:tc>
              <w:tc>
                <w:tcPr>
                  <w:tcW w:w="249" w:type="pct"/>
                  <w:vMerge w:val="continue"/>
                  <w:vAlign w:val="center"/>
                </w:tcPr>
                <w:p>
                  <w:pPr>
                    <w:pStyle w:val="57"/>
                  </w:pPr>
                </w:p>
              </w:tc>
              <w:tc>
                <w:tcPr>
                  <w:tcW w:w="381" w:type="pct"/>
                  <w:vAlign w:val="center"/>
                </w:tcPr>
                <w:p>
                  <w:pPr>
                    <w:pStyle w:val="57"/>
                  </w:pPr>
                  <w:r>
                    <w:rPr>
                      <w:rFonts w:hint="eastAsia"/>
                    </w:rPr>
                    <w:t>固态</w:t>
                  </w:r>
                </w:p>
              </w:tc>
              <w:tc>
                <w:tcPr>
                  <w:tcW w:w="388" w:type="pct"/>
                  <w:vAlign w:val="center"/>
                </w:tcPr>
                <w:p>
                  <w:pPr>
                    <w:pStyle w:val="57"/>
                  </w:pPr>
                  <w:r>
                    <w:t>HW49</w:t>
                  </w:r>
                </w:p>
              </w:tc>
              <w:tc>
                <w:tcPr>
                  <w:tcW w:w="560" w:type="pct"/>
                  <w:vAlign w:val="center"/>
                </w:tcPr>
                <w:p>
                  <w:pPr>
                    <w:pStyle w:val="57"/>
                  </w:pPr>
                  <w:r>
                    <w:t>900-041-49</w:t>
                  </w:r>
                </w:p>
              </w:tc>
              <w:tc>
                <w:tcPr>
                  <w:tcW w:w="316" w:type="pct"/>
                  <w:vAlign w:val="center"/>
                </w:tcPr>
                <w:p>
                  <w:pPr>
                    <w:pStyle w:val="57"/>
                  </w:pPr>
                  <w:r>
                    <w:t>T、I</w:t>
                  </w:r>
                </w:p>
              </w:tc>
              <w:tc>
                <w:tcPr>
                  <w:tcW w:w="340" w:type="pct"/>
                  <w:vAlign w:val="center"/>
                </w:tcPr>
                <w:p>
                  <w:pPr>
                    <w:pStyle w:val="57"/>
                  </w:pPr>
                  <w:r>
                    <w:rPr>
                      <w:rFonts w:hint="eastAsia"/>
                    </w:rPr>
                    <w:t>0</w:t>
                  </w:r>
                  <w:r>
                    <w:t>.05</w:t>
                  </w:r>
                </w:p>
              </w:tc>
              <w:tc>
                <w:tcPr>
                  <w:tcW w:w="422" w:type="pct"/>
                  <w:vAlign w:val="center"/>
                </w:tcPr>
                <w:p>
                  <w:pPr>
                    <w:pStyle w:val="57"/>
                  </w:pPr>
                  <w:r>
                    <w:rPr>
                      <w:snapToGrid w:val="0"/>
                    </w:rPr>
                    <w:t>桶装暂存</w:t>
                  </w:r>
                </w:p>
              </w:tc>
              <w:tc>
                <w:tcPr>
                  <w:tcW w:w="411" w:type="pct"/>
                  <w:vMerge w:val="continue"/>
                  <w:vAlign w:val="center"/>
                </w:tcPr>
                <w:p>
                  <w:pPr>
                    <w:pStyle w:val="57"/>
                  </w:pPr>
                </w:p>
              </w:tc>
              <w:tc>
                <w:tcPr>
                  <w:tcW w:w="351" w:type="pct"/>
                  <w:vMerge w:val="continue"/>
                  <w:vAlign w:val="center"/>
                </w:tcPr>
                <w:p>
                  <w:pPr>
                    <w:pStyle w:val="57"/>
                  </w:pPr>
                </w:p>
              </w:tc>
              <w:tc>
                <w:tcPr>
                  <w:tcW w:w="387" w:type="pct"/>
                  <w:vAlign w:val="center"/>
                </w:tcPr>
                <w:p>
                  <w:pPr>
                    <w:pStyle w:val="57"/>
                  </w:pPr>
                  <w:r>
                    <w:rPr>
                      <w:rFonts w:hint="eastAsia"/>
                    </w:rPr>
                    <w:t>0</w:t>
                  </w:r>
                  <w: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1" w:type="pct"/>
                  <w:vAlign w:val="center"/>
                </w:tcPr>
                <w:p>
                  <w:pPr>
                    <w:adjustRightInd w:val="0"/>
                    <w:snapToGrid w:val="0"/>
                    <w:jc w:val="center"/>
                    <w:rPr>
                      <w:bCs/>
                    </w:rPr>
                  </w:pPr>
                  <w:r>
                    <w:rPr>
                      <w:rFonts w:hint="eastAsia"/>
                      <w:bCs/>
                    </w:rPr>
                    <w:t>空压机</w:t>
                  </w:r>
                </w:p>
              </w:tc>
              <w:tc>
                <w:tcPr>
                  <w:tcW w:w="613" w:type="pct"/>
                  <w:vAlign w:val="center"/>
                </w:tcPr>
                <w:p>
                  <w:pPr>
                    <w:adjustRightInd w:val="0"/>
                    <w:snapToGrid w:val="0"/>
                    <w:jc w:val="center"/>
                    <w:rPr>
                      <w:bCs/>
                    </w:rPr>
                  </w:pPr>
                  <w:r>
                    <w:rPr>
                      <w:rFonts w:hint="eastAsia"/>
                    </w:rPr>
                    <w:t>含油冷凝废液</w:t>
                  </w:r>
                </w:p>
              </w:tc>
              <w:tc>
                <w:tcPr>
                  <w:tcW w:w="249" w:type="pct"/>
                  <w:vMerge w:val="continue"/>
                  <w:vAlign w:val="center"/>
                </w:tcPr>
                <w:p>
                  <w:pPr>
                    <w:pStyle w:val="57"/>
                  </w:pPr>
                </w:p>
              </w:tc>
              <w:tc>
                <w:tcPr>
                  <w:tcW w:w="381" w:type="pct"/>
                  <w:vAlign w:val="center"/>
                </w:tcPr>
                <w:p>
                  <w:pPr>
                    <w:pStyle w:val="57"/>
                  </w:pPr>
                  <w:r>
                    <w:t>液体</w:t>
                  </w:r>
                </w:p>
              </w:tc>
              <w:tc>
                <w:tcPr>
                  <w:tcW w:w="388" w:type="pct"/>
                  <w:vAlign w:val="center"/>
                </w:tcPr>
                <w:p>
                  <w:pPr>
                    <w:pStyle w:val="57"/>
                  </w:pPr>
                  <w:r>
                    <w:t>HW09</w:t>
                  </w:r>
                </w:p>
              </w:tc>
              <w:tc>
                <w:tcPr>
                  <w:tcW w:w="560" w:type="pct"/>
                  <w:vAlign w:val="center"/>
                </w:tcPr>
                <w:p>
                  <w:pPr>
                    <w:pStyle w:val="57"/>
                  </w:pPr>
                  <w:r>
                    <w:t>900-00</w:t>
                  </w:r>
                  <w:r>
                    <w:rPr>
                      <w:rFonts w:hint="eastAsia"/>
                    </w:rPr>
                    <w:t>7</w:t>
                  </w:r>
                  <w:r>
                    <w:t>-09</w:t>
                  </w:r>
                </w:p>
              </w:tc>
              <w:tc>
                <w:tcPr>
                  <w:tcW w:w="316" w:type="pct"/>
                  <w:vAlign w:val="center"/>
                </w:tcPr>
                <w:p>
                  <w:pPr>
                    <w:pStyle w:val="57"/>
                  </w:pPr>
                  <w:r>
                    <w:t>T</w:t>
                  </w:r>
                </w:p>
              </w:tc>
              <w:tc>
                <w:tcPr>
                  <w:tcW w:w="340" w:type="pct"/>
                  <w:vAlign w:val="center"/>
                </w:tcPr>
                <w:p>
                  <w:pPr>
                    <w:pStyle w:val="57"/>
                  </w:pPr>
                  <w:r>
                    <w:rPr>
                      <w:rFonts w:hint="eastAsia"/>
                    </w:rPr>
                    <w:t>0</w:t>
                  </w:r>
                  <w:r>
                    <w:t>.5</w:t>
                  </w:r>
                </w:p>
              </w:tc>
              <w:tc>
                <w:tcPr>
                  <w:tcW w:w="422" w:type="pct"/>
                  <w:vAlign w:val="center"/>
                </w:tcPr>
                <w:p>
                  <w:pPr>
                    <w:pStyle w:val="57"/>
                  </w:pPr>
                  <w:r>
                    <w:rPr>
                      <w:snapToGrid w:val="0"/>
                    </w:rPr>
                    <w:t>桶装暂存</w:t>
                  </w:r>
                </w:p>
              </w:tc>
              <w:tc>
                <w:tcPr>
                  <w:tcW w:w="411" w:type="pct"/>
                  <w:vMerge w:val="continue"/>
                  <w:vAlign w:val="center"/>
                </w:tcPr>
                <w:p>
                  <w:pPr>
                    <w:pStyle w:val="57"/>
                  </w:pPr>
                </w:p>
              </w:tc>
              <w:tc>
                <w:tcPr>
                  <w:tcW w:w="351" w:type="pct"/>
                  <w:vMerge w:val="continue"/>
                  <w:vAlign w:val="center"/>
                </w:tcPr>
                <w:p>
                  <w:pPr>
                    <w:pStyle w:val="57"/>
                  </w:pPr>
                </w:p>
              </w:tc>
              <w:tc>
                <w:tcPr>
                  <w:tcW w:w="387" w:type="pct"/>
                  <w:vAlign w:val="center"/>
                </w:tcPr>
                <w:p>
                  <w:pPr>
                    <w:pStyle w:val="57"/>
                  </w:pPr>
                  <w:r>
                    <w:rPr>
                      <w:rFonts w:hint="eastAsia"/>
                    </w:rPr>
                    <w:t>0</w:t>
                  </w:r>
                  <w: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1" w:type="pct"/>
                  <w:vAlign w:val="center"/>
                </w:tcPr>
                <w:p>
                  <w:pPr>
                    <w:adjustRightInd w:val="0"/>
                    <w:snapToGrid w:val="0"/>
                    <w:jc w:val="center"/>
                    <w:rPr>
                      <w:bCs/>
                    </w:rPr>
                  </w:pPr>
                  <w:r>
                    <w:rPr>
                      <w:rFonts w:hint="eastAsia"/>
                      <w:bCs/>
                    </w:rPr>
                    <w:t>办公生活</w:t>
                  </w:r>
                </w:p>
              </w:tc>
              <w:tc>
                <w:tcPr>
                  <w:tcW w:w="613" w:type="pct"/>
                  <w:vAlign w:val="center"/>
                </w:tcPr>
                <w:p>
                  <w:pPr>
                    <w:adjustRightInd w:val="0"/>
                    <w:snapToGrid w:val="0"/>
                    <w:jc w:val="center"/>
                    <w:rPr>
                      <w:bCs/>
                    </w:rPr>
                  </w:pPr>
                  <w:r>
                    <w:t>生活垃圾</w:t>
                  </w:r>
                </w:p>
              </w:tc>
              <w:tc>
                <w:tcPr>
                  <w:tcW w:w="249" w:type="pct"/>
                  <w:vAlign w:val="center"/>
                </w:tcPr>
                <w:p>
                  <w:pPr>
                    <w:pStyle w:val="57"/>
                  </w:pPr>
                  <w:r>
                    <w:rPr>
                      <w:rFonts w:hint="eastAsia"/>
                    </w:rPr>
                    <w:t>生活垃圾</w:t>
                  </w:r>
                </w:p>
              </w:tc>
              <w:tc>
                <w:tcPr>
                  <w:tcW w:w="381" w:type="pct"/>
                  <w:vAlign w:val="center"/>
                </w:tcPr>
                <w:p>
                  <w:pPr>
                    <w:jc w:val="center"/>
                  </w:pPr>
                  <w:r>
                    <w:rPr>
                      <w:rFonts w:hint="eastAsia"/>
                    </w:rPr>
                    <w:t>固态</w:t>
                  </w:r>
                </w:p>
              </w:tc>
              <w:tc>
                <w:tcPr>
                  <w:tcW w:w="388" w:type="pct"/>
                  <w:vAlign w:val="center"/>
                </w:tcPr>
                <w:p>
                  <w:pPr>
                    <w:topLinePunct/>
                    <w:adjustRightInd w:val="0"/>
                    <w:snapToGrid w:val="0"/>
                    <w:jc w:val="center"/>
                  </w:pPr>
                  <w:r>
                    <w:rPr>
                      <w:rFonts w:hint="eastAsia"/>
                    </w:rPr>
                    <w:t>/</w:t>
                  </w:r>
                </w:p>
              </w:tc>
              <w:tc>
                <w:tcPr>
                  <w:tcW w:w="560" w:type="pct"/>
                  <w:vAlign w:val="center"/>
                </w:tcPr>
                <w:p>
                  <w:pPr>
                    <w:topLinePunct/>
                    <w:adjustRightInd w:val="0"/>
                    <w:snapToGrid w:val="0"/>
                    <w:jc w:val="center"/>
                  </w:pPr>
                  <w:r>
                    <w:rPr>
                      <w:rFonts w:hint="eastAsia"/>
                    </w:rPr>
                    <w:t>/</w:t>
                  </w:r>
                </w:p>
              </w:tc>
              <w:tc>
                <w:tcPr>
                  <w:tcW w:w="316" w:type="pct"/>
                  <w:vAlign w:val="center"/>
                </w:tcPr>
                <w:p>
                  <w:pPr>
                    <w:pStyle w:val="57"/>
                  </w:pPr>
                  <w:r>
                    <w:rPr>
                      <w:rFonts w:hint="eastAsia"/>
                    </w:rPr>
                    <w:t>/</w:t>
                  </w:r>
                </w:p>
              </w:tc>
              <w:tc>
                <w:tcPr>
                  <w:tcW w:w="340" w:type="pct"/>
                  <w:vAlign w:val="center"/>
                </w:tcPr>
                <w:p>
                  <w:pPr>
                    <w:pStyle w:val="57"/>
                  </w:pPr>
                  <w:r>
                    <w:t>3.3</w:t>
                  </w:r>
                </w:p>
              </w:tc>
              <w:tc>
                <w:tcPr>
                  <w:tcW w:w="422" w:type="pct"/>
                  <w:vAlign w:val="center"/>
                </w:tcPr>
                <w:p>
                  <w:pPr>
                    <w:pStyle w:val="57"/>
                  </w:pPr>
                  <w:r>
                    <w:t>桶装暂存</w:t>
                  </w:r>
                </w:p>
              </w:tc>
              <w:tc>
                <w:tcPr>
                  <w:tcW w:w="411" w:type="pct"/>
                  <w:vAlign w:val="center"/>
                </w:tcPr>
                <w:p>
                  <w:pPr>
                    <w:pStyle w:val="57"/>
                  </w:pPr>
                  <w:r>
                    <w:t>交由环卫部门清运处理</w:t>
                  </w:r>
                </w:p>
              </w:tc>
              <w:tc>
                <w:tcPr>
                  <w:tcW w:w="351" w:type="pct"/>
                  <w:vAlign w:val="center"/>
                </w:tcPr>
                <w:p>
                  <w:pPr>
                    <w:spacing w:line="320" w:lineRule="exact"/>
                    <w:jc w:val="center"/>
                  </w:pPr>
                  <w:r>
                    <w:t>委托</w:t>
                  </w:r>
                </w:p>
                <w:p>
                  <w:pPr>
                    <w:pStyle w:val="57"/>
                  </w:pPr>
                  <w:r>
                    <w:t>处置</w:t>
                  </w:r>
                </w:p>
              </w:tc>
              <w:tc>
                <w:tcPr>
                  <w:tcW w:w="387" w:type="pct"/>
                  <w:vAlign w:val="center"/>
                </w:tcPr>
                <w:p>
                  <w:pPr>
                    <w:pStyle w:val="57"/>
                  </w:pPr>
                  <w:r>
                    <w:t>3.3</w:t>
                  </w:r>
                </w:p>
              </w:tc>
            </w:tr>
            <w:bookmarkEnd w:id="13"/>
          </w:tbl>
          <w:p>
            <w:pPr>
              <w:spacing w:line="460" w:lineRule="exact"/>
              <w:ind w:firstLine="380" w:firstLineChars="200"/>
              <w:rPr>
                <w:bCs/>
                <w:spacing w:val="-10"/>
              </w:rPr>
            </w:pPr>
          </w:p>
        </w:tc>
      </w:tr>
    </w:tbl>
    <w:p>
      <w:pPr>
        <w:widowControl/>
        <w:jc w:val="left"/>
        <w:rPr>
          <w:rFonts w:eastAsia="黑体"/>
          <w:snapToGrid w:val="0"/>
          <w:sz w:val="30"/>
          <w:szCs w:val="30"/>
        </w:rPr>
        <w:sectPr>
          <w:pgSz w:w="16838" w:h="11906" w:orient="landscape"/>
          <w:pgMar w:top="1531" w:right="1701" w:bottom="1531" w:left="1701" w:header="851" w:footer="851" w:gutter="0"/>
          <w:cols w:space="720" w:num="1"/>
          <w:docGrid w:linePitch="312" w:charSpace="0"/>
        </w:sectPr>
      </w:pPr>
    </w:p>
    <w:tbl>
      <w:tblPr>
        <w:tblStyle w:val="2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40"/>
        <w:gridCol w:w="854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25" w:hRule="atLeast"/>
          <w:jc w:val="center"/>
        </w:trPr>
        <w:tc>
          <w:tcPr>
            <w:tcW w:w="245" w:type="pct"/>
            <w:tcMar>
              <w:left w:w="28" w:type="dxa"/>
              <w:right w:w="28" w:type="dxa"/>
            </w:tcMar>
            <w:vAlign w:val="center"/>
          </w:tcPr>
          <w:p>
            <w:pPr>
              <w:adjustRightInd w:val="0"/>
              <w:snapToGrid w:val="0"/>
              <w:jc w:val="center"/>
              <w:rPr>
                <w:bCs/>
              </w:rPr>
            </w:pPr>
            <w:r>
              <w:rPr>
                <w:rFonts w:hint="eastAsia"/>
                <w:bCs/>
              </w:rPr>
              <w:t>运营</w:t>
            </w:r>
          </w:p>
          <w:p>
            <w:pPr>
              <w:adjustRightInd w:val="0"/>
              <w:snapToGrid w:val="0"/>
              <w:jc w:val="center"/>
              <w:rPr>
                <w:bCs/>
              </w:rPr>
            </w:pPr>
            <w:r>
              <w:rPr>
                <w:rFonts w:hint="eastAsia"/>
                <w:bCs/>
              </w:rPr>
              <w:t>期环</w:t>
            </w:r>
          </w:p>
          <w:p>
            <w:pPr>
              <w:adjustRightInd w:val="0"/>
              <w:snapToGrid w:val="0"/>
              <w:jc w:val="center"/>
              <w:rPr>
                <w:bCs/>
              </w:rPr>
            </w:pPr>
            <w:r>
              <w:rPr>
                <w:rFonts w:hint="eastAsia"/>
                <w:bCs/>
              </w:rPr>
              <w:t>境影</w:t>
            </w:r>
          </w:p>
          <w:p>
            <w:pPr>
              <w:adjustRightInd w:val="0"/>
              <w:snapToGrid w:val="0"/>
              <w:jc w:val="center"/>
              <w:rPr>
                <w:bCs/>
              </w:rPr>
            </w:pPr>
            <w:r>
              <w:rPr>
                <w:rFonts w:hint="eastAsia"/>
                <w:bCs/>
              </w:rPr>
              <w:t>响和</w:t>
            </w:r>
          </w:p>
          <w:p>
            <w:pPr>
              <w:adjustRightInd w:val="0"/>
              <w:snapToGrid w:val="0"/>
              <w:jc w:val="center"/>
              <w:rPr>
                <w:bCs/>
              </w:rPr>
            </w:pPr>
            <w:r>
              <w:rPr>
                <w:rFonts w:hint="eastAsia"/>
                <w:bCs/>
              </w:rPr>
              <w:t>保护</w:t>
            </w:r>
          </w:p>
          <w:p>
            <w:pPr>
              <w:adjustRightInd w:val="0"/>
              <w:snapToGrid w:val="0"/>
              <w:jc w:val="center"/>
              <w:rPr>
                <w:bCs/>
              </w:rPr>
            </w:pPr>
            <w:r>
              <w:rPr>
                <w:rFonts w:hint="eastAsia"/>
                <w:bCs/>
              </w:rPr>
              <w:t>措施</w:t>
            </w:r>
          </w:p>
        </w:tc>
        <w:tc>
          <w:tcPr>
            <w:tcW w:w="4755" w:type="pct"/>
          </w:tcPr>
          <w:p>
            <w:pPr>
              <w:pStyle w:val="82"/>
              <w:ind w:firstLine="482"/>
              <w:rPr>
                <w:b/>
                <w:bCs/>
              </w:rPr>
            </w:pPr>
            <w:r>
              <w:rPr>
                <w:rFonts w:hint="eastAsia"/>
                <w:b/>
                <w:bCs/>
              </w:rPr>
              <w:t>源强核算阐述</w:t>
            </w:r>
          </w:p>
          <w:p>
            <w:pPr>
              <w:pStyle w:val="82"/>
            </w:pPr>
            <w:r>
              <w:rPr>
                <w:rFonts w:hint="eastAsia"/>
              </w:rPr>
              <w:t>①一般工业固废</w:t>
            </w:r>
          </w:p>
          <w:p>
            <w:pPr>
              <w:pStyle w:val="82"/>
            </w:pPr>
            <w:r>
              <w:rPr>
                <w:rFonts w:hint="eastAsia"/>
              </w:rPr>
              <w:t>废边角料：本项目在功能母粒生产过程中的挤出工序初始阶段会产生一定量的边角料，根据项目物料平衡产生边角料为</w:t>
            </w:r>
            <w:r>
              <w:t>0.4</w:t>
            </w:r>
            <w:r>
              <w:rPr>
                <w:rFonts w:hint="eastAsia"/>
              </w:rPr>
              <w:t>t/a，收集后外售综合利用。</w:t>
            </w:r>
          </w:p>
          <w:p>
            <w:pPr>
              <w:pStyle w:val="82"/>
            </w:pPr>
            <w:r>
              <w:rPr>
                <w:rFonts w:hint="eastAsia"/>
              </w:rPr>
              <w:t>不合格品：在功能母粒生产过程中的切粒工序会产生少量的不合格品，根据建设单位提供资料，不合格品产生量约占总量的</w:t>
            </w:r>
            <w:r>
              <w:t>0.02</w:t>
            </w:r>
            <w:r>
              <w:rPr>
                <w:rFonts w:hint="eastAsia"/>
              </w:rPr>
              <w:t>%，不合格品产生量为</w:t>
            </w:r>
            <w:r>
              <w:t>0.4</w:t>
            </w:r>
            <w:r>
              <w:rPr>
                <w:rFonts w:hint="eastAsia"/>
              </w:rPr>
              <w:t>t/a，收集后外售综合利用。</w:t>
            </w:r>
          </w:p>
          <w:p>
            <w:pPr>
              <w:pStyle w:val="82"/>
            </w:pPr>
            <w:r>
              <w:rPr>
                <w:rFonts w:hint="eastAsia"/>
              </w:rPr>
              <w:t>废包装：在生产过程中会产生原料的废旧包装，根据建设单位提供资料，废旧包装产生量为</w:t>
            </w:r>
            <w:r>
              <w:t>1</w:t>
            </w:r>
            <w:r>
              <w:rPr>
                <w:rFonts w:hint="eastAsia"/>
              </w:rPr>
              <w:t>t</w:t>
            </w:r>
            <w:r>
              <w:t>/</w:t>
            </w:r>
            <w:r>
              <w:rPr>
                <w:rFonts w:hint="eastAsia"/>
              </w:rPr>
              <w:t>a，收集后外售综合利用。</w:t>
            </w:r>
          </w:p>
          <w:p>
            <w:pPr>
              <w:pStyle w:val="82"/>
            </w:pPr>
            <w:r>
              <w:rPr>
                <w:rFonts w:hint="eastAsia"/>
              </w:rPr>
              <w:t>②危险废物</w:t>
            </w:r>
          </w:p>
          <w:p>
            <w:pPr>
              <w:pStyle w:val="82"/>
            </w:pPr>
            <w:r>
              <w:rPr>
                <w:rFonts w:hint="eastAsia"/>
              </w:rPr>
              <w:t>废油料桶：项目油料使用量共计</w:t>
            </w:r>
            <w:r>
              <w:t>50</w:t>
            </w:r>
            <w:r>
              <w:rPr>
                <w:rFonts w:hint="eastAsia"/>
              </w:rPr>
              <w:t>t/a，均采用</w:t>
            </w:r>
            <w:r>
              <w:t>1</w:t>
            </w:r>
            <w:r>
              <w:rPr>
                <w:rFonts w:hint="eastAsia"/>
              </w:rPr>
              <w:t>t/桶装，则产生的废油料桶为</w:t>
            </w:r>
            <w:r>
              <w:t>100</w:t>
            </w:r>
            <w:r>
              <w:rPr>
                <w:rFonts w:hint="eastAsia"/>
              </w:rPr>
              <w:t>只/年，单个废油料桶重量约为</w:t>
            </w:r>
            <w:r>
              <w:t>50</w:t>
            </w:r>
            <w:r>
              <w:rPr>
                <w:rFonts w:hint="eastAsia"/>
              </w:rPr>
              <w:t>kg，则废油料桶产生量为</w:t>
            </w:r>
            <w:r>
              <w:t>5</w:t>
            </w:r>
            <w:r>
              <w:rPr>
                <w:rFonts w:hint="eastAsia"/>
              </w:rPr>
              <w:t>t/a，由油料生产厂家回收处理。</w:t>
            </w:r>
          </w:p>
          <w:p>
            <w:pPr>
              <w:pStyle w:val="82"/>
            </w:pPr>
            <w:r>
              <w:rPr>
                <w:rFonts w:hint="eastAsia"/>
              </w:rPr>
              <w:t>废润滑油：挤出机等设备维护保养会产生废润滑油及废润滑油桶，产生量分别为0</w:t>
            </w:r>
            <w:r>
              <w:t>.1</w:t>
            </w:r>
            <w:r>
              <w:rPr>
                <w:rFonts w:hint="eastAsia"/>
              </w:rPr>
              <w:t>t</w:t>
            </w:r>
            <w:r>
              <w:t>/</w:t>
            </w:r>
            <w:r>
              <w:rPr>
                <w:rFonts w:hint="eastAsia"/>
              </w:rPr>
              <w:t>a、</w:t>
            </w:r>
            <w:r>
              <w:t>0</w:t>
            </w:r>
            <w:r>
              <w:rPr>
                <w:rFonts w:hint="eastAsia"/>
              </w:rPr>
              <w:t>.</w:t>
            </w:r>
            <w:r>
              <w:t>075</w:t>
            </w:r>
            <w:r>
              <w:rPr>
                <w:rFonts w:hint="eastAsia"/>
              </w:rPr>
              <w:t>t</w:t>
            </w:r>
            <w:r>
              <w:t>/</w:t>
            </w:r>
            <w:r>
              <w:rPr>
                <w:rFonts w:hint="eastAsia"/>
              </w:rPr>
              <w:t>a。桶装收集后暂存于危废间交由有危废处理资质的单位处置。</w:t>
            </w:r>
          </w:p>
          <w:p>
            <w:pPr>
              <w:pStyle w:val="82"/>
            </w:pPr>
            <w:r>
              <w:rPr>
                <w:rFonts w:hint="eastAsia"/>
              </w:rPr>
              <w:t>废含油抹布及劳保用品：在生产过程中，生产设备需要用抹布进行擦拭，擦拭过程中会吸附部分润滑油，产生量为0.</w:t>
            </w:r>
            <w:r>
              <w:t>05</w:t>
            </w:r>
            <w:r>
              <w:rPr>
                <w:rFonts w:hint="eastAsia"/>
              </w:rPr>
              <w:t>t/a</w:t>
            </w:r>
            <w:r>
              <w:t>，</w:t>
            </w:r>
            <w:r>
              <w:rPr>
                <w:rFonts w:hint="eastAsia"/>
              </w:rPr>
              <w:t>桶装收集后暂存于危废间交由有危废处理资质的单位处置。</w:t>
            </w:r>
          </w:p>
          <w:p>
            <w:pPr>
              <w:pStyle w:val="82"/>
            </w:pPr>
            <w:r>
              <w:rPr>
                <w:rFonts w:hint="eastAsia"/>
              </w:rPr>
              <w:t>含油冷凝废液：空压机需要使用润滑油对螺杆处进行润滑，运行过程中会产生含油的冷凝废液，经类比调查，产生的冷凝废液约</w:t>
            </w:r>
            <w:r>
              <w:t>0.</w:t>
            </w:r>
            <w:r>
              <w:rPr>
                <w:rFonts w:hint="eastAsia"/>
              </w:rPr>
              <w:t>5</w:t>
            </w:r>
            <w:r>
              <w:t>t/a，</w:t>
            </w:r>
            <w:r>
              <w:rPr>
                <w:rFonts w:hint="eastAsia"/>
              </w:rPr>
              <w:t>桶装收集后暂存于危废间交由有危废处理资质的单位处置。</w:t>
            </w:r>
          </w:p>
          <w:p>
            <w:pPr>
              <w:pStyle w:val="82"/>
            </w:pPr>
            <w:r>
              <w:rPr>
                <w:rFonts w:hint="eastAsia"/>
              </w:rPr>
              <w:t>废活性炭、废UV灯管：根据《简明通风设计手册》（孙一坚），活性炭使用量按照250kg废气/1t活性炭考虑，根据前文分析，拟建项目活性炭吸附的有机废气量总共约为</w:t>
            </w:r>
            <w:r>
              <w:t>7</w:t>
            </w:r>
            <w:r>
              <w:rPr>
                <w:rFonts w:hint="eastAsia"/>
              </w:rPr>
              <w:t>.</w:t>
            </w:r>
            <w:r>
              <w:t>8</w:t>
            </w:r>
            <w:r>
              <w:rPr>
                <w:rFonts w:hint="eastAsia"/>
              </w:rPr>
              <w:t>t/a，则活性炭使用量为</w:t>
            </w:r>
            <w:r>
              <w:t>31</w:t>
            </w:r>
            <w:r>
              <w:rPr>
                <w:rFonts w:hint="eastAsia"/>
              </w:rPr>
              <w:t>.</w:t>
            </w:r>
            <w:r>
              <w:t>2</w:t>
            </w:r>
            <w:r>
              <w:rPr>
                <w:rFonts w:hint="eastAsia"/>
              </w:rPr>
              <w:t>t/a，吸附废气后产生量约为</w:t>
            </w:r>
            <w:r>
              <w:t>39</w:t>
            </w:r>
            <w:r>
              <w:rPr>
                <w:rFonts w:hint="eastAsia"/>
              </w:rPr>
              <w:t>t/a，则项目废活性炭年产生量约为</w:t>
            </w:r>
            <w:r>
              <w:t>39t/</w:t>
            </w:r>
            <w:r>
              <w:rPr>
                <w:rFonts w:hint="eastAsia"/>
              </w:rPr>
              <w:t>a。废UV灯管年产生量约0.0</w:t>
            </w:r>
            <w:r>
              <w:t>2</w:t>
            </w:r>
            <w:r>
              <w:rPr>
                <w:rFonts w:hint="eastAsia"/>
              </w:rPr>
              <w:t>t</w:t>
            </w:r>
            <w:r>
              <w:t>/</w:t>
            </w:r>
            <w:r>
              <w:rPr>
                <w:rFonts w:hint="eastAsia"/>
              </w:rPr>
              <w:t>a。</w:t>
            </w:r>
          </w:p>
          <w:p>
            <w:pPr>
              <w:pStyle w:val="82"/>
            </w:pPr>
            <w:r>
              <w:rPr>
                <w:rFonts w:hint="eastAsia"/>
              </w:rPr>
              <w:t>③生活垃圾</w:t>
            </w:r>
          </w:p>
          <w:p>
            <w:pPr>
              <w:pStyle w:val="82"/>
            </w:pPr>
            <w:r>
              <w:t>项目劳动定员22人，年工作日300天，职工生活垃圾按0.5kg/人·天计，则产生量为3.3t/a，职工生活垃圾集中收集后定期由环卫部门统一处理。</w:t>
            </w:r>
          </w:p>
          <w:p>
            <w:pPr>
              <w:pStyle w:val="82"/>
              <w:ind w:firstLine="482"/>
              <w:rPr>
                <w:b/>
                <w:bCs/>
                <w:lang w:bidi="ar"/>
              </w:rPr>
            </w:pPr>
            <w:r>
              <w:rPr>
                <w:b/>
                <w:bCs/>
                <w:lang w:bidi="ar"/>
              </w:rPr>
              <w:t>（2）管理要求</w:t>
            </w:r>
          </w:p>
          <w:p>
            <w:pPr>
              <w:pStyle w:val="82"/>
            </w:pPr>
            <w:r>
              <w:t>本项目在</w:t>
            </w:r>
            <w:r>
              <w:rPr>
                <w:rFonts w:hint="eastAsia"/>
              </w:rPr>
              <w:t>生产厂房西北角</w:t>
            </w:r>
            <w:r>
              <w:t>设置1处一般固废间，建筑面积约10m</w:t>
            </w:r>
            <w:r>
              <w:rPr>
                <w:vertAlign w:val="superscript"/>
              </w:rPr>
              <w:t>2</w:t>
            </w:r>
            <w:r>
              <w:t>，一般固废储存过程中应符合《一般工业固体废物贮存和填埋污染控制标准》（GB18599-2020）提出的环保要求，采取“三防”措施（防渗漏、防雨淋、防扬尘）。</w:t>
            </w:r>
          </w:p>
          <w:p>
            <w:pPr>
              <w:pStyle w:val="82"/>
            </w:pPr>
            <w:r>
              <w:t>本项目</w:t>
            </w:r>
            <w:r>
              <w:rPr>
                <w:rFonts w:hint="eastAsia"/>
              </w:rPr>
              <w:t>在生产厂房西北角</w:t>
            </w:r>
            <w:r>
              <w:t>设置1处危废暂存间</w:t>
            </w:r>
            <w:r>
              <w:rPr>
                <w:rFonts w:hint="eastAsia"/>
              </w:rPr>
              <w:t>邻一般固废间</w:t>
            </w:r>
            <w:r>
              <w:t>，建筑面积约10m</w:t>
            </w:r>
            <w:r>
              <w:rPr>
                <w:vertAlign w:val="superscript"/>
              </w:rPr>
              <w:t>2</w:t>
            </w:r>
            <w:r>
              <w:t>。危险废物暂存间严格按照《危险废物贮存污染控制标准》（GB 18597-2023）中相关要求</w:t>
            </w:r>
            <w:r>
              <w:rPr>
                <w:rFonts w:hint="eastAsia"/>
              </w:rPr>
              <w:t>：①</w:t>
            </w:r>
            <w:r>
              <w:t>进行</w:t>
            </w:r>
            <w:r>
              <w:rPr>
                <w:rFonts w:hint="eastAsia"/>
              </w:rPr>
              <w:t>必要的</w:t>
            </w:r>
            <w:r>
              <w:t>防风、</w:t>
            </w:r>
            <w:r>
              <w:rPr>
                <w:rFonts w:hint="eastAsia"/>
              </w:rPr>
              <w:t>防晒、</w:t>
            </w:r>
            <w:r>
              <w:t>防雨、</w:t>
            </w:r>
            <w:r>
              <w:rPr>
                <w:rFonts w:hint="eastAsia"/>
              </w:rPr>
              <w:t>防漏、防渗、</w:t>
            </w:r>
            <w:r>
              <w:t>防</w:t>
            </w:r>
            <w:r>
              <w:rPr>
                <w:rFonts w:hint="eastAsia"/>
              </w:rPr>
              <w:t>腐</w:t>
            </w:r>
            <w:r>
              <w:t>处理，</w:t>
            </w:r>
            <w:r>
              <w:rPr>
                <w:rFonts w:hint="eastAsia"/>
              </w:rPr>
              <w:t>不得露天堆放危险废物；②根据危险废物类别、数量、形态、物理化学性质分区贮存；③地面、墙面裙脚、堵截泄漏的围堰、接触危险废物的隔板和墙体等应采用坚固的材料建造，表面无裂缝；④贮存设施地面与裙脚应采取表面防渗措施，表面防渗材料应与所接触的物料或污染物相容；⑤同一贮存设施宜采用相同的防渗、防腐工艺（包括防渗、防腐结构或材料），防渗、防腐材料应覆盖所有可能与废物及其渗滤液、渗漏液等接触的构筑物表面；采用不同防渗、防腐工艺应分别建设贮存分区；⑥贮存设施应采取技术和管理措施防止无关人员进入。同时</w:t>
            </w:r>
            <w:r>
              <w:t>危险废物转移应按照《危险废物转移管理办法》（生态环境部 公安部 交通运输部 部令第23号）中相关要求进行转移。</w:t>
            </w:r>
          </w:p>
          <w:p>
            <w:pPr>
              <w:pStyle w:val="83"/>
            </w:pPr>
            <w:r>
              <w:rPr>
                <w:rFonts w:hint="eastAsia"/>
              </w:rPr>
              <w:t>表4</w:t>
            </w:r>
            <w:r>
              <w:t>-19  项目危险废物贮存场所基本情况表</w:t>
            </w:r>
          </w:p>
          <w:tbl>
            <w:tblPr>
              <w:tblStyle w:val="24"/>
              <w:tblW w:w="7950"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0" w:type="dxa"/>
                <w:bottom w:w="0" w:type="dxa"/>
                <w:right w:w="0" w:type="dxa"/>
              </w:tblCellMar>
            </w:tblPr>
            <w:tblGrid>
              <w:gridCol w:w="486"/>
              <w:gridCol w:w="555"/>
              <w:gridCol w:w="1134"/>
              <w:gridCol w:w="851"/>
              <w:gridCol w:w="1134"/>
              <w:gridCol w:w="610"/>
              <w:gridCol w:w="795"/>
              <w:gridCol w:w="795"/>
              <w:gridCol w:w="795"/>
              <w:gridCol w:w="79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486" w:type="dxa"/>
                  <w:noWrap/>
                  <w:vAlign w:val="center"/>
                </w:tcPr>
                <w:p>
                  <w:pPr>
                    <w:pStyle w:val="52"/>
                    <w:rPr>
                      <w:b/>
                      <w:bCs/>
                    </w:rPr>
                  </w:pPr>
                  <w:r>
                    <w:rPr>
                      <w:b/>
                      <w:bCs/>
                    </w:rPr>
                    <w:t>序号</w:t>
                  </w:r>
                </w:p>
              </w:tc>
              <w:tc>
                <w:tcPr>
                  <w:tcW w:w="555" w:type="dxa"/>
                  <w:noWrap/>
                  <w:vAlign w:val="center"/>
                </w:tcPr>
                <w:p>
                  <w:pPr>
                    <w:pStyle w:val="52"/>
                    <w:rPr>
                      <w:b/>
                      <w:bCs/>
                    </w:rPr>
                  </w:pPr>
                  <w:r>
                    <w:rPr>
                      <w:b/>
                      <w:bCs/>
                    </w:rPr>
                    <w:t>贮存场所</w:t>
                  </w:r>
                </w:p>
              </w:tc>
              <w:tc>
                <w:tcPr>
                  <w:tcW w:w="1134" w:type="dxa"/>
                  <w:noWrap/>
                  <w:vAlign w:val="center"/>
                </w:tcPr>
                <w:p>
                  <w:pPr>
                    <w:pStyle w:val="52"/>
                    <w:rPr>
                      <w:b/>
                      <w:bCs/>
                    </w:rPr>
                  </w:pPr>
                  <w:r>
                    <w:rPr>
                      <w:b/>
                      <w:bCs/>
                    </w:rPr>
                    <w:t>危废名称</w:t>
                  </w:r>
                </w:p>
              </w:tc>
              <w:tc>
                <w:tcPr>
                  <w:tcW w:w="851" w:type="dxa"/>
                  <w:noWrap/>
                  <w:vAlign w:val="center"/>
                </w:tcPr>
                <w:p>
                  <w:pPr>
                    <w:pStyle w:val="52"/>
                    <w:rPr>
                      <w:b/>
                      <w:bCs/>
                    </w:rPr>
                  </w:pPr>
                  <w:r>
                    <w:rPr>
                      <w:b/>
                      <w:bCs/>
                    </w:rPr>
                    <w:t>危险废物类别</w:t>
                  </w:r>
                </w:p>
              </w:tc>
              <w:tc>
                <w:tcPr>
                  <w:tcW w:w="1134" w:type="dxa"/>
                  <w:noWrap/>
                  <w:vAlign w:val="center"/>
                </w:tcPr>
                <w:p>
                  <w:pPr>
                    <w:pStyle w:val="52"/>
                    <w:rPr>
                      <w:b/>
                      <w:bCs/>
                    </w:rPr>
                  </w:pPr>
                  <w:r>
                    <w:rPr>
                      <w:b/>
                      <w:bCs/>
                    </w:rPr>
                    <w:t>危险废物</w:t>
                  </w:r>
                </w:p>
                <w:p>
                  <w:pPr>
                    <w:pStyle w:val="52"/>
                    <w:rPr>
                      <w:b/>
                      <w:bCs/>
                    </w:rPr>
                  </w:pPr>
                  <w:r>
                    <w:rPr>
                      <w:b/>
                      <w:bCs/>
                    </w:rPr>
                    <w:t>代码</w:t>
                  </w:r>
                </w:p>
              </w:tc>
              <w:tc>
                <w:tcPr>
                  <w:tcW w:w="610" w:type="dxa"/>
                  <w:noWrap/>
                  <w:vAlign w:val="center"/>
                </w:tcPr>
                <w:p>
                  <w:pPr>
                    <w:pStyle w:val="52"/>
                    <w:rPr>
                      <w:b/>
                      <w:bCs/>
                    </w:rPr>
                  </w:pPr>
                  <w:r>
                    <w:rPr>
                      <w:b/>
                      <w:bCs/>
                    </w:rPr>
                    <w:t>位置</w:t>
                  </w:r>
                </w:p>
              </w:tc>
              <w:tc>
                <w:tcPr>
                  <w:tcW w:w="795" w:type="dxa"/>
                  <w:noWrap/>
                  <w:vAlign w:val="center"/>
                </w:tcPr>
                <w:p>
                  <w:pPr>
                    <w:pStyle w:val="52"/>
                    <w:rPr>
                      <w:b/>
                      <w:bCs/>
                    </w:rPr>
                  </w:pPr>
                  <w:r>
                    <w:rPr>
                      <w:b/>
                      <w:bCs/>
                    </w:rPr>
                    <w:t>占地</w:t>
                  </w:r>
                </w:p>
                <w:p>
                  <w:pPr>
                    <w:pStyle w:val="52"/>
                    <w:rPr>
                      <w:b/>
                      <w:bCs/>
                    </w:rPr>
                  </w:pPr>
                  <w:r>
                    <w:rPr>
                      <w:b/>
                      <w:bCs/>
                    </w:rPr>
                    <w:t>面积</w:t>
                  </w:r>
                </w:p>
              </w:tc>
              <w:tc>
                <w:tcPr>
                  <w:tcW w:w="795" w:type="dxa"/>
                  <w:noWrap/>
                  <w:vAlign w:val="center"/>
                </w:tcPr>
                <w:p>
                  <w:pPr>
                    <w:pStyle w:val="52"/>
                    <w:rPr>
                      <w:b/>
                      <w:bCs/>
                    </w:rPr>
                  </w:pPr>
                  <w:r>
                    <w:rPr>
                      <w:b/>
                      <w:bCs/>
                    </w:rPr>
                    <w:t>贮存</w:t>
                  </w:r>
                </w:p>
                <w:p>
                  <w:pPr>
                    <w:pStyle w:val="52"/>
                    <w:rPr>
                      <w:b/>
                      <w:bCs/>
                    </w:rPr>
                  </w:pPr>
                  <w:r>
                    <w:rPr>
                      <w:b/>
                      <w:bCs/>
                    </w:rPr>
                    <w:t>方式</w:t>
                  </w:r>
                </w:p>
              </w:tc>
              <w:tc>
                <w:tcPr>
                  <w:tcW w:w="795" w:type="dxa"/>
                  <w:noWrap/>
                  <w:vAlign w:val="center"/>
                </w:tcPr>
                <w:p>
                  <w:pPr>
                    <w:pStyle w:val="52"/>
                    <w:rPr>
                      <w:b/>
                      <w:bCs/>
                    </w:rPr>
                  </w:pPr>
                  <w:r>
                    <w:rPr>
                      <w:b/>
                      <w:bCs/>
                    </w:rPr>
                    <w:t>贮存</w:t>
                  </w:r>
                </w:p>
                <w:p>
                  <w:pPr>
                    <w:pStyle w:val="52"/>
                    <w:rPr>
                      <w:b/>
                      <w:bCs/>
                    </w:rPr>
                  </w:pPr>
                  <w:r>
                    <w:rPr>
                      <w:b/>
                      <w:bCs/>
                    </w:rPr>
                    <w:t>能力</w:t>
                  </w:r>
                </w:p>
              </w:tc>
              <w:tc>
                <w:tcPr>
                  <w:tcW w:w="795" w:type="dxa"/>
                  <w:noWrap/>
                  <w:vAlign w:val="center"/>
                </w:tcPr>
                <w:p>
                  <w:pPr>
                    <w:pStyle w:val="52"/>
                    <w:rPr>
                      <w:b/>
                      <w:bCs/>
                    </w:rPr>
                  </w:pPr>
                  <w:r>
                    <w:rPr>
                      <w:b/>
                      <w:bCs/>
                    </w:rPr>
                    <w:t>贮存周期</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486" w:type="dxa"/>
                  <w:noWrap/>
                  <w:vAlign w:val="center"/>
                </w:tcPr>
                <w:p>
                  <w:pPr>
                    <w:pStyle w:val="52"/>
                    <w:rPr>
                      <w:bCs/>
                    </w:rPr>
                  </w:pPr>
                  <w:r>
                    <w:rPr>
                      <w:bCs/>
                    </w:rPr>
                    <w:t>1</w:t>
                  </w:r>
                </w:p>
              </w:tc>
              <w:tc>
                <w:tcPr>
                  <w:tcW w:w="555" w:type="dxa"/>
                  <w:vMerge w:val="restart"/>
                  <w:noWrap/>
                  <w:vAlign w:val="center"/>
                </w:tcPr>
                <w:p>
                  <w:pPr>
                    <w:pStyle w:val="52"/>
                    <w:rPr>
                      <w:bCs/>
                    </w:rPr>
                  </w:pPr>
                  <w:r>
                    <w:rPr>
                      <w:bCs/>
                    </w:rPr>
                    <w:t>危废</w:t>
                  </w:r>
                </w:p>
                <w:p>
                  <w:pPr>
                    <w:pStyle w:val="52"/>
                    <w:rPr>
                      <w:bCs/>
                    </w:rPr>
                  </w:pPr>
                  <w:r>
                    <w:rPr>
                      <w:bCs/>
                    </w:rPr>
                    <w:t>暂存间</w:t>
                  </w:r>
                </w:p>
              </w:tc>
              <w:tc>
                <w:tcPr>
                  <w:tcW w:w="1134" w:type="dxa"/>
                  <w:noWrap/>
                  <w:vAlign w:val="center"/>
                </w:tcPr>
                <w:p>
                  <w:pPr>
                    <w:pStyle w:val="52"/>
                  </w:pPr>
                  <w:r>
                    <w:rPr>
                      <w:rFonts w:hint="eastAsia"/>
                    </w:rPr>
                    <w:t>废油料桶</w:t>
                  </w:r>
                </w:p>
              </w:tc>
              <w:tc>
                <w:tcPr>
                  <w:tcW w:w="851" w:type="dxa"/>
                  <w:noWrap/>
                  <w:vAlign w:val="center"/>
                </w:tcPr>
                <w:p>
                  <w:pPr>
                    <w:pStyle w:val="52"/>
                  </w:pPr>
                  <w:r>
                    <w:t>HW</w:t>
                  </w:r>
                  <w:r>
                    <w:rPr>
                      <w:rFonts w:hint="eastAsia"/>
                    </w:rPr>
                    <w:t>49</w:t>
                  </w:r>
                </w:p>
              </w:tc>
              <w:tc>
                <w:tcPr>
                  <w:tcW w:w="1134" w:type="dxa"/>
                  <w:noWrap/>
                  <w:vAlign w:val="center"/>
                </w:tcPr>
                <w:p>
                  <w:pPr>
                    <w:pStyle w:val="52"/>
                  </w:pPr>
                  <w:r>
                    <w:t>900-041-49</w:t>
                  </w:r>
                </w:p>
              </w:tc>
              <w:tc>
                <w:tcPr>
                  <w:tcW w:w="610" w:type="dxa"/>
                  <w:vMerge w:val="restart"/>
                  <w:noWrap/>
                  <w:vAlign w:val="center"/>
                </w:tcPr>
                <w:p>
                  <w:pPr>
                    <w:pStyle w:val="52"/>
                    <w:rPr>
                      <w:bCs/>
                    </w:rPr>
                  </w:pPr>
                  <w:r>
                    <w:rPr>
                      <w:rFonts w:hint="eastAsia"/>
                      <w:bCs/>
                    </w:rPr>
                    <w:t>生产厂房西北</w:t>
                  </w:r>
                  <w:r>
                    <w:rPr>
                      <w:bCs/>
                    </w:rPr>
                    <w:t>侧</w:t>
                  </w:r>
                </w:p>
              </w:tc>
              <w:tc>
                <w:tcPr>
                  <w:tcW w:w="795" w:type="dxa"/>
                  <w:vMerge w:val="restart"/>
                  <w:noWrap/>
                  <w:vAlign w:val="center"/>
                </w:tcPr>
                <w:p>
                  <w:pPr>
                    <w:pStyle w:val="52"/>
                    <w:rPr>
                      <w:bCs/>
                    </w:rPr>
                  </w:pPr>
                  <w:r>
                    <w:rPr>
                      <w:bCs/>
                    </w:rPr>
                    <w:t>10m</w:t>
                  </w:r>
                  <w:r>
                    <w:rPr>
                      <w:bCs/>
                      <w:vertAlign w:val="superscript"/>
                    </w:rPr>
                    <w:t>2</w:t>
                  </w:r>
                </w:p>
              </w:tc>
              <w:tc>
                <w:tcPr>
                  <w:tcW w:w="795" w:type="dxa"/>
                  <w:noWrap/>
                  <w:vAlign w:val="center"/>
                </w:tcPr>
                <w:p>
                  <w:pPr>
                    <w:pStyle w:val="52"/>
                    <w:rPr>
                      <w:bCs/>
                    </w:rPr>
                  </w:pPr>
                  <w:r>
                    <w:t>分类堆放</w:t>
                  </w:r>
                </w:p>
              </w:tc>
              <w:tc>
                <w:tcPr>
                  <w:tcW w:w="795" w:type="dxa"/>
                  <w:vMerge w:val="restart"/>
                  <w:noWrap/>
                  <w:vAlign w:val="center"/>
                </w:tcPr>
                <w:p>
                  <w:pPr>
                    <w:pStyle w:val="52"/>
                    <w:rPr>
                      <w:bCs/>
                    </w:rPr>
                  </w:pPr>
                  <w:r>
                    <w:rPr>
                      <w:bCs/>
                    </w:rPr>
                    <w:t>15t</w:t>
                  </w:r>
                </w:p>
              </w:tc>
              <w:tc>
                <w:tcPr>
                  <w:tcW w:w="795" w:type="dxa"/>
                  <w:noWrap/>
                  <w:vAlign w:val="center"/>
                </w:tcPr>
                <w:p>
                  <w:pPr>
                    <w:pStyle w:val="52"/>
                    <w:rPr>
                      <w:bCs/>
                    </w:rPr>
                  </w:pPr>
                  <w:r>
                    <w:rPr>
                      <w:bCs/>
                    </w:rPr>
                    <w:t>1</w:t>
                  </w:r>
                  <w:r>
                    <w:rPr>
                      <w:rFonts w:hint="eastAsia"/>
                      <w:bCs/>
                    </w:rPr>
                    <w:t>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486" w:type="dxa"/>
                  <w:noWrap/>
                  <w:vAlign w:val="center"/>
                </w:tcPr>
                <w:p>
                  <w:pPr>
                    <w:pStyle w:val="52"/>
                    <w:rPr>
                      <w:bCs/>
                    </w:rPr>
                  </w:pPr>
                  <w:r>
                    <w:rPr>
                      <w:bCs/>
                    </w:rPr>
                    <w:t>2</w:t>
                  </w:r>
                </w:p>
              </w:tc>
              <w:tc>
                <w:tcPr>
                  <w:tcW w:w="555" w:type="dxa"/>
                  <w:vMerge w:val="continue"/>
                  <w:vAlign w:val="center"/>
                </w:tcPr>
                <w:p>
                  <w:pPr>
                    <w:pStyle w:val="52"/>
                    <w:rPr>
                      <w:bCs/>
                    </w:rPr>
                  </w:pPr>
                </w:p>
              </w:tc>
              <w:tc>
                <w:tcPr>
                  <w:tcW w:w="1134" w:type="dxa"/>
                  <w:noWrap/>
                  <w:vAlign w:val="center"/>
                </w:tcPr>
                <w:p>
                  <w:pPr>
                    <w:pStyle w:val="52"/>
                  </w:pPr>
                  <w:r>
                    <w:rPr>
                      <w:rFonts w:hint="eastAsia"/>
                    </w:rPr>
                    <w:t>废UV灯管</w:t>
                  </w:r>
                </w:p>
              </w:tc>
              <w:tc>
                <w:tcPr>
                  <w:tcW w:w="851" w:type="dxa"/>
                  <w:noWrap/>
                  <w:vAlign w:val="center"/>
                </w:tcPr>
                <w:p>
                  <w:pPr>
                    <w:pStyle w:val="52"/>
                  </w:pPr>
                  <w:r>
                    <w:t>HW29</w:t>
                  </w:r>
                </w:p>
              </w:tc>
              <w:tc>
                <w:tcPr>
                  <w:tcW w:w="1134" w:type="dxa"/>
                  <w:noWrap/>
                  <w:vAlign w:val="center"/>
                </w:tcPr>
                <w:p>
                  <w:pPr>
                    <w:pStyle w:val="52"/>
                  </w:pPr>
                  <w:r>
                    <w:t>900-023-29</w:t>
                  </w:r>
                </w:p>
              </w:tc>
              <w:tc>
                <w:tcPr>
                  <w:tcW w:w="610" w:type="dxa"/>
                  <w:vMerge w:val="continue"/>
                  <w:vAlign w:val="center"/>
                </w:tcPr>
                <w:p>
                  <w:pPr>
                    <w:pStyle w:val="52"/>
                    <w:rPr>
                      <w:bCs/>
                    </w:rPr>
                  </w:pPr>
                </w:p>
              </w:tc>
              <w:tc>
                <w:tcPr>
                  <w:tcW w:w="795" w:type="dxa"/>
                  <w:vMerge w:val="continue"/>
                  <w:vAlign w:val="center"/>
                </w:tcPr>
                <w:p>
                  <w:pPr>
                    <w:pStyle w:val="52"/>
                    <w:rPr>
                      <w:bCs/>
                    </w:rPr>
                  </w:pPr>
                </w:p>
              </w:tc>
              <w:tc>
                <w:tcPr>
                  <w:tcW w:w="795" w:type="dxa"/>
                  <w:noWrap/>
                  <w:vAlign w:val="center"/>
                </w:tcPr>
                <w:p>
                  <w:pPr>
                    <w:pStyle w:val="52"/>
                    <w:rPr>
                      <w:bCs/>
                    </w:rPr>
                  </w:pPr>
                  <w:r>
                    <w:t>分类堆放</w:t>
                  </w:r>
                </w:p>
              </w:tc>
              <w:tc>
                <w:tcPr>
                  <w:tcW w:w="795" w:type="dxa"/>
                  <w:vMerge w:val="continue"/>
                  <w:noWrap/>
                  <w:vAlign w:val="center"/>
                </w:tcPr>
                <w:p>
                  <w:pPr>
                    <w:pStyle w:val="52"/>
                    <w:rPr>
                      <w:bCs/>
                    </w:rPr>
                  </w:pPr>
                </w:p>
              </w:tc>
              <w:tc>
                <w:tcPr>
                  <w:tcW w:w="795" w:type="dxa"/>
                  <w:noWrap/>
                  <w:vAlign w:val="center"/>
                </w:tcPr>
                <w:p>
                  <w:pPr>
                    <w:pStyle w:val="52"/>
                    <w:rPr>
                      <w:bCs/>
                    </w:rPr>
                  </w:pPr>
                  <w:r>
                    <w:rPr>
                      <w:bCs/>
                    </w:rPr>
                    <w:t>1a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486" w:type="dxa"/>
                  <w:noWrap/>
                  <w:vAlign w:val="center"/>
                </w:tcPr>
                <w:p>
                  <w:pPr>
                    <w:pStyle w:val="52"/>
                    <w:rPr>
                      <w:bCs/>
                    </w:rPr>
                  </w:pPr>
                  <w:r>
                    <w:rPr>
                      <w:bCs/>
                    </w:rPr>
                    <w:t>3</w:t>
                  </w:r>
                </w:p>
              </w:tc>
              <w:tc>
                <w:tcPr>
                  <w:tcW w:w="555" w:type="dxa"/>
                  <w:vMerge w:val="continue"/>
                  <w:vAlign w:val="center"/>
                </w:tcPr>
                <w:p>
                  <w:pPr>
                    <w:pStyle w:val="52"/>
                    <w:rPr>
                      <w:bCs/>
                    </w:rPr>
                  </w:pPr>
                </w:p>
              </w:tc>
              <w:tc>
                <w:tcPr>
                  <w:tcW w:w="1134" w:type="dxa"/>
                  <w:noWrap/>
                  <w:vAlign w:val="center"/>
                </w:tcPr>
                <w:p>
                  <w:pPr>
                    <w:pStyle w:val="52"/>
                  </w:pPr>
                  <w:r>
                    <w:rPr>
                      <w:rFonts w:hint="eastAsia"/>
                    </w:rPr>
                    <w:t>废活性炭</w:t>
                  </w:r>
                </w:p>
              </w:tc>
              <w:tc>
                <w:tcPr>
                  <w:tcW w:w="851" w:type="dxa"/>
                  <w:noWrap/>
                  <w:vAlign w:val="center"/>
                </w:tcPr>
                <w:p>
                  <w:pPr>
                    <w:pStyle w:val="52"/>
                  </w:pPr>
                  <w:r>
                    <w:t>HW49</w:t>
                  </w:r>
                </w:p>
              </w:tc>
              <w:tc>
                <w:tcPr>
                  <w:tcW w:w="1134" w:type="dxa"/>
                  <w:noWrap/>
                  <w:vAlign w:val="center"/>
                </w:tcPr>
                <w:p>
                  <w:pPr>
                    <w:pStyle w:val="52"/>
                  </w:pPr>
                  <w:r>
                    <w:t>900-039-49</w:t>
                  </w:r>
                </w:p>
              </w:tc>
              <w:tc>
                <w:tcPr>
                  <w:tcW w:w="610" w:type="dxa"/>
                  <w:vMerge w:val="continue"/>
                  <w:vAlign w:val="center"/>
                </w:tcPr>
                <w:p>
                  <w:pPr>
                    <w:pStyle w:val="52"/>
                    <w:rPr>
                      <w:bCs/>
                    </w:rPr>
                  </w:pPr>
                </w:p>
              </w:tc>
              <w:tc>
                <w:tcPr>
                  <w:tcW w:w="795" w:type="dxa"/>
                  <w:vMerge w:val="continue"/>
                  <w:vAlign w:val="center"/>
                </w:tcPr>
                <w:p>
                  <w:pPr>
                    <w:pStyle w:val="52"/>
                    <w:rPr>
                      <w:bCs/>
                    </w:rPr>
                  </w:pPr>
                </w:p>
              </w:tc>
              <w:tc>
                <w:tcPr>
                  <w:tcW w:w="795" w:type="dxa"/>
                  <w:noWrap/>
                  <w:vAlign w:val="center"/>
                </w:tcPr>
                <w:p>
                  <w:pPr>
                    <w:pStyle w:val="52"/>
                    <w:rPr>
                      <w:bCs/>
                    </w:rPr>
                  </w:pPr>
                  <w:r>
                    <w:t>分类堆放</w:t>
                  </w:r>
                </w:p>
              </w:tc>
              <w:tc>
                <w:tcPr>
                  <w:tcW w:w="795" w:type="dxa"/>
                  <w:vMerge w:val="continue"/>
                  <w:noWrap/>
                  <w:vAlign w:val="center"/>
                </w:tcPr>
                <w:p>
                  <w:pPr>
                    <w:pStyle w:val="52"/>
                    <w:rPr>
                      <w:bCs/>
                    </w:rPr>
                  </w:pPr>
                </w:p>
              </w:tc>
              <w:tc>
                <w:tcPr>
                  <w:tcW w:w="795" w:type="dxa"/>
                  <w:noWrap/>
                  <w:vAlign w:val="center"/>
                </w:tcPr>
                <w:p>
                  <w:pPr>
                    <w:pStyle w:val="52"/>
                    <w:rPr>
                      <w:bCs/>
                    </w:rPr>
                  </w:pPr>
                  <w:r>
                    <w:rPr>
                      <w:bCs/>
                    </w:rPr>
                    <w:t>1</w:t>
                  </w:r>
                  <w:r>
                    <w:rPr>
                      <w:rFonts w:hint="eastAsia"/>
                      <w:bCs/>
                    </w:rPr>
                    <w:t>m</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486" w:type="dxa"/>
                  <w:noWrap/>
                  <w:vAlign w:val="center"/>
                </w:tcPr>
                <w:p>
                  <w:pPr>
                    <w:pStyle w:val="52"/>
                    <w:rPr>
                      <w:bCs/>
                    </w:rPr>
                  </w:pPr>
                  <w:r>
                    <w:rPr>
                      <w:bCs/>
                    </w:rPr>
                    <w:t>4</w:t>
                  </w:r>
                </w:p>
              </w:tc>
              <w:tc>
                <w:tcPr>
                  <w:tcW w:w="555" w:type="dxa"/>
                  <w:vMerge w:val="continue"/>
                  <w:vAlign w:val="center"/>
                </w:tcPr>
                <w:p>
                  <w:pPr>
                    <w:pStyle w:val="52"/>
                    <w:rPr>
                      <w:bCs/>
                    </w:rPr>
                  </w:pPr>
                </w:p>
              </w:tc>
              <w:tc>
                <w:tcPr>
                  <w:tcW w:w="1134" w:type="dxa"/>
                  <w:noWrap/>
                  <w:vAlign w:val="center"/>
                </w:tcPr>
                <w:p>
                  <w:pPr>
                    <w:pStyle w:val="52"/>
                  </w:pPr>
                  <w:r>
                    <w:rPr>
                      <w:rFonts w:hint="eastAsia"/>
                    </w:rPr>
                    <w:t>废润滑油</w:t>
                  </w:r>
                </w:p>
              </w:tc>
              <w:tc>
                <w:tcPr>
                  <w:tcW w:w="851" w:type="dxa"/>
                  <w:noWrap/>
                  <w:vAlign w:val="center"/>
                </w:tcPr>
                <w:p>
                  <w:pPr>
                    <w:pStyle w:val="52"/>
                  </w:pPr>
                  <w:r>
                    <w:t>HW08</w:t>
                  </w:r>
                </w:p>
              </w:tc>
              <w:tc>
                <w:tcPr>
                  <w:tcW w:w="1134" w:type="dxa"/>
                  <w:noWrap/>
                  <w:vAlign w:val="center"/>
                </w:tcPr>
                <w:p>
                  <w:pPr>
                    <w:pStyle w:val="52"/>
                  </w:pPr>
                  <w:r>
                    <w:t>900-2</w:t>
                  </w:r>
                  <w:r>
                    <w:rPr>
                      <w:rFonts w:hint="eastAsia"/>
                    </w:rPr>
                    <w:t>14</w:t>
                  </w:r>
                  <w:r>
                    <w:t>-08</w:t>
                  </w:r>
                </w:p>
              </w:tc>
              <w:tc>
                <w:tcPr>
                  <w:tcW w:w="610" w:type="dxa"/>
                  <w:vMerge w:val="continue"/>
                  <w:vAlign w:val="center"/>
                </w:tcPr>
                <w:p>
                  <w:pPr>
                    <w:pStyle w:val="52"/>
                    <w:rPr>
                      <w:bCs/>
                    </w:rPr>
                  </w:pPr>
                </w:p>
              </w:tc>
              <w:tc>
                <w:tcPr>
                  <w:tcW w:w="795" w:type="dxa"/>
                  <w:vMerge w:val="continue"/>
                  <w:vAlign w:val="center"/>
                </w:tcPr>
                <w:p>
                  <w:pPr>
                    <w:pStyle w:val="52"/>
                    <w:rPr>
                      <w:bCs/>
                    </w:rPr>
                  </w:pPr>
                </w:p>
              </w:tc>
              <w:tc>
                <w:tcPr>
                  <w:tcW w:w="795" w:type="dxa"/>
                  <w:noWrap/>
                  <w:vAlign w:val="center"/>
                </w:tcPr>
                <w:p>
                  <w:pPr>
                    <w:pStyle w:val="52"/>
                    <w:rPr>
                      <w:bCs/>
                    </w:rPr>
                  </w:pPr>
                  <w:r>
                    <w:t>分类堆放</w:t>
                  </w:r>
                </w:p>
              </w:tc>
              <w:tc>
                <w:tcPr>
                  <w:tcW w:w="795" w:type="dxa"/>
                  <w:vMerge w:val="continue"/>
                  <w:noWrap/>
                  <w:vAlign w:val="center"/>
                </w:tcPr>
                <w:p>
                  <w:pPr>
                    <w:pStyle w:val="52"/>
                    <w:rPr>
                      <w:bCs/>
                    </w:rPr>
                  </w:pPr>
                </w:p>
              </w:tc>
              <w:tc>
                <w:tcPr>
                  <w:tcW w:w="795" w:type="dxa"/>
                  <w:noWrap/>
                  <w:vAlign w:val="center"/>
                </w:tcPr>
                <w:p>
                  <w:pPr>
                    <w:pStyle w:val="52"/>
                    <w:rPr>
                      <w:bCs/>
                    </w:rPr>
                  </w:pPr>
                  <w:r>
                    <w:rPr>
                      <w:bCs/>
                    </w:rPr>
                    <w:t>1a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486" w:type="dxa"/>
                  <w:noWrap/>
                  <w:vAlign w:val="center"/>
                </w:tcPr>
                <w:p>
                  <w:pPr>
                    <w:pStyle w:val="52"/>
                    <w:rPr>
                      <w:bCs/>
                    </w:rPr>
                  </w:pPr>
                  <w:r>
                    <w:rPr>
                      <w:rFonts w:hint="eastAsia"/>
                      <w:bCs/>
                    </w:rPr>
                    <w:t>5</w:t>
                  </w:r>
                </w:p>
              </w:tc>
              <w:tc>
                <w:tcPr>
                  <w:tcW w:w="555" w:type="dxa"/>
                  <w:vMerge w:val="continue"/>
                  <w:vAlign w:val="center"/>
                </w:tcPr>
                <w:p>
                  <w:pPr>
                    <w:pStyle w:val="52"/>
                    <w:rPr>
                      <w:bCs/>
                    </w:rPr>
                  </w:pPr>
                </w:p>
              </w:tc>
              <w:tc>
                <w:tcPr>
                  <w:tcW w:w="1134" w:type="dxa"/>
                  <w:noWrap/>
                  <w:vAlign w:val="center"/>
                </w:tcPr>
                <w:p>
                  <w:pPr>
                    <w:pStyle w:val="52"/>
                  </w:pPr>
                  <w:r>
                    <w:rPr>
                      <w:rFonts w:hint="eastAsia"/>
                    </w:rPr>
                    <w:t>废润滑油桶</w:t>
                  </w:r>
                </w:p>
              </w:tc>
              <w:tc>
                <w:tcPr>
                  <w:tcW w:w="851" w:type="dxa"/>
                  <w:noWrap/>
                  <w:vAlign w:val="center"/>
                </w:tcPr>
                <w:p>
                  <w:pPr>
                    <w:pStyle w:val="52"/>
                  </w:pPr>
                  <w:r>
                    <w:t>HW08</w:t>
                  </w:r>
                </w:p>
              </w:tc>
              <w:tc>
                <w:tcPr>
                  <w:tcW w:w="1134" w:type="dxa"/>
                  <w:noWrap/>
                  <w:vAlign w:val="center"/>
                </w:tcPr>
                <w:p>
                  <w:pPr>
                    <w:pStyle w:val="52"/>
                  </w:pPr>
                  <w:r>
                    <w:t>900-249-08</w:t>
                  </w:r>
                </w:p>
              </w:tc>
              <w:tc>
                <w:tcPr>
                  <w:tcW w:w="610" w:type="dxa"/>
                  <w:vMerge w:val="continue"/>
                  <w:vAlign w:val="center"/>
                </w:tcPr>
                <w:p>
                  <w:pPr>
                    <w:pStyle w:val="52"/>
                    <w:rPr>
                      <w:bCs/>
                    </w:rPr>
                  </w:pPr>
                </w:p>
              </w:tc>
              <w:tc>
                <w:tcPr>
                  <w:tcW w:w="795" w:type="dxa"/>
                  <w:vMerge w:val="continue"/>
                  <w:vAlign w:val="center"/>
                </w:tcPr>
                <w:p>
                  <w:pPr>
                    <w:pStyle w:val="52"/>
                    <w:rPr>
                      <w:bCs/>
                    </w:rPr>
                  </w:pPr>
                </w:p>
              </w:tc>
              <w:tc>
                <w:tcPr>
                  <w:tcW w:w="795" w:type="dxa"/>
                  <w:noWrap/>
                  <w:vAlign w:val="center"/>
                </w:tcPr>
                <w:p>
                  <w:pPr>
                    <w:pStyle w:val="52"/>
                  </w:pPr>
                  <w:r>
                    <w:t>分类堆放</w:t>
                  </w:r>
                </w:p>
              </w:tc>
              <w:tc>
                <w:tcPr>
                  <w:tcW w:w="795" w:type="dxa"/>
                  <w:vMerge w:val="continue"/>
                  <w:noWrap/>
                  <w:vAlign w:val="center"/>
                </w:tcPr>
                <w:p>
                  <w:pPr>
                    <w:pStyle w:val="52"/>
                    <w:rPr>
                      <w:bCs/>
                    </w:rPr>
                  </w:pPr>
                </w:p>
              </w:tc>
              <w:tc>
                <w:tcPr>
                  <w:tcW w:w="795" w:type="dxa"/>
                  <w:noWrap/>
                  <w:vAlign w:val="center"/>
                </w:tcPr>
                <w:p>
                  <w:pPr>
                    <w:pStyle w:val="52"/>
                    <w:rPr>
                      <w:bCs/>
                    </w:rPr>
                  </w:pPr>
                  <w:r>
                    <w:rPr>
                      <w:bCs/>
                    </w:rPr>
                    <w:t>1a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486" w:type="dxa"/>
                  <w:noWrap/>
                  <w:vAlign w:val="center"/>
                </w:tcPr>
                <w:p>
                  <w:pPr>
                    <w:pStyle w:val="52"/>
                    <w:rPr>
                      <w:bCs/>
                    </w:rPr>
                  </w:pPr>
                  <w:r>
                    <w:rPr>
                      <w:rFonts w:hint="eastAsia"/>
                      <w:bCs/>
                    </w:rPr>
                    <w:t>6</w:t>
                  </w:r>
                </w:p>
              </w:tc>
              <w:tc>
                <w:tcPr>
                  <w:tcW w:w="555" w:type="dxa"/>
                  <w:vMerge w:val="continue"/>
                  <w:vAlign w:val="center"/>
                </w:tcPr>
                <w:p>
                  <w:pPr>
                    <w:pStyle w:val="52"/>
                    <w:rPr>
                      <w:bCs/>
                    </w:rPr>
                  </w:pPr>
                </w:p>
              </w:tc>
              <w:tc>
                <w:tcPr>
                  <w:tcW w:w="1134" w:type="dxa"/>
                  <w:noWrap/>
                  <w:vAlign w:val="center"/>
                </w:tcPr>
                <w:p>
                  <w:pPr>
                    <w:pStyle w:val="52"/>
                  </w:pPr>
                  <w:r>
                    <w:rPr>
                      <w:rFonts w:hint="eastAsia"/>
                    </w:rPr>
                    <w:t>废含油抹布及劳保用品</w:t>
                  </w:r>
                </w:p>
              </w:tc>
              <w:tc>
                <w:tcPr>
                  <w:tcW w:w="851" w:type="dxa"/>
                  <w:noWrap/>
                  <w:vAlign w:val="center"/>
                </w:tcPr>
                <w:p>
                  <w:pPr>
                    <w:pStyle w:val="52"/>
                  </w:pPr>
                  <w:r>
                    <w:t>HW49</w:t>
                  </w:r>
                </w:p>
              </w:tc>
              <w:tc>
                <w:tcPr>
                  <w:tcW w:w="1134" w:type="dxa"/>
                  <w:noWrap/>
                  <w:vAlign w:val="center"/>
                </w:tcPr>
                <w:p>
                  <w:pPr>
                    <w:pStyle w:val="52"/>
                  </w:pPr>
                  <w:r>
                    <w:t>900-041-49</w:t>
                  </w:r>
                </w:p>
              </w:tc>
              <w:tc>
                <w:tcPr>
                  <w:tcW w:w="610" w:type="dxa"/>
                  <w:vMerge w:val="continue"/>
                  <w:vAlign w:val="center"/>
                </w:tcPr>
                <w:p>
                  <w:pPr>
                    <w:pStyle w:val="52"/>
                    <w:rPr>
                      <w:bCs/>
                    </w:rPr>
                  </w:pPr>
                </w:p>
              </w:tc>
              <w:tc>
                <w:tcPr>
                  <w:tcW w:w="795" w:type="dxa"/>
                  <w:vMerge w:val="continue"/>
                  <w:vAlign w:val="center"/>
                </w:tcPr>
                <w:p>
                  <w:pPr>
                    <w:pStyle w:val="52"/>
                    <w:rPr>
                      <w:bCs/>
                    </w:rPr>
                  </w:pPr>
                </w:p>
              </w:tc>
              <w:tc>
                <w:tcPr>
                  <w:tcW w:w="795" w:type="dxa"/>
                  <w:noWrap/>
                </w:tcPr>
                <w:p>
                  <w:pPr>
                    <w:pStyle w:val="52"/>
                  </w:pPr>
                  <w:r>
                    <w:rPr>
                      <w:snapToGrid w:val="0"/>
                    </w:rPr>
                    <w:t>桶装</w:t>
                  </w:r>
                  <w:r>
                    <w:rPr>
                      <w:rFonts w:hint="eastAsia"/>
                      <w:snapToGrid w:val="0"/>
                    </w:rPr>
                    <w:t>暂存</w:t>
                  </w:r>
                </w:p>
              </w:tc>
              <w:tc>
                <w:tcPr>
                  <w:tcW w:w="795" w:type="dxa"/>
                  <w:vMerge w:val="continue"/>
                  <w:noWrap/>
                  <w:vAlign w:val="center"/>
                </w:tcPr>
                <w:p>
                  <w:pPr>
                    <w:pStyle w:val="52"/>
                    <w:rPr>
                      <w:bCs/>
                    </w:rPr>
                  </w:pPr>
                </w:p>
              </w:tc>
              <w:tc>
                <w:tcPr>
                  <w:tcW w:w="795" w:type="dxa"/>
                  <w:noWrap/>
                  <w:vAlign w:val="center"/>
                </w:tcPr>
                <w:p>
                  <w:pPr>
                    <w:pStyle w:val="52"/>
                    <w:rPr>
                      <w:bCs/>
                    </w:rPr>
                  </w:pPr>
                  <w:r>
                    <w:rPr>
                      <w:bCs/>
                    </w:rPr>
                    <w:t>1a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486" w:type="dxa"/>
                  <w:noWrap/>
                  <w:vAlign w:val="center"/>
                </w:tcPr>
                <w:p>
                  <w:pPr>
                    <w:pStyle w:val="52"/>
                    <w:rPr>
                      <w:bCs/>
                    </w:rPr>
                  </w:pPr>
                  <w:r>
                    <w:rPr>
                      <w:rFonts w:hint="eastAsia"/>
                      <w:bCs/>
                    </w:rPr>
                    <w:t>7</w:t>
                  </w:r>
                </w:p>
              </w:tc>
              <w:tc>
                <w:tcPr>
                  <w:tcW w:w="555" w:type="dxa"/>
                  <w:vMerge w:val="continue"/>
                  <w:vAlign w:val="center"/>
                </w:tcPr>
                <w:p>
                  <w:pPr>
                    <w:pStyle w:val="52"/>
                    <w:rPr>
                      <w:bCs/>
                    </w:rPr>
                  </w:pPr>
                </w:p>
              </w:tc>
              <w:tc>
                <w:tcPr>
                  <w:tcW w:w="1134" w:type="dxa"/>
                  <w:noWrap/>
                  <w:vAlign w:val="center"/>
                </w:tcPr>
                <w:p>
                  <w:pPr>
                    <w:pStyle w:val="52"/>
                  </w:pPr>
                  <w:r>
                    <w:rPr>
                      <w:rFonts w:hint="eastAsia"/>
                    </w:rPr>
                    <w:t>含油冷凝废液</w:t>
                  </w:r>
                </w:p>
              </w:tc>
              <w:tc>
                <w:tcPr>
                  <w:tcW w:w="851" w:type="dxa"/>
                  <w:noWrap/>
                  <w:vAlign w:val="center"/>
                </w:tcPr>
                <w:p>
                  <w:pPr>
                    <w:pStyle w:val="52"/>
                  </w:pPr>
                  <w:r>
                    <w:t>HW09</w:t>
                  </w:r>
                </w:p>
              </w:tc>
              <w:tc>
                <w:tcPr>
                  <w:tcW w:w="1134" w:type="dxa"/>
                  <w:noWrap/>
                  <w:vAlign w:val="center"/>
                </w:tcPr>
                <w:p>
                  <w:pPr>
                    <w:pStyle w:val="52"/>
                  </w:pPr>
                  <w:r>
                    <w:t>900-00</w:t>
                  </w:r>
                  <w:r>
                    <w:rPr>
                      <w:rFonts w:hint="eastAsia"/>
                    </w:rPr>
                    <w:t>7</w:t>
                  </w:r>
                  <w:r>
                    <w:t>-09</w:t>
                  </w:r>
                </w:p>
              </w:tc>
              <w:tc>
                <w:tcPr>
                  <w:tcW w:w="610" w:type="dxa"/>
                  <w:vMerge w:val="continue"/>
                  <w:vAlign w:val="center"/>
                </w:tcPr>
                <w:p>
                  <w:pPr>
                    <w:pStyle w:val="52"/>
                    <w:rPr>
                      <w:bCs/>
                    </w:rPr>
                  </w:pPr>
                </w:p>
              </w:tc>
              <w:tc>
                <w:tcPr>
                  <w:tcW w:w="795" w:type="dxa"/>
                  <w:vMerge w:val="continue"/>
                  <w:vAlign w:val="center"/>
                </w:tcPr>
                <w:p>
                  <w:pPr>
                    <w:pStyle w:val="52"/>
                    <w:rPr>
                      <w:bCs/>
                    </w:rPr>
                  </w:pPr>
                </w:p>
              </w:tc>
              <w:tc>
                <w:tcPr>
                  <w:tcW w:w="795" w:type="dxa"/>
                  <w:noWrap/>
                </w:tcPr>
                <w:p>
                  <w:pPr>
                    <w:pStyle w:val="52"/>
                  </w:pPr>
                  <w:r>
                    <w:rPr>
                      <w:snapToGrid w:val="0"/>
                    </w:rPr>
                    <w:t>桶装</w:t>
                  </w:r>
                  <w:r>
                    <w:rPr>
                      <w:rFonts w:hint="eastAsia"/>
                      <w:snapToGrid w:val="0"/>
                    </w:rPr>
                    <w:t>暂存</w:t>
                  </w:r>
                </w:p>
              </w:tc>
              <w:tc>
                <w:tcPr>
                  <w:tcW w:w="795" w:type="dxa"/>
                  <w:vMerge w:val="continue"/>
                  <w:noWrap/>
                  <w:vAlign w:val="center"/>
                </w:tcPr>
                <w:p>
                  <w:pPr>
                    <w:pStyle w:val="52"/>
                    <w:rPr>
                      <w:bCs/>
                    </w:rPr>
                  </w:pPr>
                </w:p>
              </w:tc>
              <w:tc>
                <w:tcPr>
                  <w:tcW w:w="795" w:type="dxa"/>
                  <w:noWrap/>
                  <w:vAlign w:val="center"/>
                </w:tcPr>
                <w:p>
                  <w:pPr>
                    <w:pStyle w:val="52"/>
                    <w:rPr>
                      <w:bCs/>
                    </w:rPr>
                  </w:pPr>
                  <w:r>
                    <w:rPr>
                      <w:bCs/>
                    </w:rPr>
                    <w:t>1a</w:t>
                  </w:r>
                </w:p>
              </w:tc>
            </w:tr>
          </w:tbl>
          <w:p>
            <w:pPr>
              <w:pStyle w:val="82"/>
              <w:ind w:firstLine="482"/>
              <w:rPr>
                <w:b/>
                <w:bCs/>
              </w:rPr>
            </w:pPr>
            <w:r>
              <w:rPr>
                <w:rFonts w:hint="eastAsia"/>
                <w:b/>
                <w:bCs/>
              </w:rPr>
              <w:t>5、地下水及土壤</w:t>
            </w:r>
          </w:p>
          <w:p>
            <w:pPr>
              <w:pStyle w:val="82"/>
            </w:pPr>
            <w:r>
              <w:t>本项目</w:t>
            </w:r>
            <w:r>
              <w:rPr>
                <w:rFonts w:hint="eastAsia"/>
              </w:rPr>
              <w:t>主体工程已建成，地面已完成硬化工作。废水</w:t>
            </w:r>
            <w:r>
              <w:t>主要为员工生活污水，</w:t>
            </w:r>
            <w:r>
              <w:rPr>
                <w:rFonts w:hint="eastAsia"/>
              </w:rPr>
              <w:t>均</w:t>
            </w:r>
            <w:r>
              <w:t>不涉及重金属及持久性污染物，亦不涉及剧毒化学品，地下水环境及土壤环境不敏感。项目营运期</w:t>
            </w:r>
            <w:r>
              <w:rPr>
                <w:rFonts w:hint="eastAsia"/>
              </w:rPr>
              <w:t>油料库房、备件房、危废暂存间设置为重点防渗区</w:t>
            </w:r>
            <w:r>
              <w:t>，按照《危险废物贮存污染控制标准》（GB18597-2023）标准执行，采取</w:t>
            </w:r>
            <w:r>
              <w:rPr>
                <w:rFonts w:hint="eastAsia"/>
              </w:rPr>
              <w:t>的防风、防晒、防雨、防漏、防渗、防腐</w:t>
            </w:r>
            <w:r>
              <w:t>等措施后，项目无污染土壤及地下水环境影响途径，不会对土壤及地下水环境产生影响。</w:t>
            </w:r>
          </w:p>
          <w:p>
            <w:pPr>
              <w:pStyle w:val="83"/>
            </w:pPr>
            <w:r>
              <w:rPr>
                <w:rFonts w:hint="eastAsia"/>
              </w:rPr>
              <w:t>表</w:t>
            </w:r>
            <w:r>
              <w:t>4-20</w:t>
            </w:r>
            <w:r>
              <w:rPr>
                <w:rFonts w:hint="eastAsia"/>
              </w:rPr>
              <w:t xml:space="preserve"> </w:t>
            </w:r>
            <w:r>
              <w:t xml:space="preserve"> </w:t>
            </w:r>
            <w:r>
              <w:rPr>
                <w:rFonts w:hint="eastAsia"/>
              </w:rPr>
              <w:t>分区防渗要求</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8"/>
              <w:gridCol w:w="3552"/>
              <w:gridCol w:w="34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11" w:type="pct"/>
                  <w:vAlign w:val="center"/>
                </w:tcPr>
                <w:p>
                  <w:pPr>
                    <w:pStyle w:val="71"/>
                    <w:spacing w:line="320" w:lineRule="exact"/>
                    <w:ind w:firstLine="0" w:firstLineChars="0"/>
                    <w:jc w:val="center"/>
                    <w:rPr>
                      <w:b/>
                      <w:bCs/>
                      <w:sz w:val="21"/>
                    </w:rPr>
                  </w:pPr>
                  <w:r>
                    <w:rPr>
                      <w:b/>
                      <w:bCs/>
                      <w:sz w:val="21"/>
                    </w:rPr>
                    <w:t>分区防渗</w:t>
                  </w:r>
                </w:p>
              </w:tc>
              <w:tc>
                <w:tcPr>
                  <w:tcW w:w="2136" w:type="pct"/>
                  <w:vAlign w:val="center"/>
                </w:tcPr>
                <w:p>
                  <w:pPr>
                    <w:pStyle w:val="71"/>
                    <w:spacing w:line="320" w:lineRule="exact"/>
                    <w:ind w:firstLine="0" w:firstLineChars="0"/>
                    <w:jc w:val="center"/>
                    <w:rPr>
                      <w:b/>
                      <w:bCs/>
                      <w:sz w:val="21"/>
                    </w:rPr>
                  </w:pPr>
                  <w:r>
                    <w:rPr>
                      <w:b/>
                      <w:bCs/>
                      <w:sz w:val="21"/>
                    </w:rPr>
                    <w:t>区域</w:t>
                  </w:r>
                </w:p>
              </w:tc>
              <w:tc>
                <w:tcPr>
                  <w:tcW w:w="2053" w:type="pct"/>
                  <w:vAlign w:val="center"/>
                </w:tcPr>
                <w:p>
                  <w:pPr>
                    <w:pStyle w:val="71"/>
                    <w:spacing w:line="320" w:lineRule="exact"/>
                    <w:ind w:firstLine="0" w:firstLineChars="0"/>
                    <w:jc w:val="center"/>
                    <w:rPr>
                      <w:b/>
                      <w:bCs/>
                      <w:sz w:val="21"/>
                    </w:rPr>
                  </w:pPr>
                  <w:r>
                    <w:rPr>
                      <w:b/>
                      <w:bCs/>
                      <w:sz w:val="21"/>
                    </w:rPr>
                    <w:t>分区防渗要求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11" w:type="pct"/>
                  <w:vAlign w:val="center"/>
                </w:tcPr>
                <w:p>
                  <w:pPr>
                    <w:pStyle w:val="71"/>
                    <w:spacing w:line="320" w:lineRule="exact"/>
                    <w:ind w:firstLine="0" w:firstLineChars="0"/>
                    <w:jc w:val="center"/>
                    <w:rPr>
                      <w:sz w:val="21"/>
                    </w:rPr>
                  </w:pPr>
                  <w:r>
                    <w:rPr>
                      <w:sz w:val="21"/>
                    </w:rPr>
                    <w:t>重点防渗区</w:t>
                  </w:r>
                </w:p>
              </w:tc>
              <w:tc>
                <w:tcPr>
                  <w:tcW w:w="2136" w:type="pct"/>
                  <w:vAlign w:val="center"/>
                </w:tcPr>
                <w:p>
                  <w:pPr>
                    <w:pStyle w:val="71"/>
                    <w:spacing w:line="320" w:lineRule="exact"/>
                    <w:ind w:firstLine="0" w:firstLineChars="0"/>
                    <w:jc w:val="center"/>
                    <w:rPr>
                      <w:sz w:val="21"/>
                    </w:rPr>
                  </w:pPr>
                  <w:r>
                    <w:rPr>
                      <w:rFonts w:hint="eastAsia"/>
                      <w:sz w:val="21"/>
                    </w:rPr>
                    <w:t>油料库房、备件房、危废暂存间</w:t>
                  </w:r>
                </w:p>
              </w:tc>
              <w:tc>
                <w:tcPr>
                  <w:tcW w:w="2053" w:type="pct"/>
                  <w:vAlign w:val="center"/>
                </w:tcPr>
                <w:p>
                  <w:pPr>
                    <w:pStyle w:val="71"/>
                    <w:spacing w:line="320" w:lineRule="exact"/>
                    <w:ind w:firstLine="0" w:firstLineChars="0"/>
                    <w:jc w:val="center"/>
                    <w:rPr>
                      <w:sz w:val="21"/>
                    </w:rPr>
                  </w:pPr>
                  <w:r>
                    <w:rPr>
                      <w:sz w:val="21"/>
                    </w:rPr>
                    <w:t>等效黏土防渗层Mb≥6.0m，渗透系数K≤10</w:t>
                  </w:r>
                  <w:r>
                    <w:rPr>
                      <w:sz w:val="21"/>
                      <w:vertAlign w:val="superscript"/>
                    </w:rPr>
                    <w:t>-7</w:t>
                  </w:r>
                  <w:r>
                    <w:rPr>
                      <w:sz w:val="21"/>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11" w:type="pct"/>
                  <w:vAlign w:val="center"/>
                </w:tcPr>
                <w:p>
                  <w:pPr>
                    <w:pStyle w:val="71"/>
                    <w:spacing w:line="320" w:lineRule="exact"/>
                    <w:ind w:firstLine="0" w:firstLineChars="0"/>
                    <w:jc w:val="center"/>
                    <w:rPr>
                      <w:sz w:val="21"/>
                    </w:rPr>
                  </w:pPr>
                  <w:r>
                    <w:rPr>
                      <w:sz w:val="21"/>
                    </w:rPr>
                    <w:t>一般防渗区</w:t>
                  </w:r>
                </w:p>
              </w:tc>
              <w:tc>
                <w:tcPr>
                  <w:tcW w:w="2136" w:type="pct"/>
                  <w:vAlign w:val="center"/>
                </w:tcPr>
                <w:p>
                  <w:pPr>
                    <w:pStyle w:val="71"/>
                    <w:spacing w:line="320" w:lineRule="exact"/>
                    <w:ind w:firstLine="0" w:firstLineChars="0"/>
                    <w:jc w:val="center"/>
                    <w:rPr>
                      <w:sz w:val="21"/>
                    </w:rPr>
                  </w:pPr>
                  <w:r>
                    <w:rPr>
                      <w:sz w:val="21"/>
                    </w:rPr>
                    <w:t>一般固废暂存间和除了上述重点防渗区及简单防渗区以外的其它</w:t>
                  </w:r>
                  <w:r>
                    <w:rPr>
                      <w:rFonts w:hint="eastAsia"/>
                      <w:sz w:val="21"/>
                    </w:rPr>
                    <w:t>区域</w:t>
                  </w:r>
                </w:p>
              </w:tc>
              <w:tc>
                <w:tcPr>
                  <w:tcW w:w="2053" w:type="pct"/>
                  <w:vAlign w:val="center"/>
                </w:tcPr>
                <w:p>
                  <w:pPr>
                    <w:pStyle w:val="71"/>
                    <w:spacing w:line="320" w:lineRule="exact"/>
                    <w:ind w:firstLine="0" w:firstLineChars="0"/>
                    <w:jc w:val="center"/>
                    <w:rPr>
                      <w:sz w:val="21"/>
                    </w:rPr>
                  </w:pPr>
                  <w:r>
                    <w:rPr>
                      <w:sz w:val="21"/>
                    </w:rPr>
                    <w:t>等效黏土防渗层Mb≥1.5m，渗透系数K≤10</w:t>
                  </w:r>
                  <w:r>
                    <w:rPr>
                      <w:sz w:val="21"/>
                      <w:vertAlign w:val="superscript"/>
                    </w:rPr>
                    <w:t>-7</w:t>
                  </w:r>
                  <w:r>
                    <w:rPr>
                      <w:sz w:val="21"/>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11" w:type="pct"/>
                  <w:vAlign w:val="center"/>
                </w:tcPr>
                <w:p>
                  <w:pPr>
                    <w:pStyle w:val="71"/>
                    <w:spacing w:line="320" w:lineRule="exact"/>
                    <w:ind w:firstLine="0" w:firstLineChars="0"/>
                    <w:jc w:val="center"/>
                    <w:rPr>
                      <w:sz w:val="21"/>
                    </w:rPr>
                  </w:pPr>
                  <w:r>
                    <w:rPr>
                      <w:rFonts w:hint="eastAsia"/>
                      <w:sz w:val="21"/>
                    </w:rPr>
                    <w:t>简单防渗区</w:t>
                  </w:r>
                </w:p>
              </w:tc>
              <w:tc>
                <w:tcPr>
                  <w:tcW w:w="2136" w:type="pct"/>
                  <w:vAlign w:val="center"/>
                </w:tcPr>
                <w:p>
                  <w:pPr>
                    <w:pStyle w:val="71"/>
                    <w:spacing w:line="320" w:lineRule="exact"/>
                    <w:ind w:firstLine="0" w:firstLineChars="0"/>
                    <w:jc w:val="center"/>
                    <w:rPr>
                      <w:sz w:val="21"/>
                    </w:rPr>
                  </w:pPr>
                  <w:r>
                    <w:rPr>
                      <w:rFonts w:hint="eastAsia"/>
                      <w:sz w:val="21"/>
                    </w:rPr>
                    <w:t>办公室</w:t>
                  </w:r>
                </w:p>
              </w:tc>
              <w:tc>
                <w:tcPr>
                  <w:tcW w:w="2053" w:type="pct"/>
                  <w:vAlign w:val="center"/>
                </w:tcPr>
                <w:p>
                  <w:pPr>
                    <w:pStyle w:val="71"/>
                    <w:spacing w:line="320" w:lineRule="exact"/>
                    <w:ind w:firstLine="0" w:firstLineChars="0"/>
                    <w:jc w:val="center"/>
                    <w:rPr>
                      <w:sz w:val="21"/>
                    </w:rPr>
                  </w:pPr>
                  <w:r>
                    <w:rPr>
                      <w:rFonts w:hint="eastAsia"/>
                      <w:sz w:val="21"/>
                    </w:rPr>
                    <w:t>一般地面硬化</w:t>
                  </w:r>
                </w:p>
              </w:tc>
            </w:tr>
          </w:tbl>
          <w:p>
            <w:pPr>
              <w:pStyle w:val="82"/>
              <w:ind w:firstLine="482"/>
              <w:rPr>
                <w:b/>
                <w:bCs/>
              </w:rPr>
            </w:pPr>
            <w:r>
              <w:rPr>
                <w:rFonts w:hint="eastAsia"/>
                <w:b/>
                <w:bCs/>
              </w:rPr>
              <w:t>6、环境风险</w:t>
            </w:r>
          </w:p>
          <w:p>
            <w:pPr>
              <w:pStyle w:val="82"/>
              <w:ind w:firstLine="482"/>
              <w:rPr>
                <w:b/>
                <w:bCs/>
              </w:rPr>
            </w:pPr>
            <w:r>
              <w:rPr>
                <w:rFonts w:hint="eastAsia"/>
                <w:b/>
                <w:bCs/>
              </w:rPr>
              <w:t>（1）环境风险调查</w:t>
            </w:r>
          </w:p>
          <w:p>
            <w:pPr>
              <w:pStyle w:val="82"/>
            </w:pPr>
            <w:r>
              <w:t>根据《建设项目环境风险评价技术导则》(HJ169-2018)附录B中的风险物质辨识，</w:t>
            </w:r>
            <w:r>
              <w:rPr>
                <w:rFonts w:hint="eastAsia"/>
              </w:rPr>
              <w:t>项目生产过程主要风险物质为环烷油、硅油、润滑油、废润滑油、含油冷凝废液，属于易燃物质，为密封的桶装，分别存放在油料库房、备件房和危险废物暂存间。</w:t>
            </w:r>
          </w:p>
          <w:p>
            <w:pPr>
              <w:pStyle w:val="82"/>
              <w:ind w:firstLine="482"/>
              <w:rPr>
                <w:b/>
                <w:bCs/>
              </w:rPr>
            </w:pPr>
            <w:r>
              <w:rPr>
                <w:rFonts w:hint="eastAsia"/>
                <w:b/>
                <w:bCs/>
              </w:rPr>
              <w:t>（2）风险潜势初判</w:t>
            </w:r>
          </w:p>
          <w:p>
            <w:pPr>
              <w:pStyle w:val="82"/>
            </w:pPr>
            <w:r>
              <w:t>按《建设项目环境风险评价技术导则》(HJ169-2018)附录C规定，计算物质数量与临界量的比值(Q)，当Q＜1时，该项目的环境风险潜势为Ⅰ。</w:t>
            </w:r>
          </w:p>
          <w:p>
            <w:pPr>
              <w:pStyle w:val="82"/>
            </w:pPr>
            <w:r>
              <w:rPr>
                <w:rFonts w:hint="eastAsia"/>
              </w:rPr>
              <w:t>计算所涉及的每种危险物质在厂界内的最大存在总量与其在附录</w:t>
            </w:r>
            <w:r>
              <w:t>B</w:t>
            </w:r>
            <w:r>
              <w:rPr>
                <w:rFonts w:hint="eastAsia"/>
              </w:rPr>
              <w:t>中对应临界量的比值</w:t>
            </w:r>
            <w:r>
              <w:t>Q</w:t>
            </w:r>
            <w:r>
              <w:rPr>
                <w:rFonts w:hint="eastAsia"/>
              </w:rPr>
              <w:t>。在不同厂区的同一种物质，按其在厂界内的最大存在总量计算。</w:t>
            </w:r>
          </w:p>
          <w:p>
            <w:pPr>
              <w:pStyle w:val="82"/>
              <w:jc w:val="center"/>
            </w:pPr>
            <w:r>
              <w:t>Q=q</w:t>
            </w:r>
            <w:r>
              <w:rPr>
                <w:vertAlign w:val="subscript"/>
              </w:rPr>
              <w:t>1</w:t>
            </w:r>
            <w:r>
              <w:t>/Q</w:t>
            </w:r>
            <w:r>
              <w:rPr>
                <w:vertAlign w:val="subscript"/>
              </w:rPr>
              <w:t>1</w:t>
            </w:r>
            <w:r>
              <w:t>+ q</w:t>
            </w:r>
            <w:r>
              <w:rPr>
                <w:vertAlign w:val="subscript"/>
              </w:rPr>
              <w:t>2</w:t>
            </w:r>
            <w:r>
              <w:t>/Q</w:t>
            </w:r>
            <w:r>
              <w:rPr>
                <w:vertAlign w:val="subscript"/>
              </w:rPr>
              <w:t>2</w:t>
            </w:r>
            <w:r>
              <w:rPr>
                <w:rFonts w:eastAsia="TimesNewRoman"/>
              </w:rPr>
              <w:t>……</w:t>
            </w:r>
            <w:r>
              <w:t>+ q</w:t>
            </w:r>
            <w:r>
              <w:rPr>
                <w:vertAlign w:val="subscript"/>
              </w:rPr>
              <w:t>n</w:t>
            </w:r>
            <w:r>
              <w:t>/Q</w:t>
            </w:r>
            <w:r>
              <w:rPr>
                <w:vertAlign w:val="subscript"/>
              </w:rPr>
              <w:t>n</w:t>
            </w:r>
          </w:p>
          <w:p>
            <w:pPr>
              <w:pStyle w:val="82"/>
              <w:rPr>
                <w:rFonts w:ascii="宋体" w:hAnsi="宋体"/>
              </w:rPr>
            </w:pPr>
            <w:r>
              <w:t xml:space="preserve">          </w:t>
            </w:r>
            <w:r>
              <w:rPr>
                <w:rFonts w:ascii="宋体" w:hAnsi="宋体"/>
              </w:rPr>
              <w:t>式中：</w:t>
            </w:r>
            <w:r>
              <w:t>q</w:t>
            </w:r>
            <w:r>
              <w:rPr>
                <w:vertAlign w:val="subscript"/>
              </w:rPr>
              <w:t>1</w:t>
            </w:r>
            <w:r>
              <w:rPr>
                <w:rFonts w:ascii="宋体" w:hAnsi="宋体"/>
              </w:rPr>
              <w:t>、</w:t>
            </w:r>
            <w:r>
              <w:t>q</w:t>
            </w:r>
            <w:r>
              <w:rPr>
                <w:vertAlign w:val="subscript"/>
              </w:rPr>
              <w:t>2</w:t>
            </w:r>
            <w:r>
              <w:rPr>
                <w:rFonts w:eastAsia="TimesNewRoman"/>
              </w:rPr>
              <w:t>……</w:t>
            </w:r>
            <w:r>
              <w:t>q</w:t>
            </w:r>
            <w:r>
              <w:rPr>
                <w:vertAlign w:val="subscript"/>
              </w:rPr>
              <w:t>n</w:t>
            </w:r>
            <w:r>
              <w:rPr>
                <w:rFonts w:eastAsia="TimesNewRoman"/>
              </w:rPr>
              <w:t>—</w:t>
            </w:r>
            <w:r>
              <w:rPr>
                <w:rFonts w:ascii="宋体" w:hAnsi="宋体"/>
              </w:rPr>
              <w:t>每种危险物质最大存在量，</w:t>
            </w:r>
            <w:r>
              <w:t>t</w:t>
            </w:r>
            <w:r>
              <w:rPr>
                <w:rFonts w:ascii="宋体" w:hAnsi="宋体"/>
              </w:rPr>
              <w:t>；</w:t>
            </w:r>
          </w:p>
          <w:p>
            <w:pPr>
              <w:pStyle w:val="82"/>
              <w:rPr>
                <w:rFonts w:ascii="宋体" w:hAnsi="宋体"/>
              </w:rPr>
            </w:pPr>
            <w:r>
              <w:rPr>
                <w:rFonts w:hint="eastAsia" w:ascii="宋体" w:hAnsi="宋体"/>
              </w:rPr>
              <w:t xml:space="preserve">       </w:t>
            </w:r>
            <w:r>
              <w:t xml:space="preserve">       </w:t>
            </w:r>
            <w:r>
              <w:rPr>
                <w:rFonts w:hint="eastAsia" w:ascii="宋体" w:hAnsi="宋体"/>
              </w:rPr>
              <w:t xml:space="preserve"> </w:t>
            </w:r>
            <w:r>
              <w:t xml:space="preserve"> Q</w:t>
            </w:r>
            <w:r>
              <w:rPr>
                <w:vertAlign w:val="subscript"/>
              </w:rPr>
              <w:t>1</w:t>
            </w:r>
            <w:r>
              <w:rPr>
                <w:rFonts w:ascii="宋体" w:hAnsi="宋体"/>
              </w:rPr>
              <w:t>、</w:t>
            </w:r>
            <w:r>
              <w:t>Q</w:t>
            </w:r>
            <w:r>
              <w:rPr>
                <w:vertAlign w:val="subscript"/>
              </w:rPr>
              <w:t>2</w:t>
            </w:r>
            <w:r>
              <w:rPr>
                <w:rFonts w:eastAsia="TimesNewRoman"/>
              </w:rPr>
              <w:t>……</w:t>
            </w:r>
            <w:r>
              <w:t>Q</w:t>
            </w:r>
            <w:r>
              <w:rPr>
                <w:vertAlign w:val="subscript"/>
              </w:rPr>
              <w:t>n</w:t>
            </w:r>
            <w:r>
              <w:rPr>
                <w:rFonts w:eastAsia="TimesNewRoman"/>
              </w:rPr>
              <w:t>—</w:t>
            </w:r>
            <w:r>
              <w:rPr>
                <w:rFonts w:ascii="宋体" w:hAnsi="宋体"/>
              </w:rPr>
              <w:t>每种危险物质临界量，</w:t>
            </w:r>
            <w:r>
              <w:t>t</w:t>
            </w:r>
            <w:r>
              <w:rPr>
                <w:rFonts w:ascii="宋体" w:hAnsi="宋体"/>
              </w:rPr>
              <w:t>。</w:t>
            </w:r>
          </w:p>
          <w:p>
            <w:pPr>
              <w:pStyle w:val="82"/>
            </w:pPr>
            <w:r>
              <w:rPr>
                <w:rFonts w:hint="eastAsia"/>
              </w:rPr>
              <w:t>当Q＜1时，该项目环境风险潜势为I。</w:t>
            </w:r>
          </w:p>
          <w:p>
            <w:pPr>
              <w:pStyle w:val="82"/>
            </w:pPr>
            <w:r>
              <w:rPr>
                <w:rFonts w:hint="eastAsia"/>
              </w:rPr>
              <w:t>当Q≥1时，将Q值划分为：1≤Q＜10；10≤Q＜100；Q≥100。</w:t>
            </w:r>
          </w:p>
          <w:p>
            <w:pPr>
              <w:pStyle w:val="82"/>
            </w:pPr>
            <w:r>
              <w:rPr>
                <w:rFonts w:hint="eastAsia"/>
              </w:rPr>
              <w:t>本项目涉及环境风险物质与《建设项目环境风险评价技术导则》之附录B《突发环境事件风险物质及临界量清单》对照情况见表4</w:t>
            </w:r>
            <w:r>
              <w:t>-</w:t>
            </w:r>
            <w:r>
              <w:rPr>
                <w:rFonts w:hint="eastAsia"/>
              </w:rPr>
              <w:t>2</w:t>
            </w:r>
            <w:r>
              <w:t>1</w:t>
            </w:r>
            <w:r>
              <w:rPr>
                <w:rFonts w:hint="eastAsia"/>
              </w:rPr>
              <w:t>。</w:t>
            </w:r>
          </w:p>
          <w:p>
            <w:pPr>
              <w:pStyle w:val="83"/>
            </w:pPr>
            <w:r>
              <w:t>表</w:t>
            </w:r>
            <w:r>
              <w:rPr>
                <w:rFonts w:hint="eastAsia"/>
              </w:rPr>
              <w:t>4</w:t>
            </w:r>
            <w:r>
              <w:t>-21</w:t>
            </w:r>
            <w:r>
              <w:rPr>
                <w:rFonts w:hint="eastAsia"/>
              </w:rPr>
              <w:t xml:space="preserve">  环境风险物质单元、设施及物质情况</w:t>
            </w:r>
          </w:p>
          <w:tbl>
            <w:tblPr>
              <w:tblStyle w:val="24"/>
              <w:tblW w:w="80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7"/>
              <w:gridCol w:w="754"/>
              <w:gridCol w:w="1403"/>
              <w:gridCol w:w="1143"/>
              <w:gridCol w:w="1196"/>
              <w:gridCol w:w="1018"/>
              <w:gridCol w:w="1012"/>
              <w:gridCol w:w="10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78" w:type="dxa"/>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序号</w:t>
                  </w:r>
                </w:p>
              </w:tc>
              <w:tc>
                <w:tcPr>
                  <w:tcW w:w="757" w:type="dxa"/>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储存位置</w:t>
                  </w:r>
                </w:p>
              </w:tc>
              <w:tc>
                <w:tcPr>
                  <w:tcW w:w="2558" w:type="dxa"/>
                  <w:gridSpan w:val="2"/>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危险物质</w:t>
                  </w:r>
                </w:p>
              </w:tc>
              <w:tc>
                <w:tcPr>
                  <w:tcW w:w="1173" w:type="dxa"/>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CAS号</w:t>
                  </w:r>
                </w:p>
              </w:tc>
              <w:tc>
                <w:tcPr>
                  <w:tcW w:w="1021" w:type="dxa"/>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最大存在总量Qn/t</w:t>
                  </w:r>
                </w:p>
              </w:tc>
              <w:tc>
                <w:tcPr>
                  <w:tcW w:w="1015" w:type="dxa"/>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临界量</w:t>
                  </w:r>
                </w:p>
                <w:p>
                  <w:pPr>
                    <w:pStyle w:val="52"/>
                    <w:rPr>
                      <w:b/>
                      <w:bCs/>
                    </w:rPr>
                  </w:pPr>
                  <w:r>
                    <w:rPr>
                      <w:b/>
                      <w:bCs/>
                    </w:rPr>
                    <w:t>Qn/t</w:t>
                  </w:r>
                </w:p>
              </w:tc>
              <w:tc>
                <w:tcPr>
                  <w:tcW w:w="1049" w:type="dxa"/>
                  <w:tcBorders>
                    <w:top w:val="single" w:color="auto" w:sz="4" w:space="0"/>
                    <w:left w:val="single" w:color="auto" w:sz="4" w:space="0"/>
                    <w:bottom w:val="single" w:color="auto" w:sz="4" w:space="0"/>
                    <w:right w:val="single" w:color="auto" w:sz="4" w:space="0"/>
                  </w:tcBorders>
                  <w:vAlign w:val="center"/>
                </w:tcPr>
                <w:p>
                  <w:pPr>
                    <w:pStyle w:val="52"/>
                    <w:rPr>
                      <w:b/>
                      <w:bCs/>
                    </w:rPr>
                  </w:pPr>
                  <w:r>
                    <w:rPr>
                      <w:b/>
                      <w:bCs/>
                    </w:rPr>
                    <w:t>该种危险物质Q值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78"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1</w:t>
                  </w:r>
                </w:p>
              </w:tc>
              <w:tc>
                <w:tcPr>
                  <w:tcW w:w="757" w:type="dxa"/>
                  <w:vMerge w:val="restart"/>
                  <w:tcBorders>
                    <w:top w:val="single" w:color="auto" w:sz="4" w:space="0"/>
                    <w:left w:val="single" w:color="auto" w:sz="4" w:space="0"/>
                    <w:right w:val="single" w:color="auto" w:sz="4" w:space="0"/>
                  </w:tcBorders>
                  <w:vAlign w:val="center"/>
                </w:tcPr>
                <w:p>
                  <w:pPr>
                    <w:pStyle w:val="52"/>
                  </w:pPr>
                  <w:r>
                    <w:rPr>
                      <w:rFonts w:hint="eastAsia"/>
                    </w:rPr>
                    <w:t>油料库房</w:t>
                  </w:r>
                </w:p>
              </w:tc>
              <w:tc>
                <w:tcPr>
                  <w:tcW w:w="1410"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环烷油</w:t>
                  </w:r>
                </w:p>
              </w:tc>
              <w:tc>
                <w:tcPr>
                  <w:tcW w:w="1148"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油类物质</w:t>
                  </w:r>
                </w:p>
              </w:tc>
              <w:tc>
                <w:tcPr>
                  <w:tcW w:w="1173" w:type="dxa"/>
                  <w:tcBorders>
                    <w:top w:val="single" w:color="auto" w:sz="4" w:space="0"/>
                    <w:left w:val="single" w:color="auto" w:sz="4" w:space="0"/>
                    <w:bottom w:val="single" w:color="auto" w:sz="4" w:space="0"/>
                    <w:right w:val="single" w:color="auto" w:sz="4" w:space="0"/>
                  </w:tcBorders>
                  <w:vAlign w:val="center"/>
                </w:tcPr>
                <w:p>
                  <w:pPr>
                    <w:pStyle w:val="52"/>
                  </w:pPr>
                  <w:r>
                    <w:t>8562-95-1</w:t>
                  </w:r>
                </w:p>
              </w:tc>
              <w:tc>
                <w:tcPr>
                  <w:tcW w:w="1021" w:type="dxa"/>
                  <w:tcBorders>
                    <w:top w:val="single" w:color="auto" w:sz="4" w:space="0"/>
                    <w:left w:val="single" w:color="auto" w:sz="4" w:space="0"/>
                    <w:bottom w:val="single" w:color="auto" w:sz="4" w:space="0"/>
                    <w:right w:val="single" w:color="auto" w:sz="4" w:space="0"/>
                  </w:tcBorders>
                  <w:vAlign w:val="center"/>
                </w:tcPr>
                <w:p>
                  <w:pPr>
                    <w:pStyle w:val="52"/>
                  </w:pPr>
                  <w:r>
                    <w:t>10</w:t>
                  </w:r>
                </w:p>
              </w:tc>
              <w:tc>
                <w:tcPr>
                  <w:tcW w:w="1015"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2</w:t>
                  </w:r>
                  <w:r>
                    <w:t>500</w:t>
                  </w:r>
                </w:p>
              </w:tc>
              <w:tc>
                <w:tcPr>
                  <w:tcW w:w="1049"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0</w:t>
                  </w:r>
                  <w: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78"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2</w:t>
                  </w:r>
                </w:p>
              </w:tc>
              <w:tc>
                <w:tcPr>
                  <w:tcW w:w="757" w:type="dxa"/>
                  <w:vMerge w:val="continue"/>
                  <w:tcBorders>
                    <w:left w:val="single" w:color="auto" w:sz="4" w:space="0"/>
                    <w:bottom w:val="single" w:color="auto" w:sz="4" w:space="0"/>
                    <w:right w:val="single" w:color="auto" w:sz="4" w:space="0"/>
                  </w:tcBorders>
                  <w:vAlign w:val="center"/>
                </w:tcPr>
                <w:p>
                  <w:pPr>
                    <w:pStyle w:val="52"/>
                  </w:pPr>
                </w:p>
              </w:tc>
              <w:tc>
                <w:tcPr>
                  <w:tcW w:w="1410"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硅油</w:t>
                  </w:r>
                </w:p>
              </w:tc>
              <w:tc>
                <w:tcPr>
                  <w:tcW w:w="1148"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油类物质</w:t>
                  </w:r>
                </w:p>
              </w:tc>
              <w:tc>
                <w:tcPr>
                  <w:tcW w:w="1173" w:type="dxa"/>
                  <w:tcBorders>
                    <w:top w:val="single" w:color="auto" w:sz="4" w:space="0"/>
                    <w:left w:val="single" w:color="auto" w:sz="4" w:space="0"/>
                    <w:bottom w:val="single" w:color="auto" w:sz="4" w:space="0"/>
                    <w:right w:val="single" w:color="auto" w:sz="4" w:space="0"/>
                  </w:tcBorders>
                  <w:vAlign w:val="center"/>
                </w:tcPr>
                <w:p>
                  <w:pPr>
                    <w:pStyle w:val="52"/>
                  </w:pPr>
                  <w:r>
                    <w:t>63148-62-9</w:t>
                  </w:r>
                </w:p>
              </w:tc>
              <w:tc>
                <w:tcPr>
                  <w:tcW w:w="1021" w:type="dxa"/>
                  <w:tcBorders>
                    <w:top w:val="single" w:color="auto" w:sz="4" w:space="0"/>
                    <w:left w:val="single" w:color="auto" w:sz="4" w:space="0"/>
                    <w:bottom w:val="single" w:color="auto" w:sz="4" w:space="0"/>
                    <w:right w:val="single" w:color="auto" w:sz="4" w:space="0"/>
                  </w:tcBorders>
                  <w:vAlign w:val="center"/>
                </w:tcPr>
                <w:p>
                  <w:pPr>
                    <w:pStyle w:val="52"/>
                  </w:pPr>
                  <w:r>
                    <w:t>10</w:t>
                  </w:r>
                </w:p>
              </w:tc>
              <w:tc>
                <w:tcPr>
                  <w:tcW w:w="1015"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2</w:t>
                  </w:r>
                  <w:r>
                    <w:t>500</w:t>
                  </w:r>
                </w:p>
              </w:tc>
              <w:tc>
                <w:tcPr>
                  <w:tcW w:w="1049"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0</w:t>
                  </w:r>
                  <w: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78"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3</w:t>
                  </w:r>
                </w:p>
              </w:tc>
              <w:tc>
                <w:tcPr>
                  <w:tcW w:w="757"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备件房</w:t>
                  </w:r>
                </w:p>
              </w:tc>
              <w:tc>
                <w:tcPr>
                  <w:tcW w:w="1410"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润滑油</w:t>
                  </w:r>
                </w:p>
              </w:tc>
              <w:tc>
                <w:tcPr>
                  <w:tcW w:w="1148"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油类物质</w:t>
                  </w:r>
                </w:p>
              </w:tc>
              <w:tc>
                <w:tcPr>
                  <w:tcW w:w="1173"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w:t>
                  </w:r>
                </w:p>
              </w:tc>
              <w:tc>
                <w:tcPr>
                  <w:tcW w:w="1021"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0</w:t>
                  </w:r>
                  <w:r>
                    <w:t>.2</w:t>
                  </w:r>
                </w:p>
              </w:tc>
              <w:tc>
                <w:tcPr>
                  <w:tcW w:w="1015"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2</w:t>
                  </w:r>
                  <w:r>
                    <w:t>500</w:t>
                  </w:r>
                </w:p>
              </w:tc>
              <w:tc>
                <w:tcPr>
                  <w:tcW w:w="1049"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0</w:t>
                  </w:r>
                  <w:r>
                    <w:t>.00008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78"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4</w:t>
                  </w:r>
                </w:p>
              </w:tc>
              <w:tc>
                <w:tcPr>
                  <w:tcW w:w="757" w:type="dxa"/>
                  <w:vMerge w:val="restart"/>
                  <w:tcBorders>
                    <w:top w:val="single" w:color="auto" w:sz="4" w:space="0"/>
                    <w:left w:val="single" w:color="auto" w:sz="4" w:space="0"/>
                    <w:right w:val="single" w:color="auto" w:sz="4" w:space="0"/>
                  </w:tcBorders>
                  <w:vAlign w:val="center"/>
                </w:tcPr>
                <w:p>
                  <w:pPr>
                    <w:pStyle w:val="52"/>
                  </w:pPr>
                  <w:r>
                    <w:rPr>
                      <w:rFonts w:hint="eastAsia"/>
                    </w:rPr>
                    <w:t>危废暂存间</w:t>
                  </w:r>
                </w:p>
              </w:tc>
              <w:tc>
                <w:tcPr>
                  <w:tcW w:w="1410"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废润滑油</w:t>
                  </w:r>
                </w:p>
              </w:tc>
              <w:tc>
                <w:tcPr>
                  <w:tcW w:w="1148"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油类物质</w:t>
                  </w:r>
                </w:p>
              </w:tc>
              <w:tc>
                <w:tcPr>
                  <w:tcW w:w="1173"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w:t>
                  </w:r>
                </w:p>
              </w:tc>
              <w:tc>
                <w:tcPr>
                  <w:tcW w:w="1021"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0</w:t>
                  </w:r>
                  <w:r>
                    <w:t>.1</w:t>
                  </w:r>
                </w:p>
              </w:tc>
              <w:tc>
                <w:tcPr>
                  <w:tcW w:w="1015"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2</w:t>
                  </w:r>
                  <w:r>
                    <w:t>500</w:t>
                  </w:r>
                </w:p>
              </w:tc>
              <w:tc>
                <w:tcPr>
                  <w:tcW w:w="1049"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0</w:t>
                  </w:r>
                  <w:r>
                    <w:t>.00004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78"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5</w:t>
                  </w:r>
                </w:p>
              </w:tc>
              <w:tc>
                <w:tcPr>
                  <w:tcW w:w="757" w:type="dxa"/>
                  <w:vMerge w:val="continue"/>
                  <w:tcBorders>
                    <w:left w:val="single" w:color="auto" w:sz="4" w:space="0"/>
                    <w:right w:val="single" w:color="auto" w:sz="4" w:space="0"/>
                  </w:tcBorders>
                  <w:vAlign w:val="center"/>
                </w:tcPr>
                <w:p>
                  <w:pPr>
                    <w:pStyle w:val="52"/>
                  </w:pPr>
                </w:p>
              </w:tc>
              <w:tc>
                <w:tcPr>
                  <w:tcW w:w="1410"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含油冷凝废液</w:t>
                  </w:r>
                </w:p>
              </w:tc>
              <w:tc>
                <w:tcPr>
                  <w:tcW w:w="1148"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油类物质</w:t>
                  </w:r>
                </w:p>
              </w:tc>
              <w:tc>
                <w:tcPr>
                  <w:tcW w:w="1173"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w:t>
                  </w:r>
                </w:p>
              </w:tc>
              <w:tc>
                <w:tcPr>
                  <w:tcW w:w="1021"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0</w:t>
                  </w:r>
                  <w:r>
                    <w:t>.5</w:t>
                  </w:r>
                </w:p>
              </w:tc>
              <w:tc>
                <w:tcPr>
                  <w:tcW w:w="1015"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2</w:t>
                  </w:r>
                  <w:r>
                    <w:t>500</w:t>
                  </w:r>
                </w:p>
              </w:tc>
              <w:tc>
                <w:tcPr>
                  <w:tcW w:w="1049"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0</w:t>
                  </w:r>
                  <w: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7002" w:type="dxa"/>
                  <w:gridSpan w:val="7"/>
                  <w:tcBorders>
                    <w:top w:val="single" w:color="auto" w:sz="4" w:space="0"/>
                    <w:left w:val="single" w:color="auto" w:sz="4" w:space="0"/>
                    <w:bottom w:val="single" w:color="auto" w:sz="4" w:space="0"/>
                    <w:right w:val="single" w:color="auto" w:sz="4" w:space="0"/>
                  </w:tcBorders>
                  <w:vAlign w:val="center"/>
                </w:tcPr>
                <w:p>
                  <w:pPr>
                    <w:pStyle w:val="52"/>
                  </w:pPr>
                  <w:r>
                    <w:rPr>
                      <w:rFonts w:hint="eastAsia"/>
                    </w:rPr>
                    <w:t>合计</w:t>
                  </w:r>
                </w:p>
              </w:tc>
              <w:tc>
                <w:tcPr>
                  <w:tcW w:w="1049" w:type="dxa"/>
                  <w:tcBorders>
                    <w:top w:val="single" w:color="auto" w:sz="4" w:space="0"/>
                    <w:left w:val="single" w:color="auto" w:sz="4" w:space="0"/>
                    <w:bottom w:val="single" w:color="auto" w:sz="4" w:space="0"/>
                    <w:right w:val="single" w:color="auto" w:sz="4" w:space="0"/>
                  </w:tcBorders>
                  <w:vAlign w:val="center"/>
                </w:tcPr>
                <w:p>
                  <w:pPr>
                    <w:pStyle w:val="52"/>
                  </w:pPr>
                  <w:r>
                    <w:rPr>
                      <w:rFonts w:hint="eastAsia"/>
                    </w:rPr>
                    <w:t>0</w:t>
                  </w:r>
                  <w:r>
                    <w:t>.00832</w:t>
                  </w:r>
                </w:p>
              </w:tc>
            </w:tr>
          </w:tbl>
          <w:p>
            <w:pPr>
              <w:pStyle w:val="82"/>
            </w:pPr>
            <w:r>
              <w:rPr>
                <w:rFonts w:hint="eastAsia"/>
              </w:rPr>
              <w:t>由表4</w:t>
            </w:r>
            <w:r>
              <w:t>-20</w:t>
            </w:r>
            <w:r>
              <w:rPr>
                <w:rFonts w:hint="eastAsia"/>
              </w:rPr>
              <w:t>可知，本项目Q值小于1，故环境风险潜势为I。</w:t>
            </w:r>
          </w:p>
          <w:p>
            <w:pPr>
              <w:pStyle w:val="82"/>
              <w:ind w:firstLine="442"/>
              <w:rPr>
                <w:rFonts w:cs="宋体"/>
                <w:b/>
                <w:spacing w:val="-10"/>
              </w:rPr>
            </w:pPr>
            <w:r>
              <w:rPr>
                <w:rFonts w:hint="eastAsia"/>
                <w:b/>
                <w:spacing w:val="-10"/>
              </w:rPr>
              <w:t>（3）</w:t>
            </w:r>
            <w:r>
              <w:rPr>
                <w:rFonts w:hint="eastAsia" w:cs="宋体"/>
                <w:b/>
              </w:rPr>
              <w:t>风险评价等级</w:t>
            </w:r>
          </w:p>
          <w:p>
            <w:pPr>
              <w:pStyle w:val="82"/>
            </w:pPr>
            <w:r>
              <w:t>根据《建设项目环境风险评价技术导则》(HJ169-2018)评价等级划分，见</w:t>
            </w:r>
            <w:r>
              <w:rPr>
                <w:rFonts w:hint="eastAsia"/>
              </w:rPr>
              <w:t>下表。</w:t>
            </w:r>
          </w:p>
          <w:p>
            <w:pPr>
              <w:pStyle w:val="83"/>
            </w:pPr>
            <w:r>
              <w:t>表</w:t>
            </w:r>
            <w:r>
              <w:rPr>
                <w:rFonts w:hint="eastAsia"/>
              </w:rPr>
              <w:t>4</w:t>
            </w:r>
            <w:r>
              <w:t>-22  本项目环境影响评价等级判据一览表</w:t>
            </w:r>
          </w:p>
          <w:tbl>
            <w:tblPr>
              <w:tblStyle w:val="24"/>
              <w:tblW w:w="79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7"/>
              <w:gridCol w:w="1517"/>
              <w:gridCol w:w="1518"/>
              <w:gridCol w:w="1518"/>
              <w:gridCol w:w="15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67" w:type="dxa"/>
                  <w:tcBorders>
                    <w:top w:val="single" w:color="auto" w:sz="4" w:space="0"/>
                    <w:left w:val="single" w:color="auto" w:sz="4" w:space="0"/>
                    <w:bottom w:val="single" w:color="auto" w:sz="4" w:space="0"/>
                    <w:right w:val="single" w:color="auto" w:sz="4" w:space="0"/>
                  </w:tcBorders>
                  <w:vAlign w:val="center"/>
                </w:tcPr>
                <w:p>
                  <w:pPr>
                    <w:pStyle w:val="52"/>
                  </w:pPr>
                  <w:r>
                    <w:t>环境风险潜势</w:t>
                  </w:r>
                </w:p>
              </w:tc>
              <w:tc>
                <w:tcPr>
                  <w:tcW w:w="1517" w:type="dxa"/>
                  <w:tcBorders>
                    <w:top w:val="single" w:color="auto" w:sz="4" w:space="0"/>
                    <w:left w:val="single" w:color="auto" w:sz="4" w:space="0"/>
                    <w:bottom w:val="single" w:color="auto" w:sz="4" w:space="0"/>
                    <w:right w:val="single" w:color="auto" w:sz="4" w:space="0"/>
                  </w:tcBorders>
                  <w:vAlign w:val="center"/>
                </w:tcPr>
                <w:p>
                  <w:pPr>
                    <w:pStyle w:val="52"/>
                  </w:pPr>
                  <w:r>
                    <w:t>Ⅳ、Ⅳ</w:t>
                  </w:r>
                  <w:r>
                    <w:rPr>
                      <w:vertAlign w:val="superscript"/>
                    </w:rPr>
                    <w:t>+</w:t>
                  </w:r>
                </w:p>
              </w:tc>
              <w:tc>
                <w:tcPr>
                  <w:tcW w:w="1518" w:type="dxa"/>
                  <w:tcBorders>
                    <w:top w:val="single" w:color="auto" w:sz="4" w:space="0"/>
                    <w:left w:val="single" w:color="auto" w:sz="4" w:space="0"/>
                    <w:bottom w:val="single" w:color="auto" w:sz="4" w:space="0"/>
                    <w:right w:val="single" w:color="auto" w:sz="4" w:space="0"/>
                  </w:tcBorders>
                  <w:vAlign w:val="center"/>
                </w:tcPr>
                <w:p>
                  <w:pPr>
                    <w:pStyle w:val="52"/>
                  </w:pPr>
                  <w:r>
                    <w:t>III</w:t>
                  </w:r>
                </w:p>
              </w:tc>
              <w:tc>
                <w:tcPr>
                  <w:tcW w:w="1518" w:type="dxa"/>
                  <w:tcBorders>
                    <w:top w:val="single" w:color="auto" w:sz="4" w:space="0"/>
                    <w:left w:val="single" w:color="auto" w:sz="4" w:space="0"/>
                    <w:bottom w:val="single" w:color="auto" w:sz="4" w:space="0"/>
                    <w:right w:val="single" w:color="auto" w:sz="4" w:space="0"/>
                  </w:tcBorders>
                  <w:vAlign w:val="center"/>
                </w:tcPr>
                <w:p>
                  <w:pPr>
                    <w:pStyle w:val="52"/>
                  </w:pPr>
                  <w:r>
                    <w:t>II</w:t>
                  </w:r>
                </w:p>
              </w:tc>
              <w:tc>
                <w:tcPr>
                  <w:tcW w:w="1518" w:type="dxa"/>
                  <w:tcBorders>
                    <w:top w:val="single" w:color="auto" w:sz="4" w:space="0"/>
                    <w:left w:val="single" w:color="auto" w:sz="4" w:space="0"/>
                    <w:bottom w:val="single" w:color="auto" w:sz="4" w:space="0"/>
                    <w:right w:val="single" w:color="auto" w:sz="4" w:space="0"/>
                  </w:tcBorders>
                  <w:vAlign w:val="center"/>
                </w:tcPr>
                <w:p>
                  <w:pPr>
                    <w:pStyle w:val="52"/>
                  </w:pPr>
                  <w:r>
                    <w: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67" w:type="dxa"/>
                  <w:tcBorders>
                    <w:top w:val="single" w:color="auto" w:sz="4" w:space="0"/>
                    <w:left w:val="single" w:color="auto" w:sz="4" w:space="0"/>
                    <w:bottom w:val="single" w:color="auto" w:sz="4" w:space="0"/>
                    <w:right w:val="single" w:color="auto" w:sz="4" w:space="0"/>
                  </w:tcBorders>
                  <w:vAlign w:val="center"/>
                </w:tcPr>
                <w:p>
                  <w:pPr>
                    <w:pStyle w:val="52"/>
                  </w:pPr>
                  <w:r>
                    <w:t>环境风险评价等级</w:t>
                  </w:r>
                </w:p>
              </w:tc>
              <w:tc>
                <w:tcPr>
                  <w:tcW w:w="1517" w:type="dxa"/>
                  <w:tcBorders>
                    <w:top w:val="single" w:color="auto" w:sz="4" w:space="0"/>
                    <w:left w:val="single" w:color="auto" w:sz="4" w:space="0"/>
                    <w:bottom w:val="single" w:color="auto" w:sz="4" w:space="0"/>
                    <w:right w:val="single" w:color="auto" w:sz="4" w:space="0"/>
                  </w:tcBorders>
                  <w:vAlign w:val="center"/>
                </w:tcPr>
                <w:p>
                  <w:pPr>
                    <w:pStyle w:val="52"/>
                  </w:pPr>
                  <w:r>
                    <w:t>一</w:t>
                  </w:r>
                </w:p>
              </w:tc>
              <w:tc>
                <w:tcPr>
                  <w:tcW w:w="1518" w:type="dxa"/>
                  <w:tcBorders>
                    <w:top w:val="single" w:color="auto" w:sz="4" w:space="0"/>
                    <w:left w:val="single" w:color="auto" w:sz="4" w:space="0"/>
                    <w:bottom w:val="single" w:color="auto" w:sz="4" w:space="0"/>
                    <w:right w:val="single" w:color="auto" w:sz="4" w:space="0"/>
                  </w:tcBorders>
                  <w:vAlign w:val="center"/>
                </w:tcPr>
                <w:p>
                  <w:pPr>
                    <w:pStyle w:val="52"/>
                  </w:pPr>
                  <w:r>
                    <w:t>二</w:t>
                  </w:r>
                </w:p>
              </w:tc>
              <w:tc>
                <w:tcPr>
                  <w:tcW w:w="1518" w:type="dxa"/>
                  <w:tcBorders>
                    <w:top w:val="single" w:color="auto" w:sz="4" w:space="0"/>
                    <w:left w:val="single" w:color="auto" w:sz="4" w:space="0"/>
                    <w:bottom w:val="single" w:color="auto" w:sz="4" w:space="0"/>
                    <w:right w:val="single" w:color="auto" w:sz="4" w:space="0"/>
                  </w:tcBorders>
                  <w:vAlign w:val="center"/>
                </w:tcPr>
                <w:p>
                  <w:pPr>
                    <w:pStyle w:val="52"/>
                  </w:pPr>
                  <w:r>
                    <w:t>三</w:t>
                  </w:r>
                </w:p>
              </w:tc>
              <w:tc>
                <w:tcPr>
                  <w:tcW w:w="1518" w:type="dxa"/>
                  <w:tcBorders>
                    <w:top w:val="single" w:color="auto" w:sz="4" w:space="0"/>
                    <w:left w:val="single" w:color="auto" w:sz="4" w:space="0"/>
                    <w:bottom w:val="single" w:color="auto" w:sz="4" w:space="0"/>
                    <w:right w:val="single" w:color="auto" w:sz="4" w:space="0"/>
                  </w:tcBorders>
                  <w:vAlign w:val="center"/>
                </w:tcPr>
                <w:p>
                  <w:pPr>
                    <w:pStyle w:val="52"/>
                  </w:pPr>
                  <w:r>
                    <w:t>简单分析</w:t>
                  </w:r>
                </w:p>
              </w:tc>
            </w:tr>
          </w:tbl>
          <w:p>
            <w:pPr>
              <w:pStyle w:val="82"/>
            </w:pPr>
            <w:r>
              <w:t>本项目环境风险潜势为Ⅰ，由表</w:t>
            </w:r>
            <w:r>
              <w:rPr>
                <w:rFonts w:hint="eastAsia"/>
              </w:rPr>
              <w:t>4.2-23</w:t>
            </w:r>
            <w:r>
              <w:t>可知，本项目环境风险评价工作等级定为</w:t>
            </w:r>
            <w:r>
              <w:rPr>
                <w:rFonts w:hint="eastAsia"/>
              </w:rPr>
              <w:t>“</w:t>
            </w:r>
            <w:r>
              <w:t>简单分析</w:t>
            </w:r>
            <w:r>
              <w:rPr>
                <w:rFonts w:hint="eastAsia"/>
              </w:rPr>
              <w:t>”</w:t>
            </w:r>
            <w:r>
              <w:t>。</w:t>
            </w:r>
          </w:p>
          <w:p>
            <w:pPr>
              <w:pStyle w:val="82"/>
              <w:ind w:firstLine="442"/>
              <w:rPr>
                <w:rFonts w:cs="宋体"/>
                <w:b/>
                <w:spacing w:val="-10"/>
              </w:rPr>
            </w:pPr>
            <w:r>
              <w:rPr>
                <w:rFonts w:hint="eastAsia"/>
                <w:b/>
                <w:spacing w:val="-10"/>
              </w:rPr>
              <w:t>（4）</w:t>
            </w:r>
            <w:r>
              <w:rPr>
                <w:rFonts w:hint="eastAsia" w:cs="宋体"/>
                <w:b/>
                <w:spacing w:val="-10"/>
              </w:rPr>
              <w:t>环境风险识别</w:t>
            </w:r>
          </w:p>
          <w:p>
            <w:pPr>
              <w:pStyle w:val="82"/>
            </w:pPr>
            <w:r>
              <w:rPr>
                <w:rFonts w:hint="eastAsia"/>
              </w:rPr>
              <w:t>结合附录B、《化学品分类和标签规范第18部分：急性毒性》（GB30000.18-2013）和《危险化学品重大危险源辨识》（GB18218-2018）可知，本项目运营期所涉及的主要环境风险物质为环烷油、硅油、润滑油、废润滑油、含油冷凝废液。环境风险主要包括：环烷油、硅油、润滑油、废润滑油、含油冷凝废液在运输、储放过程中保管不严密，发生泄漏</w:t>
            </w:r>
            <w:r>
              <w:t>未及时发现下渗</w:t>
            </w:r>
            <w:r>
              <w:rPr>
                <w:rFonts w:hint="eastAsia"/>
              </w:rPr>
              <w:t>到</w:t>
            </w:r>
            <w:r>
              <w:t>周围地下水、土壤</w:t>
            </w:r>
            <w:r>
              <w:rPr>
                <w:rFonts w:hint="eastAsia"/>
              </w:rPr>
              <w:t>；环烷油、硅油发生</w:t>
            </w:r>
            <w:r>
              <w:t>火灾等引发的伴生/次生污染物排放</w:t>
            </w:r>
            <w:r>
              <w:rPr>
                <w:rFonts w:hint="eastAsia"/>
              </w:rPr>
              <w:t>，从而导致环境污染事故。</w:t>
            </w:r>
          </w:p>
          <w:p>
            <w:pPr>
              <w:pStyle w:val="82"/>
              <w:ind w:firstLine="482"/>
              <w:rPr>
                <w:b/>
                <w:bCs/>
              </w:rPr>
            </w:pPr>
            <w:r>
              <w:rPr>
                <w:rFonts w:hint="eastAsia"/>
                <w:b/>
                <w:bCs/>
              </w:rPr>
              <w:t>（</w:t>
            </w:r>
            <w:r>
              <w:rPr>
                <w:b/>
                <w:bCs/>
              </w:rPr>
              <w:t>5</w:t>
            </w:r>
            <w:r>
              <w:rPr>
                <w:rFonts w:hint="eastAsia"/>
                <w:b/>
                <w:bCs/>
              </w:rPr>
              <w:t>）环境风险分析</w:t>
            </w:r>
          </w:p>
          <w:p>
            <w:pPr>
              <w:pStyle w:val="82"/>
            </w:pPr>
            <w:r>
              <w:rPr>
                <w:rFonts w:hint="eastAsia"/>
              </w:rPr>
              <w:t>本项目所需的环烷油、硅油均由供应经销商配送至本项目，本项目不参与运输，故评价不予分析。本项目储存的环境风险物质主要集中在油料库房、备件房、危废暂存间，环烷油、硅油使用时可能出现包装桶破裂摔碎，以及废润滑油、含油冷凝废液暂存桶破裂从而导致泄漏、火灾造成的次生环境污染事件，污染地表水、地下水、土壤及环境空气。</w:t>
            </w:r>
          </w:p>
          <w:p>
            <w:pPr>
              <w:pStyle w:val="82"/>
            </w:pPr>
            <w:r>
              <w:rPr>
                <w:rFonts w:hint="eastAsia"/>
              </w:rPr>
              <w:t>由于本项目存在油料库房、备件房、危废间地面均进行了防渗处理并设有托盘或围堰，这些泄露的环境风险物质能够截流在托盘或围堰内，然后通过吸附棉或砂子等进行黏附，作为危险废物处置，故发生储存风险事故对外环境影响的可能性较小。本项目环境风险物质储存远离火</w:t>
            </w:r>
            <w:r>
              <w:t>源</w:t>
            </w:r>
            <w:r>
              <w:rPr>
                <w:rFonts w:hint="eastAsia"/>
              </w:rPr>
              <w:t>，生产车间、各个仓库、危废暂存间配备干粉灭火器，如遇环境风险物质着火，迅速用干粉灭火器扑救，故发生环烷油、硅油、润滑油使用风险事故以及废润滑油、含油冷凝废液泄漏事故对外环境影响的可能性较小。</w:t>
            </w:r>
          </w:p>
          <w:p>
            <w:pPr>
              <w:pStyle w:val="82"/>
              <w:ind w:firstLine="482"/>
              <w:rPr>
                <w:b/>
                <w:bCs/>
                <w:spacing w:val="-10"/>
              </w:rPr>
            </w:pPr>
            <w:r>
              <w:rPr>
                <w:rFonts w:hint="eastAsia"/>
                <w:b/>
                <w:bCs/>
              </w:rPr>
              <w:t>（6）环境风险防范措施及应急要求</w:t>
            </w:r>
          </w:p>
          <w:p>
            <w:pPr>
              <w:pStyle w:val="82"/>
            </w:pPr>
            <w:r>
              <w:rPr>
                <w:rFonts w:hint="eastAsia"/>
              </w:rPr>
              <w:t>①硅油、环烷油、润滑油</w:t>
            </w:r>
            <w:r>
              <w:t>分类存储在</w:t>
            </w:r>
            <w:r>
              <w:rPr>
                <w:rFonts w:hint="eastAsia"/>
              </w:rPr>
              <w:t>不同的</w:t>
            </w:r>
            <w:r>
              <w:t>密闭的容器中，</w:t>
            </w:r>
            <w:r>
              <w:rPr>
                <w:rFonts w:hint="eastAsia"/>
              </w:rPr>
              <w:t>并在</w:t>
            </w:r>
            <w:r>
              <w:t>0</w:t>
            </w:r>
            <w:r>
              <w:rPr>
                <w:rFonts w:hint="eastAsia"/>
              </w:rPr>
              <w:t>～</w:t>
            </w:r>
            <w:r>
              <w:t>40</w:t>
            </w:r>
            <w:r>
              <w:rPr>
                <w:rFonts w:hint="eastAsia"/>
              </w:rPr>
              <w:t>℃</w:t>
            </w:r>
            <w:r>
              <w:t>室内贮存，避免极端低温、日光曝晒和雨淋，远离热源和火源</w:t>
            </w:r>
            <w:r>
              <w:rPr>
                <w:rFonts w:hint="eastAsia"/>
              </w:rPr>
              <w:t>；</w:t>
            </w:r>
            <w:r>
              <w:t>搬运过程中防止跌落或碰撞</w:t>
            </w:r>
            <w:r>
              <w:rPr>
                <w:rFonts w:hint="eastAsia"/>
              </w:rPr>
              <w:t>；液体危险废物：废润滑油、含油冷凝废液采用加盖收集桶储存，能够有效防止危险废物泄漏。同时油料库房、备件房润滑油存贮区域和危废间设置托盘或围堰，实现双层保护。</w:t>
            </w:r>
          </w:p>
          <w:p>
            <w:pPr>
              <w:pStyle w:val="82"/>
            </w:pPr>
            <w:r>
              <w:rPr>
                <w:rFonts w:hint="eastAsia"/>
              </w:rPr>
              <w:t>②厂房油料库房、备件房、危废间</w:t>
            </w:r>
            <w:r>
              <w:t>按重点防渗区防渗处理。重点防渗区地面与裙脚用坚固、防腐防渗材料建造，</w:t>
            </w:r>
            <w:r>
              <w:rPr>
                <w:rFonts w:hint="eastAsia"/>
              </w:rPr>
              <w:t>参照</w:t>
            </w:r>
            <w:r>
              <w:t>《危险废物贮存污染控制标准》（GB18597-2023）</w:t>
            </w:r>
            <w:r>
              <w:rPr>
                <w:rFonts w:hint="eastAsia"/>
              </w:rPr>
              <w:t>，重点防渗区</w:t>
            </w:r>
            <w:r>
              <w:t>防渗性能要求不低</w:t>
            </w:r>
            <w:r>
              <w:rPr>
                <w:rFonts w:hint="eastAsia"/>
              </w:rPr>
              <w:t>于</w:t>
            </w:r>
            <w:r>
              <w:t>1.0m厚渗透系数为1.0×10</w:t>
            </w:r>
            <w:r>
              <w:rPr>
                <w:vertAlign w:val="superscript"/>
              </w:rPr>
              <w:t>-</w:t>
            </w:r>
            <w:r>
              <w:rPr>
                <w:rFonts w:hint="eastAsia"/>
                <w:vertAlign w:val="superscript"/>
              </w:rPr>
              <w:t>7</w:t>
            </w:r>
            <w:r>
              <w:t>cm/s的黏土层防渗性能</w:t>
            </w:r>
            <w:r>
              <w:rPr>
                <w:rFonts w:hint="eastAsia"/>
              </w:rPr>
              <w:t>，或至少2mm厚高密度聚乙烯膜等人工防渗材料（渗透系数不大于10</w:t>
            </w:r>
            <w:r>
              <w:rPr>
                <w:rFonts w:hint="eastAsia"/>
                <w:vertAlign w:val="superscript"/>
              </w:rPr>
              <w:t>-10</w:t>
            </w:r>
            <w:r>
              <w:rPr>
                <w:rFonts w:hint="eastAsia"/>
              </w:rPr>
              <w:t>cm/s），或其他防渗性能等效的材料</w:t>
            </w:r>
            <w:r>
              <w:t>。</w:t>
            </w:r>
          </w:p>
          <w:p>
            <w:pPr>
              <w:pStyle w:val="82"/>
            </w:pPr>
            <w:r>
              <w:rPr>
                <w:rFonts w:hint="eastAsia"/>
              </w:rPr>
              <w:t>③</w:t>
            </w:r>
            <w:r>
              <w:t>建立严格的</w:t>
            </w:r>
            <w:r>
              <w:rPr>
                <w:rFonts w:hint="eastAsia"/>
              </w:rPr>
              <w:t>火灾防范</w:t>
            </w:r>
            <w:r>
              <w:t>环境管理制度及操作规程，</w:t>
            </w:r>
            <w:r>
              <w:rPr>
                <w:rFonts w:hint="eastAsia"/>
              </w:rPr>
              <w:t>按要求</w:t>
            </w:r>
            <w:r>
              <w:t>严格</w:t>
            </w:r>
            <w:r>
              <w:rPr>
                <w:rFonts w:hint="eastAsia"/>
              </w:rPr>
              <w:t>进行</w:t>
            </w:r>
            <w:r>
              <w:t>操作人员培训，</w:t>
            </w:r>
            <w:r>
              <w:rPr>
                <w:rFonts w:hint="eastAsia"/>
              </w:rPr>
              <w:t>相关人员</w:t>
            </w:r>
            <w:r>
              <w:t>严格遵守</w:t>
            </w:r>
            <w:r>
              <w:rPr>
                <w:rFonts w:hint="eastAsia"/>
              </w:rPr>
              <w:t>火灾防范的</w:t>
            </w:r>
            <w:r>
              <w:t>各项规章制度。禁止火源进入</w:t>
            </w:r>
            <w:r>
              <w:rPr>
                <w:rFonts w:hint="eastAsia"/>
              </w:rPr>
              <w:t>油料库房、备件房和危废暂存间等场所，禁火区均设置明显标志牌。</w:t>
            </w:r>
          </w:p>
          <w:p>
            <w:pPr>
              <w:pStyle w:val="82"/>
            </w:pPr>
            <w:r>
              <w:rPr>
                <w:rFonts w:hint="eastAsia"/>
              </w:rPr>
              <w:t>④</w:t>
            </w:r>
            <w:r>
              <w:t>厂房内部配备消防栓和灭火器等应急设备。定期检查和维修火灾防范设施，及时发现问题及时解决，使事故发生率降至最低。</w:t>
            </w:r>
          </w:p>
          <w:p>
            <w:pPr>
              <w:pStyle w:val="82"/>
            </w:pPr>
            <w:r>
              <w:rPr>
                <w:rFonts w:hint="eastAsia"/>
              </w:rPr>
              <w:t>⑤建立完善的安全生产管理制度、操作规范，加强生产工人安全环境意识教育。</w:t>
            </w:r>
            <w:r>
              <w:t>建立环境风险应急预案，</w:t>
            </w:r>
            <w:r>
              <w:rPr>
                <w:rFonts w:hint="eastAsia"/>
              </w:rPr>
              <w:t>明确人员责任。加强巡查，发现物料、生产线出现泄漏时，应及立即停止生产并补漏。</w:t>
            </w:r>
          </w:p>
          <w:p>
            <w:pPr>
              <w:pStyle w:val="82"/>
              <w:ind w:firstLine="442"/>
              <w:rPr>
                <w:b/>
                <w:bCs/>
                <w:spacing w:val="-10"/>
              </w:rPr>
            </w:pPr>
            <w:r>
              <w:rPr>
                <w:rFonts w:hint="eastAsia"/>
                <w:b/>
                <w:bCs/>
                <w:spacing w:val="-10"/>
              </w:rPr>
              <w:t>（7）</w:t>
            </w:r>
            <w:r>
              <w:rPr>
                <w:rFonts w:hint="eastAsia"/>
                <w:b/>
                <w:bCs/>
              </w:rPr>
              <w:t>环境风险评价结论</w:t>
            </w:r>
          </w:p>
          <w:p>
            <w:pPr>
              <w:pStyle w:val="82"/>
            </w:pPr>
            <w:r>
              <w:rPr>
                <w:rFonts w:hint="eastAsia"/>
              </w:rPr>
              <w:t>综上所述，项目不存在重大危险源，项目发生环境风险的类型和几率都很小，通过加强管理、采取有效措施，加强对全体员工防范事故风险能力的培训，采取本评价提出风险防范措施后，可进一步降低环境风险发生的几率和造成的影响。从环境保护角度而言，本项目的环境的风险可防控。</w:t>
            </w:r>
          </w:p>
          <w:p>
            <w:pPr>
              <w:pStyle w:val="82"/>
              <w:ind w:firstLine="482"/>
              <w:rPr>
                <w:b/>
                <w:bCs/>
              </w:rPr>
            </w:pPr>
          </w:p>
        </w:tc>
      </w:tr>
    </w:tbl>
    <w:p>
      <w:pPr>
        <w:widowControl/>
        <w:jc w:val="left"/>
        <w:rPr>
          <w:rFonts w:eastAsia="黑体"/>
          <w:snapToGrid w:val="0"/>
          <w:kern w:val="0"/>
        </w:rPr>
      </w:pPr>
      <w:r>
        <w:rPr>
          <w:rFonts w:eastAsia="黑体"/>
          <w:snapToGrid w:val="0"/>
        </w:rPr>
        <w:br w:type="page"/>
      </w:r>
    </w:p>
    <w:p>
      <w:pPr>
        <w:pStyle w:val="20"/>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五、</w:t>
      </w:r>
      <w:bookmarkStart w:id="14" w:name="_Hlk54167917"/>
      <w:r>
        <w:rPr>
          <w:rFonts w:ascii="Times New Roman" w:hAnsi="Times New Roman" w:eastAsia="黑体"/>
          <w:snapToGrid w:val="0"/>
          <w:sz w:val="30"/>
          <w:szCs w:val="30"/>
        </w:rPr>
        <w:t>环境保护措施监督检查清单</w:t>
      </w:r>
      <w:bookmarkEnd w:id="14"/>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38"/>
        <w:gridCol w:w="1559"/>
        <w:gridCol w:w="1417"/>
        <w:gridCol w:w="1985"/>
        <w:gridCol w:w="230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1538" w:type="dxa"/>
            <w:tcBorders>
              <w:tl2br w:val="single" w:color="auto" w:sz="4" w:space="0"/>
            </w:tcBorders>
          </w:tcPr>
          <w:p>
            <w:pPr>
              <w:pStyle w:val="52"/>
              <w:jc w:val="right"/>
            </w:pPr>
            <w:r>
              <w:t>内容</w:t>
            </w:r>
          </w:p>
          <w:p>
            <w:pPr>
              <w:pStyle w:val="52"/>
              <w:jc w:val="left"/>
            </w:pPr>
            <w:r>
              <w:t>要素</w:t>
            </w:r>
          </w:p>
        </w:tc>
        <w:tc>
          <w:tcPr>
            <w:tcW w:w="1559" w:type="dxa"/>
            <w:vAlign w:val="center"/>
          </w:tcPr>
          <w:p>
            <w:pPr>
              <w:pStyle w:val="52"/>
            </w:pPr>
            <w:r>
              <w:t>排放口(编号、名称)/污染源</w:t>
            </w:r>
          </w:p>
        </w:tc>
        <w:tc>
          <w:tcPr>
            <w:tcW w:w="1417" w:type="dxa"/>
            <w:vAlign w:val="center"/>
          </w:tcPr>
          <w:p>
            <w:pPr>
              <w:pStyle w:val="52"/>
            </w:pPr>
            <w:r>
              <w:t>污染物项目</w:t>
            </w:r>
          </w:p>
        </w:tc>
        <w:tc>
          <w:tcPr>
            <w:tcW w:w="1985" w:type="dxa"/>
            <w:vAlign w:val="center"/>
          </w:tcPr>
          <w:p>
            <w:pPr>
              <w:pStyle w:val="52"/>
            </w:pPr>
            <w:r>
              <w:t>环境保护措施</w:t>
            </w:r>
          </w:p>
        </w:tc>
        <w:tc>
          <w:tcPr>
            <w:tcW w:w="2301" w:type="dxa"/>
            <w:vAlign w:val="center"/>
          </w:tcPr>
          <w:p>
            <w:pPr>
              <w:pStyle w:val="52"/>
            </w:pPr>
            <w: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vMerge w:val="restart"/>
            <w:vAlign w:val="center"/>
          </w:tcPr>
          <w:p>
            <w:pPr>
              <w:pStyle w:val="52"/>
            </w:pPr>
            <w:r>
              <w:t>大气环境</w:t>
            </w:r>
          </w:p>
        </w:tc>
        <w:tc>
          <w:tcPr>
            <w:tcW w:w="1559" w:type="dxa"/>
            <w:vAlign w:val="center"/>
          </w:tcPr>
          <w:p>
            <w:pPr>
              <w:pStyle w:val="52"/>
            </w:pPr>
            <w:r>
              <w:rPr>
                <w:rFonts w:hint="eastAsia"/>
              </w:rPr>
              <w:t>挤出废气DA</w:t>
            </w:r>
            <w:r>
              <w:t>001</w:t>
            </w:r>
          </w:p>
        </w:tc>
        <w:tc>
          <w:tcPr>
            <w:tcW w:w="1417" w:type="dxa"/>
            <w:vAlign w:val="center"/>
          </w:tcPr>
          <w:p>
            <w:pPr>
              <w:pStyle w:val="52"/>
            </w:pPr>
            <w:r>
              <w:rPr>
                <w:rFonts w:hint="eastAsia"/>
              </w:rPr>
              <w:t>非甲烷总烃、臭气浓度</w:t>
            </w:r>
          </w:p>
        </w:tc>
        <w:tc>
          <w:tcPr>
            <w:tcW w:w="1985" w:type="dxa"/>
            <w:vAlign w:val="center"/>
          </w:tcPr>
          <w:p>
            <w:pPr>
              <w:pStyle w:val="52"/>
            </w:pPr>
            <w:r>
              <w:rPr>
                <w:rFonts w:hint="eastAsia"/>
                <w:bCs/>
                <w:spacing w:val="-8"/>
              </w:rPr>
              <w:t>有机废气经集气罩负压</w:t>
            </w:r>
            <w:r>
              <w:rPr>
                <w:bCs/>
                <w:spacing w:val="-8"/>
              </w:rPr>
              <w:t>收集进入</w:t>
            </w:r>
            <w:r>
              <w:rPr>
                <w:rFonts w:hint="eastAsia"/>
                <w:bCs/>
                <w:spacing w:val="-8"/>
              </w:rPr>
              <w:t>“</w:t>
            </w:r>
            <w:r>
              <w:rPr>
                <w:rFonts w:hint="eastAsia"/>
              </w:rPr>
              <w:t>UV光催化+三级活性炭吸附</w:t>
            </w:r>
            <w:r>
              <w:rPr>
                <w:rFonts w:hint="eastAsia"/>
                <w:bCs/>
                <w:spacing w:val="-8"/>
              </w:rPr>
              <w:t>”进行</w:t>
            </w:r>
            <w:r>
              <w:rPr>
                <w:bCs/>
                <w:spacing w:val="-8"/>
              </w:rPr>
              <w:t>处理后通过15m的排气筒排放（D=0.6m，风量15000</w:t>
            </w:r>
            <w:r>
              <w:rPr>
                <w:rFonts w:hint="eastAsia"/>
                <w:bCs/>
                <w:spacing w:val="-8"/>
              </w:rPr>
              <w:t>m</w:t>
            </w:r>
            <w:r>
              <w:rPr>
                <w:rFonts w:hint="eastAsia"/>
                <w:bCs/>
                <w:spacing w:val="-8"/>
                <w:vertAlign w:val="superscript"/>
              </w:rPr>
              <w:t>3</w:t>
            </w:r>
            <w:r>
              <w:rPr>
                <w:bCs/>
                <w:spacing w:val="-8"/>
              </w:rPr>
              <w:t>/h）</w:t>
            </w:r>
          </w:p>
        </w:tc>
        <w:tc>
          <w:tcPr>
            <w:tcW w:w="2301" w:type="dxa"/>
            <w:vAlign w:val="center"/>
          </w:tcPr>
          <w:p>
            <w:pPr>
              <w:pStyle w:val="52"/>
              <w:wordWrap w:val="0"/>
            </w:pPr>
            <w:r>
              <w:rPr>
                <w:rFonts w:hint="eastAsia"/>
              </w:rPr>
              <w:t>《合成树脂工业污染物排放标准》（GB 31572-2015）：</w:t>
            </w:r>
          </w:p>
          <w:p>
            <w:pPr>
              <w:pStyle w:val="52"/>
              <w:wordWrap w:val="0"/>
            </w:pPr>
            <w:r>
              <w:rPr>
                <w:rFonts w:hint="eastAsia"/>
              </w:rPr>
              <w:t>非甲烷总烃</w:t>
            </w:r>
            <w:r>
              <w:t>60</w:t>
            </w:r>
            <w:r>
              <w:rPr>
                <w:rFonts w:hint="eastAsia"/>
              </w:rPr>
              <w:t>mg/m</w:t>
            </w:r>
            <w:r>
              <w:rPr>
                <w:rFonts w:hint="eastAsia"/>
                <w:vertAlign w:val="superscript"/>
              </w:rPr>
              <w:t>3</w:t>
            </w:r>
            <w:r>
              <w:rPr>
                <w:rFonts w:hint="eastAsia"/>
              </w:rPr>
              <w:t>《恶臭污染物排放标准》（GB14554-93）：臭气浓度2000（无量纲）</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7" w:hRule="atLeast"/>
          <w:jc w:val="center"/>
        </w:trPr>
        <w:tc>
          <w:tcPr>
            <w:tcW w:w="1538" w:type="dxa"/>
            <w:vMerge w:val="continue"/>
            <w:vAlign w:val="center"/>
          </w:tcPr>
          <w:p>
            <w:pPr>
              <w:pStyle w:val="52"/>
            </w:pPr>
          </w:p>
        </w:tc>
        <w:tc>
          <w:tcPr>
            <w:tcW w:w="1559" w:type="dxa"/>
            <w:vAlign w:val="center"/>
          </w:tcPr>
          <w:p>
            <w:pPr>
              <w:pStyle w:val="52"/>
              <w:rPr>
                <w:bCs/>
              </w:rPr>
            </w:pPr>
            <w:r>
              <w:rPr>
                <w:rFonts w:hint="eastAsia"/>
                <w:bCs/>
              </w:rPr>
              <w:t>厂界（</w:t>
            </w:r>
            <w:r>
              <w:rPr>
                <w:bCs/>
              </w:rPr>
              <w:t>无组织</w:t>
            </w:r>
            <w:r>
              <w:rPr>
                <w:rFonts w:hint="eastAsia"/>
                <w:bCs/>
              </w:rPr>
              <w:t>）</w:t>
            </w:r>
          </w:p>
        </w:tc>
        <w:tc>
          <w:tcPr>
            <w:tcW w:w="1417" w:type="dxa"/>
            <w:vAlign w:val="center"/>
          </w:tcPr>
          <w:p>
            <w:pPr>
              <w:pStyle w:val="52"/>
            </w:pPr>
            <w:r>
              <w:t>非甲烷总烃</w:t>
            </w:r>
            <w:r>
              <w:rPr>
                <w:rFonts w:hint="eastAsia"/>
              </w:rPr>
              <w:t>、臭气浓度</w:t>
            </w:r>
          </w:p>
        </w:tc>
        <w:tc>
          <w:tcPr>
            <w:tcW w:w="1985" w:type="dxa"/>
            <w:vMerge w:val="restart"/>
            <w:vAlign w:val="center"/>
          </w:tcPr>
          <w:p>
            <w:pPr>
              <w:pStyle w:val="52"/>
              <w:rPr>
                <w:bCs/>
              </w:rPr>
            </w:pPr>
            <w:r>
              <w:rPr>
                <w:rFonts w:hint="eastAsia"/>
                <w:bCs/>
              </w:rPr>
              <w:t>采用集气罩进行局部气体收集，负压收集至废气处理系统，削减无组织排放量；车间内加强机械通风，车间内部进行通风换气。</w:t>
            </w:r>
          </w:p>
        </w:tc>
        <w:tc>
          <w:tcPr>
            <w:tcW w:w="2301" w:type="dxa"/>
            <w:vAlign w:val="center"/>
          </w:tcPr>
          <w:p>
            <w:pPr>
              <w:pStyle w:val="52"/>
            </w:pPr>
            <w:r>
              <w:rPr>
                <w:rFonts w:hint="eastAsia"/>
              </w:rPr>
              <w:t>《合成树脂工业污染物排放标准》（GB 31572-2015）：</w:t>
            </w:r>
          </w:p>
          <w:p>
            <w:pPr>
              <w:pStyle w:val="52"/>
            </w:pPr>
            <w:r>
              <w:rPr>
                <w:rFonts w:hint="eastAsia"/>
              </w:rPr>
              <w:t>非甲烷总烃4.0mg/m</w:t>
            </w:r>
            <w:r>
              <w:rPr>
                <w:rFonts w:hint="eastAsia"/>
                <w:vertAlign w:val="superscript"/>
              </w:rPr>
              <w:t>3</w:t>
            </w:r>
          </w:p>
          <w:p>
            <w:pPr>
              <w:pStyle w:val="52"/>
            </w:pPr>
            <w:r>
              <w:rPr>
                <w:rFonts w:hint="eastAsia"/>
              </w:rPr>
              <w:t>《恶臭污染物排放标准》（GB14554-93）：</w:t>
            </w:r>
          </w:p>
          <w:p>
            <w:pPr>
              <w:pStyle w:val="52"/>
            </w:pPr>
            <w:r>
              <w:rPr>
                <w:rFonts w:hint="eastAsia"/>
              </w:rPr>
              <w:t>臭气浓度20（无量纲）</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7" w:hRule="atLeast"/>
          <w:jc w:val="center"/>
        </w:trPr>
        <w:tc>
          <w:tcPr>
            <w:tcW w:w="1538" w:type="dxa"/>
            <w:vMerge w:val="continue"/>
            <w:vAlign w:val="center"/>
          </w:tcPr>
          <w:p>
            <w:pPr>
              <w:pStyle w:val="52"/>
            </w:pPr>
          </w:p>
        </w:tc>
        <w:tc>
          <w:tcPr>
            <w:tcW w:w="1559" w:type="dxa"/>
            <w:vAlign w:val="center"/>
          </w:tcPr>
          <w:p>
            <w:pPr>
              <w:pStyle w:val="52"/>
              <w:rPr>
                <w:bCs/>
              </w:rPr>
            </w:pPr>
            <w:r>
              <w:rPr>
                <w:rFonts w:hint="eastAsia"/>
                <w:bCs/>
              </w:rPr>
              <w:t>厂房外</w:t>
            </w:r>
          </w:p>
        </w:tc>
        <w:tc>
          <w:tcPr>
            <w:tcW w:w="1417" w:type="dxa"/>
            <w:vAlign w:val="center"/>
          </w:tcPr>
          <w:p>
            <w:pPr>
              <w:pStyle w:val="52"/>
            </w:pPr>
            <w:r>
              <w:rPr>
                <w:rFonts w:hint="eastAsia"/>
              </w:rPr>
              <w:t>非甲烷总烃</w:t>
            </w:r>
          </w:p>
        </w:tc>
        <w:tc>
          <w:tcPr>
            <w:tcW w:w="1985" w:type="dxa"/>
            <w:vMerge w:val="continue"/>
            <w:vAlign w:val="center"/>
          </w:tcPr>
          <w:p>
            <w:pPr>
              <w:pStyle w:val="52"/>
              <w:rPr>
                <w:bCs/>
              </w:rPr>
            </w:pPr>
          </w:p>
        </w:tc>
        <w:tc>
          <w:tcPr>
            <w:tcW w:w="2301" w:type="dxa"/>
            <w:vAlign w:val="center"/>
          </w:tcPr>
          <w:p>
            <w:pPr>
              <w:pStyle w:val="52"/>
            </w:pPr>
            <w:r>
              <w:rPr>
                <w:rFonts w:hint="eastAsia"/>
              </w:rPr>
              <w:t>《挥发性有机物无组织排放控制标准》（GB 37822—2019）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vAlign w:val="center"/>
          </w:tcPr>
          <w:p>
            <w:pPr>
              <w:pStyle w:val="52"/>
            </w:pPr>
            <w:r>
              <w:t>地表水环境</w:t>
            </w:r>
          </w:p>
        </w:tc>
        <w:tc>
          <w:tcPr>
            <w:tcW w:w="1559" w:type="dxa"/>
            <w:vAlign w:val="center"/>
          </w:tcPr>
          <w:p>
            <w:pPr>
              <w:pStyle w:val="52"/>
            </w:pPr>
            <w:r>
              <w:t>生活污水</w:t>
            </w:r>
          </w:p>
        </w:tc>
        <w:tc>
          <w:tcPr>
            <w:tcW w:w="1417" w:type="dxa"/>
            <w:vAlign w:val="center"/>
          </w:tcPr>
          <w:p>
            <w:pPr>
              <w:pStyle w:val="52"/>
            </w:pPr>
            <w:r>
              <w:rPr>
                <w:rFonts w:hint="eastAsia"/>
              </w:rPr>
              <w:t>pH、</w:t>
            </w:r>
            <w:r>
              <w:t>COD、BOD</w:t>
            </w:r>
            <w:r>
              <w:rPr>
                <w:vertAlign w:val="subscript"/>
              </w:rPr>
              <w:t>5</w:t>
            </w:r>
            <w:r>
              <w:t>、SS、NH</w:t>
            </w:r>
            <w:r>
              <w:rPr>
                <w:vertAlign w:val="subscript"/>
              </w:rPr>
              <w:t>3</w:t>
            </w:r>
            <w:r>
              <w:t>-N</w:t>
            </w:r>
          </w:p>
        </w:tc>
        <w:tc>
          <w:tcPr>
            <w:tcW w:w="1985" w:type="dxa"/>
            <w:vAlign w:val="center"/>
          </w:tcPr>
          <w:p>
            <w:pPr>
              <w:pStyle w:val="52"/>
            </w:pPr>
            <w:r>
              <w:rPr>
                <w:bCs/>
              </w:rPr>
              <w:t>生活污水依托</w:t>
            </w:r>
            <w:r>
              <w:rPr>
                <w:rFonts w:hint="eastAsia"/>
              </w:rPr>
              <w:t>重庆绅鹏商业运营管理有限公司</w:t>
            </w:r>
            <w:r>
              <w:rPr>
                <w:bCs/>
              </w:rPr>
              <w:t>已建生化池（</w:t>
            </w:r>
            <w:r>
              <w:rPr>
                <w:rFonts w:hint="eastAsia"/>
                <w:bCs/>
              </w:rPr>
              <w:t>1</w:t>
            </w:r>
            <w:r>
              <w:rPr>
                <w:bCs/>
              </w:rPr>
              <w:t>00</w:t>
            </w:r>
            <w:r>
              <w:rPr>
                <w:rFonts w:hint="eastAsia"/>
                <w:bCs/>
              </w:rPr>
              <w:t>m</w:t>
            </w:r>
            <w:r>
              <w:rPr>
                <w:rFonts w:hint="eastAsia"/>
                <w:bCs/>
                <w:vertAlign w:val="superscript"/>
              </w:rPr>
              <w:t>3</w:t>
            </w:r>
            <w:r>
              <w:rPr>
                <w:bCs/>
              </w:rPr>
              <w:t>/d）处理达《污水综合排放标准》（GB8978-1996）三级标准后排入市政管网，经</w:t>
            </w:r>
            <w:r>
              <w:rPr>
                <w:rFonts w:hint="eastAsia"/>
                <w:bCs/>
              </w:rPr>
              <w:t>蒲吕</w:t>
            </w:r>
            <w:r>
              <w:rPr>
                <w:bCs/>
              </w:rPr>
              <w:t>污水处理厂</w:t>
            </w:r>
          </w:p>
        </w:tc>
        <w:tc>
          <w:tcPr>
            <w:tcW w:w="2301" w:type="dxa"/>
            <w:vAlign w:val="center"/>
          </w:tcPr>
          <w:p>
            <w:pPr>
              <w:pStyle w:val="52"/>
            </w:pPr>
            <w:r>
              <w:rPr>
                <w:rFonts w:hint="eastAsia"/>
              </w:rPr>
              <w:t>执行</w:t>
            </w:r>
            <w:r>
              <w:t>《污水综合排放标准》（GB8978-1996）三级标准，</w:t>
            </w:r>
            <w:r>
              <w:rPr>
                <w:rFonts w:hint="eastAsia"/>
              </w:rPr>
              <w:t>其中</w:t>
            </w:r>
            <w:r>
              <w:t>NH</w:t>
            </w:r>
            <w:r>
              <w:rPr>
                <w:vertAlign w:val="subscript"/>
              </w:rPr>
              <w:t>3</w:t>
            </w:r>
            <w:r>
              <w:t>-N参照执行《污水排入城镇下水道水质标准》（GB/T 31962-2015）中B级标准</w:t>
            </w:r>
            <w:r>
              <w:rPr>
                <w:rFonts w:hint="eastAsia"/>
              </w:rPr>
              <w:t>：</w:t>
            </w:r>
          </w:p>
          <w:p>
            <w:pPr>
              <w:pStyle w:val="52"/>
            </w:pPr>
            <w:r>
              <w:rPr>
                <w:rFonts w:hint="eastAsia"/>
              </w:rPr>
              <w:t xml:space="preserve">pH </w:t>
            </w:r>
            <w:r>
              <w:t>6~9</w:t>
            </w:r>
            <w:r>
              <w:rPr>
                <w:rFonts w:hint="eastAsia"/>
              </w:rPr>
              <w:t>（无量纲）、</w:t>
            </w:r>
          </w:p>
          <w:p>
            <w:pPr>
              <w:pStyle w:val="52"/>
            </w:pPr>
            <w:r>
              <w:t>COD</w:t>
            </w:r>
            <w:r>
              <w:rPr>
                <w:rFonts w:hint="eastAsia"/>
              </w:rPr>
              <w:t xml:space="preserve"> </w:t>
            </w:r>
            <w:r>
              <w:t>500mg/L、</w:t>
            </w:r>
          </w:p>
          <w:p>
            <w:pPr>
              <w:pStyle w:val="52"/>
            </w:pPr>
            <w:r>
              <w:t>BOD</w:t>
            </w:r>
            <w:r>
              <w:rPr>
                <w:vertAlign w:val="subscript"/>
              </w:rPr>
              <w:t>5</w:t>
            </w:r>
            <w:r>
              <w:t xml:space="preserve"> 300mg/L、</w:t>
            </w:r>
          </w:p>
          <w:p>
            <w:pPr>
              <w:pStyle w:val="52"/>
            </w:pPr>
            <w:r>
              <w:t>SS 400mg/L、</w:t>
            </w:r>
          </w:p>
          <w:p>
            <w:pPr>
              <w:pStyle w:val="52"/>
            </w:pPr>
            <w:r>
              <w:t>NH</w:t>
            </w:r>
            <w:r>
              <w:rPr>
                <w:vertAlign w:val="subscript"/>
              </w:rPr>
              <w:t>3</w:t>
            </w:r>
            <w:r>
              <w:t>-N 45mg/L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vAlign w:val="center"/>
          </w:tcPr>
          <w:p>
            <w:pPr>
              <w:pStyle w:val="52"/>
            </w:pPr>
            <w:r>
              <w:t>声环境</w:t>
            </w:r>
          </w:p>
        </w:tc>
        <w:tc>
          <w:tcPr>
            <w:tcW w:w="1559" w:type="dxa"/>
            <w:vAlign w:val="center"/>
          </w:tcPr>
          <w:p>
            <w:pPr>
              <w:pStyle w:val="52"/>
            </w:pPr>
            <w:r>
              <w:t>生产设备、风机等</w:t>
            </w:r>
          </w:p>
        </w:tc>
        <w:tc>
          <w:tcPr>
            <w:tcW w:w="1417" w:type="dxa"/>
            <w:vAlign w:val="center"/>
          </w:tcPr>
          <w:p>
            <w:pPr>
              <w:pStyle w:val="52"/>
            </w:pPr>
            <w:r>
              <w:t>等效A声级</w:t>
            </w:r>
          </w:p>
        </w:tc>
        <w:tc>
          <w:tcPr>
            <w:tcW w:w="1985" w:type="dxa"/>
            <w:vAlign w:val="center"/>
          </w:tcPr>
          <w:p>
            <w:pPr>
              <w:pStyle w:val="52"/>
            </w:pPr>
            <w:r>
              <w:rPr>
                <w:bCs/>
              </w:rPr>
              <w:t>选用高效低噪声设备、安装减振底座</w:t>
            </w:r>
            <w:r>
              <w:rPr>
                <w:rFonts w:hint="eastAsia"/>
                <w:bCs/>
              </w:rPr>
              <w:t>、</w:t>
            </w:r>
            <w:r>
              <w:rPr>
                <w:rFonts w:hint="eastAsia"/>
              </w:rPr>
              <w:t>设置消声措施</w:t>
            </w:r>
            <w:r>
              <w:rPr>
                <w:bCs/>
              </w:rPr>
              <w:t>等</w:t>
            </w:r>
          </w:p>
        </w:tc>
        <w:tc>
          <w:tcPr>
            <w:tcW w:w="2301" w:type="dxa"/>
            <w:vAlign w:val="center"/>
          </w:tcPr>
          <w:p>
            <w:pPr>
              <w:pStyle w:val="52"/>
            </w:pPr>
            <w:r>
              <w:t>《工业企业厂界环境噪声排放标准》（GB12348-2008）中的3类标准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38" w:type="dxa"/>
            <w:vAlign w:val="center"/>
          </w:tcPr>
          <w:p>
            <w:pPr>
              <w:pStyle w:val="52"/>
            </w:pPr>
            <w:r>
              <w:t>电磁辐射</w:t>
            </w:r>
          </w:p>
        </w:tc>
        <w:tc>
          <w:tcPr>
            <w:tcW w:w="1559" w:type="dxa"/>
            <w:vAlign w:val="center"/>
          </w:tcPr>
          <w:p>
            <w:pPr>
              <w:pStyle w:val="52"/>
            </w:pPr>
            <w:r>
              <w:t>/</w:t>
            </w:r>
          </w:p>
        </w:tc>
        <w:tc>
          <w:tcPr>
            <w:tcW w:w="1417" w:type="dxa"/>
            <w:vAlign w:val="center"/>
          </w:tcPr>
          <w:p>
            <w:pPr>
              <w:pStyle w:val="52"/>
            </w:pPr>
            <w:r>
              <w:t>/</w:t>
            </w:r>
          </w:p>
        </w:tc>
        <w:tc>
          <w:tcPr>
            <w:tcW w:w="1985" w:type="dxa"/>
            <w:vAlign w:val="center"/>
          </w:tcPr>
          <w:p>
            <w:pPr>
              <w:pStyle w:val="52"/>
            </w:pPr>
            <w:r>
              <w:t>/</w:t>
            </w:r>
          </w:p>
        </w:tc>
        <w:tc>
          <w:tcPr>
            <w:tcW w:w="2301" w:type="dxa"/>
            <w:vAlign w:val="center"/>
          </w:tcPr>
          <w:p>
            <w:pPr>
              <w:pStyle w:val="52"/>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538" w:type="dxa"/>
            <w:vAlign w:val="center"/>
          </w:tcPr>
          <w:p>
            <w:pPr>
              <w:pStyle w:val="52"/>
            </w:pPr>
            <w:r>
              <w:t>固体废物</w:t>
            </w:r>
          </w:p>
        </w:tc>
        <w:tc>
          <w:tcPr>
            <w:tcW w:w="7262" w:type="dxa"/>
            <w:gridSpan w:val="4"/>
            <w:vAlign w:val="center"/>
          </w:tcPr>
          <w:p>
            <w:pPr>
              <w:pStyle w:val="52"/>
              <w:ind w:firstLine="420" w:firstLineChars="200"/>
              <w:jc w:val="both"/>
            </w:pPr>
            <w:r>
              <w:t>一般工业固废暂存于一般工业固废暂存间，建筑面积约为10</w:t>
            </w:r>
            <w:r>
              <w:rPr>
                <w:rFonts w:hint="eastAsia"/>
              </w:rPr>
              <w:t>m</w:t>
            </w:r>
            <w:r>
              <w:rPr>
                <w:rFonts w:hint="eastAsia"/>
                <w:vertAlign w:val="superscript"/>
              </w:rPr>
              <w:t>2</w:t>
            </w:r>
            <w:r>
              <w:t>，定期交由物资回收单位回收利用；危险废物（</w:t>
            </w:r>
            <w:r>
              <w:rPr>
                <w:rFonts w:hint="eastAsia"/>
              </w:rPr>
              <w:t>废油料桶、废紫外灯管、废活性炭、废含油抹布及劳保用品、废含油冷凝废液、废润滑油、废润滑油桶</w:t>
            </w:r>
            <w:r>
              <w:t>）暂存于危废暂存间内，建筑面积约为10</w:t>
            </w:r>
            <w:r>
              <w:rPr>
                <w:rFonts w:hint="eastAsia"/>
              </w:rPr>
              <w:t>m</w:t>
            </w:r>
            <w:r>
              <w:rPr>
                <w:rFonts w:hint="eastAsia"/>
                <w:vertAlign w:val="superscript"/>
              </w:rPr>
              <w:t>2</w:t>
            </w:r>
            <w:r>
              <w:t>，定期交具有危废处理的资质单位处理；生活垃圾交由环卫部门统一清运处理。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1538" w:type="dxa"/>
            <w:vAlign w:val="center"/>
          </w:tcPr>
          <w:p>
            <w:pPr>
              <w:pStyle w:val="52"/>
            </w:pPr>
            <w:r>
              <w:t>土壤及地下水</w:t>
            </w:r>
          </w:p>
          <w:p>
            <w:pPr>
              <w:pStyle w:val="52"/>
            </w:pPr>
            <w:r>
              <w:t>污染防治措施</w:t>
            </w:r>
          </w:p>
        </w:tc>
        <w:tc>
          <w:tcPr>
            <w:tcW w:w="7262" w:type="dxa"/>
            <w:gridSpan w:val="4"/>
            <w:vAlign w:val="center"/>
          </w:tcPr>
          <w:p>
            <w:pPr>
              <w:pStyle w:val="52"/>
              <w:jc w:val="both"/>
            </w:pPr>
            <w:r>
              <w:t>整个车间分为一般防渗区和重点防渗区，</w:t>
            </w:r>
            <w:r>
              <w:rPr>
                <w:rFonts w:hint="eastAsia"/>
              </w:rPr>
              <w:t>油料库房、备件房、危废暂存间</w:t>
            </w:r>
            <w:r>
              <w:t>划为重点防渗区，生产车间其他区域和一般固废暂存间为一般防渗区</w:t>
            </w:r>
            <w:r>
              <w:rPr>
                <w:rFonts w:hint="eastAsia"/>
              </w:rPr>
              <w:t>，办公区为简单防渗区。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1538" w:type="dxa"/>
            <w:vAlign w:val="center"/>
          </w:tcPr>
          <w:p>
            <w:pPr>
              <w:pStyle w:val="52"/>
            </w:pPr>
            <w:r>
              <w:t>生态保护措施</w:t>
            </w:r>
          </w:p>
        </w:tc>
        <w:tc>
          <w:tcPr>
            <w:tcW w:w="7262" w:type="dxa"/>
            <w:gridSpan w:val="4"/>
            <w:vAlign w:val="center"/>
          </w:tcPr>
          <w:p>
            <w:pPr>
              <w:pStyle w:val="52"/>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7" w:hRule="atLeast"/>
          <w:jc w:val="center"/>
        </w:trPr>
        <w:tc>
          <w:tcPr>
            <w:tcW w:w="1538" w:type="dxa"/>
            <w:vAlign w:val="center"/>
          </w:tcPr>
          <w:p>
            <w:pPr>
              <w:pStyle w:val="52"/>
              <w:rPr>
                <w:spacing w:val="-8"/>
              </w:rPr>
            </w:pPr>
            <w:r>
              <w:rPr>
                <w:spacing w:val="-8"/>
              </w:rPr>
              <w:t>环境风险</w:t>
            </w:r>
          </w:p>
          <w:p>
            <w:pPr>
              <w:pStyle w:val="52"/>
              <w:rPr>
                <w:spacing w:val="-8"/>
              </w:rPr>
            </w:pPr>
            <w:r>
              <w:rPr>
                <w:spacing w:val="-8"/>
              </w:rPr>
              <w:t>防范措施</w:t>
            </w:r>
          </w:p>
        </w:tc>
        <w:tc>
          <w:tcPr>
            <w:tcW w:w="7262" w:type="dxa"/>
            <w:gridSpan w:val="4"/>
            <w:vAlign w:val="center"/>
          </w:tcPr>
          <w:p>
            <w:pPr>
              <w:pStyle w:val="52"/>
              <w:jc w:val="both"/>
            </w:pPr>
            <w:r>
              <w:rPr>
                <w:rFonts w:hint="eastAsia"/>
              </w:rPr>
              <w:t>①环烷油、硅油以及润滑油</w:t>
            </w:r>
            <w:r>
              <w:t>分类存储在</w:t>
            </w:r>
            <w:r>
              <w:rPr>
                <w:rFonts w:hint="eastAsia"/>
              </w:rPr>
              <w:t>不同的</w:t>
            </w:r>
            <w:r>
              <w:t>密闭的容器中，</w:t>
            </w:r>
            <w:r>
              <w:rPr>
                <w:rFonts w:hint="eastAsia"/>
              </w:rPr>
              <w:t>并在</w:t>
            </w:r>
            <w:r>
              <w:t>0</w:t>
            </w:r>
            <w:r>
              <w:rPr>
                <w:rFonts w:hint="eastAsia"/>
              </w:rPr>
              <w:t>～</w:t>
            </w:r>
            <w:r>
              <w:t>40</w:t>
            </w:r>
            <w:r>
              <w:rPr>
                <w:rFonts w:hint="eastAsia"/>
              </w:rPr>
              <w:t>℃</w:t>
            </w:r>
            <w:r>
              <w:t>室内贮存，避免极端低温、日光曝晒和雨淋，远离热源和火源</w:t>
            </w:r>
            <w:r>
              <w:rPr>
                <w:rFonts w:hint="eastAsia"/>
              </w:rPr>
              <w:t>；</w:t>
            </w:r>
            <w:r>
              <w:t>搬运过程中防止跌落或碰撞</w:t>
            </w:r>
            <w:r>
              <w:rPr>
                <w:rFonts w:hint="eastAsia"/>
              </w:rPr>
              <w:t>；液体危险废物：废润滑油、含油冷凝废液采用加盖收集桶储存，能够有效防止危险废物泄漏。</w:t>
            </w:r>
          </w:p>
          <w:p>
            <w:pPr>
              <w:pStyle w:val="52"/>
              <w:jc w:val="both"/>
            </w:pPr>
            <w:r>
              <w:rPr>
                <w:rFonts w:hint="eastAsia"/>
              </w:rPr>
              <w:t>②厂房油料库房、备件房、危废暂存间按重点防渗区防渗处理。重点防渗区地面与裙脚用坚固、防腐防渗材料建造，参照</w:t>
            </w:r>
            <w:r>
              <w:t>《危险废物贮存污染控制标准》（GB18597-2023）</w:t>
            </w:r>
            <w:r>
              <w:rPr>
                <w:rFonts w:hint="eastAsia"/>
              </w:rPr>
              <w:t>，重点防渗区</w:t>
            </w:r>
            <w:r>
              <w:t>防渗性能要求不低</w:t>
            </w:r>
            <w:r>
              <w:rPr>
                <w:rFonts w:hint="eastAsia"/>
              </w:rPr>
              <w:t>于</w:t>
            </w:r>
            <w:r>
              <w:t>1.0m厚渗透系数为1.0×10</w:t>
            </w:r>
            <w:r>
              <w:rPr>
                <w:vertAlign w:val="superscript"/>
              </w:rPr>
              <w:t>-</w:t>
            </w:r>
            <w:r>
              <w:rPr>
                <w:rFonts w:hint="eastAsia"/>
                <w:vertAlign w:val="superscript"/>
              </w:rPr>
              <w:t>7</w:t>
            </w:r>
            <w:r>
              <w:t>cm/s的黏土层防渗性能</w:t>
            </w:r>
            <w:r>
              <w:rPr>
                <w:rFonts w:hint="eastAsia"/>
              </w:rPr>
              <w:t>，或至少2mm厚高密度聚乙烯膜等人工防渗材料（渗透系数不大于10</w:t>
            </w:r>
            <w:r>
              <w:rPr>
                <w:rFonts w:hint="eastAsia"/>
                <w:vertAlign w:val="superscript"/>
              </w:rPr>
              <w:t>-10</w:t>
            </w:r>
            <w:r>
              <w:rPr>
                <w:rFonts w:hint="eastAsia"/>
              </w:rPr>
              <w:t>cm/s），或其他防渗性能等效的材料</w:t>
            </w:r>
            <w:r>
              <w:t>。</w:t>
            </w:r>
          </w:p>
          <w:p>
            <w:pPr>
              <w:pStyle w:val="52"/>
              <w:jc w:val="both"/>
            </w:pPr>
            <w:r>
              <w:rPr>
                <w:rFonts w:hint="eastAsia"/>
              </w:rPr>
              <w:t>③建立严格的火灾防范环境管理制度及操作规程，按要求严格进行操作人员培训，相关人员严格遵守火灾防范的各项规章制度。禁止火源进入油料房、危废暂存间等场所，禁火区均设置明显标志牌。</w:t>
            </w:r>
          </w:p>
          <w:p>
            <w:pPr>
              <w:pStyle w:val="52"/>
              <w:jc w:val="both"/>
            </w:pPr>
            <w:r>
              <w:rPr>
                <w:rFonts w:hint="eastAsia"/>
              </w:rPr>
              <w:t>④厂房内部配备消防栓和灭火器等应急设备。定期检查和维修火灾防范设施，及时发现问题及时解决，使事故发生率降至最低。</w:t>
            </w:r>
          </w:p>
          <w:p>
            <w:pPr>
              <w:pStyle w:val="52"/>
              <w:jc w:val="both"/>
            </w:pPr>
            <w:r>
              <w:rPr>
                <w:rFonts w:hint="eastAsia"/>
              </w:rPr>
              <w:t>⑤建立完善的安全生产管理制度、操作规范，加强生产工人安全环境意识教育。建立环境风险应急预案，明确人员责任。加强巡查，发现物料、生产线出现泄漏时，应及立即停止生产并补漏。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538" w:type="dxa"/>
            <w:vAlign w:val="center"/>
          </w:tcPr>
          <w:p>
            <w:pPr>
              <w:pStyle w:val="52"/>
              <w:rPr>
                <w:spacing w:val="-8"/>
              </w:rPr>
            </w:pPr>
            <w:r>
              <w:rPr>
                <w:spacing w:val="-8"/>
              </w:rPr>
              <w:t>其他环境</w:t>
            </w:r>
          </w:p>
          <w:p>
            <w:pPr>
              <w:pStyle w:val="52"/>
              <w:rPr>
                <w:spacing w:val="-8"/>
              </w:rPr>
            </w:pPr>
            <w:r>
              <w:rPr>
                <w:spacing w:val="-8"/>
              </w:rPr>
              <w:t>管理要求</w:t>
            </w:r>
          </w:p>
        </w:tc>
        <w:tc>
          <w:tcPr>
            <w:tcW w:w="7262" w:type="dxa"/>
            <w:gridSpan w:val="4"/>
            <w:vAlign w:val="center"/>
          </w:tcPr>
          <w:p>
            <w:pPr>
              <w:pStyle w:val="52"/>
            </w:pPr>
            <w:r>
              <w:rPr>
                <w:rFonts w:hint="eastAsia"/>
              </w:rPr>
              <w:t>完善环评提出的各项环保措施；</w:t>
            </w:r>
            <w:r>
              <w:t>设置环保管理人员；妥善保存各项环保手续和资料</w:t>
            </w:r>
            <w:r>
              <w:rPr>
                <w:rFonts w:hint="eastAsia"/>
              </w:rPr>
              <w:t>。</w:t>
            </w:r>
          </w:p>
        </w:tc>
      </w:tr>
    </w:tbl>
    <w:p>
      <w:pPr>
        <w:pStyle w:val="20"/>
        <w:jc w:val="center"/>
        <w:outlineLvl w:val="0"/>
        <w:rPr>
          <w:rFonts w:ascii="Times New Roman" w:hAnsi="Times New Roman" w:eastAsia="黑体"/>
          <w:snapToGrid w:val="0"/>
          <w:sz w:val="30"/>
          <w:szCs w:val="30"/>
        </w:rPr>
      </w:pPr>
      <w:r>
        <w:rPr>
          <w:rFonts w:ascii="Times New Roman" w:hAnsi="Times New Roman"/>
          <w:snapToGrid w:val="0"/>
        </w:rPr>
        <w:br w:type="page"/>
      </w:r>
      <w:r>
        <w:rPr>
          <w:rFonts w:ascii="Times New Roman" w:hAnsi="Times New Roman" w:eastAsia="黑体"/>
          <w:snapToGrid w:val="0"/>
          <w:sz w:val="30"/>
          <w:szCs w:val="30"/>
        </w:rPr>
        <w:t>六、结论</w:t>
      </w: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pPr>
              <w:spacing w:line="460" w:lineRule="exact"/>
              <w:ind w:firstLine="480" w:firstLineChars="200"/>
              <w:rPr>
                <w:sz w:val="24"/>
              </w:rPr>
            </w:pPr>
            <w:r>
              <w:rPr>
                <w:rFonts w:hint="eastAsia"/>
                <w:sz w:val="24"/>
              </w:rPr>
              <w:t>重庆聚合顺新材料有限公司</w:t>
            </w:r>
            <w:r>
              <w:rPr>
                <w:sz w:val="24"/>
              </w:rPr>
              <w:t>“</w:t>
            </w:r>
            <w:r>
              <w:rPr>
                <w:rFonts w:hint="eastAsia"/>
                <w:sz w:val="24"/>
              </w:rPr>
              <w:t>重庆聚合顺新材料有限公司新建高分子材料生产项目</w:t>
            </w:r>
            <w:r>
              <w:rPr>
                <w:sz w:val="24"/>
              </w:rPr>
              <w:t>”符合国家产业政策</w:t>
            </w:r>
            <w:r>
              <w:rPr>
                <w:rFonts w:hint="eastAsia"/>
                <w:sz w:val="24"/>
              </w:rPr>
              <w:t>，</w:t>
            </w:r>
            <w:r>
              <w:rPr>
                <w:sz w:val="24"/>
              </w:rPr>
              <w:t>项目采用的污染控制措施可靠，污染防治措施技术经济可行，能确保各种污染物稳定达标排放，在实施相应的污染防范和减缓措施后，对环境不会造成明显影响，不会改变区域环境功能。因此，在严格落实各项污染防治措施和风险防范措施后，从环境保护的角度看，项目的建设</w:t>
            </w:r>
            <w:r>
              <w:rPr>
                <w:rFonts w:hint="eastAsia"/>
                <w:sz w:val="24"/>
              </w:rPr>
              <w:t>环境影响</w:t>
            </w:r>
            <w:r>
              <w:rPr>
                <w:sz w:val="24"/>
              </w:rPr>
              <w:t>可行。</w:t>
            </w:r>
          </w:p>
        </w:tc>
      </w:tr>
    </w:tbl>
    <w:p>
      <w:pPr>
        <w:sectPr>
          <w:pgSz w:w="11906" w:h="16838"/>
          <w:pgMar w:top="1701" w:right="1531" w:bottom="1701" w:left="1531" w:header="851" w:footer="851" w:gutter="0"/>
          <w:cols w:space="720" w:num="1"/>
          <w:docGrid w:linePitch="312" w:charSpace="0"/>
        </w:sectPr>
      </w:pPr>
    </w:p>
    <w:p>
      <w:pPr>
        <w:pStyle w:val="20"/>
        <w:adjustRightInd w:val="0"/>
        <w:snapToGrid w:val="0"/>
        <w:spacing w:before="0" w:beforeAutospacing="0" w:after="0" w:afterAutospacing="0" w:line="648" w:lineRule="auto"/>
        <w:outlineLvl w:val="0"/>
        <w:rPr>
          <w:rFonts w:ascii="Times New Roman" w:hAnsi="Times New Roman" w:eastAsia="黑体"/>
          <w:snapToGrid w:val="0"/>
          <w:sz w:val="32"/>
          <w:szCs w:val="32"/>
        </w:rPr>
      </w:pPr>
      <w:r>
        <w:rPr>
          <w:rFonts w:ascii="Times New Roman" w:hAnsi="Times New Roman" w:eastAsia="黑体"/>
          <w:snapToGrid w:val="0"/>
          <w:sz w:val="32"/>
          <w:szCs w:val="32"/>
        </w:rPr>
        <w:t>附表</w:t>
      </w:r>
    </w:p>
    <w:p>
      <w:pPr>
        <w:pStyle w:val="20"/>
        <w:adjustRightInd w:val="0"/>
        <w:snapToGrid w:val="0"/>
        <w:spacing w:before="0" w:beforeAutospacing="0" w:after="0" w:afterAutospacing="0" w:line="552" w:lineRule="auto"/>
        <w:jc w:val="center"/>
        <w:outlineLvl w:val="0"/>
        <w:rPr>
          <w:rFonts w:ascii="Times New Roman" w:hAnsi="Times New Roman" w:eastAsia="方正小标宋_GBK"/>
          <w:snapToGrid w:val="0"/>
          <w:sz w:val="38"/>
          <w:szCs w:val="38"/>
        </w:rPr>
      </w:pPr>
      <w:r>
        <w:rPr>
          <w:rFonts w:ascii="Times New Roman" w:hAnsi="Times New Roman" w:eastAsia="方正小标宋_GBK"/>
          <w:snapToGrid w:val="0"/>
          <w:sz w:val="38"/>
          <w:szCs w:val="38"/>
        </w:rPr>
        <w:t>建设项目污染物排放量汇总表</w:t>
      </w:r>
    </w:p>
    <w:tbl>
      <w:tblPr>
        <w:tblStyle w:val="24"/>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959"/>
        <w:gridCol w:w="8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pPr>
              <w:pStyle w:val="44"/>
              <w:spacing w:beforeLines="0" w:afterLines="0" w:line="240" w:lineRule="auto"/>
              <w:jc w:val="right"/>
              <w:rPr>
                <w:rFonts w:ascii="Times New Roman" w:eastAsia="黑体"/>
                <w:snapToGrid w:val="0"/>
                <w:spacing w:val="-6"/>
                <w:kern w:val="21"/>
                <w:szCs w:val="21"/>
              </w:rPr>
            </w:pPr>
            <w:r>
              <w:rPr>
                <w:rFonts w:ascii="Times New Roman" w:eastAsia="黑体"/>
                <w:snapToGrid w:val="0"/>
                <w:spacing w:val="-6"/>
                <w:kern w:val="21"/>
                <w:szCs w:val="21"/>
              </w:rPr>
              <w:t>项目</w:t>
            </w:r>
          </w:p>
          <w:p>
            <w:pPr>
              <w:pStyle w:val="44"/>
              <w:spacing w:beforeLines="0" w:afterLines="0" w:line="240" w:lineRule="auto"/>
              <w:jc w:val="left"/>
              <w:rPr>
                <w:rFonts w:ascii="Times New Roman" w:eastAsia="黑体"/>
                <w:snapToGrid w:val="0"/>
                <w:spacing w:val="-6"/>
                <w:kern w:val="21"/>
                <w:szCs w:val="21"/>
              </w:rPr>
            </w:pPr>
            <w:r>
              <w:rPr>
                <w:rFonts w:ascii="Times New Roman" w:eastAsia="黑体"/>
                <w:snapToGrid w:val="0"/>
                <w:spacing w:val="-6"/>
                <w:kern w:val="21"/>
                <w:szCs w:val="21"/>
              </w:rPr>
              <w:t>分类</w:t>
            </w:r>
          </w:p>
        </w:tc>
        <w:tc>
          <w:tcPr>
            <w:tcW w:w="1417" w:type="dxa"/>
            <w:tcMar>
              <w:left w:w="28" w:type="dxa"/>
              <w:right w:w="28" w:type="dxa"/>
            </w:tcMar>
            <w:vAlign w:val="center"/>
          </w:tcPr>
          <w:p>
            <w:pPr>
              <w:pStyle w:val="44"/>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污染物名称</w:t>
            </w:r>
          </w:p>
        </w:tc>
        <w:tc>
          <w:tcPr>
            <w:tcW w:w="1701" w:type="dxa"/>
            <w:tcMar>
              <w:left w:w="28" w:type="dxa"/>
              <w:right w:w="28" w:type="dxa"/>
            </w:tcMar>
            <w:vAlign w:val="center"/>
          </w:tcPr>
          <w:p>
            <w:pPr>
              <w:pStyle w:val="44"/>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现有工程</w:t>
            </w:r>
          </w:p>
          <w:p>
            <w:pPr>
              <w:pStyle w:val="44"/>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1 \* GB3 \* MERGEFORMAT </w:instrText>
            </w:r>
            <w:r>
              <w:rPr>
                <w:rFonts w:ascii="Times New Roman" w:eastAsia="黑体"/>
                <w:snapToGrid w:val="0"/>
                <w:spacing w:val="-6"/>
                <w:kern w:val="21"/>
                <w:szCs w:val="21"/>
              </w:rPr>
              <w:fldChar w:fldCharType="separate"/>
            </w:r>
            <w:r>
              <w:rPr>
                <w:rFonts w:ascii="Times New Roman" w:eastAsia="黑体"/>
                <w:kern w:val="2"/>
                <w:szCs w:val="21"/>
              </w:rPr>
              <w:t>①</w:t>
            </w:r>
            <w:r>
              <w:rPr>
                <w:rFonts w:ascii="Times New Roman" w:eastAsia="黑体"/>
                <w:snapToGrid w:val="0"/>
                <w:spacing w:val="-6"/>
                <w:kern w:val="21"/>
                <w:szCs w:val="21"/>
              </w:rPr>
              <w:fldChar w:fldCharType="end"/>
            </w:r>
          </w:p>
        </w:tc>
        <w:tc>
          <w:tcPr>
            <w:tcW w:w="1276" w:type="dxa"/>
            <w:tcMar>
              <w:left w:w="28" w:type="dxa"/>
              <w:right w:w="28" w:type="dxa"/>
            </w:tcMar>
            <w:vAlign w:val="center"/>
          </w:tcPr>
          <w:p>
            <w:pPr>
              <w:pStyle w:val="44"/>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现有工程</w:t>
            </w:r>
          </w:p>
          <w:p>
            <w:pPr>
              <w:pStyle w:val="44"/>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许可排放量</w:t>
            </w:r>
          </w:p>
          <w:p>
            <w:pPr>
              <w:pStyle w:val="44"/>
              <w:spacing w:beforeLines="0" w:afterLines="0"/>
              <w:rPr>
                <w:rFonts w:ascii="Times New Roman" w:eastAsia="黑体"/>
                <w:snapToGrid w:val="0"/>
                <w:spacing w:val="-6"/>
                <w:kern w:val="21"/>
                <w:szCs w:val="21"/>
              </w:rPr>
            </w:pP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2 \* GB3 \* MERGEFORMAT </w:instrText>
            </w:r>
            <w:r>
              <w:rPr>
                <w:rFonts w:ascii="Times New Roman" w:eastAsia="黑体"/>
                <w:snapToGrid w:val="0"/>
                <w:spacing w:val="-6"/>
                <w:kern w:val="21"/>
                <w:szCs w:val="21"/>
              </w:rPr>
              <w:fldChar w:fldCharType="separate"/>
            </w:r>
            <w:r>
              <w:rPr>
                <w:rFonts w:ascii="Times New Roman" w:eastAsia="黑体"/>
                <w:snapToGrid w:val="0"/>
                <w:spacing w:val="-6"/>
                <w:kern w:val="21"/>
                <w:szCs w:val="21"/>
              </w:rPr>
              <w:t>②</w:t>
            </w:r>
            <w:r>
              <w:rPr>
                <w:rFonts w:ascii="Times New Roman" w:eastAsia="黑体"/>
                <w:snapToGrid w:val="0"/>
                <w:spacing w:val="-6"/>
                <w:kern w:val="21"/>
                <w:szCs w:val="21"/>
              </w:rPr>
              <w:fldChar w:fldCharType="end"/>
            </w:r>
          </w:p>
        </w:tc>
        <w:tc>
          <w:tcPr>
            <w:tcW w:w="1701" w:type="dxa"/>
            <w:tcMar>
              <w:left w:w="28" w:type="dxa"/>
              <w:right w:w="28" w:type="dxa"/>
            </w:tcMar>
            <w:vAlign w:val="center"/>
          </w:tcPr>
          <w:p>
            <w:pPr>
              <w:pStyle w:val="44"/>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在建工程</w:t>
            </w:r>
          </w:p>
          <w:p>
            <w:pPr>
              <w:pStyle w:val="44"/>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3 \* GB3 \* MERGEFORMAT </w:instrText>
            </w:r>
            <w:r>
              <w:rPr>
                <w:rFonts w:ascii="Times New Roman" w:eastAsia="黑体"/>
                <w:snapToGrid w:val="0"/>
                <w:spacing w:val="-6"/>
                <w:kern w:val="21"/>
                <w:szCs w:val="21"/>
              </w:rPr>
              <w:fldChar w:fldCharType="separate"/>
            </w:r>
            <w:r>
              <w:rPr>
                <w:rFonts w:ascii="Times New Roman" w:eastAsia="黑体"/>
                <w:kern w:val="2"/>
                <w:szCs w:val="21"/>
              </w:rPr>
              <w:t>③</w:t>
            </w:r>
            <w:r>
              <w:rPr>
                <w:rFonts w:ascii="Times New Roman" w:eastAsia="黑体"/>
                <w:snapToGrid w:val="0"/>
                <w:spacing w:val="-6"/>
                <w:kern w:val="21"/>
                <w:szCs w:val="21"/>
              </w:rPr>
              <w:fldChar w:fldCharType="end"/>
            </w:r>
          </w:p>
        </w:tc>
        <w:tc>
          <w:tcPr>
            <w:tcW w:w="1559" w:type="dxa"/>
            <w:tcMar>
              <w:left w:w="28" w:type="dxa"/>
              <w:right w:w="28" w:type="dxa"/>
            </w:tcMar>
            <w:vAlign w:val="center"/>
          </w:tcPr>
          <w:p>
            <w:pPr>
              <w:pStyle w:val="44"/>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本项目</w:t>
            </w:r>
          </w:p>
          <w:p>
            <w:pPr>
              <w:pStyle w:val="44"/>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4 \* GB3 \* MERGEFORMAT </w:instrText>
            </w:r>
            <w:r>
              <w:rPr>
                <w:rFonts w:ascii="Times New Roman" w:eastAsia="黑体"/>
                <w:snapToGrid w:val="0"/>
                <w:spacing w:val="-6"/>
                <w:kern w:val="21"/>
                <w:szCs w:val="21"/>
              </w:rPr>
              <w:fldChar w:fldCharType="separate"/>
            </w:r>
            <w:r>
              <w:rPr>
                <w:rFonts w:ascii="Times New Roman" w:eastAsia="黑体"/>
                <w:kern w:val="2"/>
                <w:szCs w:val="21"/>
              </w:rPr>
              <w:t>④</w:t>
            </w:r>
            <w:r>
              <w:rPr>
                <w:rFonts w:ascii="Times New Roman" w:eastAsia="黑体"/>
                <w:snapToGrid w:val="0"/>
                <w:spacing w:val="-6"/>
                <w:kern w:val="21"/>
                <w:szCs w:val="21"/>
              </w:rPr>
              <w:fldChar w:fldCharType="end"/>
            </w:r>
          </w:p>
        </w:tc>
        <w:tc>
          <w:tcPr>
            <w:tcW w:w="1761" w:type="dxa"/>
            <w:tcMar>
              <w:left w:w="28" w:type="dxa"/>
              <w:right w:w="28" w:type="dxa"/>
            </w:tcMar>
            <w:vAlign w:val="center"/>
          </w:tcPr>
          <w:p>
            <w:pPr>
              <w:pStyle w:val="44"/>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以新带老削减量</w:t>
            </w:r>
          </w:p>
          <w:p>
            <w:pPr>
              <w:pStyle w:val="44"/>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（新建项目不填）</w:t>
            </w:r>
            <w:r>
              <w:rPr>
                <w:rFonts w:ascii="Times New Roman" w:eastAsia="黑体"/>
                <w:snapToGrid w:val="0"/>
                <w:spacing w:val="-16"/>
                <w:kern w:val="21"/>
                <w:szCs w:val="21"/>
              </w:rPr>
              <w:fldChar w:fldCharType="begin"/>
            </w:r>
            <w:r>
              <w:rPr>
                <w:rFonts w:ascii="Times New Roman" w:eastAsia="黑体"/>
                <w:snapToGrid w:val="0"/>
                <w:spacing w:val="-16"/>
                <w:kern w:val="21"/>
                <w:szCs w:val="21"/>
              </w:rPr>
              <w:instrText xml:space="preserve"> = 5 \* GB3 \* MERGEFORMAT </w:instrText>
            </w:r>
            <w:r>
              <w:rPr>
                <w:rFonts w:ascii="Times New Roman" w:eastAsia="黑体"/>
                <w:snapToGrid w:val="0"/>
                <w:spacing w:val="-16"/>
                <w:kern w:val="21"/>
                <w:szCs w:val="21"/>
              </w:rPr>
              <w:fldChar w:fldCharType="separate"/>
            </w:r>
            <w:r>
              <w:rPr>
                <w:rFonts w:ascii="Times New Roman" w:eastAsia="黑体"/>
                <w:kern w:val="2"/>
                <w:szCs w:val="21"/>
              </w:rPr>
              <w:t>⑤</w:t>
            </w:r>
            <w:r>
              <w:rPr>
                <w:rFonts w:ascii="Times New Roman" w:eastAsia="黑体"/>
                <w:snapToGrid w:val="0"/>
                <w:spacing w:val="-16"/>
                <w:kern w:val="21"/>
                <w:szCs w:val="21"/>
              </w:rPr>
              <w:fldChar w:fldCharType="end"/>
            </w:r>
          </w:p>
        </w:tc>
        <w:tc>
          <w:tcPr>
            <w:tcW w:w="1959" w:type="dxa"/>
            <w:tcMar>
              <w:left w:w="28" w:type="dxa"/>
              <w:right w:w="28" w:type="dxa"/>
            </w:tcMar>
            <w:vAlign w:val="center"/>
          </w:tcPr>
          <w:p>
            <w:pPr>
              <w:pStyle w:val="44"/>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本项目建成后</w:t>
            </w:r>
          </w:p>
          <w:p>
            <w:pPr>
              <w:pStyle w:val="44"/>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全厂排放量（固体废物产生量）</w:t>
            </w:r>
            <w:r>
              <w:rPr>
                <w:rFonts w:ascii="Times New Roman" w:eastAsia="黑体"/>
                <w:snapToGrid w:val="0"/>
                <w:spacing w:val="-16"/>
                <w:kern w:val="21"/>
                <w:szCs w:val="21"/>
              </w:rPr>
              <w:fldChar w:fldCharType="begin"/>
            </w:r>
            <w:r>
              <w:rPr>
                <w:rFonts w:ascii="Times New Roman" w:eastAsia="黑体"/>
                <w:snapToGrid w:val="0"/>
                <w:spacing w:val="-16"/>
                <w:kern w:val="21"/>
                <w:szCs w:val="21"/>
              </w:rPr>
              <w:instrText xml:space="preserve"> = 6 \* GB3 \* MERGEFORMAT </w:instrText>
            </w:r>
            <w:r>
              <w:rPr>
                <w:rFonts w:ascii="Times New Roman" w:eastAsia="黑体"/>
                <w:snapToGrid w:val="0"/>
                <w:spacing w:val="-16"/>
                <w:kern w:val="21"/>
                <w:szCs w:val="21"/>
              </w:rPr>
              <w:fldChar w:fldCharType="separate"/>
            </w:r>
            <w:r>
              <w:rPr>
                <w:rFonts w:ascii="Times New Roman" w:eastAsia="黑体"/>
                <w:kern w:val="2"/>
                <w:szCs w:val="21"/>
              </w:rPr>
              <w:t>⑥</w:t>
            </w:r>
            <w:r>
              <w:rPr>
                <w:rFonts w:ascii="Times New Roman" w:eastAsia="黑体"/>
                <w:snapToGrid w:val="0"/>
                <w:spacing w:val="-16"/>
                <w:kern w:val="21"/>
                <w:szCs w:val="21"/>
              </w:rPr>
              <w:fldChar w:fldCharType="end"/>
            </w:r>
          </w:p>
        </w:tc>
        <w:tc>
          <w:tcPr>
            <w:tcW w:w="826" w:type="dxa"/>
            <w:tcMar>
              <w:left w:w="28" w:type="dxa"/>
              <w:right w:w="28" w:type="dxa"/>
            </w:tcMar>
            <w:vAlign w:val="center"/>
          </w:tcPr>
          <w:p>
            <w:pPr>
              <w:pStyle w:val="44"/>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变化量</w:t>
            </w:r>
          </w:p>
          <w:p>
            <w:pPr>
              <w:pStyle w:val="44"/>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7 \* GB3 \* MERGEFORMAT </w:instrText>
            </w:r>
            <w:r>
              <w:rPr>
                <w:rFonts w:ascii="Times New Roman" w:eastAsia="黑体"/>
                <w:snapToGrid w:val="0"/>
                <w:spacing w:val="-6"/>
                <w:kern w:val="21"/>
                <w:szCs w:val="21"/>
              </w:rPr>
              <w:fldChar w:fldCharType="separate"/>
            </w:r>
            <w:r>
              <w:rPr>
                <w:rFonts w:ascii="Times New Roman" w:eastAsia="黑体"/>
                <w:kern w:val="2"/>
                <w:szCs w:val="21"/>
              </w:rPr>
              <w:t>⑦</w:t>
            </w:r>
            <w:r>
              <w:rPr>
                <w:rFonts w:ascii="Times New Roman" w:eastAsia="黑体"/>
                <w:snapToGrid w:val="0"/>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废气</w:t>
            </w:r>
          </w:p>
        </w:tc>
        <w:tc>
          <w:tcPr>
            <w:tcW w:w="1417"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非甲烷总烃</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27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559" w:type="dxa"/>
            <w:vAlign w:val="center"/>
          </w:tcPr>
          <w:p>
            <w:pPr>
              <w:pStyle w:val="44"/>
              <w:spacing w:beforeLines="0" w:afterLines="0" w:line="240" w:lineRule="auto"/>
              <w:rPr>
                <w:rFonts w:ascii="Times New Roman"/>
                <w:snapToGrid w:val="0"/>
                <w:kern w:val="21"/>
                <w:szCs w:val="21"/>
              </w:rPr>
            </w:pPr>
            <w:r>
              <w:rPr>
                <w:rFonts w:ascii="Times New Roman"/>
                <w:szCs w:val="21"/>
              </w:rPr>
              <w:t>0.391t/a</w:t>
            </w:r>
          </w:p>
        </w:tc>
        <w:tc>
          <w:tcPr>
            <w:tcW w:w="176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959" w:type="dxa"/>
            <w:vAlign w:val="center"/>
          </w:tcPr>
          <w:p>
            <w:pPr>
              <w:pStyle w:val="44"/>
              <w:spacing w:beforeLines="0" w:afterLines="0" w:line="240" w:lineRule="auto"/>
              <w:rPr>
                <w:rFonts w:ascii="Times New Roman"/>
                <w:snapToGrid w:val="0"/>
                <w:kern w:val="21"/>
                <w:szCs w:val="21"/>
              </w:rPr>
            </w:pPr>
            <w:r>
              <w:rPr>
                <w:rFonts w:ascii="Times New Roman"/>
                <w:szCs w:val="21"/>
              </w:rPr>
              <w:t>0.391t/a</w:t>
            </w:r>
          </w:p>
        </w:tc>
        <w:tc>
          <w:tcPr>
            <w:tcW w:w="82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废水</w:t>
            </w:r>
          </w:p>
        </w:tc>
        <w:tc>
          <w:tcPr>
            <w:tcW w:w="1417" w:type="dxa"/>
            <w:vAlign w:val="center"/>
          </w:tcPr>
          <w:p>
            <w:pPr>
              <w:pStyle w:val="44"/>
              <w:spacing w:beforeLines="0" w:afterLines="0" w:line="240" w:lineRule="auto"/>
              <w:rPr>
                <w:rFonts w:ascii="Times New Roman"/>
                <w:snapToGrid w:val="0"/>
                <w:kern w:val="21"/>
                <w:szCs w:val="21"/>
              </w:rPr>
            </w:pPr>
            <w:r>
              <w:rPr>
                <w:rFonts w:ascii="Times New Roman"/>
                <w:szCs w:val="21"/>
              </w:rPr>
              <w:t>COD</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27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559" w:type="dxa"/>
            <w:vAlign w:val="center"/>
          </w:tcPr>
          <w:p>
            <w:pPr>
              <w:pStyle w:val="44"/>
              <w:spacing w:beforeLines="0" w:afterLines="0" w:line="240" w:lineRule="auto"/>
              <w:rPr>
                <w:rFonts w:ascii="Times New Roman"/>
                <w:snapToGrid w:val="0"/>
                <w:kern w:val="21"/>
                <w:szCs w:val="21"/>
              </w:rPr>
            </w:pPr>
            <w:r>
              <w:rPr>
                <w:rFonts w:ascii="Times New Roman"/>
                <w:szCs w:val="21"/>
              </w:rPr>
              <w:t>0.1188t/a</w:t>
            </w:r>
          </w:p>
        </w:tc>
        <w:tc>
          <w:tcPr>
            <w:tcW w:w="176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959" w:type="dxa"/>
            <w:vAlign w:val="center"/>
          </w:tcPr>
          <w:p>
            <w:pPr>
              <w:pStyle w:val="44"/>
              <w:spacing w:beforeLines="0" w:afterLines="0" w:line="240" w:lineRule="auto"/>
              <w:rPr>
                <w:rFonts w:ascii="Times New Roman"/>
                <w:snapToGrid w:val="0"/>
                <w:kern w:val="21"/>
                <w:szCs w:val="21"/>
              </w:rPr>
            </w:pPr>
            <w:r>
              <w:rPr>
                <w:rFonts w:ascii="Times New Roman"/>
                <w:szCs w:val="21"/>
              </w:rPr>
              <w:t>0.1188t/a</w:t>
            </w:r>
          </w:p>
        </w:tc>
        <w:tc>
          <w:tcPr>
            <w:tcW w:w="82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44"/>
              <w:spacing w:beforeLines="0" w:afterLines="0" w:line="240" w:lineRule="auto"/>
              <w:rPr>
                <w:rFonts w:ascii="Times New Roman"/>
                <w:snapToGrid w:val="0"/>
                <w:kern w:val="21"/>
                <w:szCs w:val="21"/>
              </w:rPr>
            </w:pPr>
          </w:p>
        </w:tc>
        <w:tc>
          <w:tcPr>
            <w:tcW w:w="1417" w:type="dxa"/>
            <w:vAlign w:val="center"/>
          </w:tcPr>
          <w:p>
            <w:pPr>
              <w:pStyle w:val="44"/>
              <w:spacing w:beforeLines="0" w:afterLines="0" w:line="240" w:lineRule="auto"/>
              <w:rPr>
                <w:rFonts w:ascii="Times New Roman"/>
                <w:snapToGrid w:val="0"/>
                <w:kern w:val="21"/>
                <w:szCs w:val="21"/>
              </w:rPr>
            </w:pPr>
            <w:r>
              <w:rPr>
                <w:rFonts w:ascii="Times New Roman"/>
                <w:szCs w:val="21"/>
              </w:rPr>
              <w:t>BOD</w:t>
            </w:r>
            <w:r>
              <w:rPr>
                <w:rFonts w:ascii="Times New Roman"/>
                <w:szCs w:val="21"/>
                <w:vertAlign w:val="subscript"/>
              </w:rPr>
              <w:t>5</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27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559" w:type="dxa"/>
            <w:vAlign w:val="center"/>
          </w:tcPr>
          <w:p>
            <w:pPr>
              <w:pStyle w:val="44"/>
              <w:spacing w:beforeLines="0" w:afterLines="0" w:line="240" w:lineRule="auto"/>
              <w:rPr>
                <w:rFonts w:ascii="Times New Roman"/>
                <w:snapToGrid w:val="0"/>
                <w:kern w:val="21"/>
                <w:szCs w:val="21"/>
              </w:rPr>
            </w:pPr>
            <w:r>
              <w:rPr>
                <w:rFonts w:ascii="Times New Roman"/>
                <w:szCs w:val="21"/>
              </w:rPr>
              <w:t>0.0594t/a</w:t>
            </w:r>
          </w:p>
        </w:tc>
        <w:tc>
          <w:tcPr>
            <w:tcW w:w="176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959" w:type="dxa"/>
            <w:vAlign w:val="center"/>
          </w:tcPr>
          <w:p>
            <w:pPr>
              <w:pStyle w:val="44"/>
              <w:spacing w:beforeLines="0" w:afterLines="0" w:line="240" w:lineRule="auto"/>
              <w:rPr>
                <w:rFonts w:ascii="Times New Roman"/>
                <w:snapToGrid w:val="0"/>
                <w:kern w:val="21"/>
                <w:szCs w:val="21"/>
              </w:rPr>
            </w:pPr>
            <w:r>
              <w:rPr>
                <w:rFonts w:ascii="Times New Roman"/>
                <w:szCs w:val="21"/>
              </w:rPr>
              <w:t>0.0594t/a</w:t>
            </w:r>
          </w:p>
        </w:tc>
        <w:tc>
          <w:tcPr>
            <w:tcW w:w="82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44"/>
              <w:spacing w:beforeLines="0" w:afterLines="0" w:line="240" w:lineRule="auto"/>
              <w:rPr>
                <w:rFonts w:ascii="Times New Roman"/>
                <w:snapToGrid w:val="0"/>
                <w:kern w:val="21"/>
                <w:szCs w:val="21"/>
              </w:rPr>
            </w:pPr>
          </w:p>
        </w:tc>
        <w:tc>
          <w:tcPr>
            <w:tcW w:w="1417" w:type="dxa"/>
            <w:vAlign w:val="center"/>
          </w:tcPr>
          <w:p>
            <w:pPr>
              <w:pStyle w:val="44"/>
              <w:spacing w:beforeLines="0" w:afterLines="0" w:line="240" w:lineRule="auto"/>
              <w:rPr>
                <w:rFonts w:ascii="Times New Roman"/>
                <w:snapToGrid w:val="0"/>
                <w:kern w:val="21"/>
                <w:szCs w:val="21"/>
              </w:rPr>
            </w:pPr>
            <w:r>
              <w:rPr>
                <w:rFonts w:ascii="Times New Roman"/>
                <w:szCs w:val="21"/>
              </w:rPr>
              <w:t>SS</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27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559" w:type="dxa"/>
            <w:vAlign w:val="center"/>
          </w:tcPr>
          <w:p>
            <w:pPr>
              <w:pStyle w:val="44"/>
              <w:spacing w:beforeLines="0" w:afterLines="0" w:line="240" w:lineRule="auto"/>
              <w:rPr>
                <w:rFonts w:ascii="Times New Roman"/>
                <w:snapToGrid w:val="0"/>
                <w:kern w:val="21"/>
                <w:szCs w:val="21"/>
              </w:rPr>
            </w:pPr>
            <w:r>
              <w:rPr>
                <w:rFonts w:ascii="Times New Roman"/>
                <w:szCs w:val="21"/>
              </w:rPr>
              <w:t>0.0891t/a</w:t>
            </w:r>
          </w:p>
        </w:tc>
        <w:tc>
          <w:tcPr>
            <w:tcW w:w="176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959" w:type="dxa"/>
            <w:vAlign w:val="center"/>
          </w:tcPr>
          <w:p>
            <w:pPr>
              <w:pStyle w:val="44"/>
              <w:spacing w:beforeLines="0" w:afterLines="0" w:line="240" w:lineRule="auto"/>
              <w:rPr>
                <w:rFonts w:ascii="Times New Roman"/>
                <w:snapToGrid w:val="0"/>
                <w:kern w:val="21"/>
                <w:szCs w:val="21"/>
              </w:rPr>
            </w:pPr>
            <w:r>
              <w:rPr>
                <w:rFonts w:ascii="Times New Roman"/>
                <w:szCs w:val="21"/>
              </w:rPr>
              <w:t>0.0891t/a</w:t>
            </w:r>
          </w:p>
        </w:tc>
        <w:tc>
          <w:tcPr>
            <w:tcW w:w="82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44"/>
              <w:spacing w:beforeLines="0" w:afterLines="0" w:line="240" w:lineRule="auto"/>
              <w:rPr>
                <w:rFonts w:ascii="Times New Roman"/>
                <w:snapToGrid w:val="0"/>
                <w:kern w:val="21"/>
                <w:szCs w:val="21"/>
              </w:rPr>
            </w:pPr>
          </w:p>
        </w:tc>
        <w:tc>
          <w:tcPr>
            <w:tcW w:w="1417" w:type="dxa"/>
            <w:vAlign w:val="center"/>
          </w:tcPr>
          <w:p>
            <w:pPr>
              <w:pStyle w:val="44"/>
              <w:spacing w:beforeLines="0" w:afterLines="0" w:line="240" w:lineRule="auto"/>
              <w:rPr>
                <w:rFonts w:ascii="Times New Roman"/>
                <w:snapToGrid w:val="0"/>
                <w:kern w:val="21"/>
                <w:szCs w:val="21"/>
              </w:rPr>
            </w:pPr>
            <w:r>
              <w:rPr>
                <w:rFonts w:ascii="Times New Roman"/>
                <w:szCs w:val="21"/>
              </w:rPr>
              <w:t>NH</w:t>
            </w:r>
            <w:r>
              <w:rPr>
                <w:rFonts w:ascii="Times New Roman"/>
                <w:szCs w:val="21"/>
                <w:vertAlign w:val="subscript"/>
              </w:rPr>
              <w:t>3</w:t>
            </w:r>
            <w:r>
              <w:rPr>
                <w:rFonts w:ascii="Times New Roman"/>
                <w:szCs w:val="21"/>
              </w:rPr>
              <w:t>-N</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27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559" w:type="dxa"/>
            <w:vAlign w:val="center"/>
          </w:tcPr>
          <w:p>
            <w:pPr>
              <w:pStyle w:val="44"/>
              <w:spacing w:beforeLines="0" w:afterLines="0" w:line="240" w:lineRule="auto"/>
              <w:rPr>
                <w:rFonts w:ascii="Times New Roman"/>
                <w:snapToGrid w:val="0"/>
                <w:kern w:val="21"/>
                <w:szCs w:val="21"/>
              </w:rPr>
            </w:pPr>
            <w:r>
              <w:rPr>
                <w:rFonts w:ascii="Times New Roman"/>
                <w:szCs w:val="21"/>
              </w:rPr>
              <w:t>0.0119t/a</w:t>
            </w:r>
          </w:p>
        </w:tc>
        <w:tc>
          <w:tcPr>
            <w:tcW w:w="176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959" w:type="dxa"/>
            <w:vAlign w:val="center"/>
          </w:tcPr>
          <w:p>
            <w:pPr>
              <w:pStyle w:val="44"/>
              <w:spacing w:beforeLines="0" w:afterLines="0" w:line="240" w:lineRule="auto"/>
              <w:rPr>
                <w:rFonts w:ascii="Times New Roman"/>
                <w:snapToGrid w:val="0"/>
                <w:kern w:val="21"/>
                <w:szCs w:val="21"/>
              </w:rPr>
            </w:pPr>
            <w:r>
              <w:rPr>
                <w:rFonts w:ascii="Times New Roman"/>
                <w:szCs w:val="21"/>
              </w:rPr>
              <w:t>0.0119t/a</w:t>
            </w:r>
          </w:p>
        </w:tc>
        <w:tc>
          <w:tcPr>
            <w:tcW w:w="82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一般工业</w:t>
            </w:r>
          </w:p>
          <w:p>
            <w:pPr>
              <w:pStyle w:val="44"/>
              <w:spacing w:beforeLines="0" w:afterLines="0" w:line="240" w:lineRule="auto"/>
              <w:rPr>
                <w:rFonts w:ascii="Times New Roman"/>
                <w:snapToGrid w:val="0"/>
                <w:kern w:val="21"/>
                <w:szCs w:val="21"/>
              </w:rPr>
            </w:pPr>
            <w:r>
              <w:rPr>
                <w:rFonts w:ascii="Times New Roman"/>
                <w:snapToGrid w:val="0"/>
                <w:kern w:val="21"/>
                <w:szCs w:val="21"/>
              </w:rPr>
              <w:t>固体废物</w:t>
            </w:r>
          </w:p>
        </w:tc>
        <w:tc>
          <w:tcPr>
            <w:tcW w:w="1417" w:type="dxa"/>
            <w:vAlign w:val="center"/>
          </w:tcPr>
          <w:p>
            <w:pPr>
              <w:pStyle w:val="44"/>
              <w:spacing w:beforeLines="0" w:afterLines="0" w:line="240" w:lineRule="auto"/>
              <w:rPr>
                <w:rFonts w:ascii="Times New Roman"/>
                <w:snapToGrid w:val="0"/>
                <w:kern w:val="21"/>
                <w:szCs w:val="21"/>
              </w:rPr>
            </w:pPr>
            <w:r>
              <w:rPr>
                <w:rFonts w:hint="eastAsia"/>
              </w:rPr>
              <w:t>废边角料</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27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559" w:type="dxa"/>
            <w:vAlign w:val="center"/>
          </w:tcPr>
          <w:p>
            <w:pPr>
              <w:pStyle w:val="44"/>
              <w:spacing w:beforeLines="0" w:afterLines="0" w:line="240" w:lineRule="auto"/>
              <w:rPr>
                <w:rFonts w:ascii="Times New Roman"/>
                <w:snapToGrid w:val="0"/>
                <w:kern w:val="21"/>
                <w:szCs w:val="21"/>
              </w:rPr>
            </w:pPr>
            <w:r>
              <w:rPr>
                <w:rFonts w:ascii="Times New Roman"/>
                <w:szCs w:val="21"/>
              </w:rPr>
              <w:t>0.4t/a</w:t>
            </w:r>
          </w:p>
        </w:tc>
        <w:tc>
          <w:tcPr>
            <w:tcW w:w="176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959" w:type="dxa"/>
            <w:vAlign w:val="center"/>
          </w:tcPr>
          <w:p>
            <w:pPr>
              <w:pStyle w:val="44"/>
              <w:spacing w:beforeLines="0" w:afterLines="0" w:line="240" w:lineRule="auto"/>
              <w:rPr>
                <w:rFonts w:ascii="Times New Roman"/>
                <w:snapToGrid w:val="0"/>
                <w:kern w:val="21"/>
                <w:szCs w:val="21"/>
              </w:rPr>
            </w:pPr>
            <w:r>
              <w:rPr>
                <w:rFonts w:ascii="Times New Roman"/>
                <w:szCs w:val="21"/>
              </w:rPr>
              <w:t>0.4t/a</w:t>
            </w:r>
          </w:p>
        </w:tc>
        <w:tc>
          <w:tcPr>
            <w:tcW w:w="82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44"/>
              <w:spacing w:beforeLines="0" w:afterLines="0" w:line="240" w:lineRule="auto"/>
              <w:rPr>
                <w:rFonts w:ascii="Times New Roman"/>
                <w:snapToGrid w:val="0"/>
                <w:kern w:val="21"/>
                <w:szCs w:val="21"/>
              </w:rPr>
            </w:pPr>
          </w:p>
        </w:tc>
        <w:tc>
          <w:tcPr>
            <w:tcW w:w="1417" w:type="dxa"/>
            <w:vAlign w:val="center"/>
          </w:tcPr>
          <w:p>
            <w:pPr>
              <w:pStyle w:val="44"/>
              <w:spacing w:beforeLines="0" w:afterLines="0" w:line="240" w:lineRule="auto"/>
            </w:pPr>
            <w:r>
              <w:rPr>
                <w:rFonts w:hint="eastAsia"/>
              </w:rPr>
              <w:t>不合格品</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27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559" w:type="dxa"/>
            <w:vAlign w:val="center"/>
          </w:tcPr>
          <w:p>
            <w:pPr>
              <w:pStyle w:val="44"/>
              <w:spacing w:beforeLines="0" w:afterLines="0" w:line="240" w:lineRule="auto"/>
              <w:rPr>
                <w:rFonts w:ascii="Times New Roman"/>
                <w:szCs w:val="21"/>
              </w:rPr>
            </w:pPr>
            <w:r>
              <w:rPr>
                <w:rFonts w:ascii="Times New Roman"/>
                <w:szCs w:val="21"/>
              </w:rPr>
              <w:t>0.4t/a</w:t>
            </w:r>
          </w:p>
        </w:tc>
        <w:tc>
          <w:tcPr>
            <w:tcW w:w="176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959" w:type="dxa"/>
            <w:vAlign w:val="center"/>
          </w:tcPr>
          <w:p>
            <w:pPr>
              <w:pStyle w:val="44"/>
              <w:spacing w:beforeLines="0" w:afterLines="0" w:line="240" w:lineRule="auto"/>
              <w:rPr>
                <w:rFonts w:ascii="Times New Roman"/>
                <w:szCs w:val="21"/>
              </w:rPr>
            </w:pPr>
            <w:r>
              <w:rPr>
                <w:rFonts w:ascii="Times New Roman"/>
                <w:szCs w:val="21"/>
              </w:rPr>
              <w:t>0.4t/a</w:t>
            </w:r>
          </w:p>
        </w:tc>
        <w:tc>
          <w:tcPr>
            <w:tcW w:w="82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44"/>
              <w:spacing w:beforeLines="0" w:afterLines="0" w:line="240" w:lineRule="auto"/>
              <w:rPr>
                <w:rFonts w:ascii="Times New Roman"/>
                <w:snapToGrid w:val="0"/>
                <w:kern w:val="21"/>
                <w:szCs w:val="21"/>
              </w:rPr>
            </w:pPr>
          </w:p>
        </w:tc>
        <w:tc>
          <w:tcPr>
            <w:tcW w:w="1417" w:type="dxa"/>
            <w:vAlign w:val="center"/>
          </w:tcPr>
          <w:p>
            <w:pPr>
              <w:pStyle w:val="44"/>
              <w:spacing w:beforeLines="0" w:afterLines="0" w:line="240" w:lineRule="auto"/>
            </w:pPr>
            <w:r>
              <w:rPr>
                <w:rFonts w:hint="eastAsia"/>
              </w:rPr>
              <w:t>废包装</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27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559" w:type="dxa"/>
            <w:vAlign w:val="center"/>
          </w:tcPr>
          <w:p>
            <w:pPr>
              <w:pStyle w:val="44"/>
              <w:spacing w:beforeLines="0" w:afterLines="0" w:line="240" w:lineRule="auto"/>
              <w:rPr>
                <w:rFonts w:ascii="Times New Roman"/>
                <w:szCs w:val="21"/>
              </w:rPr>
            </w:pPr>
            <w:r>
              <w:rPr>
                <w:rFonts w:ascii="Times New Roman"/>
                <w:szCs w:val="21"/>
              </w:rPr>
              <w:t>1t/a</w:t>
            </w:r>
          </w:p>
        </w:tc>
        <w:tc>
          <w:tcPr>
            <w:tcW w:w="176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959" w:type="dxa"/>
            <w:vAlign w:val="center"/>
          </w:tcPr>
          <w:p>
            <w:pPr>
              <w:pStyle w:val="44"/>
              <w:spacing w:beforeLines="0" w:afterLines="0" w:line="240" w:lineRule="auto"/>
              <w:rPr>
                <w:rFonts w:ascii="Times New Roman"/>
                <w:szCs w:val="21"/>
              </w:rPr>
            </w:pPr>
            <w:r>
              <w:rPr>
                <w:rFonts w:ascii="Times New Roman"/>
                <w:szCs w:val="21"/>
              </w:rPr>
              <w:t>1t/a</w:t>
            </w:r>
          </w:p>
        </w:tc>
        <w:tc>
          <w:tcPr>
            <w:tcW w:w="82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危险废物</w:t>
            </w:r>
          </w:p>
        </w:tc>
        <w:tc>
          <w:tcPr>
            <w:tcW w:w="1417" w:type="dxa"/>
            <w:vAlign w:val="center"/>
          </w:tcPr>
          <w:p>
            <w:pPr>
              <w:pStyle w:val="44"/>
              <w:spacing w:beforeLines="0" w:afterLines="0" w:line="240" w:lineRule="auto"/>
              <w:rPr>
                <w:rFonts w:ascii="Times New Roman"/>
                <w:snapToGrid w:val="0"/>
                <w:kern w:val="21"/>
                <w:szCs w:val="21"/>
              </w:rPr>
            </w:pPr>
            <w:r>
              <w:rPr>
                <w:rFonts w:hint="eastAsia"/>
              </w:rPr>
              <w:t>废油料桶</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27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559" w:type="dxa"/>
            <w:vAlign w:val="center"/>
          </w:tcPr>
          <w:p>
            <w:pPr>
              <w:pStyle w:val="44"/>
              <w:spacing w:beforeLines="0" w:afterLines="0" w:line="240" w:lineRule="auto"/>
              <w:rPr>
                <w:rFonts w:ascii="Times New Roman"/>
                <w:snapToGrid w:val="0"/>
                <w:kern w:val="21"/>
                <w:szCs w:val="21"/>
              </w:rPr>
            </w:pPr>
            <w:r>
              <w:rPr>
                <w:rFonts w:ascii="Times New Roman"/>
                <w:szCs w:val="21"/>
              </w:rPr>
              <w:t>5t/a</w:t>
            </w:r>
          </w:p>
        </w:tc>
        <w:tc>
          <w:tcPr>
            <w:tcW w:w="176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959" w:type="dxa"/>
            <w:vAlign w:val="center"/>
          </w:tcPr>
          <w:p>
            <w:pPr>
              <w:pStyle w:val="44"/>
              <w:spacing w:beforeLines="0" w:afterLines="0" w:line="240" w:lineRule="auto"/>
              <w:rPr>
                <w:rFonts w:ascii="Times New Roman"/>
                <w:snapToGrid w:val="0"/>
                <w:kern w:val="21"/>
                <w:szCs w:val="21"/>
              </w:rPr>
            </w:pPr>
            <w:r>
              <w:rPr>
                <w:rFonts w:ascii="Times New Roman"/>
                <w:szCs w:val="21"/>
              </w:rPr>
              <w:t>5t/a</w:t>
            </w:r>
          </w:p>
        </w:tc>
        <w:tc>
          <w:tcPr>
            <w:tcW w:w="82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44"/>
              <w:spacing w:beforeLines="0" w:afterLines="0" w:line="240" w:lineRule="auto"/>
              <w:rPr>
                <w:rFonts w:ascii="Times New Roman"/>
                <w:snapToGrid w:val="0"/>
                <w:kern w:val="21"/>
                <w:szCs w:val="21"/>
              </w:rPr>
            </w:pPr>
          </w:p>
        </w:tc>
        <w:tc>
          <w:tcPr>
            <w:tcW w:w="1417" w:type="dxa"/>
            <w:vAlign w:val="center"/>
          </w:tcPr>
          <w:p>
            <w:pPr>
              <w:pStyle w:val="44"/>
              <w:spacing w:beforeLines="0" w:afterLines="0" w:line="240" w:lineRule="auto"/>
              <w:rPr>
                <w:rFonts w:ascii="Times New Roman"/>
                <w:snapToGrid w:val="0"/>
                <w:kern w:val="21"/>
                <w:szCs w:val="21"/>
              </w:rPr>
            </w:pPr>
            <w:r>
              <w:rPr>
                <w:rFonts w:ascii="Times New Roman"/>
              </w:rPr>
              <w:t>废UV灯管</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27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559" w:type="dxa"/>
            <w:vAlign w:val="center"/>
          </w:tcPr>
          <w:p>
            <w:pPr>
              <w:pStyle w:val="44"/>
              <w:spacing w:beforeLines="0" w:afterLines="0" w:line="240" w:lineRule="auto"/>
              <w:rPr>
                <w:rFonts w:ascii="Times New Roman"/>
                <w:snapToGrid w:val="0"/>
                <w:kern w:val="21"/>
                <w:szCs w:val="21"/>
              </w:rPr>
            </w:pPr>
            <w:r>
              <w:rPr>
                <w:rFonts w:ascii="Times New Roman"/>
                <w:szCs w:val="21"/>
              </w:rPr>
              <w:t>0.02t/a</w:t>
            </w:r>
          </w:p>
        </w:tc>
        <w:tc>
          <w:tcPr>
            <w:tcW w:w="176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959" w:type="dxa"/>
            <w:vAlign w:val="center"/>
          </w:tcPr>
          <w:p>
            <w:pPr>
              <w:pStyle w:val="44"/>
              <w:spacing w:beforeLines="0" w:afterLines="0" w:line="240" w:lineRule="auto"/>
              <w:rPr>
                <w:rFonts w:ascii="Times New Roman"/>
                <w:snapToGrid w:val="0"/>
                <w:kern w:val="21"/>
                <w:szCs w:val="21"/>
              </w:rPr>
            </w:pPr>
            <w:r>
              <w:rPr>
                <w:rFonts w:ascii="Times New Roman"/>
                <w:szCs w:val="21"/>
              </w:rPr>
              <w:t>0.02t/a</w:t>
            </w:r>
          </w:p>
        </w:tc>
        <w:tc>
          <w:tcPr>
            <w:tcW w:w="82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44"/>
              <w:spacing w:beforeLines="0" w:afterLines="0" w:line="240" w:lineRule="auto"/>
              <w:rPr>
                <w:rFonts w:ascii="Times New Roman"/>
                <w:snapToGrid w:val="0"/>
                <w:kern w:val="21"/>
                <w:szCs w:val="21"/>
              </w:rPr>
            </w:pPr>
          </w:p>
        </w:tc>
        <w:tc>
          <w:tcPr>
            <w:tcW w:w="1417" w:type="dxa"/>
            <w:vAlign w:val="center"/>
          </w:tcPr>
          <w:p>
            <w:pPr>
              <w:pStyle w:val="44"/>
              <w:spacing w:beforeLines="0" w:afterLines="0" w:line="240" w:lineRule="auto"/>
              <w:rPr>
                <w:rFonts w:ascii="Times New Roman"/>
                <w:snapToGrid w:val="0"/>
                <w:kern w:val="21"/>
                <w:szCs w:val="21"/>
              </w:rPr>
            </w:pPr>
            <w:r>
              <w:rPr>
                <w:rFonts w:hint="eastAsia"/>
              </w:rPr>
              <w:t>废活性炭</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27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559" w:type="dxa"/>
            <w:vAlign w:val="center"/>
          </w:tcPr>
          <w:p>
            <w:pPr>
              <w:pStyle w:val="44"/>
              <w:spacing w:beforeLines="0" w:afterLines="0" w:line="240" w:lineRule="auto"/>
              <w:rPr>
                <w:rFonts w:ascii="Times New Roman"/>
                <w:snapToGrid w:val="0"/>
                <w:kern w:val="21"/>
                <w:szCs w:val="21"/>
              </w:rPr>
            </w:pPr>
            <w:r>
              <w:rPr>
                <w:rFonts w:ascii="Times New Roman"/>
                <w:szCs w:val="21"/>
              </w:rPr>
              <w:t>39t/a</w:t>
            </w:r>
          </w:p>
        </w:tc>
        <w:tc>
          <w:tcPr>
            <w:tcW w:w="176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959" w:type="dxa"/>
            <w:vAlign w:val="center"/>
          </w:tcPr>
          <w:p>
            <w:pPr>
              <w:pStyle w:val="44"/>
              <w:spacing w:beforeLines="0" w:afterLines="0" w:line="240" w:lineRule="auto"/>
              <w:rPr>
                <w:rFonts w:ascii="Times New Roman"/>
                <w:snapToGrid w:val="0"/>
                <w:kern w:val="21"/>
                <w:szCs w:val="21"/>
              </w:rPr>
            </w:pPr>
            <w:r>
              <w:rPr>
                <w:rFonts w:ascii="Times New Roman"/>
                <w:szCs w:val="21"/>
              </w:rPr>
              <w:t>39t/a</w:t>
            </w:r>
          </w:p>
        </w:tc>
        <w:tc>
          <w:tcPr>
            <w:tcW w:w="82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44"/>
              <w:spacing w:beforeLines="0" w:afterLines="0" w:line="240" w:lineRule="auto"/>
              <w:rPr>
                <w:rFonts w:ascii="Times New Roman"/>
                <w:snapToGrid w:val="0"/>
                <w:kern w:val="21"/>
                <w:szCs w:val="21"/>
              </w:rPr>
            </w:pPr>
          </w:p>
        </w:tc>
        <w:tc>
          <w:tcPr>
            <w:tcW w:w="1417" w:type="dxa"/>
            <w:vAlign w:val="center"/>
          </w:tcPr>
          <w:p>
            <w:pPr>
              <w:pStyle w:val="44"/>
              <w:spacing w:beforeLines="0" w:afterLines="0" w:line="240" w:lineRule="auto"/>
              <w:rPr>
                <w:rFonts w:ascii="Times New Roman"/>
                <w:snapToGrid w:val="0"/>
                <w:kern w:val="21"/>
                <w:szCs w:val="21"/>
              </w:rPr>
            </w:pPr>
            <w:r>
              <w:rPr>
                <w:rFonts w:hint="eastAsia"/>
              </w:rPr>
              <w:t>废润滑油</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27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559" w:type="dxa"/>
            <w:vAlign w:val="center"/>
          </w:tcPr>
          <w:p>
            <w:pPr>
              <w:pStyle w:val="44"/>
              <w:spacing w:beforeLines="0" w:afterLines="0" w:line="240" w:lineRule="auto"/>
              <w:rPr>
                <w:rFonts w:ascii="Times New Roman"/>
                <w:snapToGrid w:val="0"/>
                <w:kern w:val="21"/>
                <w:szCs w:val="21"/>
              </w:rPr>
            </w:pPr>
            <w:r>
              <w:rPr>
                <w:rFonts w:ascii="Times New Roman"/>
                <w:szCs w:val="21"/>
              </w:rPr>
              <w:t>0.1t/a</w:t>
            </w:r>
          </w:p>
        </w:tc>
        <w:tc>
          <w:tcPr>
            <w:tcW w:w="176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959" w:type="dxa"/>
            <w:vAlign w:val="center"/>
          </w:tcPr>
          <w:p>
            <w:pPr>
              <w:pStyle w:val="44"/>
              <w:spacing w:beforeLines="0" w:afterLines="0" w:line="240" w:lineRule="auto"/>
              <w:rPr>
                <w:rFonts w:ascii="Times New Roman"/>
                <w:snapToGrid w:val="0"/>
                <w:kern w:val="21"/>
                <w:szCs w:val="21"/>
              </w:rPr>
            </w:pPr>
            <w:r>
              <w:rPr>
                <w:rFonts w:ascii="Times New Roman"/>
                <w:szCs w:val="21"/>
              </w:rPr>
              <w:t>0.1t/a</w:t>
            </w:r>
          </w:p>
        </w:tc>
        <w:tc>
          <w:tcPr>
            <w:tcW w:w="82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44"/>
              <w:spacing w:beforeLines="0" w:afterLines="0" w:line="240" w:lineRule="auto"/>
              <w:rPr>
                <w:rFonts w:ascii="Times New Roman"/>
                <w:snapToGrid w:val="0"/>
                <w:kern w:val="21"/>
                <w:szCs w:val="21"/>
              </w:rPr>
            </w:pPr>
          </w:p>
        </w:tc>
        <w:tc>
          <w:tcPr>
            <w:tcW w:w="1417" w:type="dxa"/>
            <w:vAlign w:val="center"/>
          </w:tcPr>
          <w:p>
            <w:pPr>
              <w:pStyle w:val="44"/>
              <w:spacing w:beforeLines="0" w:afterLines="0" w:line="240" w:lineRule="auto"/>
            </w:pPr>
            <w:r>
              <w:rPr>
                <w:rFonts w:hint="eastAsia"/>
              </w:rPr>
              <w:t>废润滑油桶</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27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559" w:type="dxa"/>
            <w:vAlign w:val="center"/>
          </w:tcPr>
          <w:p>
            <w:pPr>
              <w:pStyle w:val="44"/>
              <w:spacing w:beforeLines="0" w:afterLines="0" w:line="240" w:lineRule="auto"/>
              <w:rPr>
                <w:rFonts w:ascii="Times New Roman"/>
                <w:szCs w:val="21"/>
              </w:rPr>
            </w:pPr>
            <w:r>
              <w:rPr>
                <w:rFonts w:ascii="Times New Roman"/>
                <w:szCs w:val="21"/>
              </w:rPr>
              <w:t>0.075t/a</w:t>
            </w:r>
          </w:p>
        </w:tc>
        <w:tc>
          <w:tcPr>
            <w:tcW w:w="176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959" w:type="dxa"/>
            <w:vAlign w:val="center"/>
          </w:tcPr>
          <w:p>
            <w:pPr>
              <w:pStyle w:val="44"/>
              <w:spacing w:beforeLines="0" w:afterLines="0" w:line="240" w:lineRule="auto"/>
              <w:rPr>
                <w:rFonts w:ascii="Times New Roman"/>
                <w:szCs w:val="21"/>
              </w:rPr>
            </w:pPr>
            <w:r>
              <w:rPr>
                <w:rFonts w:ascii="Times New Roman"/>
                <w:szCs w:val="21"/>
              </w:rPr>
              <w:t>0.075t/a</w:t>
            </w:r>
          </w:p>
        </w:tc>
        <w:tc>
          <w:tcPr>
            <w:tcW w:w="82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44"/>
              <w:spacing w:beforeLines="0" w:afterLines="0" w:line="240" w:lineRule="auto"/>
              <w:rPr>
                <w:rFonts w:ascii="Times New Roman"/>
                <w:snapToGrid w:val="0"/>
                <w:kern w:val="21"/>
                <w:szCs w:val="21"/>
              </w:rPr>
            </w:pPr>
          </w:p>
        </w:tc>
        <w:tc>
          <w:tcPr>
            <w:tcW w:w="1417" w:type="dxa"/>
            <w:vAlign w:val="center"/>
          </w:tcPr>
          <w:p>
            <w:pPr>
              <w:pStyle w:val="44"/>
              <w:spacing w:beforeLines="0" w:afterLines="0" w:line="240" w:lineRule="auto"/>
            </w:pPr>
            <w:r>
              <w:rPr>
                <w:rFonts w:hint="eastAsia"/>
              </w:rPr>
              <w:t>废含油抹布及劳保用品</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27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559" w:type="dxa"/>
            <w:vAlign w:val="center"/>
          </w:tcPr>
          <w:p>
            <w:pPr>
              <w:pStyle w:val="44"/>
              <w:spacing w:beforeLines="0" w:afterLines="0" w:line="240" w:lineRule="auto"/>
              <w:rPr>
                <w:rFonts w:ascii="Times New Roman"/>
                <w:szCs w:val="21"/>
              </w:rPr>
            </w:pPr>
            <w:r>
              <w:rPr>
                <w:rFonts w:ascii="Times New Roman"/>
                <w:szCs w:val="21"/>
              </w:rPr>
              <w:t>0.05t/a</w:t>
            </w:r>
          </w:p>
        </w:tc>
        <w:tc>
          <w:tcPr>
            <w:tcW w:w="176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959" w:type="dxa"/>
            <w:vAlign w:val="center"/>
          </w:tcPr>
          <w:p>
            <w:pPr>
              <w:pStyle w:val="44"/>
              <w:spacing w:beforeLines="0" w:afterLines="0" w:line="240" w:lineRule="auto"/>
              <w:rPr>
                <w:rFonts w:ascii="Times New Roman"/>
                <w:szCs w:val="21"/>
              </w:rPr>
            </w:pPr>
            <w:r>
              <w:rPr>
                <w:rFonts w:ascii="Times New Roman"/>
                <w:szCs w:val="21"/>
              </w:rPr>
              <w:t>0.05t/a</w:t>
            </w:r>
          </w:p>
        </w:tc>
        <w:tc>
          <w:tcPr>
            <w:tcW w:w="82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44"/>
              <w:spacing w:beforeLines="0" w:afterLines="0" w:line="240" w:lineRule="auto"/>
              <w:rPr>
                <w:rFonts w:ascii="Times New Roman"/>
                <w:snapToGrid w:val="0"/>
                <w:kern w:val="21"/>
                <w:szCs w:val="21"/>
              </w:rPr>
            </w:pPr>
          </w:p>
        </w:tc>
        <w:tc>
          <w:tcPr>
            <w:tcW w:w="1417" w:type="dxa"/>
            <w:vAlign w:val="center"/>
          </w:tcPr>
          <w:p>
            <w:pPr>
              <w:pStyle w:val="44"/>
              <w:spacing w:beforeLines="0" w:afterLines="0" w:line="240" w:lineRule="auto"/>
            </w:pPr>
            <w:r>
              <w:rPr>
                <w:rFonts w:hint="eastAsia"/>
              </w:rPr>
              <w:t>含油冷凝废液</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27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70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559" w:type="dxa"/>
            <w:vAlign w:val="center"/>
          </w:tcPr>
          <w:p>
            <w:pPr>
              <w:pStyle w:val="44"/>
              <w:spacing w:beforeLines="0" w:afterLines="0" w:line="240" w:lineRule="auto"/>
              <w:rPr>
                <w:rFonts w:ascii="Times New Roman"/>
                <w:szCs w:val="21"/>
              </w:rPr>
            </w:pPr>
            <w:r>
              <w:rPr>
                <w:rFonts w:ascii="Times New Roman"/>
                <w:szCs w:val="21"/>
              </w:rPr>
              <w:t>0.5t/a</w:t>
            </w:r>
          </w:p>
        </w:tc>
        <w:tc>
          <w:tcPr>
            <w:tcW w:w="1761"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c>
          <w:tcPr>
            <w:tcW w:w="1959" w:type="dxa"/>
            <w:vAlign w:val="center"/>
          </w:tcPr>
          <w:p>
            <w:pPr>
              <w:pStyle w:val="44"/>
              <w:spacing w:beforeLines="0" w:afterLines="0" w:line="240" w:lineRule="auto"/>
              <w:rPr>
                <w:rFonts w:ascii="Times New Roman"/>
                <w:szCs w:val="21"/>
              </w:rPr>
            </w:pPr>
            <w:r>
              <w:rPr>
                <w:rFonts w:ascii="Times New Roman"/>
                <w:szCs w:val="21"/>
              </w:rPr>
              <w:t>0.5t/a</w:t>
            </w:r>
          </w:p>
        </w:tc>
        <w:tc>
          <w:tcPr>
            <w:tcW w:w="826" w:type="dxa"/>
            <w:vAlign w:val="center"/>
          </w:tcPr>
          <w:p>
            <w:pPr>
              <w:pStyle w:val="44"/>
              <w:spacing w:beforeLines="0" w:afterLines="0" w:line="240" w:lineRule="auto"/>
              <w:rPr>
                <w:rFonts w:ascii="Times New Roman"/>
                <w:snapToGrid w:val="0"/>
                <w:kern w:val="21"/>
                <w:szCs w:val="21"/>
              </w:rPr>
            </w:pPr>
            <w:r>
              <w:rPr>
                <w:rFonts w:ascii="Times New Roman"/>
                <w:snapToGrid w:val="0"/>
                <w:kern w:val="21"/>
                <w:szCs w:val="21"/>
              </w:rPr>
              <w:t>/</w:t>
            </w:r>
          </w:p>
        </w:tc>
      </w:tr>
    </w:tbl>
    <w:p>
      <w:pPr>
        <w:pStyle w:val="44"/>
        <w:spacing w:before="192" w:beforeLines="80" w:after="24"/>
        <w:jc w:val="left"/>
        <w:rPr>
          <w:rFonts w:ascii="Times New Roman"/>
        </w:rPr>
      </w:pPr>
      <w:r>
        <w:rPr>
          <w:rFonts w:ascii="Times New Roman"/>
          <w:snapToGrid w:val="0"/>
          <w:kern w:val="21"/>
          <w:szCs w:val="21"/>
        </w:rPr>
        <w:t>注：</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ascii="Times New Roman"/>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ascii="Times New Roman"/>
          <w:szCs w:val="21"/>
        </w:rPr>
        <w:t>①</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3 \* GB3 \* MERGEFORMAT </w:instrText>
      </w:r>
      <w:r>
        <w:rPr>
          <w:rFonts w:ascii="Times New Roman"/>
          <w:snapToGrid w:val="0"/>
          <w:spacing w:val="-6"/>
          <w:kern w:val="21"/>
          <w:szCs w:val="21"/>
        </w:rPr>
        <w:fldChar w:fldCharType="separate"/>
      </w:r>
      <w:r>
        <w:rPr>
          <w:rFonts w:ascii="Times New Roman"/>
          <w:szCs w:val="21"/>
        </w:rPr>
        <w:t>③</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4 \* GB3 \* MERGEFORMAT </w:instrText>
      </w:r>
      <w:r>
        <w:rPr>
          <w:rFonts w:ascii="Times New Roman"/>
          <w:snapToGrid w:val="0"/>
          <w:spacing w:val="-6"/>
          <w:kern w:val="21"/>
          <w:szCs w:val="21"/>
        </w:rPr>
        <w:fldChar w:fldCharType="separate"/>
      </w:r>
      <w:r>
        <w:rPr>
          <w:rFonts w:ascii="Times New Roman"/>
          <w:szCs w:val="21"/>
        </w:rPr>
        <w:t>④</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5 \* GB3 \* MERGEFORMAT </w:instrText>
      </w:r>
      <w:r>
        <w:rPr>
          <w:rFonts w:ascii="Times New Roman"/>
          <w:snapToGrid w:val="0"/>
          <w:spacing w:val="-16"/>
          <w:kern w:val="21"/>
          <w:szCs w:val="21"/>
        </w:rPr>
        <w:fldChar w:fldCharType="separate"/>
      </w:r>
      <w:r>
        <w:rPr>
          <w:rFonts w:ascii="Times New Roman"/>
          <w:szCs w:val="21"/>
        </w:rPr>
        <w:t>⑤</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7 \* GB3 \* MERGEFORMAT </w:instrText>
      </w:r>
      <w:r>
        <w:rPr>
          <w:rFonts w:ascii="Times New Roman"/>
          <w:snapToGrid w:val="0"/>
          <w:spacing w:val="-6"/>
          <w:kern w:val="21"/>
          <w:szCs w:val="21"/>
        </w:rPr>
        <w:fldChar w:fldCharType="separate"/>
      </w:r>
      <w:r>
        <w:rPr>
          <w:rFonts w:ascii="Times New Roman"/>
          <w:szCs w:val="21"/>
        </w:rPr>
        <w:t>⑦</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ascii="Times New Roman"/>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ascii="Times New Roman"/>
          <w:szCs w:val="21"/>
        </w:rPr>
        <w:t>①</w:t>
      </w:r>
      <w:r>
        <w:rPr>
          <w:rFonts w:ascii="Times New Roman"/>
          <w:snapToGrid w:val="0"/>
          <w:spacing w:val="-6"/>
          <w:kern w:val="21"/>
          <w:szCs w:val="21"/>
        </w:rPr>
        <w:fldChar w:fldCharType="end"/>
      </w:r>
    </w:p>
    <w:sectPr>
      <w:footerReference r:id="rId12" w:type="default"/>
      <w:pgSz w:w="16838" w:h="11906" w:orient="landscape"/>
      <w:pgMar w:top="1531" w:right="1701" w:bottom="1531" w:left="1701" w:header="851" w:footer="851" w:gutter="0"/>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endnote>
  <w:endnote w:type="continuationSeparator" w:id="1">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DejaVu Sans"/>
    <w:panose1 w:val="020F0502020204030204"/>
    <w:charset w:val="00"/>
    <w:family w:val="swiss"/>
    <w:pitch w:val="default"/>
    <w:sig w:usb0="00000000" w:usb1="00000000" w:usb2="00000001" w:usb3="00000000" w:csb0="0000019F" w:csb1="00000000"/>
  </w:font>
  <w:font w:name="等线 Light">
    <w:altName w:val="汉仪中圆B5"/>
    <w:panose1 w:val="02010600030101010101"/>
    <w:charset w:val="86"/>
    <w:family w:val="auto"/>
    <w:pitch w:val="default"/>
    <w:sig w:usb0="00000000" w:usb1="00000000" w:usb2="00000016" w:usb3="00000000" w:csb0="0004000F" w:csb1="00000000"/>
  </w:font>
  <w:font w:name="Arial Unicode MS">
    <w:altName w:val="Times New Roman"/>
    <w:panose1 w:val="020B0604020202020204"/>
    <w:charset w:val="86"/>
    <w:family w:val="swiss"/>
    <w:pitch w:val="default"/>
    <w:sig w:usb0="00000000" w:usb1="00000000" w:usb2="0000003F" w:usb3="00000000" w:csb0="003F01FF" w:csb1="00000000"/>
  </w:font>
  <w:font w:name="仿宋_GB2312">
    <w:altName w:val="方正仿宋_GBK"/>
    <w:panose1 w:val="02010609030101010101"/>
    <w:charset w:val="86"/>
    <w:family w:val="modern"/>
    <w:pitch w:val="default"/>
    <w:sig w:usb0="00000000" w:usb1="00000000" w:usb2="00000000" w:usb3="00000000" w:csb0="00040000" w:csb1="00000000"/>
  </w:font>
  <w:font w:name="Dutch801 Rm BT">
    <w:altName w:val="Times New Roman"/>
    <w:panose1 w:val="02020603060505020304"/>
    <w:charset w:val="00"/>
    <w:family w:val="roman"/>
    <w:pitch w:val="default"/>
    <w:sig w:usb0="00000000" w:usb1="00000000" w:usb2="00000000" w:usb3="00000000" w:csb0="0000001B" w:csb1="00000000"/>
  </w:font>
  <w:font w:name="等线">
    <w:altName w:val="汉仪中圆B5"/>
    <w:panose1 w:val="02010600030101010101"/>
    <w:charset w:val="86"/>
    <w:family w:val="auto"/>
    <w:pitch w:val="default"/>
    <w:sig w:usb0="00000000" w:usb1="00000000" w:usb2="00000016" w:usb3="00000000" w:csb0="0004000F" w:csb1="00000000"/>
  </w:font>
  <w:font w:name="Wingdings 2">
    <w:panose1 w:val="05020102010507070707"/>
    <w:charset w:val="02"/>
    <w:family w:val="roman"/>
    <w:pitch w:val="default"/>
    <w:sig w:usb0="00000000" w:usb1="00000000" w:usb2="00000000" w:usb3="00000000" w:csb0="80000000" w:csb1="00000000"/>
  </w:font>
  <w:font w:name="Cambria Math">
    <w:altName w:val="DejaVu Math TeX Gyre"/>
    <w:panose1 w:val="02040503050406030204"/>
    <w:charset w:val="00"/>
    <w:family w:val="roman"/>
    <w:pitch w:val="default"/>
    <w:sig w:usb0="00000000" w:usb1="00000000" w:usb2="02000000" w:usb3="00000000" w:csb0="2000019F" w:csb1="00000000"/>
  </w:font>
  <w:font w:name="TimesNewRoman">
    <w:altName w:val="Times New Roman"/>
    <w:panose1 w:val="00000000000000000000"/>
    <w:charset w:val="00"/>
    <w:family w:val="auto"/>
    <w:pitch w:val="default"/>
    <w:sig w:usb0="00000000" w:usb1="00000000" w:usb2="00000000" w:usb3="00000000" w:csb0="00040001" w:csb1="00000000"/>
  </w:font>
  <w:font w:name="方正小标宋_GBK">
    <w:panose1 w:val="02000000000000000000"/>
    <w:charset w:val="86"/>
    <w:family w:val="auto"/>
    <w:pitch w:val="default"/>
    <w:sig w:usb0="00000001" w:usb1="08000000" w:usb2="00000000" w:usb3="00000000" w:csb0="00040000" w:csb1="00000000"/>
  </w:font>
  <w:font w:name="方正书宋_GBK">
    <w:panose1 w:val="02000000000000000000"/>
    <w:charset w:val="86"/>
    <w:family w:val="auto"/>
    <w:pitch w:val="default"/>
    <w:sig w:usb0="00000001" w:usb1="08000000" w:usb2="00000000" w:usb3="00000000" w:csb0="00040000" w:csb1="00000000"/>
  </w:font>
  <w:font w:name="方正黑体_GBK">
    <w:panose1 w:val="02000000000000000000"/>
    <w:charset w:val="86"/>
    <w:family w:val="auto"/>
    <w:pitch w:val="default"/>
    <w:sig w:usb0="00000001" w:usb1="08000000" w:usb2="00000000" w:usb3="00000000" w:csb0="00040000" w:csb1="00000000"/>
  </w:font>
  <w:font w:name="等线">
    <w:altName w:val="汉仪仿宋S"/>
    <w:panose1 w:val="00000000000000000000"/>
    <w:charset w:val="00"/>
    <w:family w:val="auto"/>
    <w:pitch w:val="default"/>
    <w:sig w:usb0="00000000" w:usb1="00000000" w:usb2="00000000" w:usb3="00000000" w:csb0="00000000" w:csb1="00000000"/>
  </w:font>
  <w:font w:name="汉仪仿宋S">
    <w:panose1 w:val="00020600040101000101"/>
    <w:charset w:val="86"/>
    <w:family w:val="auto"/>
    <w:pitch w:val="default"/>
    <w:sig w:usb0="A00002BF" w:usb1="38CF7CFA" w:usb2="00000016" w:usb3="00000000" w:csb0="0004009F" w:csb1="00000000"/>
  </w:font>
  <w:font w:name="方正宋体S-超大字符集">
    <w:panose1 w:val="02000000000000000000"/>
    <w:charset w:val="86"/>
    <w:family w:val="auto"/>
    <w:pitch w:val="default"/>
    <w:sig w:usb0="00000001" w:usb1="08000000" w:usb2="00000000" w:usb3="00000000" w:csb0="00040000" w:csb1="00000000"/>
  </w:font>
  <w:font w:name="DejaVu Math TeX Gyre">
    <w:panose1 w:val="02000503000000000000"/>
    <w:charset w:val="00"/>
    <w:family w:val="auto"/>
    <w:pitch w:val="default"/>
    <w:sig w:usb0="A10000EF" w:usb1="4201F9EE" w:usb2="02000000" w:usb3="00000000" w:csb0="60000193" w:csb1="0DD40000"/>
  </w:font>
  <w:font w:name="DejaVu Sans">
    <w:panose1 w:val="020B0603030804020204"/>
    <w:charset w:val="00"/>
    <w:family w:val="auto"/>
    <w:pitch w:val="default"/>
    <w:sig w:usb0="E7006EFF" w:usb1="D200FDFF" w:usb2="0A246029" w:usb3="0400200C" w:csb0="600001FF" w:csb1="DFFF0000"/>
  </w:font>
  <w:font w:name="等线 Light">
    <w:altName w:val="汉仪仿宋S"/>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right="360" w:firstLine="360"/>
      <w:jc w:val="center"/>
    </w:pPr>
    <w:r>
      <mc:AlternateContent>
        <mc:Choice Requires="wps">
          <w:drawing>
            <wp:anchor distT="0" distB="0" distL="114300" distR="114300" simplePos="0" relativeHeight="251662336" behindDoc="0" locked="0" layoutInCell="1" allowOverlap="1">
              <wp:simplePos x="0" y="0"/>
              <wp:positionH relativeFrom="margin">
                <wp:posOffset>2443480</wp:posOffset>
              </wp:positionH>
              <wp:positionV relativeFrom="page">
                <wp:posOffset>10074910</wp:posOffset>
              </wp:positionV>
              <wp:extent cx="828040" cy="197485"/>
              <wp:effectExtent l="0" t="0" r="10160" b="12065"/>
              <wp:wrapNone/>
              <wp:docPr id="1742056367" name="文本框 1"/>
              <wp:cNvGraphicFramePr/>
              <a:graphic xmlns:a="http://schemas.openxmlformats.org/drawingml/2006/main">
                <a:graphicData uri="http://schemas.microsoft.com/office/word/2010/wordprocessingShape">
                  <wps:wsp>
                    <wps:cNvSpPr txBox="true">
                      <a:spLocks noChangeArrowheads="true"/>
                    </wps:cNvSpPr>
                    <wps:spPr bwMode="auto">
                      <a:xfrm>
                        <a:off x="0" y="0"/>
                        <a:ext cx="828136" cy="197485"/>
                      </a:xfrm>
                      <a:prstGeom prst="rect">
                        <a:avLst/>
                      </a:prstGeom>
                      <a:noFill/>
                      <a:ln>
                        <a:noFill/>
                      </a:ln>
                    </wps:spPr>
                    <wps:txbx>
                      <w:txbxContent>
                        <w:p>
                          <w:pPr>
                            <w:pStyle w:val="13"/>
                            <w:rPr>
                              <w:rStyle w:val="28"/>
                              <w:rFonts w:ascii="宋体" w:hAnsi="宋体"/>
                              <w:sz w:val="24"/>
                              <w:szCs w:val="24"/>
                            </w:rPr>
                          </w:pPr>
                          <w:r>
                            <w:rPr>
                              <w:rStyle w:val="28"/>
                              <w:rFonts w:hint="eastAsia" w:ascii="宋体" w:hAnsi="宋体"/>
                              <w:sz w:val="24"/>
                              <w:szCs w:val="24"/>
                            </w:rPr>
                            <w:t xml:space="preserve">—  </w:t>
                          </w:r>
                          <w:r>
                            <w:rPr>
                              <w:rFonts w:ascii="宋体" w:hAnsi="宋体"/>
                              <w:sz w:val="24"/>
                              <w:szCs w:val="24"/>
                            </w:rPr>
                            <w:fldChar w:fldCharType="begin"/>
                          </w:r>
                          <w:r>
                            <w:rPr>
                              <w:rStyle w:val="28"/>
                              <w:rFonts w:ascii="宋体" w:hAnsi="宋体"/>
                              <w:sz w:val="24"/>
                              <w:szCs w:val="24"/>
                            </w:rPr>
                            <w:instrText xml:space="preserve">PAGE  </w:instrText>
                          </w:r>
                          <w:r>
                            <w:rPr>
                              <w:rFonts w:ascii="宋体" w:hAnsi="宋体"/>
                              <w:sz w:val="24"/>
                              <w:szCs w:val="24"/>
                            </w:rPr>
                            <w:fldChar w:fldCharType="separate"/>
                          </w:r>
                          <w:r>
                            <w:rPr>
                              <w:rStyle w:val="28"/>
                              <w:rFonts w:ascii="宋体" w:hAnsi="宋体"/>
                              <w:sz w:val="24"/>
                              <w:szCs w:val="24"/>
                            </w:rPr>
                            <w:t>36</w:t>
                          </w:r>
                          <w:r>
                            <w:rPr>
                              <w:rFonts w:ascii="宋体" w:hAnsi="宋体"/>
                              <w:sz w:val="24"/>
                              <w:szCs w:val="24"/>
                            </w:rPr>
                            <w:fldChar w:fldCharType="end"/>
                          </w:r>
                          <w:r>
                            <w:rPr>
                              <w:rStyle w:val="28"/>
                              <w:rFonts w:hint="eastAsia" w:ascii="宋体" w:hAnsi="宋体"/>
                              <w:sz w:val="24"/>
                              <w:szCs w:val="24"/>
                            </w:rPr>
                            <w:t xml:space="preserve">  —</w:t>
                          </w:r>
                        </w:p>
                      </w:txbxContent>
                    </wps:txbx>
                    <wps:bodyPr rot="0" vert="horz" wrap="square" lIns="0" tIns="0" rIns="0" bIns="0" anchor="t" anchorCtr="false" upright="true">
                      <a:spAutoFit/>
                    </wps:bodyPr>
                  </wps:wsp>
                </a:graphicData>
              </a:graphic>
            </wp:anchor>
          </w:drawing>
        </mc:Choice>
        <mc:Fallback>
          <w:pict>
            <v:shape id="文本框 1" o:spid="_x0000_s1026" o:spt="202" type="#_x0000_t202" style="position:absolute;left:0pt;margin-left:192.4pt;margin-top:793.3pt;height:15.55pt;width:65.2pt;mso-position-horizontal-relative:margin;mso-position-vertical-relative:page;z-index:251662336;mso-width-relative:page;mso-height-relative:page;" filled="f" stroked="f" coordsize="21600,21600" o:gfxdata="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WAAAAZHJzL1BLAQIUABQAAAAIAIdO4kDrDfss2QAAAA0BAAAP&#10;AAAAAAAAAAEAIAAAADgAAABkcnMvZG93bnJldi54bWxQSwECFAAUAAAACACHTuJATZN2CgECAADM&#10;AwAADgAAAAAAAAABACAAAAA+AQAAZHJzL2Uyb0RvYy54bWxQSwUGAAAAAAYABgBZAQAAsQUAAAAA&#10;">
              <v:fill on="f" focussize="0,0"/>
              <v:stroke on="f"/>
              <v:imagedata o:title=""/>
              <o:lock v:ext="edit" aspectratio="f"/>
              <v:textbox inset="0mm,0mm,0mm,0mm" style="mso-fit-shape-to-text:t;">
                <w:txbxContent>
                  <w:p>
                    <w:pPr>
                      <w:pStyle w:val="13"/>
                      <w:rPr>
                        <w:rStyle w:val="28"/>
                        <w:rFonts w:ascii="宋体" w:hAnsi="宋体"/>
                        <w:sz w:val="24"/>
                        <w:szCs w:val="24"/>
                      </w:rPr>
                    </w:pPr>
                    <w:r>
                      <w:rPr>
                        <w:rStyle w:val="28"/>
                        <w:rFonts w:hint="eastAsia" w:ascii="宋体" w:hAnsi="宋体"/>
                        <w:sz w:val="24"/>
                        <w:szCs w:val="24"/>
                      </w:rPr>
                      <w:t xml:space="preserve">—  </w:t>
                    </w:r>
                    <w:r>
                      <w:rPr>
                        <w:rFonts w:ascii="宋体" w:hAnsi="宋体"/>
                        <w:sz w:val="24"/>
                        <w:szCs w:val="24"/>
                      </w:rPr>
                      <w:fldChar w:fldCharType="begin"/>
                    </w:r>
                    <w:r>
                      <w:rPr>
                        <w:rStyle w:val="28"/>
                        <w:rFonts w:ascii="宋体" w:hAnsi="宋体"/>
                        <w:sz w:val="24"/>
                        <w:szCs w:val="24"/>
                      </w:rPr>
                      <w:instrText xml:space="preserve">PAGE  </w:instrText>
                    </w:r>
                    <w:r>
                      <w:rPr>
                        <w:rFonts w:ascii="宋体" w:hAnsi="宋体"/>
                        <w:sz w:val="24"/>
                        <w:szCs w:val="24"/>
                      </w:rPr>
                      <w:fldChar w:fldCharType="separate"/>
                    </w:r>
                    <w:r>
                      <w:rPr>
                        <w:rStyle w:val="28"/>
                        <w:rFonts w:ascii="宋体" w:hAnsi="宋体"/>
                        <w:sz w:val="24"/>
                        <w:szCs w:val="24"/>
                      </w:rPr>
                      <w:t>36</w:t>
                    </w:r>
                    <w:r>
                      <w:rPr>
                        <w:rFonts w:ascii="宋体" w:hAnsi="宋体"/>
                        <w:sz w:val="24"/>
                        <w:szCs w:val="24"/>
                      </w:rPr>
                      <w:fldChar w:fldCharType="end"/>
                    </w:r>
                    <w:r>
                      <w:rPr>
                        <w:rStyle w:val="28"/>
                        <w:rFonts w:hint="eastAsia" w:ascii="宋体" w:hAnsi="宋体"/>
                        <w:sz w:val="24"/>
                        <w:szCs w:val="24"/>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right="360" w:firstLine="360"/>
      <w:jc w:val="center"/>
    </w:pPr>
    <w:r>
      <mc:AlternateContent>
        <mc:Choice Requires="wps">
          <w:drawing>
            <wp:anchor distT="0" distB="0" distL="114300" distR="114300" simplePos="0" relativeHeight="251663360" behindDoc="0" locked="0" layoutInCell="1" allowOverlap="1">
              <wp:simplePos x="0" y="0"/>
              <wp:positionH relativeFrom="margin">
                <wp:posOffset>2443480</wp:posOffset>
              </wp:positionH>
              <wp:positionV relativeFrom="page">
                <wp:posOffset>10074910</wp:posOffset>
              </wp:positionV>
              <wp:extent cx="828040" cy="197485"/>
              <wp:effectExtent l="0" t="0" r="10160" b="12065"/>
              <wp:wrapNone/>
              <wp:docPr id="636008959" name="文本框 1"/>
              <wp:cNvGraphicFramePr/>
              <a:graphic xmlns:a="http://schemas.openxmlformats.org/drawingml/2006/main">
                <a:graphicData uri="http://schemas.microsoft.com/office/word/2010/wordprocessingShape">
                  <wps:wsp>
                    <wps:cNvSpPr txBox="true">
                      <a:spLocks noChangeArrowheads="true"/>
                    </wps:cNvSpPr>
                    <wps:spPr bwMode="auto">
                      <a:xfrm>
                        <a:off x="0" y="0"/>
                        <a:ext cx="828136" cy="197485"/>
                      </a:xfrm>
                      <a:prstGeom prst="rect">
                        <a:avLst/>
                      </a:prstGeom>
                      <a:noFill/>
                      <a:ln>
                        <a:noFill/>
                      </a:ln>
                    </wps:spPr>
                    <wps:txbx>
                      <w:txbxContent>
                        <w:p>
                          <w:pPr>
                            <w:pStyle w:val="13"/>
                            <w:rPr>
                              <w:rStyle w:val="28"/>
                              <w:rFonts w:ascii="宋体" w:hAnsi="宋体"/>
                              <w:sz w:val="24"/>
                              <w:szCs w:val="24"/>
                            </w:rPr>
                          </w:pPr>
                          <w:r>
                            <w:rPr>
                              <w:rStyle w:val="28"/>
                              <w:rFonts w:hint="eastAsia" w:ascii="宋体" w:hAnsi="宋体"/>
                              <w:sz w:val="24"/>
                              <w:szCs w:val="24"/>
                            </w:rPr>
                            <w:t xml:space="preserve">—  </w:t>
                          </w:r>
                          <w:r>
                            <w:rPr>
                              <w:rFonts w:ascii="宋体" w:hAnsi="宋体"/>
                              <w:sz w:val="24"/>
                              <w:szCs w:val="24"/>
                            </w:rPr>
                            <w:fldChar w:fldCharType="begin"/>
                          </w:r>
                          <w:r>
                            <w:rPr>
                              <w:rStyle w:val="28"/>
                              <w:rFonts w:ascii="宋体" w:hAnsi="宋体"/>
                              <w:sz w:val="24"/>
                              <w:szCs w:val="24"/>
                            </w:rPr>
                            <w:instrText xml:space="preserve">PAGE  </w:instrText>
                          </w:r>
                          <w:r>
                            <w:rPr>
                              <w:rFonts w:ascii="宋体" w:hAnsi="宋体"/>
                              <w:sz w:val="24"/>
                              <w:szCs w:val="24"/>
                            </w:rPr>
                            <w:fldChar w:fldCharType="separate"/>
                          </w:r>
                          <w:r>
                            <w:rPr>
                              <w:rStyle w:val="28"/>
                              <w:rFonts w:ascii="宋体" w:hAnsi="宋体"/>
                              <w:sz w:val="24"/>
                              <w:szCs w:val="24"/>
                            </w:rPr>
                            <w:t>36</w:t>
                          </w:r>
                          <w:r>
                            <w:rPr>
                              <w:rFonts w:ascii="宋体" w:hAnsi="宋体"/>
                              <w:sz w:val="24"/>
                              <w:szCs w:val="24"/>
                            </w:rPr>
                            <w:fldChar w:fldCharType="end"/>
                          </w:r>
                          <w:r>
                            <w:rPr>
                              <w:rStyle w:val="28"/>
                              <w:rFonts w:hint="eastAsia" w:ascii="宋体" w:hAnsi="宋体"/>
                              <w:sz w:val="24"/>
                              <w:szCs w:val="24"/>
                            </w:rPr>
                            <w:t xml:space="preserve">  —</w:t>
                          </w:r>
                        </w:p>
                      </w:txbxContent>
                    </wps:txbx>
                    <wps:bodyPr rot="0" vert="horz" wrap="square" lIns="0" tIns="0" rIns="0" bIns="0" anchor="t" anchorCtr="false" upright="true">
                      <a:spAutoFit/>
                    </wps:bodyPr>
                  </wps:wsp>
                </a:graphicData>
              </a:graphic>
            </wp:anchor>
          </w:drawing>
        </mc:Choice>
        <mc:Fallback>
          <w:pict>
            <v:shape id="文本框 1" o:spid="_x0000_s1026" o:spt="202" type="#_x0000_t202" style="position:absolute;left:0pt;margin-left:192.4pt;margin-top:793.3pt;height:15.55pt;width:65.2pt;mso-position-horizontal-relative:margin;mso-position-vertical-relative:page;z-index:251663360;mso-width-relative:page;mso-height-relative:page;" filled="f" stroked="f" coordsize="21600,21600" o:gfxdata="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BYAAABkcnMvUEsBAhQAFAAAAAgAh07iQOsN+yzZAAAADQEAAA8A&#10;AAAAAAAAAQAgAAAAOAAAAGRycy9kb3ducmV2LnhtbFBLAQIUABQAAAAIAIdO4kDqZL0rAAIAAMsD&#10;AAAOAAAAAAAAAAEAIAAAAD4BAABkcnMvZTJvRG9jLnhtbFBLBQYAAAAABgAGAFkBAACwBQAAAAA=&#10;">
              <v:fill on="f" focussize="0,0"/>
              <v:stroke on="f"/>
              <v:imagedata o:title=""/>
              <o:lock v:ext="edit" aspectratio="f"/>
              <v:textbox inset="0mm,0mm,0mm,0mm" style="mso-fit-shape-to-text:t;">
                <w:txbxContent>
                  <w:p>
                    <w:pPr>
                      <w:pStyle w:val="13"/>
                      <w:rPr>
                        <w:rStyle w:val="28"/>
                        <w:rFonts w:ascii="宋体" w:hAnsi="宋体"/>
                        <w:sz w:val="24"/>
                        <w:szCs w:val="24"/>
                      </w:rPr>
                    </w:pPr>
                    <w:r>
                      <w:rPr>
                        <w:rStyle w:val="28"/>
                        <w:rFonts w:hint="eastAsia" w:ascii="宋体" w:hAnsi="宋体"/>
                        <w:sz w:val="24"/>
                        <w:szCs w:val="24"/>
                      </w:rPr>
                      <w:t xml:space="preserve">—  </w:t>
                    </w:r>
                    <w:r>
                      <w:rPr>
                        <w:rFonts w:ascii="宋体" w:hAnsi="宋体"/>
                        <w:sz w:val="24"/>
                        <w:szCs w:val="24"/>
                      </w:rPr>
                      <w:fldChar w:fldCharType="begin"/>
                    </w:r>
                    <w:r>
                      <w:rPr>
                        <w:rStyle w:val="28"/>
                        <w:rFonts w:ascii="宋体" w:hAnsi="宋体"/>
                        <w:sz w:val="24"/>
                        <w:szCs w:val="24"/>
                      </w:rPr>
                      <w:instrText xml:space="preserve">PAGE  </w:instrText>
                    </w:r>
                    <w:r>
                      <w:rPr>
                        <w:rFonts w:ascii="宋体" w:hAnsi="宋体"/>
                        <w:sz w:val="24"/>
                        <w:szCs w:val="24"/>
                      </w:rPr>
                      <w:fldChar w:fldCharType="separate"/>
                    </w:r>
                    <w:r>
                      <w:rPr>
                        <w:rStyle w:val="28"/>
                        <w:rFonts w:ascii="宋体" w:hAnsi="宋体"/>
                        <w:sz w:val="24"/>
                        <w:szCs w:val="24"/>
                      </w:rPr>
                      <w:t>36</w:t>
                    </w:r>
                    <w:r>
                      <w:rPr>
                        <w:rFonts w:ascii="宋体" w:hAnsi="宋体"/>
                        <w:sz w:val="24"/>
                        <w:szCs w:val="24"/>
                      </w:rPr>
                      <w:fldChar w:fldCharType="end"/>
                    </w:r>
                    <w:r>
                      <w:rPr>
                        <w:rStyle w:val="28"/>
                        <w:rFonts w:hint="eastAsia" w:ascii="宋体" w:hAnsi="宋体"/>
                        <w:sz w:val="24"/>
                        <w:szCs w:val="24"/>
                      </w:rPr>
                      <w:t xml:space="preserve">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right="360" w:firstLine="360"/>
      <w:jc w:val="center"/>
    </w:pPr>
    <w:r>
      <mc:AlternateContent>
        <mc:Choice Requires="wps">
          <w:drawing>
            <wp:anchor distT="0" distB="0" distL="114300" distR="114300" simplePos="0" relativeHeight="251664384" behindDoc="0" locked="0" layoutInCell="1" allowOverlap="1">
              <wp:simplePos x="0" y="0"/>
              <wp:positionH relativeFrom="margin">
                <wp:posOffset>2443480</wp:posOffset>
              </wp:positionH>
              <wp:positionV relativeFrom="page">
                <wp:posOffset>10074910</wp:posOffset>
              </wp:positionV>
              <wp:extent cx="828040" cy="197485"/>
              <wp:effectExtent l="0" t="0" r="10160" b="12065"/>
              <wp:wrapNone/>
              <wp:docPr id="2090224530" name="文本框 1"/>
              <wp:cNvGraphicFramePr/>
              <a:graphic xmlns:a="http://schemas.openxmlformats.org/drawingml/2006/main">
                <a:graphicData uri="http://schemas.microsoft.com/office/word/2010/wordprocessingShape">
                  <wps:wsp>
                    <wps:cNvSpPr txBox="true">
                      <a:spLocks noChangeArrowheads="true"/>
                    </wps:cNvSpPr>
                    <wps:spPr bwMode="auto">
                      <a:xfrm>
                        <a:off x="0" y="0"/>
                        <a:ext cx="828136" cy="197485"/>
                      </a:xfrm>
                      <a:prstGeom prst="rect">
                        <a:avLst/>
                      </a:prstGeom>
                      <a:noFill/>
                      <a:ln>
                        <a:noFill/>
                      </a:ln>
                    </wps:spPr>
                    <wps:txbx>
                      <w:txbxContent>
                        <w:p>
                          <w:pPr>
                            <w:pStyle w:val="13"/>
                            <w:rPr>
                              <w:rStyle w:val="28"/>
                              <w:rFonts w:ascii="宋体" w:hAnsi="宋体"/>
                              <w:sz w:val="24"/>
                              <w:szCs w:val="24"/>
                            </w:rPr>
                          </w:pPr>
                          <w:r>
                            <w:rPr>
                              <w:rStyle w:val="28"/>
                              <w:rFonts w:hint="eastAsia" w:ascii="宋体" w:hAnsi="宋体"/>
                              <w:sz w:val="24"/>
                              <w:szCs w:val="24"/>
                            </w:rPr>
                            <w:t xml:space="preserve">—  </w:t>
                          </w:r>
                          <w:r>
                            <w:rPr>
                              <w:rFonts w:ascii="宋体" w:hAnsi="宋体"/>
                              <w:sz w:val="24"/>
                              <w:szCs w:val="24"/>
                            </w:rPr>
                            <w:fldChar w:fldCharType="begin"/>
                          </w:r>
                          <w:r>
                            <w:rPr>
                              <w:rStyle w:val="28"/>
                              <w:rFonts w:ascii="宋体" w:hAnsi="宋体"/>
                              <w:sz w:val="24"/>
                              <w:szCs w:val="24"/>
                            </w:rPr>
                            <w:instrText xml:space="preserve">PAGE  </w:instrText>
                          </w:r>
                          <w:r>
                            <w:rPr>
                              <w:rFonts w:ascii="宋体" w:hAnsi="宋体"/>
                              <w:sz w:val="24"/>
                              <w:szCs w:val="24"/>
                            </w:rPr>
                            <w:fldChar w:fldCharType="separate"/>
                          </w:r>
                          <w:r>
                            <w:rPr>
                              <w:rStyle w:val="28"/>
                              <w:rFonts w:ascii="宋体" w:hAnsi="宋体"/>
                              <w:sz w:val="24"/>
                              <w:szCs w:val="24"/>
                            </w:rPr>
                            <w:t>36</w:t>
                          </w:r>
                          <w:r>
                            <w:rPr>
                              <w:rFonts w:ascii="宋体" w:hAnsi="宋体"/>
                              <w:sz w:val="24"/>
                              <w:szCs w:val="24"/>
                            </w:rPr>
                            <w:fldChar w:fldCharType="end"/>
                          </w:r>
                          <w:r>
                            <w:rPr>
                              <w:rStyle w:val="28"/>
                              <w:rFonts w:hint="eastAsia" w:ascii="宋体" w:hAnsi="宋体"/>
                              <w:sz w:val="24"/>
                              <w:szCs w:val="24"/>
                            </w:rPr>
                            <w:t xml:space="preserve">  —</w:t>
                          </w:r>
                        </w:p>
                      </w:txbxContent>
                    </wps:txbx>
                    <wps:bodyPr rot="0" vert="horz" wrap="square" lIns="0" tIns="0" rIns="0" bIns="0" anchor="t" anchorCtr="false" upright="true">
                      <a:spAutoFit/>
                    </wps:bodyPr>
                  </wps:wsp>
                </a:graphicData>
              </a:graphic>
            </wp:anchor>
          </w:drawing>
        </mc:Choice>
        <mc:Fallback>
          <w:pict>
            <v:shape id="文本框 1" o:spid="_x0000_s1026" o:spt="202" type="#_x0000_t202" style="position:absolute;left:0pt;margin-left:192.4pt;margin-top:793.3pt;height:15.55pt;width:65.2pt;mso-position-horizontal-relative:margin;mso-position-vertical-relative:page;z-index:251664384;mso-width-relative:page;mso-height-relative:page;" filled="f" stroked="f" coordsize="21600,21600" o:gfxdata="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FgAAAGRycy9QSwECFAAUAAAACACHTuJA6w37LNkAAAANAQAADwAA&#10;AAAAAAABACAAAAA4AAAAZHJzL2Rvd25yZXYueG1sUEsBAhQAFAAAAAgAh07iQKAh7fv/AQAAzAMA&#10;AA4AAAAAAAAAAQAgAAAAPgEAAGRycy9lMm9Eb2MueG1sUEsFBgAAAAAGAAYAWQEAAK8FAAAAAA==&#10;">
              <v:fill on="f" focussize="0,0"/>
              <v:stroke on="f"/>
              <v:imagedata o:title=""/>
              <o:lock v:ext="edit" aspectratio="f"/>
              <v:textbox inset="0mm,0mm,0mm,0mm" style="mso-fit-shape-to-text:t;">
                <w:txbxContent>
                  <w:p>
                    <w:pPr>
                      <w:pStyle w:val="13"/>
                      <w:rPr>
                        <w:rStyle w:val="28"/>
                        <w:rFonts w:ascii="宋体" w:hAnsi="宋体"/>
                        <w:sz w:val="24"/>
                        <w:szCs w:val="24"/>
                      </w:rPr>
                    </w:pPr>
                    <w:r>
                      <w:rPr>
                        <w:rStyle w:val="28"/>
                        <w:rFonts w:hint="eastAsia" w:ascii="宋体" w:hAnsi="宋体"/>
                        <w:sz w:val="24"/>
                        <w:szCs w:val="24"/>
                      </w:rPr>
                      <w:t xml:space="preserve">—  </w:t>
                    </w:r>
                    <w:r>
                      <w:rPr>
                        <w:rFonts w:ascii="宋体" w:hAnsi="宋体"/>
                        <w:sz w:val="24"/>
                        <w:szCs w:val="24"/>
                      </w:rPr>
                      <w:fldChar w:fldCharType="begin"/>
                    </w:r>
                    <w:r>
                      <w:rPr>
                        <w:rStyle w:val="28"/>
                        <w:rFonts w:ascii="宋体" w:hAnsi="宋体"/>
                        <w:sz w:val="24"/>
                        <w:szCs w:val="24"/>
                      </w:rPr>
                      <w:instrText xml:space="preserve">PAGE  </w:instrText>
                    </w:r>
                    <w:r>
                      <w:rPr>
                        <w:rFonts w:ascii="宋体" w:hAnsi="宋体"/>
                        <w:sz w:val="24"/>
                        <w:szCs w:val="24"/>
                      </w:rPr>
                      <w:fldChar w:fldCharType="separate"/>
                    </w:r>
                    <w:r>
                      <w:rPr>
                        <w:rStyle w:val="28"/>
                        <w:rFonts w:ascii="宋体" w:hAnsi="宋体"/>
                        <w:sz w:val="24"/>
                        <w:szCs w:val="24"/>
                      </w:rPr>
                      <w:t>36</w:t>
                    </w:r>
                    <w:r>
                      <w:rPr>
                        <w:rFonts w:ascii="宋体" w:hAnsi="宋体"/>
                        <w:sz w:val="24"/>
                        <w:szCs w:val="24"/>
                      </w:rPr>
                      <w:fldChar w:fldCharType="end"/>
                    </w:r>
                    <w:r>
                      <w:rPr>
                        <w:rStyle w:val="28"/>
                        <w:rFonts w:hint="eastAsia" w:ascii="宋体" w:hAnsi="宋体"/>
                        <w:sz w:val="24"/>
                        <w:szCs w:val="24"/>
                      </w:rP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right="360" w:firstLine="360"/>
      <w:jc w:val="center"/>
    </w:pPr>
    <w:r>
      <mc:AlternateContent>
        <mc:Choice Requires="wps">
          <w:drawing>
            <wp:anchor distT="0" distB="0" distL="114300" distR="114300" simplePos="0" relativeHeight="251665408" behindDoc="0" locked="0" layoutInCell="1" allowOverlap="1">
              <wp:simplePos x="0" y="0"/>
              <wp:positionH relativeFrom="margin">
                <wp:posOffset>2443480</wp:posOffset>
              </wp:positionH>
              <wp:positionV relativeFrom="page">
                <wp:posOffset>10074910</wp:posOffset>
              </wp:positionV>
              <wp:extent cx="828040" cy="197485"/>
              <wp:effectExtent l="0" t="0" r="10160" b="12065"/>
              <wp:wrapNone/>
              <wp:docPr id="1354749484" name="文本框 1"/>
              <wp:cNvGraphicFramePr/>
              <a:graphic xmlns:a="http://schemas.openxmlformats.org/drawingml/2006/main">
                <a:graphicData uri="http://schemas.microsoft.com/office/word/2010/wordprocessingShape">
                  <wps:wsp>
                    <wps:cNvSpPr txBox="true">
                      <a:spLocks noChangeArrowheads="true"/>
                    </wps:cNvSpPr>
                    <wps:spPr bwMode="auto">
                      <a:xfrm>
                        <a:off x="0" y="0"/>
                        <a:ext cx="828136" cy="197485"/>
                      </a:xfrm>
                      <a:prstGeom prst="rect">
                        <a:avLst/>
                      </a:prstGeom>
                      <a:noFill/>
                      <a:ln>
                        <a:noFill/>
                      </a:ln>
                    </wps:spPr>
                    <wps:txbx>
                      <w:txbxContent>
                        <w:p>
                          <w:pPr>
                            <w:pStyle w:val="13"/>
                            <w:rPr>
                              <w:rStyle w:val="28"/>
                              <w:rFonts w:ascii="宋体" w:hAnsi="宋体"/>
                              <w:sz w:val="24"/>
                              <w:szCs w:val="24"/>
                            </w:rPr>
                          </w:pPr>
                          <w:r>
                            <w:rPr>
                              <w:rStyle w:val="28"/>
                              <w:rFonts w:hint="eastAsia" w:ascii="宋体" w:hAnsi="宋体"/>
                              <w:sz w:val="24"/>
                              <w:szCs w:val="24"/>
                            </w:rPr>
                            <w:t xml:space="preserve">—  </w:t>
                          </w:r>
                          <w:r>
                            <w:rPr>
                              <w:rFonts w:ascii="宋体" w:hAnsi="宋体"/>
                              <w:sz w:val="24"/>
                              <w:szCs w:val="24"/>
                            </w:rPr>
                            <w:fldChar w:fldCharType="begin"/>
                          </w:r>
                          <w:r>
                            <w:rPr>
                              <w:rStyle w:val="28"/>
                              <w:rFonts w:ascii="宋体" w:hAnsi="宋体"/>
                              <w:sz w:val="24"/>
                              <w:szCs w:val="24"/>
                            </w:rPr>
                            <w:instrText xml:space="preserve">PAGE  </w:instrText>
                          </w:r>
                          <w:r>
                            <w:rPr>
                              <w:rFonts w:ascii="宋体" w:hAnsi="宋体"/>
                              <w:sz w:val="24"/>
                              <w:szCs w:val="24"/>
                            </w:rPr>
                            <w:fldChar w:fldCharType="separate"/>
                          </w:r>
                          <w:r>
                            <w:rPr>
                              <w:rStyle w:val="28"/>
                              <w:rFonts w:ascii="宋体" w:hAnsi="宋体"/>
                              <w:sz w:val="24"/>
                              <w:szCs w:val="24"/>
                            </w:rPr>
                            <w:t>36</w:t>
                          </w:r>
                          <w:r>
                            <w:rPr>
                              <w:rFonts w:ascii="宋体" w:hAnsi="宋体"/>
                              <w:sz w:val="24"/>
                              <w:szCs w:val="24"/>
                            </w:rPr>
                            <w:fldChar w:fldCharType="end"/>
                          </w:r>
                          <w:r>
                            <w:rPr>
                              <w:rStyle w:val="28"/>
                              <w:rFonts w:hint="eastAsia" w:ascii="宋体" w:hAnsi="宋体"/>
                              <w:sz w:val="24"/>
                              <w:szCs w:val="24"/>
                            </w:rPr>
                            <w:t xml:space="preserve">  —</w:t>
                          </w:r>
                        </w:p>
                      </w:txbxContent>
                    </wps:txbx>
                    <wps:bodyPr rot="0" vert="horz" wrap="square" lIns="0" tIns="0" rIns="0" bIns="0" anchor="t" anchorCtr="false" upright="true">
                      <a:spAutoFit/>
                    </wps:bodyPr>
                  </wps:wsp>
                </a:graphicData>
              </a:graphic>
            </wp:anchor>
          </w:drawing>
        </mc:Choice>
        <mc:Fallback>
          <w:pict>
            <v:shape id="文本框 1" o:spid="_x0000_s1026" o:spt="202" type="#_x0000_t202" style="position:absolute;left:0pt;margin-left:192.4pt;margin-top:793.3pt;height:15.55pt;width:65.2pt;mso-position-horizontal-relative:margin;mso-position-vertical-relative:page;z-index:251665408;mso-width-relative:page;mso-height-relative:page;" filled="f" stroked="f" coordsize="21600,21600" o:gfxdata="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WAAAAZHJzL1BLAQIUABQAAAAIAIdO4kDrDfss2QAAAA0BAAAP&#10;AAAAAAAAAAEAIAAAADgAAABkcnMvZG93bnJldi54bWxQSwECFAAUAAAACACHTuJAtfPkUwECAADM&#10;AwAADgAAAAAAAAABACAAAAA+AQAAZHJzL2Uyb0RvYy54bWxQSwUGAAAAAAYABgBZAQAAsQUAAAAA&#10;">
              <v:fill on="f" focussize="0,0"/>
              <v:stroke on="f"/>
              <v:imagedata o:title=""/>
              <o:lock v:ext="edit" aspectratio="f"/>
              <v:textbox inset="0mm,0mm,0mm,0mm" style="mso-fit-shape-to-text:t;">
                <w:txbxContent>
                  <w:p>
                    <w:pPr>
                      <w:pStyle w:val="13"/>
                      <w:rPr>
                        <w:rStyle w:val="28"/>
                        <w:rFonts w:ascii="宋体" w:hAnsi="宋体"/>
                        <w:sz w:val="24"/>
                        <w:szCs w:val="24"/>
                      </w:rPr>
                    </w:pPr>
                    <w:r>
                      <w:rPr>
                        <w:rStyle w:val="28"/>
                        <w:rFonts w:hint="eastAsia" w:ascii="宋体" w:hAnsi="宋体"/>
                        <w:sz w:val="24"/>
                        <w:szCs w:val="24"/>
                      </w:rPr>
                      <w:t xml:space="preserve">—  </w:t>
                    </w:r>
                    <w:r>
                      <w:rPr>
                        <w:rFonts w:ascii="宋体" w:hAnsi="宋体"/>
                        <w:sz w:val="24"/>
                        <w:szCs w:val="24"/>
                      </w:rPr>
                      <w:fldChar w:fldCharType="begin"/>
                    </w:r>
                    <w:r>
                      <w:rPr>
                        <w:rStyle w:val="28"/>
                        <w:rFonts w:ascii="宋体" w:hAnsi="宋体"/>
                        <w:sz w:val="24"/>
                        <w:szCs w:val="24"/>
                      </w:rPr>
                      <w:instrText xml:space="preserve">PAGE  </w:instrText>
                    </w:r>
                    <w:r>
                      <w:rPr>
                        <w:rFonts w:ascii="宋体" w:hAnsi="宋体"/>
                        <w:sz w:val="24"/>
                        <w:szCs w:val="24"/>
                      </w:rPr>
                      <w:fldChar w:fldCharType="separate"/>
                    </w:r>
                    <w:r>
                      <w:rPr>
                        <w:rStyle w:val="28"/>
                        <w:rFonts w:ascii="宋体" w:hAnsi="宋体"/>
                        <w:sz w:val="24"/>
                        <w:szCs w:val="24"/>
                      </w:rPr>
                      <w:t>36</w:t>
                    </w:r>
                    <w:r>
                      <w:rPr>
                        <w:rFonts w:ascii="宋体" w:hAnsi="宋体"/>
                        <w:sz w:val="24"/>
                        <w:szCs w:val="24"/>
                      </w:rPr>
                      <w:fldChar w:fldCharType="end"/>
                    </w:r>
                    <w:r>
                      <w:rPr>
                        <w:rStyle w:val="28"/>
                        <w:rFonts w:hint="eastAsia" w:ascii="宋体" w:hAnsi="宋体"/>
                        <w:sz w:val="24"/>
                        <w:szCs w:val="24"/>
                      </w:rPr>
                      <w:t xml:space="preserve">  —</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posOffset>2443480</wp:posOffset>
              </wp:positionH>
              <wp:positionV relativeFrom="page">
                <wp:posOffset>10074910</wp:posOffset>
              </wp:positionV>
              <wp:extent cx="828040" cy="197485"/>
              <wp:effectExtent l="0" t="0" r="10160" b="12065"/>
              <wp:wrapNone/>
              <wp:docPr id="1913945925" name="文本框 1"/>
              <wp:cNvGraphicFramePr/>
              <a:graphic xmlns:a="http://schemas.openxmlformats.org/drawingml/2006/main">
                <a:graphicData uri="http://schemas.microsoft.com/office/word/2010/wordprocessingShape">
                  <wps:wsp>
                    <wps:cNvSpPr txBox="true">
                      <a:spLocks noChangeArrowheads="true"/>
                    </wps:cNvSpPr>
                    <wps:spPr bwMode="auto">
                      <a:xfrm>
                        <a:off x="0" y="0"/>
                        <a:ext cx="828136" cy="197485"/>
                      </a:xfrm>
                      <a:prstGeom prst="rect">
                        <a:avLst/>
                      </a:prstGeom>
                      <a:noFill/>
                      <a:ln>
                        <a:noFill/>
                      </a:ln>
                    </wps:spPr>
                    <wps:txbx>
                      <w:txbxContent>
                        <w:p>
                          <w:pPr>
                            <w:pStyle w:val="13"/>
                            <w:rPr>
                              <w:rStyle w:val="28"/>
                              <w:rFonts w:ascii="宋体" w:hAnsi="宋体"/>
                              <w:sz w:val="24"/>
                              <w:szCs w:val="24"/>
                            </w:rPr>
                          </w:pPr>
                          <w:r>
                            <w:rPr>
                              <w:rStyle w:val="28"/>
                              <w:rFonts w:hint="eastAsia" w:ascii="宋体" w:hAnsi="宋体"/>
                              <w:sz w:val="24"/>
                              <w:szCs w:val="24"/>
                            </w:rPr>
                            <w:t xml:space="preserve">—  </w:t>
                          </w:r>
                          <w:r>
                            <w:rPr>
                              <w:rFonts w:ascii="宋体" w:hAnsi="宋体"/>
                              <w:sz w:val="24"/>
                              <w:szCs w:val="24"/>
                            </w:rPr>
                            <w:fldChar w:fldCharType="begin"/>
                          </w:r>
                          <w:r>
                            <w:rPr>
                              <w:rStyle w:val="28"/>
                              <w:rFonts w:ascii="宋体" w:hAnsi="宋体"/>
                              <w:sz w:val="24"/>
                              <w:szCs w:val="24"/>
                            </w:rPr>
                            <w:instrText xml:space="preserve">PAGE  </w:instrText>
                          </w:r>
                          <w:r>
                            <w:rPr>
                              <w:rFonts w:ascii="宋体" w:hAnsi="宋体"/>
                              <w:sz w:val="24"/>
                              <w:szCs w:val="24"/>
                            </w:rPr>
                            <w:fldChar w:fldCharType="separate"/>
                          </w:r>
                          <w:r>
                            <w:rPr>
                              <w:rStyle w:val="28"/>
                              <w:rFonts w:ascii="宋体" w:hAnsi="宋体"/>
                              <w:sz w:val="24"/>
                              <w:szCs w:val="24"/>
                            </w:rPr>
                            <w:t>36</w:t>
                          </w:r>
                          <w:r>
                            <w:rPr>
                              <w:rFonts w:ascii="宋体" w:hAnsi="宋体"/>
                              <w:sz w:val="24"/>
                              <w:szCs w:val="24"/>
                            </w:rPr>
                            <w:fldChar w:fldCharType="end"/>
                          </w:r>
                          <w:r>
                            <w:rPr>
                              <w:rStyle w:val="28"/>
                              <w:rFonts w:hint="eastAsia" w:ascii="宋体" w:hAnsi="宋体"/>
                              <w:sz w:val="24"/>
                              <w:szCs w:val="24"/>
                            </w:rPr>
                            <w:t xml:space="preserve">  —</w:t>
                          </w:r>
                        </w:p>
                      </w:txbxContent>
                    </wps:txbx>
                    <wps:bodyPr rot="0" vert="horz" wrap="square" lIns="0" tIns="0" rIns="0" bIns="0" anchor="t" anchorCtr="false" upright="true">
                      <a:spAutoFit/>
                    </wps:bodyPr>
                  </wps:wsp>
                </a:graphicData>
              </a:graphic>
            </wp:anchor>
          </w:drawing>
        </mc:Choice>
        <mc:Fallback>
          <w:pict>
            <v:shape id="文本框 1" o:spid="_x0000_s1026" o:spt="202" type="#_x0000_t202" style="position:absolute;left:0pt;margin-left:192.4pt;margin-top:793.3pt;height:15.55pt;width:65.2pt;mso-position-horizontal-relative:margin;mso-position-vertical-relative:page;z-index:251661312;mso-width-relative:page;mso-height-relative:page;" filled="f" stroked="f" coordsize="21600,21600" o:gfxdata="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BYAAABkcnMvUEsBAhQAFAAAAAgAh07iQOsN+yzZAAAADQEAAA8A&#10;AAAAAAAAAQAgAAAAOAAAAGRycy9kb3ducmV2LnhtbFBLAQIUABQAAAAIAIdO4kBsAXivAAIAAMwD&#10;AAAOAAAAAAAAAAEAIAAAAD4BAABkcnMvZTJvRG9jLnhtbFBLBQYAAAAABgAGAFkBAACwBQAAAAA=&#10;">
              <v:fill on="f" focussize="0,0"/>
              <v:stroke on="f"/>
              <v:imagedata o:title=""/>
              <o:lock v:ext="edit" aspectratio="f"/>
              <v:textbox inset="0mm,0mm,0mm,0mm" style="mso-fit-shape-to-text:t;">
                <w:txbxContent>
                  <w:p>
                    <w:pPr>
                      <w:pStyle w:val="13"/>
                      <w:rPr>
                        <w:rStyle w:val="28"/>
                        <w:rFonts w:ascii="宋体" w:hAnsi="宋体"/>
                        <w:sz w:val="24"/>
                        <w:szCs w:val="24"/>
                      </w:rPr>
                    </w:pPr>
                    <w:r>
                      <w:rPr>
                        <w:rStyle w:val="28"/>
                        <w:rFonts w:hint="eastAsia" w:ascii="宋体" w:hAnsi="宋体"/>
                        <w:sz w:val="24"/>
                        <w:szCs w:val="24"/>
                      </w:rPr>
                      <w:t xml:space="preserve">—  </w:t>
                    </w:r>
                    <w:r>
                      <w:rPr>
                        <w:rFonts w:ascii="宋体" w:hAnsi="宋体"/>
                        <w:sz w:val="24"/>
                        <w:szCs w:val="24"/>
                      </w:rPr>
                      <w:fldChar w:fldCharType="begin"/>
                    </w:r>
                    <w:r>
                      <w:rPr>
                        <w:rStyle w:val="28"/>
                        <w:rFonts w:ascii="宋体" w:hAnsi="宋体"/>
                        <w:sz w:val="24"/>
                        <w:szCs w:val="24"/>
                      </w:rPr>
                      <w:instrText xml:space="preserve">PAGE  </w:instrText>
                    </w:r>
                    <w:r>
                      <w:rPr>
                        <w:rFonts w:ascii="宋体" w:hAnsi="宋体"/>
                        <w:sz w:val="24"/>
                        <w:szCs w:val="24"/>
                      </w:rPr>
                      <w:fldChar w:fldCharType="separate"/>
                    </w:r>
                    <w:r>
                      <w:rPr>
                        <w:rStyle w:val="28"/>
                        <w:rFonts w:ascii="宋体" w:hAnsi="宋体"/>
                        <w:sz w:val="24"/>
                        <w:szCs w:val="24"/>
                      </w:rPr>
                      <w:t>36</w:t>
                    </w:r>
                    <w:r>
                      <w:rPr>
                        <w:rFonts w:ascii="宋体" w:hAnsi="宋体"/>
                        <w:sz w:val="24"/>
                        <w:szCs w:val="24"/>
                      </w:rPr>
                      <w:fldChar w:fldCharType="end"/>
                    </w:r>
                    <w:r>
                      <w:rPr>
                        <w:rStyle w:val="28"/>
                        <w:rFonts w:hint="eastAsia" w:ascii="宋体" w:hAnsi="宋体"/>
                        <w:sz w:val="24"/>
                        <w:szCs w:val="24"/>
                      </w:rPr>
                      <w:t xml:space="preserve">  —</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posOffset>2443480</wp:posOffset>
              </wp:positionH>
              <wp:positionV relativeFrom="page">
                <wp:posOffset>10074910</wp:posOffset>
              </wp:positionV>
              <wp:extent cx="828040" cy="197485"/>
              <wp:effectExtent l="0" t="0" r="10160" b="12065"/>
              <wp:wrapNone/>
              <wp:docPr id="2" name="文本框 1"/>
              <wp:cNvGraphicFramePr/>
              <a:graphic xmlns:a="http://schemas.openxmlformats.org/drawingml/2006/main">
                <a:graphicData uri="http://schemas.microsoft.com/office/word/2010/wordprocessingShape">
                  <wps:wsp>
                    <wps:cNvSpPr txBox="true">
                      <a:spLocks noChangeArrowheads="true"/>
                    </wps:cNvSpPr>
                    <wps:spPr bwMode="auto">
                      <a:xfrm>
                        <a:off x="0" y="0"/>
                        <a:ext cx="828136" cy="197485"/>
                      </a:xfrm>
                      <a:prstGeom prst="rect">
                        <a:avLst/>
                      </a:prstGeom>
                      <a:noFill/>
                      <a:ln>
                        <a:noFill/>
                      </a:ln>
                    </wps:spPr>
                    <wps:txbx>
                      <w:txbxContent>
                        <w:p>
                          <w:pPr>
                            <w:pStyle w:val="13"/>
                            <w:rPr>
                              <w:rStyle w:val="28"/>
                              <w:rFonts w:ascii="宋体" w:hAnsi="宋体"/>
                              <w:sz w:val="24"/>
                              <w:szCs w:val="24"/>
                            </w:rPr>
                          </w:pPr>
                          <w:r>
                            <w:rPr>
                              <w:rStyle w:val="28"/>
                              <w:rFonts w:hint="eastAsia" w:ascii="宋体" w:hAnsi="宋体"/>
                              <w:sz w:val="24"/>
                              <w:szCs w:val="24"/>
                            </w:rPr>
                            <w:t xml:space="preserve">—  </w:t>
                          </w:r>
                          <w:r>
                            <w:rPr>
                              <w:rFonts w:ascii="宋体" w:hAnsi="宋体"/>
                              <w:sz w:val="24"/>
                              <w:szCs w:val="24"/>
                            </w:rPr>
                            <w:fldChar w:fldCharType="begin"/>
                          </w:r>
                          <w:r>
                            <w:rPr>
                              <w:rStyle w:val="28"/>
                              <w:rFonts w:ascii="宋体" w:hAnsi="宋体"/>
                              <w:sz w:val="24"/>
                              <w:szCs w:val="24"/>
                            </w:rPr>
                            <w:instrText xml:space="preserve">PAGE  </w:instrText>
                          </w:r>
                          <w:r>
                            <w:rPr>
                              <w:rFonts w:ascii="宋体" w:hAnsi="宋体"/>
                              <w:sz w:val="24"/>
                              <w:szCs w:val="24"/>
                            </w:rPr>
                            <w:fldChar w:fldCharType="separate"/>
                          </w:r>
                          <w:r>
                            <w:rPr>
                              <w:rStyle w:val="28"/>
                              <w:rFonts w:ascii="宋体" w:hAnsi="宋体"/>
                              <w:sz w:val="24"/>
                              <w:szCs w:val="24"/>
                            </w:rPr>
                            <w:t>36</w:t>
                          </w:r>
                          <w:r>
                            <w:rPr>
                              <w:rFonts w:ascii="宋体" w:hAnsi="宋体"/>
                              <w:sz w:val="24"/>
                              <w:szCs w:val="24"/>
                            </w:rPr>
                            <w:fldChar w:fldCharType="end"/>
                          </w:r>
                          <w:r>
                            <w:rPr>
                              <w:rStyle w:val="28"/>
                              <w:rFonts w:hint="eastAsia" w:ascii="宋体" w:hAnsi="宋体"/>
                              <w:sz w:val="24"/>
                              <w:szCs w:val="24"/>
                            </w:rPr>
                            <w:t xml:space="preserve">  —</w:t>
                          </w:r>
                        </w:p>
                      </w:txbxContent>
                    </wps:txbx>
                    <wps:bodyPr rot="0" vert="horz" wrap="square" lIns="0" tIns="0" rIns="0" bIns="0" anchor="t" anchorCtr="false" upright="true">
                      <a:spAutoFit/>
                    </wps:bodyPr>
                  </wps:wsp>
                </a:graphicData>
              </a:graphic>
            </wp:anchor>
          </w:drawing>
        </mc:Choice>
        <mc:Fallback>
          <w:pict>
            <v:shape id="文本框 1" o:spid="_x0000_s1026" o:spt="202" type="#_x0000_t202" style="position:absolute;left:0pt;margin-left:192.4pt;margin-top:793.3pt;height:15.55pt;width:65.2pt;mso-position-horizontal-relative:margin;mso-position-vertical-relative:page;z-index:251659264;mso-width-relative:page;mso-height-relative:page;" filled="f" stroked="f" coordsize="21600,21600" o:gfxdata="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BYAAABkcnMvUEsBAhQAFAAAAAgAh07iQOsN+yzZAAAADQEAAA8AAAAAAAAAAQAg&#10;AAAAOAAAAGRycy9kb3ducmV2LnhtbFBLAQIUABQAAAAIAIdO4kAo6jFe9wEAAMMDAAAOAAAAAAAA&#10;AAEAIAAAAD4BAABkcnMvZTJvRG9jLnhtbFBLBQYAAAAABgAGAFkBAACnBQAAAAA=&#10;">
              <v:fill on="f" focussize="0,0"/>
              <v:stroke on="f"/>
              <v:imagedata o:title=""/>
              <o:lock v:ext="edit" aspectratio="f"/>
              <v:textbox inset="0mm,0mm,0mm,0mm" style="mso-fit-shape-to-text:t;">
                <w:txbxContent>
                  <w:p>
                    <w:pPr>
                      <w:pStyle w:val="13"/>
                      <w:rPr>
                        <w:rStyle w:val="28"/>
                        <w:rFonts w:ascii="宋体" w:hAnsi="宋体"/>
                        <w:sz w:val="24"/>
                        <w:szCs w:val="24"/>
                      </w:rPr>
                    </w:pPr>
                    <w:r>
                      <w:rPr>
                        <w:rStyle w:val="28"/>
                        <w:rFonts w:hint="eastAsia" w:ascii="宋体" w:hAnsi="宋体"/>
                        <w:sz w:val="24"/>
                        <w:szCs w:val="24"/>
                      </w:rPr>
                      <w:t xml:space="preserve">—  </w:t>
                    </w:r>
                    <w:r>
                      <w:rPr>
                        <w:rFonts w:ascii="宋体" w:hAnsi="宋体"/>
                        <w:sz w:val="24"/>
                        <w:szCs w:val="24"/>
                      </w:rPr>
                      <w:fldChar w:fldCharType="begin"/>
                    </w:r>
                    <w:r>
                      <w:rPr>
                        <w:rStyle w:val="28"/>
                        <w:rFonts w:ascii="宋体" w:hAnsi="宋体"/>
                        <w:sz w:val="24"/>
                        <w:szCs w:val="24"/>
                      </w:rPr>
                      <w:instrText xml:space="preserve">PAGE  </w:instrText>
                    </w:r>
                    <w:r>
                      <w:rPr>
                        <w:rFonts w:ascii="宋体" w:hAnsi="宋体"/>
                        <w:sz w:val="24"/>
                        <w:szCs w:val="24"/>
                      </w:rPr>
                      <w:fldChar w:fldCharType="separate"/>
                    </w:r>
                    <w:r>
                      <w:rPr>
                        <w:rStyle w:val="28"/>
                        <w:rFonts w:ascii="宋体" w:hAnsi="宋体"/>
                        <w:sz w:val="24"/>
                        <w:szCs w:val="24"/>
                      </w:rPr>
                      <w:t>36</w:t>
                    </w:r>
                    <w:r>
                      <w:rPr>
                        <w:rFonts w:ascii="宋体" w:hAnsi="宋体"/>
                        <w:sz w:val="24"/>
                        <w:szCs w:val="24"/>
                      </w:rPr>
                      <w:fldChar w:fldCharType="end"/>
                    </w:r>
                    <w:r>
                      <w:rPr>
                        <w:rStyle w:val="28"/>
                        <w:rFonts w:hint="eastAsia" w:ascii="宋体" w:hAnsi="宋体"/>
                        <w:sz w:val="24"/>
                        <w:szCs w:val="24"/>
                      </w:rPr>
                      <w:t xml:space="preserve">  —</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right="360" w:firstLine="360"/>
      <w:jc w:val="center"/>
    </w:pPr>
    <w:r>
      <w:rPr>
        <w:rStyle w:val="28"/>
        <w:rFonts w:hint="eastAsia" w:ascii="宋体" w:hAnsi="宋体"/>
        <w:sz w:val="24"/>
        <w:szCs w:val="24"/>
      </w:rPr>
      <w:t xml:space="preserve">—  </w:t>
    </w:r>
    <w:r>
      <w:rPr>
        <w:rFonts w:ascii="宋体" w:hAnsi="宋体"/>
        <w:sz w:val="24"/>
        <w:szCs w:val="24"/>
      </w:rPr>
      <w:fldChar w:fldCharType="begin"/>
    </w:r>
    <w:r>
      <w:rPr>
        <w:rStyle w:val="28"/>
        <w:rFonts w:ascii="宋体" w:hAnsi="宋体"/>
        <w:sz w:val="24"/>
        <w:szCs w:val="24"/>
      </w:rPr>
      <w:instrText xml:space="preserve">PAGE  </w:instrText>
    </w:r>
    <w:r>
      <w:rPr>
        <w:rFonts w:ascii="宋体" w:hAnsi="宋体"/>
        <w:sz w:val="24"/>
        <w:szCs w:val="24"/>
      </w:rPr>
      <w:fldChar w:fldCharType="separate"/>
    </w:r>
    <w:r>
      <w:rPr>
        <w:rFonts w:ascii="宋体" w:hAnsi="宋体"/>
        <w:sz w:val="24"/>
        <w:szCs w:val="24"/>
      </w:rPr>
      <w:t>9</w:t>
    </w:r>
    <w:r>
      <w:rPr>
        <w:rFonts w:ascii="宋体" w:hAnsi="宋体"/>
        <w:sz w:val="24"/>
        <w:szCs w:val="24"/>
      </w:rPr>
      <w:fldChar w:fldCharType="end"/>
    </w:r>
    <w:r>
      <w:rPr>
        <w:rStyle w:val="28"/>
        <w:rFonts w:hint="eastAsia" w:ascii="宋体" w:hAnsi="宋体"/>
        <w:sz w:val="24"/>
        <w:szCs w:val="24"/>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775335" cy="230505"/>
              <wp:effectExtent l="0" t="1905" r="0" b="0"/>
              <wp:wrapNone/>
              <wp:docPr id="1" name="文本框 2"/>
              <wp:cNvGraphicFramePr/>
              <a:graphic xmlns:a="http://schemas.openxmlformats.org/drawingml/2006/main">
                <a:graphicData uri="http://schemas.microsoft.com/office/word/2010/wordprocessingShape">
                  <wps:wsp>
                    <wps:cNvSpPr txBox="true">
                      <a:spLocks noChangeArrowheads="true"/>
                    </wps:cNvSpPr>
                    <wps:spPr bwMode="auto">
                      <a:xfrm>
                        <a:off x="0" y="0"/>
                        <a:ext cx="775335" cy="230505"/>
                      </a:xfrm>
                      <a:prstGeom prst="rect">
                        <a:avLst/>
                      </a:prstGeom>
                      <a:noFill/>
                      <a:ln>
                        <a:noFill/>
                      </a:ln>
                    </wps:spPr>
                    <wps:txbx>
                      <w:txbxContent>
                        <w:p>
                          <w:pPr>
                            <w:pStyle w:val="13"/>
                            <w:rPr>
                              <w:rStyle w:val="28"/>
                              <w:rFonts w:ascii="宋体" w:hAnsi="宋体"/>
                              <w:sz w:val="28"/>
                              <w:szCs w:val="28"/>
                            </w:rPr>
                          </w:pPr>
                          <w:r>
                            <w:rPr>
                              <w:rStyle w:val="28"/>
                              <w:rFonts w:hint="eastAsia" w:ascii="宋体" w:hAnsi="宋体"/>
                              <w:sz w:val="28"/>
                              <w:szCs w:val="28"/>
                            </w:rPr>
                            <w:t>—</w:t>
                          </w:r>
                          <w:r>
                            <w:rPr>
                              <w:rStyle w:val="28"/>
                              <w:rFonts w:hint="eastAsia" w:ascii="宋体" w:hAnsi="宋体"/>
                              <w:sz w:val="20"/>
                            </w:rPr>
                            <w:t xml:space="preserve">  </w:t>
                          </w:r>
                          <w:r>
                            <w:rPr>
                              <w:rFonts w:ascii="宋体" w:hAnsi="宋体"/>
                              <w:sz w:val="26"/>
                              <w:szCs w:val="26"/>
                            </w:rPr>
                            <w:fldChar w:fldCharType="begin"/>
                          </w:r>
                          <w:r>
                            <w:rPr>
                              <w:rStyle w:val="28"/>
                              <w:rFonts w:ascii="宋体" w:hAnsi="宋体"/>
                              <w:sz w:val="26"/>
                              <w:szCs w:val="26"/>
                            </w:rPr>
                            <w:instrText xml:space="preserve">PAGE  </w:instrText>
                          </w:r>
                          <w:r>
                            <w:rPr>
                              <w:rFonts w:ascii="宋体" w:hAnsi="宋体"/>
                              <w:sz w:val="26"/>
                              <w:szCs w:val="26"/>
                            </w:rPr>
                            <w:fldChar w:fldCharType="separate"/>
                          </w:r>
                          <w:r>
                            <w:rPr>
                              <w:rStyle w:val="28"/>
                              <w:rFonts w:ascii="宋体" w:hAnsi="宋体"/>
                              <w:sz w:val="26"/>
                              <w:szCs w:val="26"/>
                            </w:rPr>
                            <w:t>62</w:t>
                          </w:r>
                          <w:r>
                            <w:rPr>
                              <w:rFonts w:ascii="宋体" w:hAnsi="宋体"/>
                              <w:sz w:val="26"/>
                              <w:szCs w:val="26"/>
                            </w:rPr>
                            <w:fldChar w:fldCharType="end"/>
                          </w:r>
                          <w:r>
                            <w:rPr>
                              <w:rStyle w:val="28"/>
                              <w:rFonts w:hint="eastAsia" w:ascii="宋体" w:hAnsi="宋体"/>
                              <w:sz w:val="20"/>
                            </w:rPr>
                            <w:t xml:space="preserve">  </w:t>
                          </w:r>
                          <w:r>
                            <w:rPr>
                              <w:rStyle w:val="28"/>
                              <w:rFonts w:hint="eastAsia" w:ascii="宋体" w:hAnsi="宋体"/>
                              <w:sz w:val="28"/>
                              <w:szCs w:val="28"/>
                            </w:rPr>
                            <w:t>—</w:t>
                          </w:r>
                        </w:p>
                      </w:txbxContent>
                    </wps:txbx>
                    <wps:bodyPr rot="0" vert="horz" wrap="none" lIns="0" tIns="0" rIns="0" bIns="0" anchor="t" anchorCtr="false" upright="true">
                      <a:spAutoFit/>
                    </wps:bodyPr>
                  </wps:wsp>
                </a:graphicData>
              </a:graphic>
            </wp:anchor>
          </w:drawing>
        </mc:Choice>
        <mc:Fallback>
          <w:pict>
            <v:shape id="文本框 2" o:spid="_x0000_s1026" o:spt="202" type="#_x0000_t202" style="position:absolute;left:0pt;margin-top:0pt;height:18.15pt;width:61.05pt;mso-position-horizontal:center;mso-position-horizontal-relative:margin;mso-wrap-style:none;z-index:251660288;mso-width-relative:page;mso-height-relative:page;" filled="f" stroked="f" coordsize="21600,21600" o:gfxdata="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FgAAAGRycy9QSwECFAAUAAAACACHTuJAFTonl9EAAAAEAQAADwAAAAAAAAABACAAAAA4AAAAZHJz&#10;L2Rvd25yZXYueG1sUEsBAhQAFAAAAAgAh07iQKVgnyX1AQAAwQMAAA4AAAAAAAAAAQAgAAAANgEA&#10;AGRycy9lMm9Eb2MueG1sUEsFBgAAAAAGAAYAWQEAAJ0FAAAAAA==&#10;">
              <v:fill on="f" focussize="0,0"/>
              <v:stroke on="f"/>
              <v:imagedata o:title=""/>
              <o:lock v:ext="edit" aspectratio="f"/>
              <v:textbox inset="0mm,0mm,0mm,0mm" style="mso-fit-shape-to-text:t;">
                <w:txbxContent>
                  <w:p>
                    <w:pPr>
                      <w:pStyle w:val="13"/>
                      <w:rPr>
                        <w:rStyle w:val="28"/>
                        <w:rFonts w:ascii="宋体" w:hAnsi="宋体"/>
                        <w:sz w:val="28"/>
                        <w:szCs w:val="28"/>
                      </w:rPr>
                    </w:pPr>
                    <w:r>
                      <w:rPr>
                        <w:rStyle w:val="28"/>
                        <w:rFonts w:hint="eastAsia" w:ascii="宋体" w:hAnsi="宋体"/>
                        <w:sz w:val="28"/>
                        <w:szCs w:val="28"/>
                      </w:rPr>
                      <w:t>—</w:t>
                    </w:r>
                    <w:r>
                      <w:rPr>
                        <w:rStyle w:val="28"/>
                        <w:rFonts w:hint="eastAsia" w:ascii="宋体" w:hAnsi="宋体"/>
                        <w:sz w:val="20"/>
                      </w:rPr>
                      <w:t xml:space="preserve">  </w:t>
                    </w:r>
                    <w:r>
                      <w:rPr>
                        <w:rFonts w:ascii="宋体" w:hAnsi="宋体"/>
                        <w:sz w:val="26"/>
                        <w:szCs w:val="26"/>
                      </w:rPr>
                      <w:fldChar w:fldCharType="begin"/>
                    </w:r>
                    <w:r>
                      <w:rPr>
                        <w:rStyle w:val="28"/>
                        <w:rFonts w:ascii="宋体" w:hAnsi="宋体"/>
                        <w:sz w:val="26"/>
                        <w:szCs w:val="26"/>
                      </w:rPr>
                      <w:instrText xml:space="preserve">PAGE  </w:instrText>
                    </w:r>
                    <w:r>
                      <w:rPr>
                        <w:rFonts w:ascii="宋体" w:hAnsi="宋体"/>
                        <w:sz w:val="26"/>
                        <w:szCs w:val="26"/>
                      </w:rPr>
                      <w:fldChar w:fldCharType="separate"/>
                    </w:r>
                    <w:r>
                      <w:rPr>
                        <w:rStyle w:val="28"/>
                        <w:rFonts w:ascii="宋体" w:hAnsi="宋体"/>
                        <w:sz w:val="26"/>
                        <w:szCs w:val="26"/>
                      </w:rPr>
                      <w:t>62</w:t>
                    </w:r>
                    <w:r>
                      <w:rPr>
                        <w:rFonts w:ascii="宋体" w:hAnsi="宋体"/>
                        <w:sz w:val="26"/>
                        <w:szCs w:val="26"/>
                      </w:rPr>
                      <w:fldChar w:fldCharType="end"/>
                    </w:r>
                    <w:r>
                      <w:rPr>
                        <w:rStyle w:val="28"/>
                        <w:rFonts w:hint="eastAsia" w:ascii="宋体" w:hAnsi="宋体"/>
                        <w:sz w:val="20"/>
                      </w:rPr>
                      <w:t xml:space="preserve">  </w:t>
                    </w:r>
                    <w:r>
                      <w:rPr>
                        <w:rStyle w:val="28"/>
                        <w:rFonts w:hint="eastAsia" w:ascii="宋体" w:hAnsi="宋体"/>
                        <w:sz w:val="28"/>
                        <w:szCs w:val="28"/>
                      </w:rPr>
                      <w:t>—</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footnote>
  <w:footnote w:type="continuationSeparator" w:id="1">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bordersDoNotSurroundHeader w:val="true"/>
  <w:bordersDoNotSurroundFooter w:val="true"/>
  <w:documentProtection w:enforcement="0"/>
  <w:defaultTabStop w:val="420"/>
  <w:drawingGridHorizontalSpacing w:val="105"/>
  <w:drawingGridVerticalSpacing w:val="156"/>
  <w:noPunctuationKerning w:val="true"/>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2U1MGMxNTNlNmViNmU1YWJhNGYzYTFiYTMzMzVlZmMifQ=="/>
  </w:docVars>
  <w:rsids>
    <w:rsidRoot w:val="00172A27"/>
    <w:rsid w:val="00000477"/>
    <w:rsid w:val="00000F8A"/>
    <w:rsid w:val="00001F89"/>
    <w:rsid w:val="000022D8"/>
    <w:rsid w:val="000048CF"/>
    <w:rsid w:val="00004D55"/>
    <w:rsid w:val="00004E7F"/>
    <w:rsid w:val="000058B1"/>
    <w:rsid w:val="0000651C"/>
    <w:rsid w:val="000077A6"/>
    <w:rsid w:val="00014896"/>
    <w:rsid w:val="000151A0"/>
    <w:rsid w:val="00015FCE"/>
    <w:rsid w:val="000169DD"/>
    <w:rsid w:val="00020E0E"/>
    <w:rsid w:val="00022928"/>
    <w:rsid w:val="00022CD5"/>
    <w:rsid w:val="00024714"/>
    <w:rsid w:val="00030DCB"/>
    <w:rsid w:val="000311A0"/>
    <w:rsid w:val="00033C06"/>
    <w:rsid w:val="000340B6"/>
    <w:rsid w:val="00034704"/>
    <w:rsid w:val="00035309"/>
    <w:rsid w:val="00035D0B"/>
    <w:rsid w:val="00035EEF"/>
    <w:rsid w:val="00037DB5"/>
    <w:rsid w:val="0004132D"/>
    <w:rsid w:val="000414CD"/>
    <w:rsid w:val="0004196E"/>
    <w:rsid w:val="00041CB1"/>
    <w:rsid w:val="000433A1"/>
    <w:rsid w:val="00044E2A"/>
    <w:rsid w:val="00045AFA"/>
    <w:rsid w:val="00047080"/>
    <w:rsid w:val="00047D2D"/>
    <w:rsid w:val="00054592"/>
    <w:rsid w:val="00054C6E"/>
    <w:rsid w:val="00056277"/>
    <w:rsid w:val="000571F9"/>
    <w:rsid w:val="00060606"/>
    <w:rsid w:val="00061243"/>
    <w:rsid w:val="00063EE1"/>
    <w:rsid w:val="000640EA"/>
    <w:rsid w:val="00064488"/>
    <w:rsid w:val="00064519"/>
    <w:rsid w:val="00064CA3"/>
    <w:rsid w:val="00065A96"/>
    <w:rsid w:val="00065F66"/>
    <w:rsid w:val="00066159"/>
    <w:rsid w:val="00066ABC"/>
    <w:rsid w:val="00066DAC"/>
    <w:rsid w:val="000701E9"/>
    <w:rsid w:val="00071B57"/>
    <w:rsid w:val="00071F2B"/>
    <w:rsid w:val="00073E17"/>
    <w:rsid w:val="000755F9"/>
    <w:rsid w:val="000760FF"/>
    <w:rsid w:val="00080552"/>
    <w:rsid w:val="000813C0"/>
    <w:rsid w:val="0008373E"/>
    <w:rsid w:val="00083FB0"/>
    <w:rsid w:val="0008400B"/>
    <w:rsid w:val="00090111"/>
    <w:rsid w:val="000916C9"/>
    <w:rsid w:val="0009232A"/>
    <w:rsid w:val="00095A32"/>
    <w:rsid w:val="0009635B"/>
    <w:rsid w:val="0009785B"/>
    <w:rsid w:val="000B18A0"/>
    <w:rsid w:val="000B233E"/>
    <w:rsid w:val="000B27DA"/>
    <w:rsid w:val="000B37EB"/>
    <w:rsid w:val="000B3E9E"/>
    <w:rsid w:val="000B5471"/>
    <w:rsid w:val="000C70F9"/>
    <w:rsid w:val="000C755C"/>
    <w:rsid w:val="000D2AD2"/>
    <w:rsid w:val="000D2C98"/>
    <w:rsid w:val="000D696C"/>
    <w:rsid w:val="000D6D15"/>
    <w:rsid w:val="000E0CB7"/>
    <w:rsid w:val="000E18E5"/>
    <w:rsid w:val="000E2F46"/>
    <w:rsid w:val="000E2FD7"/>
    <w:rsid w:val="000E4388"/>
    <w:rsid w:val="000E4630"/>
    <w:rsid w:val="000E4631"/>
    <w:rsid w:val="000E477A"/>
    <w:rsid w:val="000E4E7C"/>
    <w:rsid w:val="000E51E5"/>
    <w:rsid w:val="000E6F93"/>
    <w:rsid w:val="000F0D9E"/>
    <w:rsid w:val="000F3410"/>
    <w:rsid w:val="000F64DA"/>
    <w:rsid w:val="000F79F6"/>
    <w:rsid w:val="001003DE"/>
    <w:rsid w:val="001008AB"/>
    <w:rsid w:val="00100DBA"/>
    <w:rsid w:val="0010230B"/>
    <w:rsid w:val="00104E7A"/>
    <w:rsid w:val="001070C5"/>
    <w:rsid w:val="00113342"/>
    <w:rsid w:val="001136FA"/>
    <w:rsid w:val="00113E46"/>
    <w:rsid w:val="001144CF"/>
    <w:rsid w:val="00114BE3"/>
    <w:rsid w:val="00121C29"/>
    <w:rsid w:val="00121FEE"/>
    <w:rsid w:val="00122C1D"/>
    <w:rsid w:val="00123FC4"/>
    <w:rsid w:val="00125993"/>
    <w:rsid w:val="001272CC"/>
    <w:rsid w:val="00130043"/>
    <w:rsid w:val="00131F31"/>
    <w:rsid w:val="001324AF"/>
    <w:rsid w:val="001370E3"/>
    <w:rsid w:val="001405CC"/>
    <w:rsid w:val="0014128F"/>
    <w:rsid w:val="0014220C"/>
    <w:rsid w:val="0014320F"/>
    <w:rsid w:val="00143977"/>
    <w:rsid w:val="00145F27"/>
    <w:rsid w:val="0014703E"/>
    <w:rsid w:val="001476A7"/>
    <w:rsid w:val="0014789F"/>
    <w:rsid w:val="001534AF"/>
    <w:rsid w:val="00154117"/>
    <w:rsid w:val="00154F4A"/>
    <w:rsid w:val="0015627C"/>
    <w:rsid w:val="0015676A"/>
    <w:rsid w:val="001575E6"/>
    <w:rsid w:val="00160F1C"/>
    <w:rsid w:val="0016176C"/>
    <w:rsid w:val="00161AF0"/>
    <w:rsid w:val="00161C01"/>
    <w:rsid w:val="00163FDF"/>
    <w:rsid w:val="00166463"/>
    <w:rsid w:val="0016662B"/>
    <w:rsid w:val="00167911"/>
    <w:rsid w:val="00167EFA"/>
    <w:rsid w:val="001703D4"/>
    <w:rsid w:val="00172A27"/>
    <w:rsid w:val="00174861"/>
    <w:rsid w:val="001748B3"/>
    <w:rsid w:val="00175405"/>
    <w:rsid w:val="001768CA"/>
    <w:rsid w:val="00176B49"/>
    <w:rsid w:val="00176DB9"/>
    <w:rsid w:val="00176F09"/>
    <w:rsid w:val="001770A7"/>
    <w:rsid w:val="001770D9"/>
    <w:rsid w:val="0017756E"/>
    <w:rsid w:val="00180913"/>
    <w:rsid w:val="00181E4B"/>
    <w:rsid w:val="001838FD"/>
    <w:rsid w:val="00186092"/>
    <w:rsid w:val="00186348"/>
    <w:rsid w:val="00186B7E"/>
    <w:rsid w:val="00193C89"/>
    <w:rsid w:val="00193EF6"/>
    <w:rsid w:val="00194454"/>
    <w:rsid w:val="00195059"/>
    <w:rsid w:val="00195280"/>
    <w:rsid w:val="0019537B"/>
    <w:rsid w:val="001A4097"/>
    <w:rsid w:val="001A42D3"/>
    <w:rsid w:val="001A47BC"/>
    <w:rsid w:val="001A4C8E"/>
    <w:rsid w:val="001A5BC1"/>
    <w:rsid w:val="001A6118"/>
    <w:rsid w:val="001A61D5"/>
    <w:rsid w:val="001A7C61"/>
    <w:rsid w:val="001A7CA3"/>
    <w:rsid w:val="001B1A9F"/>
    <w:rsid w:val="001B236A"/>
    <w:rsid w:val="001B4325"/>
    <w:rsid w:val="001B46C4"/>
    <w:rsid w:val="001C03DE"/>
    <w:rsid w:val="001C2008"/>
    <w:rsid w:val="001C480C"/>
    <w:rsid w:val="001C5584"/>
    <w:rsid w:val="001C7E0A"/>
    <w:rsid w:val="001D14AE"/>
    <w:rsid w:val="001D2876"/>
    <w:rsid w:val="001D2CBD"/>
    <w:rsid w:val="001D3027"/>
    <w:rsid w:val="001D36D2"/>
    <w:rsid w:val="001D3744"/>
    <w:rsid w:val="001D495E"/>
    <w:rsid w:val="001D64D6"/>
    <w:rsid w:val="001D732B"/>
    <w:rsid w:val="001D751B"/>
    <w:rsid w:val="001E0549"/>
    <w:rsid w:val="001E09EF"/>
    <w:rsid w:val="001E1BF1"/>
    <w:rsid w:val="001E22E4"/>
    <w:rsid w:val="001E26FB"/>
    <w:rsid w:val="001E35F6"/>
    <w:rsid w:val="001E4E31"/>
    <w:rsid w:val="001E5696"/>
    <w:rsid w:val="001E5CF1"/>
    <w:rsid w:val="001E71A8"/>
    <w:rsid w:val="001F3090"/>
    <w:rsid w:val="002008E0"/>
    <w:rsid w:val="00200E75"/>
    <w:rsid w:val="002029A3"/>
    <w:rsid w:val="00202B76"/>
    <w:rsid w:val="00203F88"/>
    <w:rsid w:val="00204484"/>
    <w:rsid w:val="002049A1"/>
    <w:rsid w:val="00204BE1"/>
    <w:rsid w:val="00204C0F"/>
    <w:rsid w:val="002055CA"/>
    <w:rsid w:val="002065E2"/>
    <w:rsid w:val="00206864"/>
    <w:rsid w:val="002101B3"/>
    <w:rsid w:val="00210224"/>
    <w:rsid w:val="00212B85"/>
    <w:rsid w:val="002140DA"/>
    <w:rsid w:val="002149D2"/>
    <w:rsid w:val="002150A4"/>
    <w:rsid w:val="00221B83"/>
    <w:rsid w:val="00224E2F"/>
    <w:rsid w:val="00225CA4"/>
    <w:rsid w:val="002260B8"/>
    <w:rsid w:val="00226D1B"/>
    <w:rsid w:val="00230D5C"/>
    <w:rsid w:val="002318ED"/>
    <w:rsid w:val="00233BC0"/>
    <w:rsid w:val="00233C5E"/>
    <w:rsid w:val="00234E63"/>
    <w:rsid w:val="00235032"/>
    <w:rsid w:val="002412DF"/>
    <w:rsid w:val="00242211"/>
    <w:rsid w:val="002451F5"/>
    <w:rsid w:val="00245BCC"/>
    <w:rsid w:val="0024776F"/>
    <w:rsid w:val="00247C50"/>
    <w:rsid w:val="00251AB1"/>
    <w:rsid w:val="00252093"/>
    <w:rsid w:val="00253403"/>
    <w:rsid w:val="00253687"/>
    <w:rsid w:val="00253A0D"/>
    <w:rsid w:val="00254D8A"/>
    <w:rsid w:val="00257B98"/>
    <w:rsid w:val="002608F5"/>
    <w:rsid w:val="0026102E"/>
    <w:rsid w:val="0026168C"/>
    <w:rsid w:val="00262A7F"/>
    <w:rsid w:val="00263296"/>
    <w:rsid w:val="0026347B"/>
    <w:rsid w:val="00264577"/>
    <w:rsid w:val="00266185"/>
    <w:rsid w:val="00266B08"/>
    <w:rsid w:val="00272B67"/>
    <w:rsid w:val="00272FF8"/>
    <w:rsid w:val="00273AFC"/>
    <w:rsid w:val="0027510A"/>
    <w:rsid w:val="00283646"/>
    <w:rsid w:val="00283E8B"/>
    <w:rsid w:val="00284BF2"/>
    <w:rsid w:val="00285DAF"/>
    <w:rsid w:val="00286B05"/>
    <w:rsid w:val="00290F29"/>
    <w:rsid w:val="00291A47"/>
    <w:rsid w:val="00292B6C"/>
    <w:rsid w:val="00293045"/>
    <w:rsid w:val="00293CCB"/>
    <w:rsid w:val="002950E4"/>
    <w:rsid w:val="00295E4C"/>
    <w:rsid w:val="00296564"/>
    <w:rsid w:val="002A0048"/>
    <w:rsid w:val="002A1524"/>
    <w:rsid w:val="002A248E"/>
    <w:rsid w:val="002A3753"/>
    <w:rsid w:val="002A41BF"/>
    <w:rsid w:val="002A7A99"/>
    <w:rsid w:val="002B0E8E"/>
    <w:rsid w:val="002B11B5"/>
    <w:rsid w:val="002B2664"/>
    <w:rsid w:val="002B3195"/>
    <w:rsid w:val="002B447F"/>
    <w:rsid w:val="002C0291"/>
    <w:rsid w:val="002C221F"/>
    <w:rsid w:val="002C2ACF"/>
    <w:rsid w:val="002C2AE8"/>
    <w:rsid w:val="002C2F24"/>
    <w:rsid w:val="002C5EBD"/>
    <w:rsid w:val="002C698C"/>
    <w:rsid w:val="002C7367"/>
    <w:rsid w:val="002C75A9"/>
    <w:rsid w:val="002D125F"/>
    <w:rsid w:val="002D1782"/>
    <w:rsid w:val="002D234D"/>
    <w:rsid w:val="002D2827"/>
    <w:rsid w:val="002D2989"/>
    <w:rsid w:val="002D328C"/>
    <w:rsid w:val="002D5E0F"/>
    <w:rsid w:val="002D656A"/>
    <w:rsid w:val="002D67EA"/>
    <w:rsid w:val="002D6C0C"/>
    <w:rsid w:val="002D6E99"/>
    <w:rsid w:val="002D7207"/>
    <w:rsid w:val="002E1C8C"/>
    <w:rsid w:val="002E2333"/>
    <w:rsid w:val="002E2DEE"/>
    <w:rsid w:val="002E3E9D"/>
    <w:rsid w:val="002E45BA"/>
    <w:rsid w:val="002E78AF"/>
    <w:rsid w:val="002E7946"/>
    <w:rsid w:val="002F0225"/>
    <w:rsid w:val="002F1C0B"/>
    <w:rsid w:val="002F2890"/>
    <w:rsid w:val="002F3926"/>
    <w:rsid w:val="002F3AF7"/>
    <w:rsid w:val="002F5984"/>
    <w:rsid w:val="00300342"/>
    <w:rsid w:val="00300383"/>
    <w:rsid w:val="00300ACF"/>
    <w:rsid w:val="00302E4A"/>
    <w:rsid w:val="00306AC1"/>
    <w:rsid w:val="00306F75"/>
    <w:rsid w:val="00311621"/>
    <w:rsid w:val="00312430"/>
    <w:rsid w:val="0031323C"/>
    <w:rsid w:val="00314EF4"/>
    <w:rsid w:val="003155C0"/>
    <w:rsid w:val="003163D8"/>
    <w:rsid w:val="00317F97"/>
    <w:rsid w:val="00321AF7"/>
    <w:rsid w:val="003277FB"/>
    <w:rsid w:val="00327952"/>
    <w:rsid w:val="00330A19"/>
    <w:rsid w:val="00330DCB"/>
    <w:rsid w:val="00332493"/>
    <w:rsid w:val="003339A4"/>
    <w:rsid w:val="00333A41"/>
    <w:rsid w:val="0033422D"/>
    <w:rsid w:val="00334793"/>
    <w:rsid w:val="00341293"/>
    <w:rsid w:val="00343423"/>
    <w:rsid w:val="00343CAC"/>
    <w:rsid w:val="0034431D"/>
    <w:rsid w:val="0034432A"/>
    <w:rsid w:val="003458F9"/>
    <w:rsid w:val="00347879"/>
    <w:rsid w:val="003501C1"/>
    <w:rsid w:val="00350AA5"/>
    <w:rsid w:val="003519D4"/>
    <w:rsid w:val="003545EC"/>
    <w:rsid w:val="00357B17"/>
    <w:rsid w:val="0036002B"/>
    <w:rsid w:val="003602C6"/>
    <w:rsid w:val="003605B7"/>
    <w:rsid w:val="00362832"/>
    <w:rsid w:val="00362A8E"/>
    <w:rsid w:val="00363295"/>
    <w:rsid w:val="0036594D"/>
    <w:rsid w:val="00367428"/>
    <w:rsid w:val="00370090"/>
    <w:rsid w:val="003702BA"/>
    <w:rsid w:val="00371B1A"/>
    <w:rsid w:val="0037318D"/>
    <w:rsid w:val="00374CB9"/>
    <w:rsid w:val="00376842"/>
    <w:rsid w:val="0037737A"/>
    <w:rsid w:val="00382BA4"/>
    <w:rsid w:val="003854EE"/>
    <w:rsid w:val="003864CF"/>
    <w:rsid w:val="003873DD"/>
    <w:rsid w:val="003921BF"/>
    <w:rsid w:val="00392D1A"/>
    <w:rsid w:val="003939D4"/>
    <w:rsid w:val="00393AB5"/>
    <w:rsid w:val="003947D5"/>
    <w:rsid w:val="0039584D"/>
    <w:rsid w:val="0039685E"/>
    <w:rsid w:val="00396E82"/>
    <w:rsid w:val="003A0B5E"/>
    <w:rsid w:val="003A12C3"/>
    <w:rsid w:val="003A1D82"/>
    <w:rsid w:val="003A2D94"/>
    <w:rsid w:val="003A41E8"/>
    <w:rsid w:val="003A5694"/>
    <w:rsid w:val="003A701D"/>
    <w:rsid w:val="003B0D41"/>
    <w:rsid w:val="003B27BD"/>
    <w:rsid w:val="003B4074"/>
    <w:rsid w:val="003B4115"/>
    <w:rsid w:val="003B41B7"/>
    <w:rsid w:val="003B5741"/>
    <w:rsid w:val="003B59D5"/>
    <w:rsid w:val="003B63F6"/>
    <w:rsid w:val="003C1BF4"/>
    <w:rsid w:val="003C3CF1"/>
    <w:rsid w:val="003C41FD"/>
    <w:rsid w:val="003C4885"/>
    <w:rsid w:val="003C5618"/>
    <w:rsid w:val="003C5C71"/>
    <w:rsid w:val="003C737E"/>
    <w:rsid w:val="003C762F"/>
    <w:rsid w:val="003D1DDB"/>
    <w:rsid w:val="003D3B6C"/>
    <w:rsid w:val="003D6FAC"/>
    <w:rsid w:val="003D77DC"/>
    <w:rsid w:val="003E0701"/>
    <w:rsid w:val="003E12ED"/>
    <w:rsid w:val="003E2013"/>
    <w:rsid w:val="003E2D24"/>
    <w:rsid w:val="003E452C"/>
    <w:rsid w:val="003E5402"/>
    <w:rsid w:val="003E6A74"/>
    <w:rsid w:val="003E6B25"/>
    <w:rsid w:val="003F0434"/>
    <w:rsid w:val="003F04E0"/>
    <w:rsid w:val="003F06CA"/>
    <w:rsid w:val="003F1D48"/>
    <w:rsid w:val="003F28F2"/>
    <w:rsid w:val="00401B6A"/>
    <w:rsid w:val="00402A10"/>
    <w:rsid w:val="00403350"/>
    <w:rsid w:val="00403BF0"/>
    <w:rsid w:val="00404D39"/>
    <w:rsid w:val="00404D62"/>
    <w:rsid w:val="0040514C"/>
    <w:rsid w:val="00406A55"/>
    <w:rsid w:val="0040728C"/>
    <w:rsid w:val="0041122B"/>
    <w:rsid w:val="00411B6D"/>
    <w:rsid w:val="00412014"/>
    <w:rsid w:val="00413605"/>
    <w:rsid w:val="00414DC5"/>
    <w:rsid w:val="00415757"/>
    <w:rsid w:val="00420C91"/>
    <w:rsid w:val="004232C9"/>
    <w:rsid w:val="004236D4"/>
    <w:rsid w:val="004238AC"/>
    <w:rsid w:val="00423B80"/>
    <w:rsid w:val="004241A1"/>
    <w:rsid w:val="00425542"/>
    <w:rsid w:val="00425BE1"/>
    <w:rsid w:val="004305B3"/>
    <w:rsid w:val="0043083F"/>
    <w:rsid w:val="00432B2B"/>
    <w:rsid w:val="0043436A"/>
    <w:rsid w:val="004346E3"/>
    <w:rsid w:val="0043550A"/>
    <w:rsid w:val="00435E38"/>
    <w:rsid w:val="00436230"/>
    <w:rsid w:val="00436CE0"/>
    <w:rsid w:val="00437D7D"/>
    <w:rsid w:val="0044044D"/>
    <w:rsid w:val="00441354"/>
    <w:rsid w:val="00442877"/>
    <w:rsid w:val="00443F7D"/>
    <w:rsid w:val="004509DE"/>
    <w:rsid w:val="00454E2E"/>
    <w:rsid w:val="00454F0C"/>
    <w:rsid w:val="0045578D"/>
    <w:rsid w:val="0045665E"/>
    <w:rsid w:val="00456F97"/>
    <w:rsid w:val="00464E99"/>
    <w:rsid w:val="00465EA8"/>
    <w:rsid w:val="004665F6"/>
    <w:rsid w:val="00467453"/>
    <w:rsid w:val="004677FA"/>
    <w:rsid w:val="00467FAB"/>
    <w:rsid w:val="00472E58"/>
    <w:rsid w:val="00473890"/>
    <w:rsid w:val="00473B33"/>
    <w:rsid w:val="00477BEC"/>
    <w:rsid w:val="00480813"/>
    <w:rsid w:val="00481674"/>
    <w:rsid w:val="00481798"/>
    <w:rsid w:val="004852F6"/>
    <w:rsid w:val="00486CFA"/>
    <w:rsid w:val="00490E9D"/>
    <w:rsid w:val="00492902"/>
    <w:rsid w:val="0049331E"/>
    <w:rsid w:val="00493419"/>
    <w:rsid w:val="004934FB"/>
    <w:rsid w:val="00493A90"/>
    <w:rsid w:val="00494DFD"/>
    <w:rsid w:val="00496388"/>
    <w:rsid w:val="00496915"/>
    <w:rsid w:val="004A0032"/>
    <w:rsid w:val="004A0746"/>
    <w:rsid w:val="004A0E5B"/>
    <w:rsid w:val="004A0F3A"/>
    <w:rsid w:val="004A1857"/>
    <w:rsid w:val="004A1E86"/>
    <w:rsid w:val="004A2F04"/>
    <w:rsid w:val="004A545F"/>
    <w:rsid w:val="004B05B4"/>
    <w:rsid w:val="004B1839"/>
    <w:rsid w:val="004B27CB"/>
    <w:rsid w:val="004B3992"/>
    <w:rsid w:val="004B6A7F"/>
    <w:rsid w:val="004C1529"/>
    <w:rsid w:val="004C1646"/>
    <w:rsid w:val="004C1F4C"/>
    <w:rsid w:val="004C4252"/>
    <w:rsid w:val="004C6B7F"/>
    <w:rsid w:val="004C7E4D"/>
    <w:rsid w:val="004D17B9"/>
    <w:rsid w:val="004D1A1C"/>
    <w:rsid w:val="004D1CF5"/>
    <w:rsid w:val="004D227B"/>
    <w:rsid w:val="004D2813"/>
    <w:rsid w:val="004D2F21"/>
    <w:rsid w:val="004D3B44"/>
    <w:rsid w:val="004D6046"/>
    <w:rsid w:val="004D7521"/>
    <w:rsid w:val="004E0121"/>
    <w:rsid w:val="004E08EB"/>
    <w:rsid w:val="004E2214"/>
    <w:rsid w:val="004E2A57"/>
    <w:rsid w:val="004E2CEF"/>
    <w:rsid w:val="004E2DBD"/>
    <w:rsid w:val="004E32A4"/>
    <w:rsid w:val="004E3A2D"/>
    <w:rsid w:val="004E3F7B"/>
    <w:rsid w:val="004E48F4"/>
    <w:rsid w:val="004E4E40"/>
    <w:rsid w:val="004E6132"/>
    <w:rsid w:val="004E6659"/>
    <w:rsid w:val="004F05F7"/>
    <w:rsid w:val="004F0C3E"/>
    <w:rsid w:val="004F1E45"/>
    <w:rsid w:val="004F2063"/>
    <w:rsid w:val="004F36AB"/>
    <w:rsid w:val="004F3DFD"/>
    <w:rsid w:val="004F42E9"/>
    <w:rsid w:val="004F492A"/>
    <w:rsid w:val="004F498B"/>
    <w:rsid w:val="004F5560"/>
    <w:rsid w:val="004F6193"/>
    <w:rsid w:val="00504C15"/>
    <w:rsid w:val="00504CDC"/>
    <w:rsid w:val="00505B47"/>
    <w:rsid w:val="00507EB3"/>
    <w:rsid w:val="00512074"/>
    <w:rsid w:val="00512FBD"/>
    <w:rsid w:val="00513077"/>
    <w:rsid w:val="00514691"/>
    <w:rsid w:val="0051480D"/>
    <w:rsid w:val="00514A3E"/>
    <w:rsid w:val="00514C9A"/>
    <w:rsid w:val="00514D1A"/>
    <w:rsid w:val="00515689"/>
    <w:rsid w:val="00517ECC"/>
    <w:rsid w:val="005218E1"/>
    <w:rsid w:val="00521B96"/>
    <w:rsid w:val="00523012"/>
    <w:rsid w:val="00523680"/>
    <w:rsid w:val="00523A98"/>
    <w:rsid w:val="00524FEE"/>
    <w:rsid w:val="00525D78"/>
    <w:rsid w:val="005265FB"/>
    <w:rsid w:val="0052664A"/>
    <w:rsid w:val="005302BA"/>
    <w:rsid w:val="00531358"/>
    <w:rsid w:val="005317F4"/>
    <w:rsid w:val="00533300"/>
    <w:rsid w:val="00535CE3"/>
    <w:rsid w:val="0053615A"/>
    <w:rsid w:val="0053771E"/>
    <w:rsid w:val="005403E2"/>
    <w:rsid w:val="005405A8"/>
    <w:rsid w:val="00541E0D"/>
    <w:rsid w:val="005432A8"/>
    <w:rsid w:val="00550773"/>
    <w:rsid w:val="00553D37"/>
    <w:rsid w:val="00554920"/>
    <w:rsid w:val="00555A60"/>
    <w:rsid w:val="00556A3B"/>
    <w:rsid w:val="00556E1D"/>
    <w:rsid w:val="00557186"/>
    <w:rsid w:val="00557198"/>
    <w:rsid w:val="005576B5"/>
    <w:rsid w:val="00561295"/>
    <w:rsid w:val="00561BAC"/>
    <w:rsid w:val="005710E4"/>
    <w:rsid w:val="005721B9"/>
    <w:rsid w:val="00576285"/>
    <w:rsid w:val="005770A4"/>
    <w:rsid w:val="00580864"/>
    <w:rsid w:val="00582DE6"/>
    <w:rsid w:val="00583B7C"/>
    <w:rsid w:val="00583C08"/>
    <w:rsid w:val="005841DE"/>
    <w:rsid w:val="00585AD0"/>
    <w:rsid w:val="005876FD"/>
    <w:rsid w:val="00587A88"/>
    <w:rsid w:val="00587C1D"/>
    <w:rsid w:val="00590388"/>
    <w:rsid w:val="005923F9"/>
    <w:rsid w:val="0059302C"/>
    <w:rsid w:val="005959B2"/>
    <w:rsid w:val="00595E31"/>
    <w:rsid w:val="005A1C5C"/>
    <w:rsid w:val="005A3965"/>
    <w:rsid w:val="005A462A"/>
    <w:rsid w:val="005A6222"/>
    <w:rsid w:val="005A7975"/>
    <w:rsid w:val="005B495F"/>
    <w:rsid w:val="005B5C53"/>
    <w:rsid w:val="005B5D4E"/>
    <w:rsid w:val="005B7C26"/>
    <w:rsid w:val="005C3315"/>
    <w:rsid w:val="005C3538"/>
    <w:rsid w:val="005C5BA4"/>
    <w:rsid w:val="005C6114"/>
    <w:rsid w:val="005C78F8"/>
    <w:rsid w:val="005D143A"/>
    <w:rsid w:val="005D1AB6"/>
    <w:rsid w:val="005D2533"/>
    <w:rsid w:val="005D253D"/>
    <w:rsid w:val="005D2C41"/>
    <w:rsid w:val="005D4F5D"/>
    <w:rsid w:val="005D790B"/>
    <w:rsid w:val="005E0E4E"/>
    <w:rsid w:val="005E1F86"/>
    <w:rsid w:val="005E2327"/>
    <w:rsid w:val="005E4EB0"/>
    <w:rsid w:val="005E6AC7"/>
    <w:rsid w:val="005F1DEB"/>
    <w:rsid w:val="005F5271"/>
    <w:rsid w:val="005F545E"/>
    <w:rsid w:val="005F5D84"/>
    <w:rsid w:val="005F64CD"/>
    <w:rsid w:val="0060178F"/>
    <w:rsid w:val="00604B60"/>
    <w:rsid w:val="006069A7"/>
    <w:rsid w:val="00606B2B"/>
    <w:rsid w:val="006071F0"/>
    <w:rsid w:val="00610C13"/>
    <w:rsid w:val="006111A3"/>
    <w:rsid w:val="00611EAC"/>
    <w:rsid w:val="00612CC4"/>
    <w:rsid w:val="0061747C"/>
    <w:rsid w:val="006218A7"/>
    <w:rsid w:val="00621E33"/>
    <w:rsid w:val="00623286"/>
    <w:rsid w:val="00624600"/>
    <w:rsid w:val="00624D68"/>
    <w:rsid w:val="0062711B"/>
    <w:rsid w:val="00627A84"/>
    <w:rsid w:val="00627F43"/>
    <w:rsid w:val="0063030D"/>
    <w:rsid w:val="0063080C"/>
    <w:rsid w:val="00631B4A"/>
    <w:rsid w:val="0063474C"/>
    <w:rsid w:val="00635E54"/>
    <w:rsid w:val="00636690"/>
    <w:rsid w:val="0063798F"/>
    <w:rsid w:val="0064287E"/>
    <w:rsid w:val="00645C6F"/>
    <w:rsid w:val="00646047"/>
    <w:rsid w:val="00646FEB"/>
    <w:rsid w:val="006500FB"/>
    <w:rsid w:val="0065012B"/>
    <w:rsid w:val="0065426B"/>
    <w:rsid w:val="00655B6F"/>
    <w:rsid w:val="00656250"/>
    <w:rsid w:val="00660536"/>
    <w:rsid w:val="0066067F"/>
    <w:rsid w:val="00660D9F"/>
    <w:rsid w:val="00661DDD"/>
    <w:rsid w:val="00663188"/>
    <w:rsid w:val="00666C9B"/>
    <w:rsid w:val="006672D4"/>
    <w:rsid w:val="0067005F"/>
    <w:rsid w:val="00670B00"/>
    <w:rsid w:val="006723C2"/>
    <w:rsid w:val="0067262F"/>
    <w:rsid w:val="00674A30"/>
    <w:rsid w:val="00674FF2"/>
    <w:rsid w:val="00675F01"/>
    <w:rsid w:val="0068128E"/>
    <w:rsid w:val="006818B9"/>
    <w:rsid w:val="00682D74"/>
    <w:rsid w:val="006853CA"/>
    <w:rsid w:val="0068605B"/>
    <w:rsid w:val="00686AB6"/>
    <w:rsid w:val="00687737"/>
    <w:rsid w:val="00690D62"/>
    <w:rsid w:val="00691924"/>
    <w:rsid w:val="00691ED2"/>
    <w:rsid w:val="00694C14"/>
    <w:rsid w:val="00695108"/>
    <w:rsid w:val="00696C9B"/>
    <w:rsid w:val="00696CDA"/>
    <w:rsid w:val="006A052A"/>
    <w:rsid w:val="006A1395"/>
    <w:rsid w:val="006A32BB"/>
    <w:rsid w:val="006A4FA1"/>
    <w:rsid w:val="006A546F"/>
    <w:rsid w:val="006A6696"/>
    <w:rsid w:val="006A79F7"/>
    <w:rsid w:val="006B0568"/>
    <w:rsid w:val="006B0811"/>
    <w:rsid w:val="006B13BB"/>
    <w:rsid w:val="006B26C8"/>
    <w:rsid w:val="006B29D8"/>
    <w:rsid w:val="006B3F60"/>
    <w:rsid w:val="006B43FF"/>
    <w:rsid w:val="006B6B1C"/>
    <w:rsid w:val="006B781B"/>
    <w:rsid w:val="006C0F16"/>
    <w:rsid w:val="006C2863"/>
    <w:rsid w:val="006C2F7B"/>
    <w:rsid w:val="006C3424"/>
    <w:rsid w:val="006C3931"/>
    <w:rsid w:val="006C4955"/>
    <w:rsid w:val="006C7428"/>
    <w:rsid w:val="006C7438"/>
    <w:rsid w:val="006C7D26"/>
    <w:rsid w:val="006D0AE1"/>
    <w:rsid w:val="006D0BFB"/>
    <w:rsid w:val="006D0CFC"/>
    <w:rsid w:val="006D0E55"/>
    <w:rsid w:val="006D22BA"/>
    <w:rsid w:val="006D3B7B"/>
    <w:rsid w:val="006D3FD6"/>
    <w:rsid w:val="006D4E3D"/>
    <w:rsid w:val="006D5D8D"/>
    <w:rsid w:val="006D7288"/>
    <w:rsid w:val="006E4C0C"/>
    <w:rsid w:val="006E63BF"/>
    <w:rsid w:val="006E6684"/>
    <w:rsid w:val="006E67D8"/>
    <w:rsid w:val="006F216F"/>
    <w:rsid w:val="006F2B04"/>
    <w:rsid w:val="006F3FE4"/>
    <w:rsid w:val="006F7016"/>
    <w:rsid w:val="006F710A"/>
    <w:rsid w:val="00700DBD"/>
    <w:rsid w:val="00702154"/>
    <w:rsid w:val="007066D4"/>
    <w:rsid w:val="00707075"/>
    <w:rsid w:val="0071032D"/>
    <w:rsid w:val="00711E0B"/>
    <w:rsid w:val="0071423A"/>
    <w:rsid w:val="00715955"/>
    <w:rsid w:val="00716B6E"/>
    <w:rsid w:val="007170A0"/>
    <w:rsid w:val="00721323"/>
    <w:rsid w:val="00721951"/>
    <w:rsid w:val="007223A1"/>
    <w:rsid w:val="00722756"/>
    <w:rsid w:val="00722B28"/>
    <w:rsid w:val="007230CA"/>
    <w:rsid w:val="00730766"/>
    <w:rsid w:val="00730E27"/>
    <w:rsid w:val="00732ADB"/>
    <w:rsid w:val="0073707D"/>
    <w:rsid w:val="00737858"/>
    <w:rsid w:val="007415BC"/>
    <w:rsid w:val="00742BFE"/>
    <w:rsid w:val="00743F63"/>
    <w:rsid w:val="007456C8"/>
    <w:rsid w:val="007468D1"/>
    <w:rsid w:val="00747385"/>
    <w:rsid w:val="00747EE4"/>
    <w:rsid w:val="00751B7F"/>
    <w:rsid w:val="00754676"/>
    <w:rsid w:val="007565FA"/>
    <w:rsid w:val="00756F18"/>
    <w:rsid w:val="00761D21"/>
    <w:rsid w:val="007641F7"/>
    <w:rsid w:val="007643D3"/>
    <w:rsid w:val="00765097"/>
    <w:rsid w:val="00765692"/>
    <w:rsid w:val="007671BB"/>
    <w:rsid w:val="0077090B"/>
    <w:rsid w:val="00770E94"/>
    <w:rsid w:val="007718A8"/>
    <w:rsid w:val="0077249B"/>
    <w:rsid w:val="00772BC8"/>
    <w:rsid w:val="007754CF"/>
    <w:rsid w:val="00781597"/>
    <w:rsid w:val="00783C51"/>
    <w:rsid w:val="00784DE0"/>
    <w:rsid w:val="00786607"/>
    <w:rsid w:val="00790CFB"/>
    <w:rsid w:val="00792897"/>
    <w:rsid w:val="007929E7"/>
    <w:rsid w:val="007941FF"/>
    <w:rsid w:val="00794628"/>
    <w:rsid w:val="007955E4"/>
    <w:rsid w:val="00795F59"/>
    <w:rsid w:val="007A0879"/>
    <w:rsid w:val="007A0BBA"/>
    <w:rsid w:val="007A3108"/>
    <w:rsid w:val="007A36CC"/>
    <w:rsid w:val="007A3940"/>
    <w:rsid w:val="007A3CAA"/>
    <w:rsid w:val="007A403C"/>
    <w:rsid w:val="007A6924"/>
    <w:rsid w:val="007A6FC8"/>
    <w:rsid w:val="007A74C0"/>
    <w:rsid w:val="007B20F2"/>
    <w:rsid w:val="007B2408"/>
    <w:rsid w:val="007B27C8"/>
    <w:rsid w:val="007B2BE9"/>
    <w:rsid w:val="007B49E9"/>
    <w:rsid w:val="007B4D77"/>
    <w:rsid w:val="007B5E4E"/>
    <w:rsid w:val="007B637B"/>
    <w:rsid w:val="007B70CA"/>
    <w:rsid w:val="007B7621"/>
    <w:rsid w:val="007B7C7C"/>
    <w:rsid w:val="007C01EB"/>
    <w:rsid w:val="007C24B3"/>
    <w:rsid w:val="007C25F3"/>
    <w:rsid w:val="007C2998"/>
    <w:rsid w:val="007C5E51"/>
    <w:rsid w:val="007C61DC"/>
    <w:rsid w:val="007C6B1B"/>
    <w:rsid w:val="007D090C"/>
    <w:rsid w:val="007D10DA"/>
    <w:rsid w:val="007D1807"/>
    <w:rsid w:val="007D44EC"/>
    <w:rsid w:val="007D4DE0"/>
    <w:rsid w:val="007D554E"/>
    <w:rsid w:val="007D6426"/>
    <w:rsid w:val="007D6AF6"/>
    <w:rsid w:val="007E06D2"/>
    <w:rsid w:val="007E26D5"/>
    <w:rsid w:val="007E3D34"/>
    <w:rsid w:val="007E52CB"/>
    <w:rsid w:val="007E63A9"/>
    <w:rsid w:val="007E6C18"/>
    <w:rsid w:val="007E7446"/>
    <w:rsid w:val="007F1F1F"/>
    <w:rsid w:val="007F49A1"/>
    <w:rsid w:val="007F4BC1"/>
    <w:rsid w:val="007F4C71"/>
    <w:rsid w:val="007F5177"/>
    <w:rsid w:val="007F5C5D"/>
    <w:rsid w:val="007F6532"/>
    <w:rsid w:val="007F71C6"/>
    <w:rsid w:val="00802D6E"/>
    <w:rsid w:val="00803213"/>
    <w:rsid w:val="008033F3"/>
    <w:rsid w:val="00804172"/>
    <w:rsid w:val="0080468E"/>
    <w:rsid w:val="008072A7"/>
    <w:rsid w:val="00810D92"/>
    <w:rsid w:val="00810E5B"/>
    <w:rsid w:val="00811086"/>
    <w:rsid w:val="008143C7"/>
    <w:rsid w:val="0081544D"/>
    <w:rsid w:val="0081697E"/>
    <w:rsid w:val="00817BE0"/>
    <w:rsid w:val="008206EB"/>
    <w:rsid w:val="0082273B"/>
    <w:rsid w:val="0082453D"/>
    <w:rsid w:val="008263A6"/>
    <w:rsid w:val="0082758F"/>
    <w:rsid w:val="00827735"/>
    <w:rsid w:val="00830E0A"/>
    <w:rsid w:val="00831252"/>
    <w:rsid w:val="00831A77"/>
    <w:rsid w:val="008331F6"/>
    <w:rsid w:val="00834EA6"/>
    <w:rsid w:val="008364D4"/>
    <w:rsid w:val="00836DB2"/>
    <w:rsid w:val="008376E9"/>
    <w:rsid w:val="00842ED0"/>
    <w:rsid w:val="008433AD"/>
    <w:rsid w:val="00844CEA"/>
    <w:rsid w:val="00847D1F"/>
    <w:rsid w:val="00851B4D"/>
    <w:rsid w:val="00852D52"/>
    <w:rsid w:val="00854EA0"/>
    <w:rsid w:val="00855291"/>
    <w:rsid w:val="008553FD"/>
    <w:rsid w:val="008578C7"/>
    <w:rsid w:val="00857C93"/>
    <w:rsid w:val="0086095E"/>
    <w:rsid w:val="00864DBC"/>
    <w:rsid w:val="008660E1"/>
    <w:rsid w:val="008661EC"/>
    <w:rsid w:val="0086689E"/>
    <w:rsid w:val="00867430"/>
    <w:rsid w:val="00870ECB"/>
    <w:rsid w:val="00874E50"/>
    <w:rsid w:val="00875FDD"/>
    <w:rsid w:val="0088085D"/>
    <w:rsid w:val="0088136E"/>
    <w:rsid w:val="00881B8C"/>
    <w:rsid w:val="00883068"/>
    <w:rsid w:val="0088433C"/>
    <w:rsid w:val="0088522B"/>
    <w:rsid w:val="00885A20"/>
    <w:rsid w:val="00885E8E"/>
    <w:rsid w:val="00891AD2"/>
    <w:rsid w:val="0089274A"/>
    <w:rsid w:val="00892BDE"/>
    <w:rsid w:val="008930A7"/>
    <w:rsid w:val="00893861"/>
    <w:rsid w:val="00893FFF"/>
    <w:rsid w:val="00894D6A"/>
    <w:rsid w:val="00895718"/>
    <w:rsid w:val="008A03AD"/>
    <w:rsid w:val="008A0BA7"/>
    <w:rsid w:val="008A178B"/>
    <w:rsid w:val="008A1C61"/>
    <w:rsid w:val="008A3968"/>
    <w:rsid w:val="008A5D4D"/>
    <w:rsid w:val="008A62FE"/>
    <w:rsid w:val="008A6506"/>
    <w:rsid w:val="008A693F"/>
    <w:rsid w:val="008A6A63"/>
    <w:rsid w:val="008A75A8"/>
    <w:rsid w:val="008B0D13"/>
    <w:rsid w:val="008B3076"/>
    <w:rsid w:val="008B3895"/>
    <w:rsid w:val="008B3DD3"/>
    <w:rsid w:val="008B58A6"/>
    <w:rsid w:val="008B5D40"/>
    <w:rsid w:val="008B7135"/>
    <w:rsid w:val="008C126E"/>
    <w:rsid w:val="008C14CF"/>
    <w:rsid w:val="008C223D"/>
    <w:rsid w:val="008C2D14"/>
    <w:rsid w:val="008C6240"/>
    <w:rsid w:val="008C6CDD"/>
    <w:rsid w:val="008C7DA4"/>
    <w:rsid w:val="008D0FCF"/>
    <w:rsid w:val="008D10EB"/>
    <w:rsid w:val="008D1852"/>
    <w:rsid w:val="008D2B57"/>
    <w:rsid w:val="008D3232"/>
    <w:rsid w:val="008D3A0E"/>
    <w:rsid w:val="008D5598"/>
    <w:rsid w:val="008D5B43"/>
    <w:rsid w:val="008D70E9"/>
    <w:rsid w:val="008D731E"/>
    <w:rsid w:val="008D7C54"/>
    <w:rsid w:val="008E0354"/>
    <w:rsid w:val="008E04BA"/>
    <w:rsid w:val="008E168D"/>
    <w:rsid w:val="008E30F7"/>
    <w:rsid w:val="008E5DDE"/>
    <w:rsid w:val="008E6221"/>
    <w:rsid w:val="008E75FB"/>
    <w:rsid w:val="008E78A5"/>
    <w:rsid w:val="008F0370"/>
    <w:rsid w:val="008F125B"/>
    <w:rsid w:val="008F20EF"/>
    <w:rsid w:val="008F2947"/>
    <w:rsid w:val="008F2D1B"/>
    <w:rsid w:val="008F2FB6"/>
    <w:rsid w:val="008F4898"/>
    <w:rsid w:val="008F5A43"/>
    <w:rsid w:val="009016D7"/>
    <w:rsid w:val="0090551F"/>
    <w:rsid w:val="009110C1"/>
    <w:rsid w:val="00911E9B"/>
    <w:rsid w:val="0091225B"/>
    <w:rsid w:val="00912BBC"/>
    <w:rsid w:val="00912E08"/>
    <w:rsid w:val="00913812"/>
    <w:rsid w:val="0091477A"/>
    <w:rsid w:val="00915602"/>
    <w:rsid w:val="00915E40"/>
    <w:rsid w:val="0091625E"/>
    <w:rsid w:val="0091650D"/>
    <w:rsid w:val="00916A4E"/>
    <w:rsid w:val="00916AC1"/>
    <w:rsid w:val="00917DCE"/>
    <w:rsid w:val="009214CF"/>
    <w:rsid w:val="00922C74"/>
    <w:rsid w:val="00925AAE"/>
    <w:rsid w:val="009266F8"/>
    <w:rsid w:val="00926F30"/>
    <w:rsid w:val="009300CD"/>
    <w:rsid w:val="009305A2"/>
    <w:rsid w:val="00931501"/>
    <w:rsid w:val="0093192A"/>
    <w:rsid w:val="009335BC"/>
    <w:rsid w:val="00933FEA"/>
    <w:rsid w:val="00935D92"/>
    <w:rsid w:val="00937133"/>
    <w:rsid w:val="0093785E"/>
    <w:rsid w:val="00937D6C"/>
    <w:rsid w:val="009402CC"/>
    <w:rsid w:val="00942C89"/>
    <w:rsid w:val="00943384"/>
    <w:rsid w:val="00944E2B"/>
    <w:rsid w:val="00944FF7"/>
    <w:rsid w:val="00945839"/>
    <w:rsid w:val="00945942"/>
    <w:rsid w:val="00946896"/>
    <w:rsid w:val="0095209E"/>
    <w:rsid w:val="009521EA"/>
    <w:rsid w:val="009538B2"/>
    <w:rsid w:val="009557DC"/>
    <w:rsid w:val="00955F84"/>
    <w:rsid w:val="009563DC"/>
    <w:rsid w:val="0095776E"/>
    <w:rsid w:val="00960A66"/>
    <w:rsid w:val="0096173B"/>
    <w:rsid w:val="00961A8F"/>
    <w:rsid w:val="00961C85"/>
    <w:rsid w:val="009622CA"/>
    <w:rsid w:val="0096270C"/>
    <w:rsid w:val="009635B5"/>
    <w:rsid w:val="00964313"/>
    <w:rsid w:val="00964499"/>
    <w:rsid w:val="0096578D"/>
    <w:rsid w:val="00965BFF"/>
    <w:rsid w:val="00966134"/>
    <w:rsid w:val="009675AE"/>
    <w:rsid w:val="009678CE"/>
    <w:rsid w:val="0097205F"/>
    <w:rsid w:val="009724D9"/>
    <w:rsid w:val="00973863"/>
    <w:rsid w:val="009742CC"/>
    <w:rsid w:val="009802D0"/>
    <w:rsid w:val="00983F6D"/>
    <w:rsid w:val="009841DE"/>
    <w:rsid w:val="00985C7F"/>
    <w:rsid w:val="009871E0"/>
    <w:rsid w:val="00991231"/>
    <w:rsid w:val="009961A8"/>
    <w:rsid w:val="00996974"/>
    <w:rsid w:val="00996E44"/>
    <w:rsid w:val="009A1893"/>
    <w:rsid w:val="009A19DC"/>
    <w:rsid w:val="009A1B2B"/>
    <w:rsid w:val="009A288B"/>
    <w:rsid w:val="009A30E4"/>
    <w:rsid w:val="009A444C"/>
    <w:rsid w:val="009A7A2D"/>
    <w:rsid w:val="009B1832"/>
    <w:rsid w:val="009B2751"/>
    <w:rsid w:val="009B2832"/>
    <w:rsid w:val="009B2BAE"/>
    <w:rsid w:val="009B3A42"/>
    <w:rsid w:val="009B4B04"/>
    <w:rsid w:val="009B4BCF"/>
    <w:rsid w:val="009C0FD6"/>
    <w:rsid w:val="009C3ACE"/>
    <w:rsid w:val="009C46E5"/>
    <w:rsid w:val="009C4E86"/>
    <w:rsid w:val="009C6000"/>
    <w:rsid w:val="009C69F9"/>
    <w:rsid w:val="009C6EA8"/>
    <w:rsid w:val="009C70F1"/>
    <w:rsid w:val="009D01D0"/>
    <w:rsid w:val="009D10A8"/>
    <w:rsid w:val="009D28E5"/>
    <w:rsid w:val="009D2E18"/>
    <w:rsid w:val="009D2ECA"/>
    <w:rsid w:val="009D3A91"/>
    <w:rsid w:val="009D6915"/>
    <w:rsid w:val="009E066F"/>
    <w:rsid w:val="009E238E"/>
    <w:rsid w:val="009E2535"/>
    <w:rsid w:val="009E2FD8"/>
    <w:rsid w:val="009E301D"/>
    <w:rsid w:val="009E5BA1"/>
    <w:rsid w:val="009E6415"/>
    <w:rsid w:val="009F164C"/>
    <w:rsid w:val="009F1F1A"/>
    <w:rsid w:val="009F2070"/>
    <w:rsid w:val="009F2884"/>
    <w:rsid w:val="009F31EF"/>
    <w:rsid w:val="009F3944"/>
    <w:rsid w:val="009F3AAF"/>
    <w:rsid w:val="009F3AD7"/>
    <w:rsid w:val="009F3B63"/>
    <w:rsid w:val="009F5E0D"/>
    <w:rsid w:val="00A009F8"/>
    <w:rsid w:val="00A0195F"/>
    <w:rsid w:val="00A02BC4"/>
    <w:rsid w:val="00A02E37"/>
    <w:rsid w:val="00A0518E"/>
    <w:rsid w:val="00A05CB8"/>
    <w:rsid w:val="00A077AB"/>
    <w:rsid w:val="00A12971"/>
    <w:rsid w:val="00A133CA"/>
    <w:rsid w:val="00A13959"/>
    <w:rsid w:val="00A13D55"/>
    <w:rsid w:val="00A141C8"/>
    <w:rsid w:val="00A146C5"/>
    <w:rsid w:val="00A163A1"/>
    <w:rsid w:val="00A16F24"/>
    <w:rsid w:val="00A16FE0"/>
    <w:rsid w:val="00A178AA"/>
    <w:rsid w:val="00A20371"/>
    <w:rsid w:val="00A20B88"/>
    <w:rsid w:val="00A21D82"/>
    <w:rsid w:val="00A23AB0"/>
    <w:rsid w:val="00A23C53"/>
    <w:rsid w:val="00A24304"/>
    <w:rsid w:val="00A25429"/>
    <w:rsid w:val="00A303AB"/>
    <w:rsid w:val="00A3048E"/>
    <w:rsid w:val="00A33F82"/>
    <w:rsid w:val="00A34824"/>
    <w:rsid w:val="00A4025F"/>
    <w:rsid w:val="00A40E74"/>
    <w:rsid w:val="00A413D9"/>
    <w:rsid w:val="00A43993"/>
    <w:rsid w:val="00A44264"/>
    <w:rsid w:val="00A4557B"/>
    <w:rsid w:val="00A46E04"/>
    <w:rsid w:val="00A5033D"/>
    <w:rsid w:val="00A5367D"/>
    <w:rsid w:val="00A54519"/>
    <w:rsid w:val="00A549BB"/>
    <w:rsid w:val="00A55DFA"/>
    <w:rsid w:val="00A5773E"/>
    <w:rsid w:val="00A61768"/>
    <w:rsid w:val="00A6349D"/>
    <w:rsid w:val="00A66E88"/>
    <w:rsid w:val="00A715E5"/>
    <w:rsid w:val="00A724C2"/>
    <w:rsid w:val="00A72625"/>
    <w:rsid w:val="00A73166"/>
    <w:rsid w:val="00A77390"/>
    <w:rsid w:val="00A80AA4"/>
    <w:rsid w:val="00A81031"/>
    <w:rsid w:val="00A822AC"/>
    <w:rsid w:val="00A825F4"/>
    <w:rsid w:val="00A82F9D"/>
    <w:rsid w:val="00A83190"/>
    <w:rsid w:val="00A86AB4"/>
    <w:rsid w:val="00A9064C"/>
    <w:rsid w:val="00A91A4C"/>
    <w:rsid w:val="00A91CC4"/>
    <w:rsid w:val="00A92AA3"/>
    <w:rsid w:val="00A93B6F"/>
    <w:rsid w:val="00AA0134"/>
    <w:rsid w:val="00AA025E"/>
    <w:rsid w:val="00AA0AC5"/>
    <w:rsid w:val="00AA0BC4"/>
    <w:rsid w:val="00AA2B55"/>
    <w:rsid w:val="00AA42A7"/>
    <w:rsid w:val="00AB5131"/>
    <w:rsid w:val="00AB64B1"/>
    <w:rsid w:val="00AB7799"/>
    <w:rsid w:val="00AC0338"/>
    <w:rsid w:val="00AC38D7"/>
    <w:rsid w:val="00AC4811"/>
    <w:rsid w:val="00AC6276"/>
    <w:rsid w:val="00AC7F9A"/>
    <w:rsid w:val="00AD151E"/>
    <w:rsid w:val="00AD1C7F"/>
    <w:rsid w:val="00AD2271"/>
    <w:rsid w:val="00AD2370"/>
    <w:rsid w:val="00AD24EC"/>
    <w:rsid w:val="00AD4BBF"/>
    <w:rsid w:val="00AD5C57"/>
    <w:rsid w:val="00AD6F48"/>
    <w:rsid w:val="00AE1A90"/>
    <w:rsid w:val="00AE1BB3"/>
    <w:rsid w:val="00AE1F2F"/>
    <w:rsid w:val="00AE21CD"/>
    <w:rsid w:val="00AE4AC4"/>
    <w:rsid w:val="00AE59E6"/>
    <w:rsid w:val="00AE6093"/>
    <w:rsid w:val="00AE6D9D"/>
    <w:rsid w:val="00AF01E0"/>
    <w:rsid w:val="00AF21B6"/>
    <w:rsid w:val="00AF2D09"/>
    <w:rsid w:val="00AF394E"/>
    <w:rsid w:val="00AF3D00"/>
    <w:rsid w:val="00B01FFE"/>
    <w:rsid w:val="00B02DFF"/>
    <w:rsid w:val="00B03CD2"/>
    <w:rsid w:val="00B06750"/>
    <w:rsid w:val="00B10B1B"/>
    <w:rsid w:val="00B12C4D"/>
    <w:rsid w:val="00B14458"/>
    <w:rsid w:val="00B16C69"/>
    <w:rsid w:val="00B17E31"/>
    <w:rsid w:val="00B222B7"/>
    <w:rsid w:val="00B2447B"/>
    <w:rsid w:val="00B25F0C"/>
    <w:rsid w:val="00B26CDF"/>
    <w:rsid w:val="00B27538"/>
    <w:rsid w:val="00B27837"/>
    <w:rsid w:val="00B30235"/>
    <w:rsid w:val="00B37C85"/>
    <w:rsid w:val="00B4091E"/>
    <w:rsid w:val="00B4096C"/>
    <w:rsid w:val="00B40FA9"/>
    <w:rsid w:val="00B41C36"/>
    <w:rsid w:val="00B42226"/>
    <w:rsid w:val="00B43B52"/>
    <w:rsid w:val="00B43D58"/>
    <w:rsid w:val="00B44A79"/>
    <w:rsid w:val="00B452F2"/>
    <w:rsid w:val="00B462D0"/>
    <w:rsid w:val="00B4709E"/>
    <w:rsid w:val="00B50CBC"/>
    <w:rsid w:val="00B51C72"/>
    <w:rsid w:val="00B51FF1"/>
    <w:rsid w:val="00B530F3"/>
    <w:rsid w:val="00B555F9"/>
    <w:rsid w:val="00B560D9"/>
    <w:rsid w:val="00B56484"/>
    <w:rsid w:val="00B564FE"/>
    <w:rsid w:val="00B603F7"/>
    <w:rsid w:val="00B604BE"/>
    <w:rsid w:val="00B61398"/>
    <w:rsid w:val="00B62F69"/>
    <w:rsid w:val="00B64066"/>
    <w:rsid w:val="00B65EBF"/>
    <w:rsid w:val="00B66222"/>
    <w:rsid w:val="00B6682E"/>
    <w:rsid w:val="00B679DD"/>
    <w:rsid w:val="00B71892"/>
    <w:rsid w:val="00B720BF"/>
    <w:rsid w:val="00B73038"/>
    <w:rsid w:val="00B73426"/>
    <w:rsid w:val="00B737E5"/>
    <w:rsid w:val="00B752BE"/>
    <w:rsid w:val="00B76054"/>
    <w:rsid w:val="00B76103"/>
    <w:rsid w:val="00B76C5F"/>
    <w:rsid w:val="00B76C8B"/>
    <w:rsid w:val="00B80D40"/>
    <w:rsid w:val="00B84BB7"/>
    <w:rsid w:val="00B86315"/>
    <w:rsid w:val="00B86D84"/>
    <w:rsid w:val="00B876EF"/>
    <w:rsid w:val="00B906B0"/>
    <w:rsid w:val="00B90D0F"/>
    <w:rsid w:val="00B91277"/>
    <w:rsid w:val="00B91590"/>
    <w:rsid w:val="00B92546"/>
    <w:rsid w:val="00B93B66"/>
    <w:rsid w:val="00B94284"/>
    <w:rsid w:val="00B94DE5"/>
    <w:rsid w:val="00B95B8A"/>
    <w:rsid w:val="00B97551"/>
    <w:rsid w:val="00BA1BA0"/>
    <w:rsid w:val="00BA2325"/>
    <w:rsid w:val="00BA2B09"/>
    <w:rsid w:val="00BA2C1E"/>
    <w:rsid w:val="00BA2EAE"/>
    <w:rsid w:val="00BA61B4"/>
    <w:rsid w:val="00BA7BAB"/>
    <w:rsid w:val="00BB04D0"/>
    <w:rsid w:val="00BB0EC4"/>
    <w:rsid w:val="00BB2A49"/>
    <w:rsid w:val="00BB3DAD"/>
    <w:rsid w:val="00BB4402"/>
    <w:rsid w:val="00BB4635"/>
    <w:rsid w:val="00BB52F9"/>
    <w:rsid w:val="00BB7382"/>
    <w:rsid w:val="00BB7FCD"/>
    <w:rsid w:val="00BC3E27"/>
    <w:rsid w:val="00BC53EE"/>
    <w:rsid w:val="00BC6DA0"/>
    <w:rsid w:val="00BC7532"/>
    <w:rsid w:val="00BD096A"/>
    <w:rsid w:val="00BD3754"/>
    <w:rsid w:val="00BD5B34"/>
    <w:rsid w:val="00BD6CAD"/>
    <w:rsid w:val="00BD6DF6"/>
    <w:rsid w:val="00BE119A"/>
    <w:rsid w:val="00BE131A"/>
    <w:rsid w:val="00BE5E37"/>
    <w:rsid w:val="00BE673C"/>
    <w:rsid w:val="00BE76EB"/>
    <w:rsid w:val="00BE7F2F"/>
    <w:rsid w:val="00BF0DCE"/>
    <w:rsid w:val="00BF1DDB"/>
    <w:rsid w:val="00BF2962"/>
    <w:rsid w:val="00BF37ED"/>
    <w:rsid w:val="00BF53BF"/>
    <w:rsid w:val="00BF5B81"/>
    <w:rsid w:val="00BF5B91"/>
    <w:rsid w:val="00BF6834"/>
    <w:rsid w:val="00BF71E1"/>
    <w:rsid w:val="00C001BF"/>
    <w:rsid w:val="00C006FC"/>
    <w:rsid w:val="00C0088F"/>
    <w:rsid w:val="00C02868"/>
    <w:rsid w:val="00C04D6B"/>
    <w:rsid w:val="00C05EE8"/>
    <w:rsid w:val="00C07B9C"/>
    <w:rsid w:val="00C163F9"/>
    <w:rsid w:val="00C16D4C"/>
    <w:rsid w:val="00C23961"/>
    <w:rsid w:val="00C25A17"/>
    <w:rsid w:val="00C26E49"/>
    <w:rsid w:val="00C2705C"/>
    <w:rsid w:val="00C30D8D"/>
    <w:rsid w:val="00C31C59"/>
    <w:rsid w:val="00C31E5A"/>
    <w:rsid w:val="00C321CD"/>
    <w:rsid w:val="00C3618E"/>
    <w:rsid w:val="00C377B3"/>
    <w:rsid w:val="00C37F2C"/>
    <w:rsid w:val="00C41F34"/>
    <w:rsid w:val="00C44B93"/>
    <w:rsid w:val="00C45553"/>
    <w:rsid w:val="00C45712"/>
    <w:rsid w:val="00C459EE"/>
    <w:rsid w:val="00C4657B"/>
    <w:rsid w:val="00C50CAF"/>
    <w:rsid w:val="00C50CB9"/>
    <w:rsid w:val="00C539EB"/>
    <w:rsid w:val="00C55B54"/>
    <w:rsid w:val="00C5606F"/>
    <w:rsid w:val="00C57519"/>
    <w:rsid w:val="00C57CC3"/>
    <w:rsid w:val="00C61997"/>
    <w:rsid w:val="00C62E00"/>
    <w:rsid w:val="00C637D8"/>
    <w:rsid w:val="00C63D54"/>
    <w:rsid w:val="00C65BCD"/>
    <w:rsid w:val="00C73381"/>
    <w:rsid w:val="00C744D6"/>
    <w:rsid w:val="00C74A3C"/>
    <w:rsid w:val="00C750D7"/>
    <w:rsid w:val="00C756D9"/>
    <w:rsid w:val="00C75A4F"/>
    <w:rsid w:val="00C76477"/>
    <w:rsid w:val="00C764F3"/>
    <w:rsid w:val="00C76C95"/>
    <w:rsid w:val="00C819DB"/>
    <w:rsid w:val="00C83986"/>
    <w:rsid w:val="00C84CF5"/>
    <w:rsid w:val="00C85191"/>
    <w:rsid w:val="00C92350"/>
    <w:rsid w:val="00C948CC"/>
    <w:rsid w:val="00C94934"/>
    <w:rsid w:val="00C94984"/>
    <w:rsid w:val="00C971F6"/>
    <w:rsid w:val="00C97380"/>
    <w:rsid w:val="00CA1FBC"/>
    <w:rsid w:val="00CA274E"/>
    <w:rsid w:val="00CA3DAA"/>
    <w:rsid w:val="00CA7D6F"/>
    <w:rsid w:val="00CB04D4"/>
    <w:rsid w:val="00CB274E"/>
    <w:rsid w:val="00CB651C"/>
    <w:rsid w:val="00CC2C1B"/>
    <w:rsid w:val="00CC2C41"/>
    <w:rsid w:val="00CC2E1F"/>
    <w:rsid w:val="00CC4F75"/>
    <w:rsid w:val="00CC6D09"/>
    <w:rsid w:val="00CC711D"/>
    <w:rsid w:val="00CD0A23"/>
    <w:rsid w:val="00CD0FDC"/>
    <w:rsid w:val="00CD2D59"/>
    <w:rsid w:val="00CE2A60"/>
    <w:rsid w:val="00CE495B"/>
    <w:rsid w:val="00CE6E25"/>
    <w:rsid w:val="00CF0B9E"/>
    <w:rsid w:val="00CF17C0"/>
    <w:rsid w:val="00CF42E2"/>
    <w:rsid w:val="00CF4CB8"/>
    <w:rsid w:val="00D00E9A"/>
    <w:rsid w:val="00D0695F"/>
    <w:rsid w:val="00D075C3"/>
    <w:rsid w:val="00D07FAB"/>
    <w:rsid w:val="00D1228E"/>
    <w:rsid w:val="00D12515"/>
    <w:rsid w:val="00D12780"/>
    <w:rsid w:val="00D157E7"/>
    <w:rsid w:val="00D170A4"/>
    <w:rsid w:val="00D20014"/>
    <w:rsid w:val="00D202FA"/>
    <w:rsid w:val="00D208C4"/>
    <w:rsid w:val="00D20948"/>
    <w:rsid w:val="00D20956"/>
    <w:rsid w:val="00D21269"/>
    <w:rsid w:val="00D22B0A"/>
    <w:rsid w:val="00D23BAF"/>
    <w:rsid w:val="00D24257"/>
    <w:rsid w:val="00D2686B"/>
    <w:rsid w:val="00D26F43"/>
    <w:rsid w:val="00D3000F"/>
    <w:rsid w:val="00D303C9"/>
    <w:rsid w:val="00D30741"/>
    <w:rsid w:val="00D307F4"/>
    <w:rsid w:val="00D30F80"/>
    <w:rsid w:val="00D31220"/>
    <w:rsid w:val="00D33F00"/>
    <w:rsid w:val="00D340CC"/>
    <w:rsid w:val="00D3513C"/>
    <w:rsid w:val="00D36082"/>
    <w:rsid w:val="00D415D1"/>
    <w:rsid w:val="00D43011"/>
    <w:rsid w:val="00D4332A"/>
    <w:rsid w:val="00D4743F"/>
    <w:rsid w:val="00D5062A"/>
    <w:rsid w:val="00D51607"/>
    <w:rsid w:val="00D51859"/>
    <w:rsid w:val="00D52ACB"/>
    <w:rsid w:val="00D52F41"/>
    <w:rsid w:val="00D53EF7"/>
    <w:rsid w:val="00D546F0"/>
    <w:rsid w:val="00D551B1"/>
    <w:rsid w:val="00D559CC"/>
    <w:rsid w:val="00D575FB"/>
    <w:rsid w:val="00D60CCA"/>
    <w:rsid w:val="00D61018"/>
    <w:rsid w:val="00D61C8D"/>
    <w:rsid w:val="00D628A2"/>
    <w:rsid w:val="00D62954"/>
    <w:rsid w:val="00D62D7C"/>
    <w:rsid w:val="00D62EF9"/>
    <w:rsid w:val="00D63CE2"/>
    <w:rsid w:val="00D65312"/>
    <w:rsid w:val="00D65DE9"/>
    <w:rsid w:val="00D67878"/>
    <w:rsid w:val="00D75399"/>
    <w:rsid w:val="00D80328"/>
    <w:rsid w:val="00D818B4"/>
    <w:rsid w:val="00D82CDA"/>
    <w:rsid w:val="00D84B92"/>
    <w:rsid w:val="00D859D6"/>
    <w:rsid w:val="00D86171"/>
    <w:rsid w:val="00D863D4"/>
    <w:rsid w:val="00D863FB"/>
    <w:rsid w:val="00D8693F"/>
    <w:rsid w:val="00D86F79"/>
    <w:rsid w:val="00D875EE"/>
    <w:rsid w:val="00D93F0C"/>
    <w:rsid w:val="00D94663"/>
    <w:rsid w:val="00D96B5D"/>
    <w:rsid w:val="00D971AB"/>
    <w:rsid w:val="00DA24A6"/>
    <w:rsid w:val="00DA29D6"/>
    <w:rsid w:val="00DA4701"/>
    <w:rsid w:val="00DA4A5E"/>
    <w:rsid w:val="00DA5851"/>
    <w:rsid w:val="00DA6559"/>
    <w:rsid w:val="00DB0495"/>
    <w:rsid w:val="00DB0911"/>
    <w:rsid w:val="00DB13D7"/>
    <w:rsid w:val="00DB4DE0"/>
    <w:rsid w:val="00DB6A89"/>
    <w:rsid w:val="00DC1ACD"/>
    <w:rsid w:val="00DC3AEF"/>
    <w:rsid w:val="00DC4EEF"/>
    <w:rsid w:val="00DC547F"/>
    <w:rsid w:val="00DC73C9"/>
    <w:rsid w:val="00DC7BC7"/>
    <w:rsid w:val="00DD043C"/>
    <w:rsid w:val="00DD11A8"/>
    <w:rsid w:val="00DD1695"/>
    <w:rsid w:val="00DD2599"/>
    <w:rsid w:val="00DD2C10"/>
    <w:rsid w:val="00DD2FA5"/>
    <w:rsid w:val="00DD4336"/>
    <w:rsid w:val="00DD4E8C"/>
    <w:rsid w:val="00DD57DC"/>
    <w:rsid w:val="00DD5920"/>
    <w:rsid w:val="00DD657B"/>
    <w:rsid w:val="00DD6838"/>
    <w:rsid w:val="00DE2EB2"/>
    <w:rsid w:val="00DE32D5"/>
    <w:rsid w:val="00DE5AD0"/>
    <w:rsid w:val="00DE7190"/>
    <w:rsid w:val="00DE749D"/>
    <w:rsid w:val="00DE7DFF"/>
    <w:rsid w:val="00DF1FD3"/>
    <w:rsid w:val="00DF2954"/>
    <w:rsid w:val="00DF402F"/>
    <w:rsid w:val="00DF6CA8"/>
    <w:rsid w:val="00E00056"/>
    <w:rsid w:val="00E00616"/>
    <w:rsid w:val="00E01410"/>
    <w:rsid w:val="00E02B5B"/>
    <w:rsid w:val="00E03535"/>
    <w:rsid w:val="00E05126"/>
    <w:rsid w:val="00E077A0"/>
    <w:rsid w:val="00E07D39"/>
    <w:rsid w:val="00E07D49"/>
    <w:rsid w:val="00E115C1"/>
    <w:rsid w:val="00E11A61"/>
    <w:rsid w:val="00E12EDC"/>
    <w:rsid w:val="00E133BD"/>
    <w:rsid w:val="00E13DB7"/>
    <w:rsid w:val="00E156F4"/>
    <w:rsid w:val="00E15945"/>
    <w:rsid w:val="00E15D7E"/>
    <w:rsid w:val="00E16624"/>
    <w:rsid w:val="00E177C0"/>
    <w:rsid w:val="00E22948"/>
    <w:rsid w:val="00E22A95"/>
    <w:rsid w:val="00E2327C"/>
    <w:rsid w:val="00E232F4"/>
    <w:rsid w:val="00E2338E"/>
    <w:rsid w:val="00E26A2B"/>
    <w:rsid w:val="00E27BAB"/>
    <w:rsid w:val="00E30574"/>
    <w:rsid w:val="00E310B1"/>
    <w:rsid w:val="00E32749"/>
    <w:rsid w:val="00E3577D"/>
    <w:rsid w:val="00E36CD4"/>
    <w:rsid w:val="00E37781"/>
    <w:rsid w:val="00E412DC"/>
    <w:rsid w:val="00E436BB"/>
    <w:rsid w:val="00E4417C"/>
    <w:rsid w:val="00E45A32"/>
    <w:rsid w:val="00E46584"/>
    <w:rsid w:val="00E47B09"/>
    <w:rsid w:val="00E50C0E"/>
    <w:rsid w:val="00E51031"/>
    <w:rsid w:val="00E514E7"/>
    <w:rsid w:val="00E5207C"/>
    <w:rsid w:val="00E55244"/>
    <w:rsid w:val="00E55A6F"/>
    <w:rsid w:val="00E5792A"/>
    <w:rsid w:val="00E61484"/>
    <w:rsid w:val="00E61565"/>
    <w:rsid w:val="00E61F3A"/>
    <w:rsid w:val="00E668C9"/>
    <w:rsid w:val="00E6740A"/>
    <w:rsid w:val="00E70896"/>
    <w:rsid w:val="00E70DFB"/>
    <w:rsid w:val="00E71C6C"/>
    <w:rsid w:val="00E72DB6"/>
    <w:rsid w:val="00E73135"/>
    <w:rsid w:val="00E749B0"/>
    <w:rsid w:val="00E75BB7"/>
    <w:rsid w:val="00E76524"/>
    <w:rsid w:val="00E77F01"/>
    <w:rsid w:val="00E838B0"/>
    <w:rsid w:val="00E83BF9"/>
    <w:rsid w:val="00E856FB"/>
    <w:rsid w:val="00E86247"/>
    <w:rsid w:val="00E90133"/>
    <w:rsid w:val="00E90B9A"/>
    <w:rsid w:val="00E915F6"/>
    <w:rsid w:val="00E925E0"/>
    <w:rsid w:val="00E9781D"/>
    <w:rsid w:val="00E979AB"/>
    <w:rsid w:val="00E97A32"/>
    <w:rsid w:val="00EA2C67"/>
    <w:rsid w:val="00EA63B2"/>
    <w:rsid w:val="00EA6BAE"/>
    <w:rsid w:val="00EA6F17"/>
    <w:rsid w:val="00EA71F2"/>
    <w:rsid w:val="00EA7306"/>
    <w:rsid w:val="00EB00B4"/>
    <w:rsid w:val="00EB139E"/>
    <w:rsid w:val="00EB3CA5"/>
    <w:rsid w:val="00EB3F3D"/>
    <w:rsid w:val="00EC095F"/>
    <w:rsid w:val="00EC0F2F"/>
    <w:rsid w:val="00EC109A"/>
    <w:rsid w:val="00EC1357"/>
    <w:rsid w:val="00EC2C91"/>
    <w:rsid w:val="00EC485A"/>
    <w:rsid w:val="00EC6640"/>
    <w:rsid w:val="00EC796D"/>
    <w:rsid w:val="00ED08FD"/>
    <w:rsid w:val="00ED0D57"/>
    <w:rsid w:val="00ED1BE8"/>
    <w:rsid w:val="00ED378A"/>
    <w:rsid w:val="00ED45CA"/>
    <w:rsid w:val="00ED519F"/>
    <w:rsid w:val="00ED5ADD"/>
    <w:rsid w:val="00ED5D24"/>
    <w:rsid w:val="00ED5DAF"/>
    <w:rsid w:val="00ED6767"/>
    <w:rsid w:val="00EE0E8D"/>
    <w:rsid w:val="00EE1194"/>
    <w:rsid w:val="00EE1611"/>
    <w:rsid w:val="00EE1F8D"/>
    <w:rsid w:val="00EE2295"/>
    <w:rsid w:val="00EE22DA"/>
    <w:rsid w:val="00EE47F5"/>
    <w:rsid w:val="00EE499B"/>
    <w:rsid w:val="00EE4AF6"/>
    <w:rsid w:val="00EE61B6"/>
    <w:rsid w:val="00EE737A"/>
    <w:rsid w:val="00EF19C5"/>
    <w:rsid w:val="00EF2892"/>
    <w:rsid w:val="00EF3137"/>
    <w:rsid w:val="00EF3B9D"/>
    <w:rsid w:val="00EF414C"/>
    <w:rsid w:val="00EF7586"/>
    <w:rsid w:val="00F004F4"/>
    <w:rsid w:val="00F02904"/>
    <w:rsid w:val="00F03141"/>
    <w:rsid w:val="00F05451"/>
    <w:rsid w:val="00F06CF4"/>
    <w:rsid w:val="00F104C8"/>
    <w:rsid w:val="00F1173F"/>
    <w:rsid w:val="00F1265E"/>
    <w:rsid w:val="00F1290E"/>
    <w:rsid w:val="00F150C7"/>
    <w:rsid w:val="00F15E8E"/>
    <w:rsid w:val="00F21D2C"/>
    <w:rsid w:val="00F228EA"/>
    <w:rsid w:val="00F269AD"/>
    <w:rsid w:val="00F31EBD"/>
    <w:rsid w:val="00F339DE"/>
    <w:rsid w:val="00F3454E"/>
    <w:rsid w:val="00F35B62"/>
    <w:rsid w:val="00F3770F"/>
    <w:rsid w:val="00F37D04"/>
    <w:rsid w:val="00F43EFE"/>
    <w:rsid w:val="00F479BA"/>
    <w:rsid w:val="00F47A30"/>
    <w:rsid w:val="00F501FB"/>
    <w:rsid w:val="00F50FA5"/>
    <w:rsid w:val="00F511C3"/>
    <w:rsid w:val="00F51479"/>
    <w:rsid w:val="00F5204F"/>
    <w:rsid w:val="00F530CD"/>
    <w:rsid w:val="00F530DC"/>
    <w:rsid w:val="00F5350C"/>
    <w:rsid w:val="00F536A3"/>
    <w:rsid w:val="00F53B7C"/>
    <w:rsid w:val="00F54ACA"/>
    <w:rsid w:val="00F56847"/>
    <w:rsid w:val="00F60724"/>
    <w:rsid w:val="00F63283"/>
    <w:rsid w:val="00F65FD9"/>
    <w:rsid w:val="00F6753F"/>
    <w:rsid w:val="00F71281"/>
    <w:rsid w:val="00F73359"/>
    <w:rsid w:val="00F73F7C"/>
    <w:rsid w:val="00F745D2"/>
    <w:rsid w:val="00F74657"/>
    <w:rsid w:val="00F77E93"/>
    <w:rsid w:val="00F8309C"/>
    <w:rsid w:val="00F83297"/>
    <w:rsid w:val="00F85A29"/>
    <w:rsid w:val="00F86AE5"/>
    <w:rsid w:val="00F86B16"/>
    <w:rsid w:val="00F87259"/>
    <w:rsid w:val="00F90653"/>
    <w:rsid w:val="00F90A23"/>
    <w:rsid w:val="00F92193"/>
    <w:rsid w:val="00F9282C"/>
    <w:rsid w:val="00F93831"/>
    <w:rsid w:val="00F93AFB"/>
    <w:rsid w:val="00F9580F"/>
    <w:rsid w:val="00F95932"/>
    <w:rsid w:val="00F965ED"/>
    <w:rsid w:val="00FA099B"/>
    <w:rsid w:val="00FA139F"/>
    <w:rsid w:val="00FA2A14"/>
    <w:rsid w:val="00FA2F1E"/>
    <w:rsid w:val="00FA3157"/>
    <w:rsid w:val="00FA5783"/>
    <w:rsid w:val="00FA5D2A"/>
    <w:rsid w:val="00FA65F1"/>
    <w:rsid w:val="00FB11BF"/>
    <w:rsid w:val="00FB13AC"/>
    <w:rsid w:val="00FB24AA"/>
    <w:rsid w:val="00FB5122"/>
    <w:rsid w:val="00FB7439"/>
    <w:rsid w:val="00FC07EE"/>
    <w:rsid w:val="00FC13EE"/>
    <w:rsid w:val="00FC1665"/>
    <w:rsid w:val="00FC2E41"/>
    <w:rsid w:val="00FC37F0"/>
    <w:rsid w:val="00FC3C5B"/>
    <w:rsid w:val="00FC5405"/>
    <w:rsid w:val="00FC6547"/>
    <w:rsid w:val="00FC775C"/>
    <w:rsid w:val="00FC7A58"/>
    <w:rsid w:val="00FD036D"/>
    <w:rsid w:val="00FD0FE8"/>
    <w:rsid w:val="00FD21AC"/>
    <w:rsid w:val="00FD318C"/>
    <w:rsid w:val="00FD4AC5"/>
    <w:rsid w:val="00FD68BE"/>
    <w:rsid w:val="00FD69CC"/>
    <w:rsid w:val="00FD6E49"/>
    <w:rsid w:val="00FE0000"/>
    <w:rsid w:val="00FE0B2E"/>
    <w:rsid w:val="00FE1690"/>
    <w:rsid w:val="00FE2666"/>
    <w:rsid w:val="00FE3B82"/>
    <w:rsid w:val="00FE3B8B"/>
    <w:rsid w:val="00FE5CE5"/>
    <w:rsid w:val="00FE5D11"/>
    <w:rsid w:val="00FE6CF0"/>
    <w:rsid w:val="00FE7316"/>
    <w:rsid w:val="00FF1B92"/>
    <w:rsid w:val="00FF2869"/>
    <w:rsid w:val="00FF3991"/>
    <w:rsid w:val="00FF4C5C"/>
    <w:rsid w:val="00FF61A7"/>
    <w:rsid w:val="019641E1"/>
    <w:rsid w:val="01E67C9E"/>
    <w:rsid w:val="01E77B24"/>
    <w:rsid w:val="02616E52"/>
    <w:rsid w:val="02D15691"/>
    <w:rsid w:val="02F04E8C"/>
    <w:rsid w:val="03277D04"/>
    <w:rsid w:val="03291ECE"/>
    <w:rsid w:val="03423B41"/>
    <w:rsid w:val="04691CE4"/>
    <w:rsid w:val="047622E3"/>
    <w:rsid w:val="047A46C4"/>
    <w:rsid w:val="04896DA9"/>
    <w:rsid w:val="050077D1"/>
    <w:rsid w:val="05227A62"/>
    <w:rsid w:val="063A2B4D"/>
    <w:rsid w:val="067B49D0"/>
    <w:rsid w:val="07106873"/>
    <w:rsid w:val="075E138C"/>
    <w:rsid w:val="076E7280"/>
    <w:rsid w:val="07B46C94"/>
    <w:rsid w:val="07F77ED9"/>
    <w:rsid w:val="08237B32"/>
    <w:rsid w:val="08EB5358"/>
    <w:rsid w:val="0904031A"/>
    <w:rsid w:val="09077CDD"/>
    <w:rsid w:val="090A1735"/>
    <w:rsid w:val="09374C42"/>
    <w:rsid w:val="095211C5"/>
    <w:rsid w:val="0A742C74"/>
    <w:rsid w:val="0AB83F41"/>
    <w:rsid w:val="0AEC1B9C"/>
    <w:rsid w:val="0B7042D9"/>
    <w:rsid w:val="0B751F53"/>
    <w:rsid w:val="0BA80393"/>
    <w:rsid w:val="0BB035AE"/>
    <w:rsid w:val="0BC56C26"/>
    <w:rsid w:val="0BE429CE"/>
    <w:rsid w:val="0C067A1C"/>
    <w:rsid w:val="0C2B76C0"/>
    <w:rsid w:val="0C3D5F59"/>
    <w:rsid w:val="0D004C93"/>
    <w:rsid w:val="0D181D64"/>
    <w:rsid w:val="0DD3492E"/>
    <w:rsid w:val="0DF24F1C"/>
    <w:rsid w:val="0E130DBE"/>
    <w:rsid w:val="0E7C716C"/>
    <w:rsid w:val="0F172652"/>
    <w:rsid w:val="0F307A58"/>
    <w:rsid w:val="0FD87673"/>
    <w:rsid w:val="10504779"/>
    <w:rsid w:val="10657D57"/>
    <w:rsid w:val="10BF0FF8"/>
    <w:rsid w:val="10DD476D"/>
    <w:rsid w:val="11005262"/>
    <w:rsid w:val="110A4333"/>
    <w:rsid w:val="115A1EAD"/>
    <w:rsid w:val="11665A81"/>
    <w:rsid w:val="118E2870"/>
    <w:rsid w:val="119933C6"/>
    <w:rsid w:val="119A3908"/>
    <w:rsid w:val="12211990"/>
    <w:rsid w:val="12232C28"/>
    <w:rsid w:val="124479FA"/>
    <w:rsid w:val="12624367"/>
    <w:rsid w:val="12D37D0C"/>
    <w:rsid w:val="12E34E3B"/>
    <w:rsid w:val="14013834"/>
    <w:rsid w:val="14076907"/>
    <w:rsid w:val="147E2A10"/>
    <w:rsid w:val="152A748B"/>
    <w:rsid w:val="15A35334"/>
    <w:rsid w:val="15A62FC3"/>
    <w:rsid w:val="16115753"/>
    <w:rsid w:val="163B58CE"/>
    <w:rsid w:val="164E4EEB"/>
    <w:rsid w:val="165E62DF"/>
    <w:rsid w:val="166D339A"/>
    <w:rsid w:val="168872B9"/>
    <w:rsid w:val="1699551B"/>
    <w:rsid w:val="16AC7D2F"/>
    <w:rsid w:val="16B3279D"/>
    <w:rsid w:val="173160BF"/>
    <w:rsid w:val="173B46AC"/>
    <w:rsid w:val="17711A1B"/>
    <w:rsid w:val="177C2852"/>
    <w:rsid w:val="178169D1"/>
    <w:rsid w:val="17AC6144"/>
    <w:rsid w:val="18076D1F"/>
    <w:rsid w:val="18414FEA"/>
    <w:rsid w:val="18446205"/>
    <w:rsid w:val="186F22C8"/>
    <w:rsid w:val="189848CD"/>
    <w:rsid w:val="1899265A"/>
    <w:rsid w:val="18D319AC"/>
    <w:rsid w:val="190610A9"/>
    <w:rsid w:val="19125593"/>
    <w:rsid w:val="192E109B"/>
    <w:rsid w:val="193C2462"/>
    <w:rsid w:val="19522F7D"/>
    <w:rsid w:val="199D023D"/>
    <w:rsid w:val="1A277D03"/>
    <w:rsid w:val="1A3518DB"/>
    <w:rsid w:val="1A902549"/>
    <w:rsid w:val="1A9730F7"/>
    <w:rsid w:val="1AA349BA"/>
    <w:rsid w:val="1AC12269"/>
    <w:rsid w:val="1AC67F89"/>
    <w:rsid w:val="1ACD5560"/>
    <w:rsid w:val="1AFF1840"/>
    <w:rsid w:val="1B874061"/>
    <w:rsid w:val="1BC32CAD"/>
    <w:rsid w:val="1C066088"/>
    <w:rsid w:val="1C086EAF"/>
    <w:rsid w:val="1CDF43D6"/>
    <w:rsid w:val="1CF95F81"/>
    <w:rsid w:val="1D287BA0"/>
    <w:rsid w:val="1D50150C"/>
    <w:rsid w:val="1DD106B2"/>
    <w:rsid w:val="1DE71C48"/>
    <w:rsid w:val="1E312EFF"/>
    <w:rsid w:val="1E3B5137"/>
    <w:rsid w:val="1E52177E"/>
    <w:rsid w:val="1EC9051E"/>
    <w:rsid w:val="1EDB2DFC"/>
    <w:rsid w:val="1F017403"/>
    <w:rsid w:val="1F146FF4"/>
    <w:rsid w:val="1F4C5BFA"/>
    <w:rsid w:val="1FA457D5"/>
    <w:rsid w:val="1FB35014"/>
    <w:rsid w:val="1FCD45C6"/>
    <w:rsid w:val="203171E6"/>
    <w:rsid w:val="20D01F6D"/>
    <w:rsid w:val="211969F4"/>
    <w:rsid w:val="21317871"/>
    <w:rsid w:val="226D4721"/>
    <w:rsid w:val="22856A96"/>
    <w:rsid w:val="228B62C2"/>
    <w:rsid w:val="22D630A1"/>
    <w:rsid w:val="232B7484"/>
    <w:rsid w:val="23A27E59"/>
    <w:rsid w:val="23C2540F"/>
    <w:rsid w:val="244B16EA"/>
    <w:rsid w:val="247F3144"/>
    <w:rsid w:val="24A27C99"/>
    <w:rsid w:val="24B852F5"/>
    <w:rsid w:val="24FA159C"/>
    <w:rsid w:val="2532106A"/>
    <w:rsid w:val="25556FDD"/>
    <w:rsid w:val="26415CA9"/>
    <w:rsid w:val="2650413E"/>
    <w:rsid w:val="267D4D54"/>
    <w:rsid w:val="26867A6F"/>
    <w:rsid w:val="268B3C2C"/>
    <w:rsid w:val="26B66402"/>
    <w:rsid w:val="26B96187"/>
    <w:rsid w:val="272A0E68"/>
    <w:rsid w:val="27625008"/>
    <w:rsid w:val="27B5619D"/>
    <w:rsid w:val="281F109F"/>
    <w:rsid w:val="28221688"/>
    <w:rsid w:val="282769AB"/>
    <w:rsid w:val="283F0052"/>
    <w:rsid w:val="28614A0F"/>
    <w:rsid w:val="288D1CF1"/>
    <w:rsid w:val="28942DD5"/>
    <w:rsid w:val="28C401E5"/>
    <w:rsid w:val="28FE268B"/>
    <w:rsid w:val="293B33E8"/>
    <w:rsid w:val="29DD2042"/>
    <w:rsid w:val="2A071A1A"/>
    <w:rsid w:val="2A097BE2"/>
    <w:rsid w:val="2A3C6727"/>
    <w:rsid w:val="2ACB0237"/>
    <w:rsid w:val="2B0860F2"/>
    <w:rsid w:val="2B47646A"/>
    <w:rsid w:val="2B583B1B"/>
    <w:rsid w:val="2B663DDC"/>
    <w:rsid w:val="2BC75DE7"/>
    <w:rsid w:val="2BE30E3B"/>
    <w:rsid w:val="2BF95EC5"/>
    <w:rsid w:val="2C39019B"/>
    <w:rsid w:val="2C550700"/>
    <w:rsid w:val="2CE804C1"/>
    <w:rsid w:val="2D315E0E"/>
    <w:rsid w:val="2D475309"/>
    <w:rsid w:val="2D73480F"/>
    <w:rsid w:val="2E1B1F02"/>
    <w:rsid w:val="2E382087"/>
    <w:rsid w:val="2E617EBF"/>
    <w:rsid w:val="2EF266DA"/>
    <w:rsid w:val="2F2E4967"/>
    <w:rsid w:val="2F4405B8"/>
    <w:rsid w:val="2FAF5153"/>
    <w:rsid w:val="2FBE065C"/>
    <w:rsid w:val="300B1FA9"/>
    <w:rsid w:val="3023529C"/>
    <w:rsid w:val="305A2CCD"/>
    <w:rsid w:val="3082347D"/>
    <w:rsid w:val="30DA55C9"/>
    <w:rsid w:val="30F228C9"/>
    <w:rsid w:val="30F5500D"/>
    <w:rsid w:val="31241F2D"/>
    <w:rsid w:val="3131779D"/>
    <w:rsid w:val="31644C51"/>
    <w:rsid w:val="319B70DB"/>
    <w:rsid w:val="31DA303F"/>
    <w:rsid w:val="31ED03D9"/>
    <w:rsid w:val="322D7D3D"/>
    <w:rsid w:val="32CB321F"/>
    <w:rsid w:val="32F9158C"/>
    <w:rsid w:val="331E20AC"/>
    <w:rsid w:val="341660AD"/>
    <w:rsid w:val="34727049"/>
    <w:rsid w:val="350371CC"/>
    <w:rsid w:val="351B6E1C"/>
    <w:rsid w:val="360A3523"/>
    <w:rsid w:val="364E6269"/>
    <w:rsid w:val="36976112"/>
    <w:rsid w:val="378D6388"/>
    <w:rsid w:val="37B22F2B"/>
    <w:rsid w:val="3931475F"/>
    <w:rsid w:val="393B3584"/>
    <w:rsid w:val="39657C8C"/>
    <w:rsid w:val="39CD28EB"/>
    <w:rsid w:val="3A5F2980"/>
    <w:rsid w:val="3A614290"/>
    <w:rsid w:val="3A9B19D4"/>
    <w:rsid w:val="3AB7310F"/>
    <w:rsid w:val="3ADD7BB9"/>
    <w:rsid w:val="3AE22751"/>
    <w:rsid w:val="3B4F6290"/>
    <w:rsid w:val="3B987F52"/>
    <w:rsid w:val="3BF03563"/>
    <w:rsid w:val="3CA2352B"/>
    <w:rsid w:val="3CAB5AEF"/>
    <w:rsid w:val="3CFB48A5"/>
    <w:rsid w:val="3D0A62ED"/>
    <w:rsid w:val="3D1B2ABA"/>
    <w:rsid w:val="3D274844"/>
    <w:rsid w:val="3D7F382F"/>
    <w:rsid w:val="3D890E05"/>
    <w:rsid w:val="3D915310"/>
    <w:rsid w:val="3DB9711D"/>
    <w:rsid w:val="3DE95FE4"/>
    <w:rsid w:val="3DEA51F0"/>
    <w:rsid w:val="3F74524E"/>
    <w:rsid w:val="3F900EE7"/>
    <w:rsid w:val="3FB414BF"/>
    <w:rsid w:val="3FFB74E6"/>
    <w:rsid w:val="40281254"/>
    <w:rsid w:val="410C5FDD"/>
    <w:rsid w:val="41235765"/>
    <w:rsid w:val="41884030"/>
    <w:rsid w:val="418A2387"/>
    <w:rsid w:val="41A6461A"/>
    <w:rsid w:val="42F26851"/>
    <w:rsid w:val="42FE0E66"/>
    <w:rsid w:val="433D1F67"/>
    <w:rsid w:val="439E6707"/>
    <w:rsid w:val="43A92A9F"/>
    <w:rsid w:val="43AA3C21"/>
    <w:rsid w:val="43F3586D"/>
    <w:rsid w:val="440A7BCA"/>
    <w:rsid w:val="4451707F"/>
    <w:rsid w:val="44565FEF"/>
    <w:rsid w:val="44B87626"/>
    <w:rsid w:val="44D04814"/>
    <w:rsid w:val="44DF2E05"/>
    <w:rsid w:val="44F56185"/>
    <w:rsid w:val="458A7BF8"/>
    <w:rsid w:val="458F482B"/>
    <w:rsid w:val="459C036A"/>
    <w:rsid w:val="46F958C1"/>
    <w:rsid w:val="47382562"/>
    <w:rsid w:val="4755115C"/>
    <w:rsid w:val="4763623A"/>
    <w:rsid w:val="47BD03D5"/>
    <w:rsid w:val="482A74B6"/>
    <w:rsid w:val="48B40D9B"/>
    <w:rsid w:val="49B96750"/>
    <w:rsid w:val="4A2B2B8B"/>
    <w:rsid w:val="4A3B77BF"/>
    <w:rsid w:val="4A573AB1"/>
    <w:rsid w:val="4AAF6062"/>
    <w:rsid w:val="4ABB0268"/>
    <w:rsid w:val="4B4F0724"/>
    <w:rsid w:val="4B7C4896"/>
    <w:rsid w:val="4C366B12"/>
    <w:rsid w:val="4C781EA8"/>
    <w:rsid w:val="4C897E52"/>
    <w:rsid w:val="4CA2401E"/>
    <w:rsid w:val="4D113D78"/>
    <w:rsid w:val="4DEB484A"/>
    <w:rsid w:val="4E6D4CFB"/>
    <w:rsid w:val="4EC8490A"/>
    <w:rsid w:val="4EE6528E"/>
    <w:rsid w:val="4EE9706E"/>
    <w:rsid w:val="4EEA69FB"/>
    <w:rsid w:val="502A5EF5"/>
    <w:rsid w:val="506A03D4"/>
    <w:rsid w:val="50F05223"/>
    <w:rsid w:val="51E7561B"/>
    <w:rsid w:val="52040660"/>
    <w:rsid w:val="52623792"/>
    <w:rsid w:val="532F76E2"/>
    <w:rsid w:val="536B2FE6"/>
    <w:rsid w:val="53A279D5"/>
    <w:rsid w:val="53E9469F"/>
    <w:rsid w:val="53FE4FCE"/>
    <w:rsid w:val="540C5859"/>
    <w:rsid w:val="545F5E1F"/>
    <w:rsid w:val="546051CD"/>
    <w:rsid w:val="562B6905"/>
    <w:rsid w:val="563B54D4"/>
    <w:rsid w:val="564C1E6A"/>
    <w:rsid w:val="56782C8B"/>
    <w:rsid w:val="567F5F25"/>
    <w:rsid w:val="56A25CB9"/>
    <w:rsid w:val="56CF1267"/>
    <w:rsid w:val="5765046E"/>
    <w:rsid w:val="57694A7B"/>
    <w:rsid w:val="57DB0916"/>
    <w:rsid w:val="5815446A"/>
    <w:rsid w:val="588501CC"/>
    <w:rsid w:val="589917F1"/>
    <w:rsid w:val="58F82B8E"/>
    <w:rsid w:val="5933167B"/>
    <w:rsid w:val="59EF415A"/>
    <w:rsid w:val="5A220175"/>
    <w:rsid w:val="5A3E36A4"/>
    <w:rsid w:val="5A431E21"/>
    <w:rsid w:val="5A5941E8"/>
    <w:rsid w:val="5B262519"/>
    <w:rsid w:val="5B277C0F"/>
    <w:rsid w:val="5B54023C"/>
    <w:rsid w:val="5B8A29BC"/>
    <w:rsid w:val="5BC934AE"/>
    <w:rsid w:val="5BE4660D"/>
    <w:rsid w:val="5BF61CF5"/>
    <w:rsid w:val="5BFE10B9"/>
    <w:rsid w:val="5C4471C2"/>
    <w:rsid w:val="5C6841DD"/>
    <w:rsid w:val="5C702869"/>
    <w:rsid w:val="5C7F6751"/>
    <w:rsid w:val="5CB111A3"/>
    <w:rsid w:val="5D7418B5"/>
    <w:rsid w:val="5D9128C4"/>
    <w:rsid w:val="5DD00075"/>
    <w:rsid w:val="5DFD6CC3"/>
    <w:rsid w:val="5E232839"/>
    <w:rsid w:val="5E2B4C94"/>
    <w:rsid w:val="5EA762EA"/>
    <w:rsid w:val="5EB629D1"/>
    <w:rsid w:val="5ED05841"/>
    <w:rsid w:val="5EF64B7B"/>
    <w:rsid w:val="5F3A5930"/>
    <w:rsid w:val="5F542CDB"/>
    <w:rsid w:val="5F737473"/>
    <w:rsid w:val="607A733B"/>
    <w:rsid w:val="61CB677A"/>
    <w:rsid w:val="61DB6BD8"/>
    <w:rsid w:val="61EE3320"/>
    <w:rsid w:val="61FA4EE7"/>
    <w:rsid w:val="62407E65"/>
    <w:rsid w:val="63170071"/>
    <w:rsid w:val="64921BDB"/>
    <w:rsid w:val="64E02972"/>
    <w:rsid w:val="653F4507"/>
    <w:rsid w:val="65587EA3"/>
    <w:rsid w:val="65617358"/>
    <w:rsid w:val="65C47B38"/>
    <w:rsid w:val="662D7F69"/>
    <w:rsid w:val="664931E3"/>
    <w:rsid w:val="664B1C51"/>
    <w:rsid w:val="67135A49"/>
    <w:rsid w:val="67157F7B"/>
    <w:rsid w:val="672706B5"/>
    <w:rsid w:val="674107E1"/>
    <w:rsid w:val="680F0767"/>
    <w:rsid w:val="6AC1617C"/>
    <w:rsid w:val="6B3D24B0"/>
    <w:rsid w:val="6B85161A"/>
    <w:rsid w:val="6B9D3EFB"/>
    <w:rsid w:val="6C0B7A3B"/>
    <w:rsid w:val="6C1B2C6F"/>
    <w:rsid w:val="6C465394"/>
    <w:rsid w:val="6C711649"/>
    <w:rsid w:val="6CAB3449"/>
    <w:rsid w:val="6CBA65FD"/>
    <w:rsid w:val="6CD26C28"/>
    <w:rsid w:val="6DC74843"/>
    <w:rsid w:val="6E546502"/>
    <w:rsid w:val="6EC27D01"/>
    <w:rsid w:val="6EE113A4"/>
    <w:rsid w:val="6EE77463"/>
    <w:rsid w:val="6F4F630E"/>
    <w:rsid w:val="6F945285"/>
    <w:rsid w:val="6FB63DCE"/>
    <w:rsid w:val="700C0404"/>
    <w:rsid w:val="7020407E"/>
    <w:rsid w:val="703B37C9"/>
    <w:rsid w:val="705C459D"/>
    <w:rsid w:val="70814A77"/>
    <w:rsid w:val="70E02341"/>
    <w:rsid w:val="71087E52"/>
    <w:rsid w:val="710E1BC1"/>
    <w:rsid w:val="71764AD7"/>
    <w:rsid w:val="71FC2A20"/>
    <w:rsid w:val="727A15DA"/>
    <w:rsid w:val="730B0D61"/>
    <w:rsid w:val="73B455C4"/>
    <w:rsid w:val="73EB241B"/>
    <w:rsid w:val="73F54127"/>
    <w:rsid w:val="73F90C32"/>
    <w:rsid w:val="7476258E"/>
    <w:rsid w:val="74966555"/>
    <w:rsid w:val="752F5617"/>
    <w:rsid w:val="753355C8"/>
    <w:rsid w:val="75527E01"/>
    <w:rsid w:val="7560799F"/>
    <w:rsid w:val="76280829"/>
    <w:rsid w:val="76315D7B"/>
    <w:rsid w:val="76451AD7"/>
    <w:rsid w:val="7678373E"/>
    <w:rsid w:val="768C3463"/>
    <w:rsid w:val="76B53841"/>
    <w:rsid w:val="76B8191E"/>
    <w:rsid w:val="779713BF"/>
    <w:rsid w:val="781407C0"/>
    <w:rsid w:val="78516380"/>
    <w:rsid w:val="78FC40CA"/>
    <w:rsid w:val="79214B04"/>
    <w:rsid w:val="79B11EBE"/>
    <w:rsid w:val="7A040D90"/>
    <w:rsid w:val="7A49037A"/>
    <w:rsid w:val="7A765FC5"/>
    <w:rsid w:val="7A8F1996"/>
    <w:rsid w:val="7AAA2BDB"/>
    <w:rsid w:val="7B221C81"/>
    <w:rsid w:val="7B34646C"/>
    <w:rsid w:val="7BFC36EC"/>
    <w:rsid w:val="7C3D324D"/>
    <w:rsid w:val="7C5378BA"/>
    <w:rsid w:val="7C5E4034"/>
    <w:rsid w:val="7C864E9B"/>
    <w:rsid w:val="7C8C5E76"/>
    <w:rsid w:val="7CAF0B40"/>
    <w:rsid w:val="7CCB6C9A"/>
    <w:rsid w:val="7D37256D"/>
    <w:rsid w:val="7D3A2409"/>
    <w:rsid w:val="7D3E7644"/>
    <w:rsid w:val="7D6218EC"/>
    <w:rsid w:val="7D8A0542"/>
    <w:rsid w:val="7D8C2E23"/>
    <w:rsid w:val="7D8E0949"/>
    <w:rsid w:val="7D9D7C5F"/>
    <w:rsid w:val="7DFE1C12"/>
    <w:rsid w:val="7E285A23"/>
    <w:rsid w:val="7EF44CF7"/>
    <w:rsid w:val="7F6820BF"/>
    <w:rsid w:val="7F7B3EDD"/>
    <w:rsid w:val="7F8E14D9"/>
    <w:rsid w:val="7FD510EF"/>
    <w:rsid w:val="7FFD433A"/>
    <w:rsid w:val="FBFB5C0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qFormat="1" w:unhideWhenUsed="0" w:uiPriority="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qFormat="1" w:uiPriority="99" w:semiHidden="0" w:name="footnote text"/>
    <w:lsdException w:qFormat="1" w:uiPriority="0" w:semiHidden="0" w:name="annotation text"/>
    <w:lsdException w:qFormat="1" w:unhideWhenUsed="0" w:uiPriority="0"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iPriority="99" w:semiHidden="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qFormat="1" w:unhideWhenUsed="0" w:uiPriority="0" w:semiHidden="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0" w:semiHidden="0" w:name="Body Text First Indent 2"/>
    <w:lsdException w:uiPriority="0" w:name="Note Heading"/>
    <w:lsdException w:qFormat="1" w:unhideWhenUsed="0" w:uiPriority="0" w:semiHidden="0" w:name="Body Text 2"/>
    <w:lsdException w:qFormat="1" w:uiPriority="0" w:name="Body Text 3"/>
    <w:lsdException w:uiPriority="0" w:name="Body Text Indent 2"/>
    <w:lsdException w:qFormat="1" w:unhideWhenUsed="0" w:uiPriority="0" w:semiHidden="0" w:name="Body Text Indent 3"/>
    <w:lsdException w:uiPriority="0" w:name="Block Text"/>
    <w:lsdException w:uiPriority="0" w:name="Hyperlink"/>
    <w:lsdException w:uiPriority="0" w:name="FollowedHyperlink"/>
    <w:lsdException w:qFormat="1" w:unhideWhenUsed="0" w:uiPriority="0" w:semiHidden="0" w:name="Strong"/>
    <w:lsdException w:qFormat="1" w:unhideWhenUsed="0" w:uiPriority="20" w:semiHidden="0" w:name="Emphasis"/>
    <w:lsdException w:uiPriority="0" w:name="Document Map"/>
    <w:lsdException w:qFormat="1" w:unhideWhenUsed="0" w:uiPriority="0" w:semiHidden="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99" w:semiHidden="0" w:name="Table Grid"/>
    <w:lsdException w:uiPriority="0" w:name="Table Theme"/>
    <w:lsdException w:qFormat="1"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2">
    <w:name w:val="heading 2"/>
    <w:basedOn w:val="1"/>
    <w:next w:val="1"/>
    <w:link w:val="113"/>
    <w:semiHidden/>
    <w:unhideWhenUsed/>
    <w:qFormat/>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3">
    <w:name w:val="heading 3"/>
    <w:basedOn w:val="1"/>
    <w:next w:val="1"/>
    <w:qFormat/>
    <w:uiPriority w:val="0"/>
    <w:pPr>
      <w:keepNext/>
      <w:keepLines/>
      <w:spacing w:before="260" w:after="260" w:line="416" w:lineRule="auto"/>
      <w:outlineLvl w:val="2"/>
    </w:pPr>
    <w:rPr>
      <w:b/>
      <w:bCs/>
      <w:sz w:val="32"/>
      <w:szCs w:val="32"/>
    </w:rPr>
  </w:style>
  <w:style w:type="character" w:default="1" w:styleId="26">
    <w:name w:val="Default Paragraph Font"/>
    <w:semiHidden/>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styleId="4">
    <w:name w:val="List 3"/>
    <w:basedOn w:val="1"/>
    <w:next w:val="1"/>
    <w:qFormat/>
    <w:uiPriority w:val="0"/>
    <w:pPr>
      <w:ind w:left="100" w:leftChars="400" w:hanging="200" w:hangingChars="200"/>
      <w:contextualSpacing/>
    </w:pPr>
  </w:style>
  <w:style w:type="paragraph" w:styleId="5">
    <w:name w:val="Normal Indent"/>
    <w:basedOn w:val="1"/>
    <w:link w:val="34"/>
    <w:qFormat/>
    <w:uiPriority w:val="0"/>
    <w:pPr>
      <w:ind w:firstLine="420" w:firstLineChars="200"/>
    </w:pPr>
    <w:rPr>
      <w:szCs w:val="20"/>
    </w:rPr>
  </w:style>
  <w:style w:type="paragraph" w:styleId="6">
    <w:name w:val="annotation text"/>
    <w:basedOn w:val="1"/>
    <w:link w:val="35"/>
    <w:unhideWhenUsed/>
    <w:qFormat/>
    <w:uiPriority w:val="0"/>
    <w:pPr>
      <w:jc w:val="left"/>
    </w:pPr>
    <w:rPr>
      <w:rFonts w:eastAsia="Times New Roman"/>
    </w:rPr>
  </w:style>
  <w:style w:type="paragraph" w:styleId="7">
    <w:name w:val="Body Text 3"/>
    <w:basedOn w:val="1"/>
    <w:link w:val="99"/>
    <w:semiHidden/>
    <w:unhideWhenUsed/>
    <w:qFormat/>
    <w:uiPriority w:val="0"/>
    <w:pPr>
      <w:spacing w:after="120"/>
    </w:pPr>
    <w:rPr>
      <w:sz w:val="16"/>
      <w:szCs w:val="16"/>
    </w:rPr>
  </w:style>
  <w:style w:type="paragraph" w:styleId="8">
    <w:name w:val="Body Text"/>
    <w:basedOn w:val="1"/>
    <w:next w:val="9"/>
    <w:link w:val="33"/>
    <w:qFormat/>
    <w:uiPriority w:val="0"/>
    <w:pPr>
      <w:widowControl/>
      <w:snapToGrid w:val="0"/>
      <w:spacing w:before="60" w:after="160" w:line="259" w:lineRule="auto"/>
      <w:ind w:right="113"/>
    </w:pPr>
    <w:rPr>
      <w:kern w:val="0"/>
      <w:sz w:val="18"/>
      <w:szCs w:val="20"/>
    </w:rPr>
  </w:style>
  <w:style w:type="paragraph" w:customStyle="1" w:styleId="9">
    <w:name w:val="xl27"/>
    <w:unhideWhenUsed/>
    <w:qFormat/>
    <w:uiPriority w:val="0"/>
    <w:pPr>
      <w:spacing w:before="100" w:beforeAutospacing="1" w:after="100" w:afterAutospacing="1" w:line="360" w:lineRule="auto"/>
      <w:ind w:firstLine="200" w:firstLineChars="200"/>
      <w:jc w:val="center"/>
    </w:pPr>
    <w:rPr>
      <w:rFonts w:ascii="Arial Unicode MS" w:hAnsi="Arial Unicode MS" w:eastAsia="Arial Unicode MS" w:cs="Times New Roman"/>
      <w:kern w:val="2"/>
      <w:sz w:val="22"/>
      <w:szCs w:val="24"/>
      <w:lang w:val="en-US" w:eastAsia="zh-CN" w:bidi="ar-SA"/>
    </w:rPr>
  </w:style>
  <w:style w:type="paragraph" w:styleId="10">
    <w:name w:val="Body Text Indent"/>
    <w:basedOn w:val="1"/>
    <w:link w:val="36"/>
    <w:unhideWhenUsed/>
    <w:qFormat/>
    <w:uiPriority w:val="0"/>
    <w:pPr>
      <w:spacing w:after="120"/>
      <w:ind w:left="420" w:leftChars="200"/>
    </w:pPr>
  </w:style>
  <w:style w:type="paragraph" w:styleId="11">
    <w:name w:val="Plain Text"/>
    <w:basedOn w:val="1"/>
    <w:link w:val="37"/>
    <w:qFormat/>
    <w:uiPriority w:val="0"/>
    <w:rPr>
      <w:rFonts w:ascii="宋体" w:hAnsi="Courier New"/>
      <w:szCs w:val="20"/>
    </w:rPr>
  </w:style>
  <w:style w:type="paragraph" w:styleId="12">
    <w:name w:val="Balloon Text"/>
    <w:basedOn w:val="1"/>
    <w:link w:val="38"/>
    <w:qFormat/>
    <w:uiPriority w:val="0"/>
    <w:rPr>
      <w:sz w:val="18"/>
      <w:szCs w:val="18"/>
    </w:rPr>
  </w:style>
  <w:style w:type="paragraph" w:styleId="13">
    <w:name w:val="footer"/>
    <w:basedOn w:val="1"/>
    <w:link w:val="118"/>
    <w:qFormat/>
    <w:uiPriority w:val="99"/>
    <w:pPr>
      <w:tabs>
        <w:tab w:val="center" w:pos="4153"/>
        <w:tab w:val="right" w:pos="8306"/>
      </w:tabs>
      <w:snapToGrid w:val="0"/>
      <w:jc w:val="left"/>
    </w:pPr>
    <w:rPr>
      <w:kern w:val="0"/>
      <w:sz w:val="18"/>
      <w:szCs w:val="20"/>
    </w:rPr>
  </w:style>
  <w:style w:type="paragraph" w:styleId="14">
    <w:name w:val="header"/>
    <w:basedOn w:val="1"/>
    <w:link w:val="39"/>
    <w:qFormat/>
    <w:uiPriority w:val="0"/>
    <w:pPr>
      <w:pBdr>
        <w:bottom w:val="single" w:color="auto" w:sz="6" w:space="1"/>
      </w:pBdr>
      <w:tabs>
        <w:tab w:val="center" w:pos="4153"/>
        <w:tab w:val="right" w:pos="8306"/>
      </w:tabs>
      <w:snapToGrid w:val="0"/>
      <w:jc w:val="center"/>
    </w:pPr>
    <w:rPr>
      <w:sz w:val="18"/>
      <w:szCs w:val="18"/>
    </w:rPr>
  </w:style>
  <w:style w:type="paragraph" w:styleId="15">
    <w:name w:val="Subtitle"/>
    <w:basedOn w:val="1"/>
    <w:next w:val="1"/>
    <w:link w:val="109"/>
    <w:qFormat/>
    <w:uiPriority w:val="0"/>
    <w:pPr>
      <w:widowControl/>
      <w:adjustRightInd w:val="0"/>
      <w:snapToGrid w:val="0"/>
      <w:jc w:val="center"/>
      <w:outlineLvl w:val="1"/>
    </w:pPr>
    <w:rPr>
      <w:bCs/>
      <w:kern w:val="28"/>
      <w:szCs w:val="32"/>
      <w:lang w:val="zh-CN"/>
    </w:rPr>
  </w:style>
  <w:style w:type="paragraph" w:styleId="16">
    <w:name w:val="footnote text"/>
    <w:basedOn w:val="1"/>
    <w:link w:val="96"/>
    <w:unhideWhenUsed/>
    <w:qFormat/>
    <w:uiPriority w:val="99"/>
    <w:pPr>
      <w:widowControl/>
      <w:snapToGrid w:val="0"/>
      <w:jc w:val="left"/>
    </w:pPr>
    <w:rPr>
      <w:sz w:val="18"/>
      <w:szCs w:val="18"/>
      <w:lang w:val="zh-CN"/>
    </w:rPr>
  </w:style>
  <w:style w:type="paragraph" w:styleId="17">
    <w:name w:val="Body Text Indent 3"/>
    <w:basedOn w:val="1"/>
    <w:link w:val="40"/>
    <w:qFormat/>
    <w:uiPriority w:val="0"/>
    <w:pPr>
      <w:spacing w:after="120"/>
      <w:ind w:left="420" w:leftChars="200"/>
    </w:pPr>
    <w:rPr>
      <w:sz w:val="16"/>
      <w:szCs w:val="16"/>
    </w:rPr>
  </w:style>
  <w:style w:type="paragraph" w:styleId="18">
    <w:name w:val="toc 2"/>
    <w:basedOn w:val="1"/>
    <w:next w:val="1"/>
    <w:semiHidden/>
    <w:qFormat/>
    <w:uiPriority w:val="0"/>
    <w:pPr>
      <w:ind w:left="420" w:leftChars="200"/>
    </w:pPr>
  </w:style>
  <w:style w:type="paragraph" w:styleId="19">
    <w:name w:val="Body Text 2"/>
    <w:basedOn w:val="1"/>
    <w:link w:val="41"/>
    <w:qFormat/>
    <w:uiPriority w:val="0"/>
    <w:pPr>
      <w:spacing w:after="120" w:line="480" w:lineRule="auto"/>
    </w:pPr>
  </w:style>
  <w:style w:type="paragraph" w:styleId="20">
    <w:name w:val="Normal (Web)"/>
    <w:basedOn w:val="1"/>
    <w:link w:val="42"/>
    <w:qFormat/>
    <w:uiPriority w:val="0"/>
    <w:pPr>
      <w:widowControl/>
      <w:spacing w:before="100" w:beforeAutospacing="1" w:after="100" w:afterAutospacing="1"/>
      <w:jc w:val="left"/>
    </w:pPr>
    <w:rPr>
      <w:rFonts w:ascii="宋体" w:hAnsi="宋体"/>
      <w:kern w:val="0"/>
      <w:sz w:val="24"/>
      <w:szCs w:val="20"/>
    </w:rPr>
  </w:style>
  <w:style w:type="paragraph" w:styleId="21">
    <w:name w:val="annotation subject"/>
    <w:basedOn w:val="6"/>
    <w:next w:val="6"/>
    <w:link w:val="43"/>
    <w:unhideWhenUsed/>
    <w:qFormat/>
    <w:uiPriority w:val="0"/>
    <w:rPr>
      <w:b/>
      <w:bCs/>
    </w:rPr>
  </w:style>
  <w:style w:type="paragraph" w:styleId="22">
    <w:name w:val="Body Text First Indent 2"/>
    <w:basedOn w:val="10"/>
    <w:next w:val="23"/>
    <w:qFormat/>
    <w:uiPriority w:val="0"/>
    <w:pPr>
      <w:ind w:firstLine="420"/>
    </w:pPr>
  </w:style>
  <w:style w:type="paragraph" w:customStyle="1" w:styleId="23">
    <w:name w:val="正文1"/>
    <w:basedOn w:val="1"/>
    <w:qFormat/>
    <w:uiPriority w:val="0"/>
    <w:pPr>
      <w:adjustRightInd w:val="0"/>
      <w:snapToGrid w:val="0"/>
      <w:spacing w:line="500" w:lineRule="atLeast"/>
      <w:ind w:firstLine="567"/>
    </w:pPr>
    <w:rPr>
      <w:sz w:val="28"/>
      <w:szCs w:val="20"/>
    </w:rPr>
  </w:style>
  <w:style w:type="table" w:styleId="25">
    <w:name w:val="Table Grid"/>
    <w:basedOn w:val="24"/>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Strong"/>
    <w:qFormat/>
    <w:uiPriority w:val="0"/>
    <w:rPr>
      <w:rFonts w:eastAsia="黑体"/>
      <w:b/>
      <w:bCs/>
      <w:sz w:val="24"/>
    </w:rPr>
  </w:style>
  <w:style w:type="character" w:styleId="28">
    <w:name w:val="page number"/>
    <w:basedOn w:val="26"/>
    <w:qFormat/>
    <w:uiPriority w:val="0"/>
  </w:style>
  <w:style w:type="character" w:styleId="29">
    <w:name w:val="Emphasis"/>
    <w:basedOn w:val="26"/>
    <w:qFormat/>
    <w:uiPriority w:val="20"/>
    <w:rPr>
      <w:i/>
      <w:iCs/>
    </w:rPr>
  </w:style>
  <w:style w:type="character" w:styleId="30">
    <w:name w:val="annotation reference"/>
    <w:basedOn w:val="26"/>
    <w:unhideWhenUsed/>
    <w:qFormat/>
    <w:uiPriority w:val="99"/>
    <w:rPr>
      <w:sz w:val="21"/>
      <w:szCs w:val="21"/>
    </w:rPr>
  </w:style>
  <w:style w:type="paragraph" w:customStyle="1" w:styleId="31">
    <w:name w:val="Default"/>
    <w:basedOn w:val="32"/>
    <w:next w:val="4"/>
    <w:link w:val="106"/>
    <w:qFormat/>
    <w:uiPriority w:val="0"/>
    <w:pPr>
      <w:autoSpaceDE w:val="0"/>
      <w:autoSpaceDN w:val="0"/>
    </w:pPr>
    <w:rPr>
      <w:rFonts w:hAnsi="Times New Roman" w:cs="宋体"/>
      <w:color w:val="000000"/>
      <w:sz w:val="24"/>
      <w:szCs w:val="24"/>
    </w:rPr>
  </w:style>
  <w:style w:type="paragraph" w:customStyle="1" w:styleId="32">
    <w:name w:val="纯文本1"/>
    <w:basedOn w:val="1"/>
    <w:qFormat/>
    <w:uiPriority w:val="0"/>
    <w:pPr>
      <w:adjustRightInd w:val="0"/>
    </w:pPr>
    <w:rPr>
      <w:rFonts w:ascii="宋体" w:hAnsi="Courier New"/>
      <w:szCs w:val="20"/>
    </w:rPr>
  </w:style>
  <w:style w:type="character" w:customStyle="1" w:styleId="33">
    <w:name w:val="正文文本 字符"/>
    <w:basedOn w:val="26"/>
    <w:link w:val="8"/>
    <w:qFormat/>
    <w:uiPriority w:val="0"/>
    <w:rPr>
      <w:sz w:val="18"/>
    </w:rPr>
  </w:style>
  <w:style w:type="character" w:customStyle="1" w:styleId="34">
    <w:name w:val="正文缩进 字符"/>
    <w:link w:val="5"/>
    <w:qFormat/>
    <w:uiPriority w:val="0"/>
    <w:rPr>
      <w:kern w:val="2"/>
      <w:sz w:val="21"/>
    </w:rPr>
  </w:style>
  <w:style w:type="character" w:customStyle="1" w:styleId="35">
    <w:name w:val="批注文字 字符"/>
    <w:basedOn w:val="26"/>
    <w:link w:val="6"/>
    <w:qFormat/>
    <w:uiPriority w:val="0"/>
    <w:rPr>
      <w:kern w:val="2"/>
      <w:sz w:val="21"/>
      <w:szCs w:val="24"/>
    </w:rPr>
  </w:style>
  <w:style w:type="character" w:customStyle="1" w:styleId="36">
    <w:name w:val="正文文本缩进 字符"/>
    <w:basedOn w:val="26"/>
    <w:link w:val="10"/>
    <w:semiHidden/>
    <w:qFormat/>
    <w:uiPriority w:val="0"/>
    <w:rPr>
      <w:kern w:val="2"/>
      <w:sz w:val="21"/>
      <w:szCs w:val="24"/>
    </w:rPr>
  </w:style>
  <w:style w:type="character" w:customStyle="1" w:styleId="37">
    <w:name w:val="纯文本 字符"/>
    <w:basedOn w:val="26"/>
    <w:link w:val="11"/>
    <w:qFormat/>
    <w:uiPriority w:val="0"/>
    <w:rPr>
      <w:rFonts w:ascii="宋体" w:hAnsi="Courier New"/>
      <w:kern w:val="2"/>
      <w:sz w:val="21"/>
    </w:rPr>
  </w:style>
  <w:style w:type="character" w:customStyle="1" w:styleId="38">
    <w:name w:val="批注框文本 字符"/>
    <w:basedOn w:val="26"/>
    <w:link w:val="12"/>
    <w:qFormat/>
    <w:uiPriority w:val="0"/>
    <w:rPr>
      <w:kern w:val="2"/>
      <w:sz w:val="18"/>
      <w:szCs w:val="18"/>
    </w:rPr>
  </w:style>
  <w:style w:type="character" w:customStyle="1" w:styleId="39">
    <w:name w:val="页眉 字符"/>
    <w:basedOn w:val="26"/>
    <w:link w:val="14"/>
    <w:qFormat/>
    <w:uiPriority w:val="0"/>
    <w:rPr>
      <w:kern w:val="2"/>
      <w:sz w:val="18"/>
      <w:szCs w:val="18"/>
    </w:rPr>
  </w:style>
  <w:style w:type="character" w:customStyle="1" w:styleId="40">
    <w:name w:val="正文文本缩进 3 字符"/>
    <w:basedOn w:val="26"/>
    <w:link w:val="17"/>
    <w:qFormat/>
    <w:locked/>
    <w:uiPriority w:val="0"/>
    <w:rPr>
      <w:kern w:val="2"/>
      <w:sz w:val="16"/>
      <w:szCs w:val="16"/>
    </w:rPr>
  </w:style>
  <w:style w:type="character" w:customStyle="1" w:styleId="41">
    <w:name w:val="正文文本 2 字符"/>
    <w:basedOn w:val="26"/>
    <w:link w:val="19"/>
    <w:qFormat/>
    <w:uiPriority w:val="0"/>
    <w:rPr>
      <w:kern w:val="2"/>
      <w:sz w:val="21"/>
      <w:szCs w:val="24"/>
    </w:rPr>
  </w:style>
  <w:style w:type="character" w:customStyle="1" w:styleId="42">
    <w:name w:val="普通(网站) 字符"/>
    <w:link w:val="20"/>
    <w:qFormat/>
    <w:locked/>
    <w:uiPriority w:val="0"/>
    <w:rPr>
      <w:rFonts w:ascii="宋体" w:hAnsi="宋体"/>
      <w:sz w:val="24"/>
    </w:rPr>
  </w:style>
  <w:style w:type="character" w:customStyle="1" w:styleId="43">
    <w:name w:val="批注主题 字符"/>
    <w:basedOn w:val="35"/>
    <w:link w:val="21"/>
    <w:semiHidden/>
    <w:qFormat/>
    <w:uiPriority w:val="0"/>
    <w:rPr>
      <w:b/>
      <w:bCs/>
      <w:kern w:val="2"/>
      <w:sz w:val="21"/>
      <w:szCs w:val="24"/>
    </w:rPr>
  </w:style>
  <w:style w:type="paragraph" w:customStyle="1" w:styleId="44">
    <w:name w:val="表格"/>
    <w:basedOn w:val="1"/>
    <w:next w:val="1"/>
    <w:qFormat/>
    <w:uiPriority w:val="0"/>
    <w:pPr>
      <w:adjustRightInd w:val="0"/>
      <w:snapToGrid w:val="0"/>
      <w:spacing w:beforeLines="10" w:afterLines="10" w:line="259" w:lineRule="auto"/>
      <w:jc w:val="center"/>
    </w:pPr>
    <w:rPr>
      <w:rFonts w:ascii="宋体"/>
      <w:kern w:val="0"/>
      <w:szCs w:val="20"/>
    </w:rPr>
  </w:style>
  <w:style w:type="character" w:customStyle="1" w:styleId="45">
    <w:name w:val="我的正文 Char Char"/>
    <w:link w:val="46"/>
    <w:qFormat/>
    <w:uiPriority w:val="0"/>
    <w:rPr>
      <w:rFonts w:cs="宋体"/>
      <w:kern w:val="2"/>
      <w:sz w:val="24"/>
    </w:rPr>
  </w:style>
  <w:style w:type="paragraph" w:customStyle="1" w:styleId="46">
    <w:name w:val="我的正文"/>
    <w:basedOn w:val="1"/>
    <w:link w:val="45"/>
    <w:qFormat/>
    <w:uiPriority w:val="0"/>
    <w:pPr>
      <w:wordWrap w:val="0"/>
      <w:topLinePunct/>
      <w:spacing w:line="360" w:lineRule="auto"/>
      <w:ind w:firstLine="420" w:firstLineChars="200"/>
      <w:jc w:val="left"/>
    </w:pPr>
    <w:rPr>
      <w:sz w:val="24"/>
      <w:szCs w:val="20"/>
    </w:rPr>
  </w:style>
  <w:style w:type="paragraph" w:customStyle="1" w:styleId="47">
    <w:name w:val="小表格"/>
    <w:basedOn w:val="1"/>
    <w:qFormat/>
    <w:uiPriority w:val="0"/>
    <w:pPr>
      <w:spacing w:line="320" w:lineRule="exact"/>
      <w:jc w:val="center"/>
    </w:pPr>
    <w:rPr>
      <w:szCs w:val="20"/>
    </w:rPr>
  </w:style>
  <w:style w:type="paragraph" w:customStyle="1" w:styleId="48">
    <w:name w:val="表格1"/>
    <w:basedOn w:val="1"/>
    <w:link w:val="49"/>
    <w:qFormat/>
    <w:uiPriority w:val="0"/>
    <w:pPr>
      <w:ind w:firstLine="360"/>
    </w:pPr>
    <w:rPr>
      <w:sz w:val="18"/>
    </w:rPr>
  </w:style>
  <w:style w:type="character" w:customStyle="1" w:styleId="49">
    <w:name w:val="表格1 Char"/>
    <w:link w:val="48"/>
    <w:qFormat/>
    <w:locked/>
    <w:uiPriority w:val="0"/>
    <w:rPr>
      <w:kern w:val="2"/>
      <w:sz w:val="18"/>
      <w:szCs w:val="21"/>
    </w:rPr>
  </w:style>
  <w:style w:type="character" w:customStyle="1" w:styleId="50">
    <w:name w:val="正文111111111 Char"/>
    <w:link w:val="51"/>
    <w:qFormat/>
    <w:locked/>
    <w:uiPriority w:val="0"/>
    <w:rPr>
      <w:kern w:val="2"/>
      <w:sz w:val="24"/>
      <w:szCs w:val="21"/>
    </w:rPr>
  </w:style>
  <w:style w:type="paragraph" w:customStyle="1" w:styleId="51">
    <w:name w:val="正文111111111"/>
    <w:basedOn w:val="1"/>
    <w:link w:val="50"/>
    <w:qFormat/>
    <w:uiPriority w:val="0"/>
    <w:pPr>
      <w:spacing w:line="360" w:lineRule="auto"/>
      <w:ind w:firstLine="200" w:firstLineChars="200"/>
    </w:pPr>
    <w:rPr>
      <w:sz w:val="24"/>
    </w:rPr>
  </w:style>
  <w:style w:type="paragraph" w:customStyle="1" w:styleId="52">
    <w:name w:val="4小表"/>
    <w:basedOn w:val="1"/>
    <w:link w:val="53"/>
    <w:qFormat/>
    <w:uiPriority w:val="0"/>
    <w:pPr>
      <w:adjustRightInd w:val="0"/>
      <w:snapToGrid w:val="0"/>
      <w:jc w:val="center"/>
    </w:pPr>
    <w:rPr>
      <w:kern w:val="0"/>
    </w:rPr>
  </w:style>
  <w:style w:type="character" w:customStyle="1" w:styleId="53">
    <w:name w:val="4小表 Char"/>
    <w:link w:val="52"/>
    <w:qFormat/>
    <w:uiPriority w:val="0"/>
    <w:rPr>
      <w:sz w:val="21"/>
      <w:szCs w:val="21"/>
    </w:rPr>
  </w:style>
  <w:style w:type="paragraph" w:customStyle="1" w:styleId="54">
    <w:name w:val="表格内容"/>
    <w:basedOn w:val="1"/>
    <w:qFormat/>
    <w:uiPriority w:val="0"/>
    <w:pPr>
      <w:adjustRightInd w:val="0"/>
      <w:snapToGrid w:val="0"/>
      <w:jc w:val="center"/>
    </w:pPr>
    <w:rPr>
      <w:color w:val="0000FF"/>
    </w:rPr>
  </w:style>
  <w:style w:type="paragraph" w:customStyle="1" w:styleId="55">
    <w:name w:val="0正文缩"/>
    <w:basedOn w:val="1"/>
    <w:semiHidden/>
    <w:qFormat/>
    <w:uiPriority w:val="0"/>
    <w:pPr>
      <w:adjustRightInd w:val="0"/>
      <w:snapToGrid w:val="0"/>
      <w:spacing w:line="460" w:lineRule="exact"/>
      <w:ind w:firstLine="200" w:firstLineChars="200"/>
    </w:pPr>
    <w:rPr>
      <w:kern w:val="0"/>
      <w:sz w:val="24"/>
    </w:rPr>
  </w:style>
  <w:style w:type="paragraph" w:customStyle="1" w:styleId="56">
    <w:name w:val="标准公文"/>
    <w:qFormat/>
    <w:uiPriority w:val="0"/>
    <w:pPr>
      <w:widowControl w:val="0"/>
      <w:spacing w:line="460" w:lineRule="exact"/>
    </w:pPr>
    <w:rPr>
      <w:rFonts w:ascii="Times New Roman" w:hAnsi="Times New Roman" w:eastAsia="宋体" w:cs="Times New Roman"/>
      <w:kern w:val="2"/>
      <w:sz w:val="24"/>
      <w:szCs w:val="24"/>
      <w:lang w:val="en-US" w:eastAsia="zh-CN" w:bidi="ar-SA"/>
    </w:rPr>
  </w:style>
  <w:style w:type="paragraph" w:customStyle="1" w:styleId="57">
    <w:name w:val="报告表格"/>
    <w:link w:val="58"/>
    <w:qFormat/>
    <w:uiPriority w:val="0"/>
    <w:pPr>
      <w:autoSpaceDE w:val="0"/>
      <w:autoSpaceDN w:val="0"/>
      <w:adjustRightInd w:val="0"/>
      <w:jc w:val="center"/>
    </w:pPr>
    <w:rPr>
      <w:rFonts w:ascii="Times New Roman" w:hAnsi="Times New Roman" w:eastAsia="宋体" w:cs="Times New Roman"/>
      <w:sz w:val="21"/>
      <w:szCs w:val="21"/>
      <w:lang w:val="en-US" w:eastAsia="zh-CN" w:bidi="ar-SA"/>
    </w:rPr>
  </w:style>
  <w:style w:type="character" w:customStyle="1" w:styleId="58">
    <w:name w:val="报告表格 Char"/>
    <w:link w:val="57"/>
    <w:qFormat/>
    <w:uiPriority w:val="0"/>
    <w:rPr>
      <w:sz w:val="21"/>
      <w:szCs w:val="21"/>
      <w:lang w:bidi="ar-SA"/>
    </w:rPr>
  </w:style>
  <w:style w:type="character" w:customStyle="1" w:styleId="59">
    <w:name w:val="标题1"/>
    <w:basedOn w:val="26"/>
    <w:qFormat/>
    <w:uiPriority w:val="0"/>
  </w:style>
  <w:style w:type="character" w:customStyle="1" w:styleId="60">
    <w:name w:val="正文文本缩进 3 Char"/>
    <w:basedOn w:val="26"/>
    <w:qFormat/>
    <w:uiPriority w:val="0"/>
    <w:rPr>
      <w:kern w:val="2"/>
      <w:sz w:val="16"/>
      <w:szCs w:val="16"/>
    </w:rPr>
  </w:style>
  <w:style w:type="paragraph" w:styleId="61">
    <w:name w:val="List Paragraph"/>
    <w:basedOn w:val="1"/>
    <w:qFormat/>
    <w:uiPriority w:val="99"/>
    <w:pPr>
      <w:ind w:firstLine="420" w:firstLineChars="200"/>
    </w:pPr>
  </w:style>
  <w:style w:type="paragraph" w:customStyle="1" w:styleId="62">
    <w:name w:val="xl31"/>
    <w:basedOn w:val="1"/>
    <w:qFormat/>
    <w:uiPriority w:val="0"/>
    <w:pPr>
      <w:widowControl/>
      <w:spacing w:before="100" w:beforeAutospacing="1" w:after="100" w:afterAutospacing="1"/>
      <w:jc w:val="center"/>
    </w:pPr>
    <w:rPr>
      <w:kern w:val="0"/>
      <w:sz w:val="24"/>
      <w:szCs w:val="20"/>
    </w:rPr>
  </w:style>
  <w:style w:type="paragraph" w:customStyle="1" w:styleId="63">
    <w:name w:val="表格文字"/>
    <w:basedOn w:val="1"/>
    <w:next w:val="1"/>
    <w:link w:val="92"/>
    <w:qFormat/>
    <w:uiPriority w:val="0"/>
    <w:pPr>
      <w:adjustRightInd w:val="0"/>
      <w:snapToGrid w:val="0"/>
      <w:jc w:val="center"/>
    </w:pPr>
    <w:rPr>
      <w:bCs/>
      <w:szCs w:val="20"/>
    </w:rPr>
  </w:style>
  <w:style w:type="character" w:customStyle="1" w:styleId="64">
    <w:name w:val="纯文本 Char"/>
    <w:basedOn w:val="26"/>
    <w:qFormat/>
    <w:uiPriority w:val="0"/>
    <w:rPr>
      <w:rFonts w:ascii="宋体" w:hAnsi="Courier New"/>
      <w:kern w:val="2"/>
      <w:sz w:val="21"/>
    </w:rPr>
  </w:style>
  <w:style w:type="character" w:customStyle="1" w:styleId="65">
    <w:name w:val="普通(网站) Char"/>
    <w:qFormat/>
    <w:locked/>
    <w:uiPriority w:val="0"/>
    <w:rPr>
      <w:rFonts w:ascii="宋体" w:hAnsi="宋体" w:eastAsia="宋体"/>
      <w:sz w:val="24"/>
    </w:rPr>
  </w:style>
  <w:style w:type="character" w:customStyle="1" w:styleId="66">
    <w:name w:val="No Spacing Char"/>
    <w:link w:val="67"/>
    <w:qFormat/>
    <w:locked/>
    <w:uiPriority w:val="0"/>
    <w:rPr>
      <w:rFonts w:ascii="宋体" w:hAnsi="宋体" w:eastAsia="Times New Roman"/>
      <w:szCs w:val="24"/>
    </w:rPr>
  </w:style>
  <w:style w:type="paragraph" w:customStyle="1" w:styleId="67">
    <w:name w:val="无间隔1"/>
    <w:link w:val="66"/>
    <w:qFormat/>
    <w:uiPriority w:val="0"/>
    <w:pPr>
      <w:widowControl w:val="0"/>
      <w:jc w:val="both"/>
    </w:pPr>
    <w:rPr>
      <w:rFonts w:ascii="宋体" w:hAnsi="宋体" w:eastAsia="Times New Roman" w:cs="Times New Roman"/>
      <w:szCs w:val="24"/>
      <w:lang w:val="en-US" w:eastAsia="zh-CN" w:bidi="ar-SA"/>
    </w:rPr>
  </w:style>
  <w:style w:type="character" w:customStyle="1" w:styleId="68">
    <w:name w:val="批注文字 Char"/>
    <w:semiHidden/>
    <w:qFormat/>
    <w:uiPriority w:val="0"/>
    <w:rPr>
      <w:kern w:val="2"/>
      <w:sz w:val="21"/>
    </w:rPr>
  </w:style>
  <w:style w:type="paragraph" w:customStyle="1" w:styleId="69">
    <w:name w:val="表格填充1"/>
    <w:basedOn w:val="1"/>
    <w:qFormat/>
    <w:uiPriority w:val="0"/>
    <w:pPr>
      <w:adjustRightInd w:val="0"/>
      <w:snapToGrid w:val="0"/>
      <w:spacing w:line="400" w:lineRule="exact"/>
      <w:jc w:val="center"/>
    </w:pPr>
    <w:rPr>
      <w:kern w:val="0"/>
      <w:szCs w:val="18"/>
    </w:rPr>
  </w:style>
  <w:style w:type="paragraph" w:customStyle="1" w:styleId="70">
    <w:name w:val="表内文字"/>
    <w:basedOn w:val="1"/>
    <w:qFormat/>
    <w:uiPriority w:val="0"/>
    <w:pPr>
      <w:topLinePunct/>
      <w:jc w:val="center"/>
    </w:pPr>
    <w:rPr>
      <w:rFonts w:ascii="宋体" w:hAnsi="宋体"/>
      <w:bCs/>
      <w:sz w:val="24"/>
      <w:szCs w:val="22"/>
    </w:rPr>
  </w:style>
  <w:style w:type="paragraph" w:customStyle="1" w:styleId="71">
    <w:name w:val="L正文"/>
    <w:basedOn w:val="1"/>
    <w:qFormat/>
    <w:uiPriority w:val="0"/>
    <w:pPr>
      <w:adjustRightInd w:val="0"/>
      <w:snapToGrid w:val="0"/>
      <w:spacing w:line="460" w:lineRule="exact"/>
      <w:ind w:firstLine="200" w:firstLineChars="200"/>
      <w:jc w:val="left"/>
    </w:pPr>
    <w:rPr>
      <w:sz w:val="24"/>
    </w:rPr>
  </w:style>
  <w:style w:type="character" w:customStyle="1" w:styleId="72">
    <w:name w:val="新格式表 Char Char"/>
    <w:link w:val="73"/>
    <w:qFormat/>
    <w:locked/>
    <w:uiPriority w:val="0"/>
    <w:rPr>
      <w:color w:val="000000"/>
      <w:kern w:val="2"/>
      <w:sz w:val="21"/>
      <w:szCs w:val="21"/>
    </w:rPr>
  </w:style>
  <w:style w:type="paragraph" w:customStyle="1" w:styleId="73">
    <w:name w:val="新格式表"/>
    <w:basedOn w:val="1"/>
    <w:link w:val="72"/>
    <w:qFormat/>
    <w:uiPriority w:val="0"/>
    <w:pPr>
      <w:adjustRightInd w:val="0"/>
      <w:snapToGrid w:val="0"/>
      <w:spacing w:line="240" w:lineRule="exact"/>
      <w:jc w:val="center"/>
    </w:pPr>
    <w:rPr>
      <w:color w:val="000000"/>
    </w:rPr>
  </w:style>
  <w:style w:type="character" w:customStyle="1" w:styleId="74">
    <w:name w:val="表格1 Char Char"/>
    <w:qFormat/>
    <w:locked/>
    <w:uiPriority w:val="0"/>
    <w:rPr>
      <w:bCs/>
      <w:kern w:val="2"/>
      <w:sz w:val="21"/>
      <w:szCs w:val="21"/>
    </w:rPr>
  </w:style>
  <w:style w:type="paragraph" w:customStyle="1" w:styleId="75">
    <w:name w:val="邱-表格内"/>
    <w:qFormat/>
    <w:uiPriority w:val="0"/>
    <w:pPr>
      <w:widowControl w:val="0"/>
      <w:jc w:val="center"/>
    </w:pPr>
    <w:rPr>
      <w:rFonts w:ascii="Times New Roman" w:hAnsi="Times New Roman" w:eastAsia="宋体" w:cs="Times New Roman"/>
      <w:kern w:val="2"/>
      <w:sz w:val="21"/>
      <w:szCs w:val="24"/>
      <w:lang w:val="en-US" w:eastAsia="zh-CN" w:bidi="ar-SA"/>
    </w:rPr>
  </w:style>
  <w:style w:type="character" w:customStyle="1" w:styleId="76">
    <w:name w:val="纯文本 字符1"/>
    <w:basedOn w:val="26"/>
    <w:qFormat/>
    <w:uiPriority w:val="0"/>
    <w:rPr>
      <w:rFonts w:ascii="宋体" w:hAnsi="Courier New"/>
      <w:kern w:val="2"/>
      <w:sz w:val="21"/>
    </w:rPr>
  </w:style>
  <w:style w:type="paragraph" w:customStyle="1" w:styleId="77">
    <w:name w:val="1正文"/>
    <w:basedOn w:val="1"/>
    <w:semiHidden/>
    <w:qFormat/>
    <w:uiPriority w:val="0"/>
    <w:pPr>
      <w:spacing w:line="480" w:lineRule="exact"/>
      <w:ind w:firstLine="200" w:firstLineChars="200"/>
    </w:pPr>
    <w:rPr>
      <w:bCs/>
      <w:sz w:val="24"/>
    </w:rPr>
  </w:style>
  <w:style w:type="paragraph" w:customStyle="1" w:styleId="78">
    <w:name w:val="L表格"/>
    <w:basedOn w:val="1"/>
    <w:link w:val="89"/>
    <w:qFormat/>
    <w:uiPriority w:val="0"/>
    <w:pPr>
      <w:adjustRightInd w:val="0"/>
      <w:snapToGrid w:val="0"/>
      <w:spacing w:line="320" w:lineRule="exact"/>
      <w:jc w:val="center"/>
    </w:pPr>
    <w:rPr>
      <w:rFonts w:eastAsia="Times New Roman"/>
    </w:rPr>
  </w:style>
  <w:style w:type="character" w:customStyle="1" w:styleId="79">
    <w:name w:val="font51"/>
    <w:basedOn w:val="26"/>
    <w:qFormat/>
    <w:uiPriority w:val="0"/>
    <w:rPr>
      <w:rFonts w:hint="eastAsia" w:ascii="宋体" w:hAnsi="宋体" w:eastAsia="宋体" w:cs="宋体"/>
      <w:color w:val="000000"/>
      <w:sz w:val="21"/>
      <w:szCs w:val="21"/>
      <w:u w:val="none"/>
    </w:rPr>
  </w:style>
  <w:style w:type="character" w:customStyle="1" w:styleId="80">
    <w:name w:val="font61"/>
    <w:basedOn w:val="26"/>
    <w:qFormat/>
    <w:uiPriority w:val="0"/>
    <w:rPr>
      <w:rFonts w:hint="default" w:ascii="Times New Roman" w:hAnsi="Times New Roman" w:cs="Times New Roman"/>
      <w:color w:val="000000"/>
      <w:sz w:val="21"/>
      <w:szCs w:val="21"/>
      <w:u w:val="none"/>
    </w:rPr>
  </w:style>
  <w:style w:type="paragraph" w:customStyle="1" w:styleId="81">
    <w:name w:val="表内字1"/>
    <w:basedOn w:val="1"/>
    <w:link w:val="100"/>
    <w:qFormat/>
    <w:uiPriority w:val="0"/>
    <w:pPr>
      <w:adjustRightInd w:val="0"/>
      <w:snapToGrid w:val="0"/>
      <w:spacing w:line="300" w:lineRule="exact"/>
      <w:jc w:val="center"/>
    </w:pPr>
    <w:rPr>
      <w:color w:val="000000"/>
      <w:sz w:val="22"/>
    </w:rPr>
  </w:style>
  <w:style w:type="paragraph" w:customStyle="1" w:styleId="82">
    <w:name w:val="A样式1"/>
    <w:basedOn w:val="1"/>
    <w:link w:val="84"/>
    <w:qFormat/>
    <w:uiPriority w:val="0"/>
    <w:pPr>
      <w:autoSpaceDE w:val="0"/>
      <w:autoSpaceDN w:val="0"/>
      <w:spacing w:line="360" w:lineRule="auto"/>
      <w:ind w:firstLine="480" w:firstLineChars="200"/>
      <w:contextualSpacing/>
    </w:pPr>
    <w:rPr>
      <w:sz w:val="24"/>
    </w:rPr>
  </w:style>
  <w:style w:type="paragraph" w:customStyle="1" w:styleId="83">
    <w:name w:val="A样式2表头"/>
    <w:basedOn w:val="82"/>
    <w:next w:val="82"/>
    <w:link w:val="86"/>
    <w:qFormat/>
    <w:uiPriority w:val="0"/>
    <w:pPr>
      <w:ind w:firstLine="0" w:firstLineChars="0"/>
      <w:jc w:val="center"/>
    </w:pPr>
    <w:rPr>
      <w:b/>
      <w:bCs/>
      <w:sz w:val="21"/>
    </w:rPr>
  </w:style>
  <w:style w:type="character" w:customStyle="1" w:styleId="84">
    <w:name w:val="A样式1 字符"/>
    <w:basedOn w:val="26"/>
    <w:link w:val="82"/>
    <w:qFormat/>
    <w:uiPriority w:val="0"/>
    <w:rPr>
      <w:kern w:val="2"/>
      <w:sz w:val="24"/>
      <w:szCs w:val="24"/>
    </w:rPr>
  </w:style>
  <w:style w:type="paragraph" w:customStyle="1" w:styleId="85">
    <w:name w:val="A样式3表注"/>
    <w:basedOn w:val="82"/>
    <w:link w:val="87"/>
    <w:qFormat/>
    <w:uiPriority w:val="0"/>
    <w:pPr>
      <w:spacing w:line="240" w:lineRule="auto"/>
      <w:ind w:firstLine="200"/>
    </w:pPr>
    <w:rPr>
      <w:sz w:val="21"/>
    </w:rPr>
  </w:style>
  <w:style w:type="character" w:customStyle="1" w:styleId="86">
    <w:name w:val="A样式2表头 字符"/>
    <w:basedOn w:val="84"/>
    <w:link w:val="83"/>
    <w:qFormat/>
    <w:uiPriority w:val="0"/>
    <w:rPr>
      <w:b/>
      <w:bCs/>
      <w:kern w:val="2"/>
      <w:sz w:val="21"/>
      <w:szCs w:val="21"/>
    </w:rPr>
  </w:style>
  <w:style w:type="character" w:customStyle="1" w:styleId="87">
    <w:name w:val="A样式3表注 字符"/>
    <w:basedOn w:val="37"/>
    <w:link w:val="85"/>
    <w:qFormat/>
    <w:uiPriority w:val="0"/>
    <w:rPr>
      <w:rFonts w:ascii="宋体" w:hAnsi="Courier New"/>
      <w:kern w:val="2"/>
      <w:sz w:val="21"/>
      <w:szCs w:val="21"/>
    </w:rPr>
  </w:style>
  <w:style w:type="paragraph" w:customStyle="1" w:styleId="88">
    <w:name w:val="Body Text 22"/>
    <w:basedOn w:val="1"/>
    <w:qFormat/>
    <w:uiPriority w:val="0"/>
    <w:pPr>
      <w:widowControl/>
      <w:adjustRightInd w:val="0"/>
      <w:spacing w:line="440" w:lineRule="atLeast"/>
      <w:ind w:firstLine="480"/>
      <w:jc w:val="left"/>
      <w:textAlignment w:val="baseline"/>
    </w:pPr>
    <w:rPr>
      <w:rFonts w:ascii="宋体" w:hAnsi="宋体" w:eastAsia="仿宋_GB2312" w:cs="Dutch801 Rm BT"/>
      <w:kern w:val="0"/>
      <w:sz w:val="24"/>
      <w:szCs w:val="20"/>
    </w:rPr>
  </w:style>
  <w:style w:type="character" w:customStyle="1" w:styleId="89">
    <w:name w:val="L表格 Char"/>
    <w:link w:val="78"/>
    <w:qFormat/>
    <w:locked/>
    <w:uiPriority w:val="0"/>
    <w:rPr>
      <w:rFonts w:eastAsia="Times New Roman"/>
      <w:kern w:val="2"/>
      <w:sz w:val="21"/>
      <w:szCs w:val="24"/>
    </w:rPr>
  </w:style>
  <w:style w:type="character" w:customStyle="1" w:styleId="90">
    <w:name w:val="A正文 Char"/>
    <w:link w:val="91"/>
    <w:qFormat/>
    <w:locked/>
    <w:uiPriority w:val="0"/>
    <w:rPr>
      <w:bCs/>
      <w:kern w:val="2"/>
      <w:sz w:val="24"/>
      <w:szCs w:val="24"/>
    </w:rPr>
  </w:style>
  <w:style w:type="paragraph" w:customStyle="1" w:styleId="91">
    <w:name w:val="A正文"/>
    <w:basedOn w:val="1"/>
    <w:link w:val="90"/>
    <w:qFormat/>
    <w:uiPriority w:val="0"/>
    <w:pPr>
      <w:widowControl/>
      <w:spacing w:line="360" w:lineRule="auto"/>
      <w:jc w:val="left"/>
    </w:pPr>
    <w:rPr>
      <w:bCs/>
      <w:sz w:val="24"/>
    </w:rPr>
  </w:style>
  <w:style w:type="character" w:customStyle="1" w:styleId="92">
    <w:name w:val="表格文字 Char"/>
    <w:link w:val="63"/>
    <w:qFormat/>
    <w:locked/>
    <w:uiPriority w:val="0"/>
    <w:rPr>
      <w:bCs/>
      <w:kern w:val="2"/>
      <w:sz w:val="21"/>
    </w:rPr>
  </w:style>
  <w:style w:type="paragraph" w:customStyle="1" w:styleId="93">
    <w:name w:val="1小表"/>
    <w:basedOn w:val="1"/>
    <w:semiHidden/>
    <w:qFormat/>
    <w:uiPriority w:val="0"/>
    <w:pPr>
      <w:adjustRightInd w:val="0"/>
      <w:snapToGrid w:val="0"/>
      <w:jc w:val="center"/>
    </w:pPr>
    <w:rPr>
      <w:kern w:val="0"/>
      <w:sz w:val="20"/>
    </w:rPr>
  </w:style>
  <w:style w:type="paragraph" w:customStyle="1" w:styleId="94">
    <w:name w:val="CCGL正文"/>
    <w:basedOn w:val="1"/>
    <w:qFormat/>
    <w:uiPriority w:val="0"/>
    <w:pPr>
      <w:widowControl/>
      <w:spacing w:line="460" w:lineRule="exact"/>
      <w:ind w:firstLine="420" w:firstLineChars="200"/>
      <w:jc w:val="left"/>
    </w:pPr>
    <w:rPr>
      <w:rFonts w:ascii="宋体" w:hAnsi="宋体" w:cs="宋体"/>
      <w:kern w:val="0"/>
      <w:sz w:val="26"/>
      <w:szCs w:val="22"/>
    </w:rPr>
  </w:style>
  <w:style w:type="character" w:customStyle="1" w:styleId="95">
    <w:name w:val="脚注文本 字符"/>
    <w:basedOn w:val="26"/>
    <w:semiHidden/>
    <w:qFormat/>
    <w:uiPriority w:val="0"/>
    <w:rPr>
      <w:kern w:val="2"/>
      <w:sz w:val="18"/>
      <w:szCs w:val="18"/>
    </w:rPr>
  </w:style>
  <w:style w:type="character" w:customStyle="1" w:styleId="96">
    <w:name w:val="脚注文本 字符1"/>
    <w:link w:val="16"/>
    <w:qFormat/>
    <w:uiPriority w:val="99"/>
    <w:rPr>
      <w:kern w:val="2"/>
      <w:sz w:val="18"/>
      <w:szCs w:val="18"/>
      <w:lang w:val="zh-CN" w:eastAsia="zh-CN"/>
    </w:rPr>
  </w:style>
  <w:style w:type="character" w:customStyle="1" w:styleId="97">
    <w:name w:val="样式8 Char"/>
    <w:link w:val="98"/>
    <w:qFormat/>
    <w:locked/>
    <w:uiPriority w:val="0"/>
    <w:rPr>
      <w:rFonts w:ascii="Arial" w:hAnsi="Arial" w:cs="Arial"/>
      <w:kern w:val="2"/>
      <w:sz w:val="21"/>
      <w:szCs w:val="21"/>
    </w:rPr>
  </w:style>
  <w:style w:type="paragraph" w:customStyle="1" w:styleId="98">
    <w:name w:val="样式8"/>
    <w:basedOn w:val="1"/>
    <w:link w:val="97"/>
    <w:qFormat/>
    <w:uiPriority w:val="0"/>
    <w:pPr>
      <w:widowControl/>
      <w:adjustRightInd w:val="0"/>
      <w:snapToGrid w:val="0"/>
      <w:spacing w:line="300" w:lineRule="exact"/>
      <w:jc w:val="center"/>
    </w:pPr>
    <w:rPr>
      <w:rFonts w:ascii="Arial" w:hAnsi="Arial" w:cs="Arial"/>
    </w:rPr>
  </w:style>
  <w:style w:type="character" w:customStyle="1" w:styleId="99">
    <w:name w:val="正文文本 3 字符"/>
    <w:basedOn w:val="26"/>
    <w:link w:val="7"/>
    <w:semiHidden/>
    <w:qFormat/>
    <w:uiPriority w:val="0"/>
    <w:rPr>
      <w:kern w:val="2"/>
      <w:sz w:val="16"/>
      <w:szCs w:val="16"/>
    </w:rPr>
  </w:style>
  <w:style w:type="character" w:customStyle="1" w:styleId="100">
    <w:name w:val="表内字1 Char"/>
    <w:link w:val="81"/>
    <w:qFormat/>
    <w:locked/>
    <w:uiPriority w:val="0"/>
    <w:rPr>
      <w:color w:val="000000"/>
      <w:kern w:val="2"/>
      <w:sz w:val="22"/>
      <w:szCs w:val="21"/>
    </w:rPr>
  </w:style>
  <w:style w:type="character" w:customStyle="1" w:styleId="101">
    <w:name w:val="脚注文本 Char"/>
    <w:qFormat/>
    <w:uiPriority w:val="99"/>
    <w:rPr>
      <w:kern w:val="2"/>
      <w:sz w:val="18"/>
      <w:szCs w:val="18"/>
    </w:rPr>
  </w:style>
  <w:style w:type="paragraph" w:customStyle="1" w:styleId="102">
    <w:name w:val="样式 13 磅 行距: 固定值 25 磅"/>
    <w:basedOn w:val="1"/>
    <w:qFormat/>
    <w:uiPriority w:val="0"/>
    <w:pPr>
      <w:widowControl/>
      <w:spacing w:line="500" w:lineRule="exact"/>
      <w:ind w:firstLine="520" w:firstLineChars="200"/>
      <w:jc w:val="left"/>
    </w:pPr>
    <w:rPr>
      <w:rFonts w:ascii="Calibri" w:hAnsi="Calibri" w:cs="宋体"/>
      <w:kern w:val="0"/>
      <w:sz w:val="26"/>
      <w:szCs w:val="20"/>
    </w:rPr>
  </w:style>
  <w:style w:type="character" w:customStyle="1" w:styleId="103">
    <w:name w:val="邱—正文 Char"/>
    <w:link w:val="104"/>
    <w:qFormat/>
    <w:locked/>
    <w:uiPriority w:val="0"/>
    <w:rPr>
      <w:bCs/>
      <w:kern w:val="2"/>
      <w:sz w:val="24"/>
      <w:szCs w:val="24"/>
    </w:rPr>
  </w:style>
  <w:style w:type="paragraph" w:customStyle="1" w:styleId="104">
    <w:name w:val="邱—正文"/>
    <w:basedOn w:val="1"/>
    <w:link w:val="103"/>
    <w:qFormat/>
    <w:uiPriority w:val="0"/>
    <w:pPr>
      <w:widowControl/>
      <w:spacing w:line="440" w:lineRule="exact"/>
      <w:ind w:firstLine="200" w:firstLineChars="200"/>
      <w:jc w:val="left"/>
    </w:pPr>
    <w:rPr>
      <w:bCs/>
      <w:sz w:val="24"/>
      <w:szCs w:val="24"/>
    </w:rPr>
  </w:style>
  <w:style w:type="paragraph" w:customStyle="1" w:styleId="105">
    <w:name w:val="A小表格"/>
    <w:basedOn w:val="1"/>
    <w:semiHidden/>
    <w:qFormat/>
    <w:uiPriority w:val="0"/>
    <w:pPr>
      <w:adjustRightInd w:val="0"/>
      <w:snapToGrid w:val="0"/>
      <w:spacing w:line="320" w:lineRule="exact"/>
      <w:jc w:val="center"/>
    </w:pPr>
    <w:rPr>
      <w:rFonts w:hint="eastAsia"/>
      <w:bCs/>
      <w:color w:val="000000"/>
      <w:kern w:val="0"/>
      <w:szCs w:val="20"/>
    </w:rPr>
  </w:style>
  <w:style w:type="character" w:customStyle="1" w:styleId="106">
    <w:name w:val="Default Char"/>
    <w:link w:val="31"/>
    <w:qFormat/>
    <w:locked/>
    <w:uiPriority w:val="0"/>
    <w:rPr>
      <w:rFonts w:ascii="宋体" w:cs="宋体"/>
      <w:color w:val="000000"/>
      <w:sz w:val="24"/>
      <w:szCs w:val="24"/>
    </w:rPr>
  </w:style>
  <w:style w:type="paragraph" w:customStyle="1" w:styleId="107">
    <w:name w:val="样式35"/>
    <w:next w:val="1"/>
    <w:qFormat/>
    <w:uiPriority w:val="0"/>
    <w:pPr>
      <w:widowControl w:val="0"/>
      <w:adjustRightInd w:val="0"/>
      <w:snapToGrid w:val="0"/>
      <w:spacing w:beforeLines="15" w:afterLines="15" w:line="312" w:lineRule="auto"/>
      <w:ind w:firstLine="567" w:firstLineChars="200"/>
      <w:jc w:val="both"/>
    </w:pPr>
    <w:rPr>
      <w:rFonts w:ascii="宋体" w:hAnsi="Times New Roman" w:eastAsia="宋体" w:cs="Times New Roman"/>
      <w:kern w:val="2"/>
      <w:sz w:val="21"/>
      <w:szCs w:val="22"/>
      <w:lang w:val="en-US" w:eastAsia="zh-CN" w:bidi="ar-SA"/>
    </w:rPr>
  </w:style>
  <w:style w:type="character" w:customStyle="1" w:styleId="108">
    <w:name w:val="副标题 字符"/>
    <w:basedOn w:val="26"/>
    <w:qFormat/>
    <w:uiPriority w:val="0"/>
    <w:rPr>
      <w:rFonts w:asciiTheme="minorHAnsi" w:hAnsiTheme="minorHAnsi" w:eastAsiaTheme="minorEastAsia" w:cstheme="minorBidi"/>
      <w:b/>
      <w:bCs/>
      <w:kern w:val="28"/>
      <w:sz w:val="32"/>
      <w:szCs w:val="32"/>
    </w:rPr>
  </w:style>
  <w:style w:type="character" w:customStyle="1" w:styleId="109">
    <w:name w:val="副标题 字符1"/>
    <w:link w:val="15"/>
    <w:qFormat/>
    <w:uiPriority w:val="0"/>
    <w:rPr>
      <w:bCs/>
      <w:kern w:val="28"/>
      <w:sz w:val="21"/>
      <w:szCs w:val="32"/>
      <w:lang w:val="zh-CN" w:eastAsia="zh-CN"/>
    </w:rPr>
  </w:style>
  <w:style w:type="character" w:styleId="110">
    <w:name w:val="Placeholder Text"/>
    <w:basedOn w:val="26"/>
    <w:unhideWhenUsed/>
    <w:qFormat/>
    <w:uiPriority w:val="99"/>
    <w:rPr>
      <w:color w:val="808080"/>
    </w:rPr>
  </w:style>
  <w:style w:type="paragraph" w:customStyle="1" w:styleId="111">
    <w:name w:val="标准正文"/>
    <w:basedOn w:val="1"/>
    <w:qFormat/>
    <w:uiPriority w:val="0"/>
    <w:pPr>
      <w:adjustRightInd w:val="0"/>
      <w:snapToGrid w:val="0"/>
      <w:spacing w:line="440" w:lineRule="exact"/>
      <w:ind w:firstLine="200" w:firstLineChars="200"/>
    </w:pPr>
    <w:rPr>
      <w:kern w:val="0"/>
      <w:sz w:val="24"/>
      <w:szCs w:val="20"/>
    </w:rPr>
  </w:style>
  <w:style w:type="paragraph" w:customStyle="1" w:styleId="112">
    <w:name w:val="修订1"/>
    <w:hidden/>
    <w:semiHidden/>
    <w:qFormat/>
    <w:uiPriority w:val="99"/>
    <w:rPr>
      <w:rFonts w:ascii="Times New Roman" w:hAnsi="Times New Roman" w:eastAsia="宋体" w:cs="Times New Roman"/>
      <w:kern w:val="2"/>
      <w:sz w:val="21"/>
      <w:szCs w:val="21"/>
      <w:lang w:val="en-US" w:eastAsia="zh-CN" w:bidi="ar-SA"/>
    </w:rPr>
  </w:style>
  <w:style w:type="character" w:customStyle="1" w:styleId="113">
    <w:name w:val="标题 2 字符"/>
    <w:basedOn w:val="26"/>
    <w:link w:val="2"/>
    <w:semiHidden/>
    <w:qFormat/>
    <w:uiPriority w:val="0"/>
    <w:rPr>
      <w:rFonts w:asciiTheme="majorHAnsi" w:hAnsiTheme="majorHAnsi" w:eastAsiaTheme="majorEastAsia" w:cstheme="majorBidi"/>
      <w:b/>
      <w:bCs/>
      <w:kern w:val="2"/>
      <w:sz w:val="32"/>
      <w:szCs w:val="32"/>
    </w:rPr>
  </w:style>
  <w:style w:type="paragraph" w:customStyle="1" w:styleId="114">
    <w:name w:val="正文2"/>
    <w:qFormat/>
    <w:uiPriority w:val="0"/>
    <w:pPr>
      <w:jc w:val="both"/>
    </w:pPr>
    <w:rPr>
      <w:rFonts w:ascii="Times New Roman" w:hAnsi="Times New Roman" w:eastAsia="宋体" w:cs="Times New Roman"/>
      <w:kern w:val="2"/>
      <w:sz w:val="21"/>
      <w:szCs w:val="21"/>
      <w:lang w:val="en-US" w:eastAsia="zh-CN" w:bidi="ar-SA"/>
    </w:rPr>
  </w:style>
  <w:style w:type="paragraph" w:customStyle="1" w:styleId="115">
    <w:name w:val="表内字"/>
    <w:basedOn w:val="1"/>
    <w:qFormat/>
    <w:uiPriority w:val="0"/>
    <w:pPr>
      <w:autoSpaceDE w:val="0"/>
      <w:autoSpaceDN w:val="0"/>
      <w:adjustRightInd w:val="0"/>
      <w:snapToGrid w:val="0"/>
      <w:spacing w:line="320" w:lineRule="exact"/>
      <w:jc w:val="center"/>
    </w:pPr>
  </w:style>
  <w:style w:type="paragraph" w:customStyle="1" w:styleId="116">
    <w:name w:val="修订2"/>
    <w:hidden/>
    <w:semiHidden/>
    <w:qFormat/>
    <w:uiPriority w:val="99"/>
    <w:rPr>
      <w:rFonts w:ascii="Times New Roman" w:hAnsi="Times New Roman" w:eastAsia="宋体" w:cs="Times New Roman"/>
      <w:kern w:val="2"/>
      <w:sz w:val="21"/>
      <w:szCs w:val="21"/>
      <w:lang w:val="en-US" w:eastAsia="zh-CN" w:bidi="ar-SA"/>
    </w:rPr>
  </w:style>
  <w:style w:type="paragraph" w:customStyle="1" w:styleId="117">
    <w:name w:val="修订3"/>
    <w:hidden/>
    <w:semiHidden/>
    <w:qFormat/>
    <w:uiPriority w:val="99"/>
    <w:rPr>
      <w:rFonts w:ascii="Times New Roman" w:hAnsi="Times New Roman" w:eastAsia="宋体" w:cs="Times New Roman"/>
      <w:kern w:val="2"/>
      <w:sz w:val="21"/>
      <w:szCs w:val="21"/>
      <w:lang w:val="en-US" w:eastAsia="zh-CN" w:bidi="ar-SA"/>
    </w:rPr>
  </w:style>
  <w:style w:type="character" w:customStyle="1" w:styleId="118">
    <w:name w:val="页脚 字符"/>
    <w:basedOn w:val="26"/>
    <w:link w:val="13"/>
    <w:qFormat/>
    <w:uiPriority w:val="99"/>
    <w:rPr>
      <w:sz w:val="18"/>
    </w:rPr>
  </w:style>
  <w:style w:type="paragraph" w:customStyle="1" w:styleId="119">
    <w:name w:val="修订4"/>
    <w:hidden/>
    <w:unhideWhenUsed/>
    <w:qFormat/>
    <w:uiPriority w:val="99"/>
    <w:rPr>
      <w:rFonts w:ascii="Times New Roman" w:hAnsi="Times New Roman" w:eastAsia="宋体" w:cs="Times New Roman"/>
      <w:kern w:val="2"/>
      <w:sz w:val="21"/>
      <w:szCs w:val="21"/>
      <w:lang w:val="en-US" w:eastAsia="zh-CN" w:bidi="ar-SA"/>
    </w:rPr>
  </w:style>
  <w:style w:type="paragraph" w:customStyle="1" w:styleId="120">
    <w:name w:val="修订5"/>
    <w:hidden/>
    <w:unhideWhenUsed/>
    <w:qFormat/>
    <w:uiPriority w:val="99"/>
    <w:rPr>
      <w:rFonts w:ascii="Times New Roman" w:hAnsi="Times New Roman" w:eastAsia="宋体" w:cs="Times New Roman"/>
      <w:kern w:val="2"/>
      <w:sz w:val="21"/>
      <w:szCs w:val="21"/>
      <w:lang w:val="en-US" w:eastAsia="zh-CN" w:bidi="ar-SA"/>
    </w:rPr>
  </w:style>
  <w:style w:type="paragraph" w:customStyle="1" w:styleId="121">
    <w:name w:val="Revision"/>
    <w:hidden/>
    <w:unhideWhenUsed/>
    <w:qFormat/>
    <w:uiPriority w:val="99"/>
    <w:rPr>
      <w:rFonts w:ascii="Times New Roman" w:hAnsi="Times New Roman" w:eastAsia="宋体" w:cs="Times New Roman"/>
      <w:kern w:val="2"/>
      <w:sz w:val="21"/>
      <w:szCs w:val="21"/>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7" Type="http://schemas.openxmlformats.org/officeDocument/2006/relationships/fontTable" Target="fontTable.xml"/><Relationship Id="rId26" Type="http://schemas.openxmlformats.org/officeDocument/2006/relationships/customXml" Target="../customXml/item1.xml"/><Relationship Id="rId25" Type="http://schemas.openxmlformats.org/officeDocument/2006/relationships/image" Target="media/image9.wmf"/><Relationship Id="rId24" Type="http://schemas.openxmlformats.org/officeDocument/2006/relationships/oleObject" Target="embeddings/oleObject3.bin"/><Relationship Id="rId23" Type="http://schemas.openxmlformats.org/officeDocument/2006/relationships/image" Target="media/image8.emf"/><Relationship Id="rId22" Type="http://schemas.openxmlformats.org/officeDocument/2006/relationships/oleObject" Target="embeddings/oleObject2.bin"/><Relationship Id="rId21" Type="http://schemas.openxmlformats.org/officeDocument/2006/relationships/image" Target="media/image7.e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6.emf"/><Relationship Id="rId18" Type="http://schemas.openxmlformats.org/officeDocument/2006/relationships/image" Target="media/image5.emf"/><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emf"/><Relationship Id="rId14" Type="http://schemas.openxmlformats.org/officeDocument/2006/relationships/image" Target="media/image1.emf"/><Relationship Id="rId13" Type="http://schemas.openxmlformats.org/officeDocument/2006/relationships/theme" Target="theme/theme1.xml"/><Relationship Id="rId12" Type="http://schemas.openxmlformats.org/officeDocument/2006/relationships/footer" Target="footer8.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JCHB</Company>
  <Pages>82</Pages>
  <Words>9153</Words>
  <Characters>52177</Characters>
  <Lines>434</Lines>
  <Paragraphs>122</Paragraphs>
  <TotalTime>236</TotalTime>
  <ScaleCrop>false</ScaleCrop>
  <LinksUpToDate>false</LinksUpToDate>
  <CharactersWithSpaces>61208</CharactersWithSpaces>
  <Application>WPS Office_11.8.2.10183_F1E327BC-269C-435d-A152-05C5408002CA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2023-09-21T18:59:00Z</dcterms:created>
  <dc:creator>YH</dc:creator>
  <cp:lastModifiedBy>twll</cp:lastModifiedBy>
  <cp:lastPrinted>2023-03-02T02:37:00Z</cp:lastPrinted>
  <dcterms:modified xsi:type="dcterms:W3CDTF">2024-03-07T17:00:14Z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2052-11.8.2.10183</vt:lpwstr>
  </property>
  <property fmtid="{D5CDD505-2E9C-101B-9397-08002B2CF9AE}" pid="3" name="ICV">
    <vt:lpwstr>72765929A16243D784B128574CC38B6D_13</vt:lpwstr>
  </property>
</Properties>
</file>