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377"/>
        <w:gridCol w:w="2526"/>
        <w:gridCol w:w="2180"/>
        <w:gridCol w:w="2180"/>
        <w:gridCol w:w="1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2022年度铜梁区生猪养殖企业流动资金贷款贴息公示表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申报金额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审计调整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利息审定金额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"'1、铜梁区兴群生猪养殖场'!A1"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铜梁区兴群生猪养殖场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30,795.83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-12,104.16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18,691.67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"'2、重庆红吉生猪养殖有限公司'!A1"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重庆红吉生猪养殖有限公司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131,805.51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-34,608.84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97,196.67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42766.53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"'3、重庆诺耀畜牧养殖有限公司'!A1"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重庆诺耀畜牧养殖有限公司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45,500.00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-3,930.56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41,569.44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18290.56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"'4、铜梁区迈兴畜牧养殖场'!A1"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铜梁区迈兴畜牧养殖场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19,833.33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-2,597.22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17,236.11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7583.89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"'5、重庆旺农饲料有限公司'!A1"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重庆旺农饲料有限公司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742,233.87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-147,716.09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594,517.78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261587.82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"'6、重庆锦尚农业发展有限公司'!A1"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重庆锦尚农业发展有限公司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775,645.55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-460,836.14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314,809.41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138516.14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"'7、重庆市铜梁区冬深养殖场'!A1"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重庆市铜梁区冬深养殖场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26,386.40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-26,386.40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"'8、重庆裕和祥农牧科技有限公司'!A1"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重庆裕和祥农牧科技有限公司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104,214.60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-64,310.52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39,904.08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17557.80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"'9、重庆鸿源养殖有限公司'!A1"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重庆鸿源养殖有限公司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100,722.21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9,791.68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110,513.89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48626.11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1,977,137.30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-742,698.25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1,234,439.05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543153.18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663DA"/>
    <w:rsid w:val="1BC94B79"/>
    <w:rsid w:val="207663DA"/>
    <w:rsid w:val="31067ACC"/>
    <w:rsid w:val="42AA34A9"/>
    <w:rsid w:val="56ED10D6"/>
    <w:rsid w:val="759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next w:val="1"/>
    <w:qFormat/>
    <w:uiPriority w:val="0"/>
    <w:rPr>
      <w:rFonts w:asciiTheme="minorAscii" w:hAnsiTheme="minorAscii" w:eastAsiaTheme="minorEastAsia" w:cstheme="minorBidi"/>
    </w:rPr>
  </w:style>
  <w:style w:type="paragraph" w:customStyle="1" w:styleId="6">
    <w:name w:val="样式2"/>
    <w:basedOn w:val="1"/>
    <w:next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2023-12-11T02:28:00Z</dcterms:created>
  <dc:creator>小不点1997</dc:creator>
  <cp:lastModifiedBy>小不点1997</cp:lastModifiedBy>
  <dcterms:modified xsi:type="dcterms:W3CDTF">2023-12-11T02:28:57Z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